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20D31F847F7D48BCB060282E61814382" style="width:451.4pt;height:379.4pt">
            <v:imagedata r:id="rId9" o:title=""/>
          </v:shape>
        </w:pict>
      </w:r>
    </w:p>
    <w:bookmarkEnd w:id="0"/>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0"/>
          <w:cols w:space="720"/>
          <w:docGrid w:linePitch="360"/>
        </w:sectPr>
      </w:pPr>
    </w:p>
    <w:p>
      <w:pPr>
        <w:spacing w:after="120" w:line="240" w:lineRule="auto"/>
        <w:jc w:val="center"/>
        <w:rPr>
          <w:rFonts w:ascii="Times New Roman" w:eastAsia="Times New Roman" w:hAnsi="Times New Roman" w:cs="Times New Roman"/>
          <w:b/>
          <w:noProof/>
          <w:sz w:val="24"/>
          <w:szCs w:val="24"/>
        </w:rPr>
      </w:pPr>
      <w:bookmarkStart w:id="1" w:name="_GoBack"/>
      <w:bookmarkEnd w:id="1"/>
      <w:r>
        <w:rPr>
          <w:rFonts w:ascii="Times New Roman" w:hAnsi="Times New Roman"/>
          <w:b/>
          <w:noProof/>
          <w:sz w:val="24"/>
        </w:rPr>
        <w:lastRenderedPageBreak/>
        <w:t>Prebiehajúce opatrenia na ochranu detí počas migrácie</w:t>
      </w:r>
    </w:p>
    <w:p>
      <w:pPr>
        <w:spacing w:after="120" w:line="240" w:lineRule="auto"/>
        <w:jc w:val="both"/>
        <w:rPr>
          <w:rFonts w:ascii="Times New Roman" w:eastAsia="Times New Roman" w:hAnsi="Times New Roman" w:cs="Times New Roman"/>
          <w:noProof/>
        </w:rPr>
      </w:pPr>
    </w:p>
    <w:p>
      <w:pPr>
        <w:spacing w:before="120" w:after="120" w:line="240" w:lineRule="auto"/>
        <w:jc w:val="both"/>
        <w:rPr>
          <w:rFonts w:ascii="Times New Roman" w:hAnsi="Times New Roman"/>
          <w:noProof/>
        </w:rPr>
      </w:pPr>
      <w:r>
        <w:rPr>
          <w:rFonts w:ascii="Times New Roman" w:hAnsi="Times New Roman"/>
          <w:noProof/>
        </w:rPr>
        <w:t>V rámci európskej migračnej agendy sa zvláštny dôraz kladie na potrebu ochrany detí počas migrácie. Táto príloha ponúka zhrnutie súčasného stavu prebiehajúcich opatrení vrátane práce na dokončení vykonávania Akčného plánu týkajúceho sa maloletých bez sprievodu (2010 – 2014)</w:t>
      </w:r>
      <w:r>
        <w:rPr>
          <w:rFonts w:ascii="Times New Roman" w:hAnsi="Times New Roman"/>
          <w:noProof/>
          <w:vertAlign w:val="superscript"/>
        </w:rPr>
        <w:footnoteReference w:id="1"/>
      </w:r>
      <w:r>
        <w:rPr>
          <w:rFonts w:ascii="Times New Roman" w:hAnsi="Times New Roman"/>
          <w:noProof/>
        </w:rPr>
        <w:t>, ktorý Komisia vyhodnotí a správu o ňom predloží neskôr v tomto roku.</w:t>
      </w:r>
    </w:p>
    <w:p>
      <w:pPr>
        <w:spacing w:before="120" w:after="120" w:line="240" w:lineRule="auto"/>
        <w:jc w:val="both"/>
        <w:rPr>
          <w:rFonts w:ascii="Times New Roman" w:hAnsi="Times New Roman" w:cs="Times New Roman"/>
          <w:noProof/>
        </w:rPr>
      </w:pPr>
    </w:p>
    <w:p>
      <w:pPr>
        <w:spacing w:before="120" w:after="120" w:line="240" w:lineRule="auto"/>
        <w:jc w:val="both"/>
        <w:rPr>
          <w:rFonts w:ascii="Times New Roman" w:hAnsi="Times New Roman" w:cs="Times New Roman"/>
          <w:i/>
          <w:noProof/>
        </w:rPr>
      </w:pPr>
      <w:r>
        <w:rPr>
          <w:rFonts w:ascii="Times New Roman" w:hAnsi="Times New Roman"/>
          <w:i/>
          <w:noProof/>
        </w:rPr>
        <w:t>Ochrana detí na trase migrácie</w:t>
      </w:r>
    </w:p>
    <w:p>
      <w:pPr>
        <w:spacing w:before="120" w:after="120" w:line="240" w:lineRule="auto"/>
        <w:jc w:val="both"/>
        <w:rPr>
          <w:rFonts w:ascii="Times New Roman" w:hAnsi="Times New Roman" w:cs="Times New Roman"/>
          <w:noProof/>
        </w:rPr>
      </w:pPr>
      <w:r>
        <w:rPr>
          <w:rFonts w:ascii="Times New Roman" w:hAnsi="Times New Roman"/>
          <w:noProof/>
        </w:rPr>
        <w:t>Viac než 200 mil. EUR bolo vyčlenených v rámci programov financovania EÚ na zabezpečenie ochrany detí počas migrácie. Na jar 2016 je naplánovaný priamy grant vo výške 3,5 milióna EUR, ktorým sa má podporiť úrad UNHCR a organizácia UNICEF, Medzinárodná organizácia pre migráciu (IOM) a Medzinárodná aliancia Zachráňte deti, aby sa v rámci svojich činností v EÚ zamerali na realizáciu spoločnej ochrany detí počas migrácie, pričom ďalšie 3 milióny EUR sa vyčlenia na budovanie kapacít systémov ochrany detí počas migrácie.</w:t>
      </w:r>
    </w:p>
    <w:p>
      <w:pPr>
        <w:spacing w:after="120" w:line="240" w:lineRule="auto"/>
        <w:jc w:val="both"/>
        <w:rPr>
          <w:rFonts w:ascii="Times New Roman" w:hAnsi="Times New Roman"/>
          <w:noProof/>
        </w:rPr>
      </w:pPr>
      <w:r>
        <w:rPr>
          <w:rFonts w:ascii="Times New Roman" w:hAnsi="Times New Roman"/>
          <w:noProof/>
        </w:rPr>
        <w:t>Europol a Eurojust sa aktívne podieľajú na rozkladaní sietí zapojených do prevádzačstva detí a obchodovania s deťmi. Obchodovanie s deťmi bolo označené za jednu z priorít Európskej multidisciplinárnej platformy proti hrozbám trestnej činnosti, pokiaľ ide o boj proti obchodovaniu s ľuďmi v rámci cyklu politík EÚ na boj proti organizovanej a závažnej medzinárodnej trestnej činnosti</w:t>
      </w:r>
      <w:r>
        <w:rPr>
          <w:rStyle w:val="FootnoteReference"/>
          <w:rFonts w:ascii="Times New Roman" w:hAnsi="Times New Roman"/>
          <w:noProof/>
        </w:rPr>
        <w:footnoteReference w:id="2"/>
      </w:r>
      <w:r>
        <w:rPr>
          <w:rFonts w:ascii="Times New Roman" w:hAnsi="Times New Roman"/>
          <w:noProof/>
        </w:rPr>
        <w:t>. Komisia podporuje Europol a orgány presadzovania práva, ako aj iné agentúry EÚ v ich operačnom úsilí v boji proti obchodovaniu s deťmi. V rámci Fondu pre azyl, migráciu a integráciu bola nedávno zverejnená výzva určená pre granty v oblasti boja proti obchodovaniu s ľuďmi vo výške 3 miliónov EUR, pričom jednou z priorít je včasná identifikácia a ochrana detských obetí obchodovania s ľuďmi a detí bez sprievodu, ktorým takéto nebezpečenstvo hrozí.</w:t>
      </w:r>
    </w:p>
    <w:p>
      <w:pPr>
        <w:spacing w:after="120" w:line="240" w:lineRule="auto"/>
        <w:jc w:val="both"/>
        <w:rPr>
          <w:rFonts w:ascii="Times New Roman" w:hAnsi="Times New Roman" w:cs="Times New Roman"/>
          <w:noProof/>
        </w:rPr>
      </w:pPr>
      <w:r>
        <w:rPr>
          <w:rFonts w:ascii="Times New Roman" w:hAnsi="Times New Roman"/>
          <w:noProof/>
        </w:rPr>
        <w:t>V rámci európskej platformy občianskej spoločnosti pre boj proti obchodovaniu s ľuďmi pôsobí podskupina, ktorá sa venuje boju proti obchodovaniu s deťmi a v týchto otázkach zabezpečuje úzku spoluprácu s občianskou spoločnosťou a organizáciami pre ochranu práv dieťaťa.</w:t>
      </w:r>
    </w:p>
    <w:p>
      <w:pPr>
        <w:spacing w:after="120" w:line="240" w:lineRule="auto"/>
        <w:jc w:val="both"/>
        <w:rPr>
          <w:rFonts w:ascii="Times New Roman" w:hAnsi="Times New Roman"/>
          <w:noProof/>
        </w:rPr>
      </w:pPr>
      <w:r>
        <w:rPr>
          <w:rFonts w:ascii="Times New Roman" w:hAnsi="Times New Roman"/>
          <w:noProof/>
        </w:rPr>
        <w:t>Európsky podporný úrad pre azyl má v pláne ďalej rozvíjať existujúce usmernenia pre najlepšie postupy týkajúce sa posúdenia najlepších záujmov dieťaťa vrátane prostriedkov na určovanie veku, pátranie po rodinných príslušníkoch, identifikáciu osôb so špeciálnymi potrebami a odhaľovanie obchodovania s deťmi. Agentúra Frontex bude pokračovať v spolupráci s členskými štátmi s cieľom zabezpečiť, aby príslušníci pohraničnej stráže boli riadne vyškolení, pokiaľ ide o postupy, ktoré sa majú dodržiavať v prípadoch detí na hraniciach.</w:t>
      </w:r>
    </w:p>
    <w:p>
      <w:pPr>
        <w:spacing w:after="120" w:line="240" w:lineRule="auto"/>
        <w:jc w:val="both"/>
        <w:rPr>
          <w:rFonts w:ascii="Times New Roman" w:hAnsi="Times New Roman" w:cs="Times New Roman"/>
          <w:noProof/>
        </w:rPr>
      </w:pPr>
      <w:r>
        <w:rPr>
          <w:rFonts w:ascii="Times New Roman" w:hAnsi="Times New Roman"/>
          <w:noProof/>
        </w:rPr>
        <w:t>Ochrana detí a opatrenia ochrany detí (vrátane previerky zamestnancov, odbornej prípravy a pravidiel pre podávanie správ) sú navyše začlenené do prístupu založeného na hotspotoch. Zavedie sa napríklad mechanizmus posudzovania zdravotného stavu detí vrátane stavu očkovania (2 milióny EUR vyčlenené z programu v oblasti zdravia).</w:t>
      </w:r>
    </w:p>
    <w:p>
      <w:pPr>
        <w:spacing w:after="120" w:line="240" w:lineRule="auto"/>
        <w:jc w:val="both"/>
        <w:rPr>
          <w:rFonts w:ascii="Times New Roman" w:hAnsi="Times New Roman" w:cs="Times New Roman"/>
          <w:noProof/>
        </w:rPr>
      </w:pPr>
    </w:p>
    <w:p>
      <w:pPr>
        <w:spacing w:after="120" w:line="240" w:lineRule="auto"/>
        <w:jc w:val="both"/>
        <w:rPr>
          <w:rFonts w:ascii="Times New Roman" w:hAnsi="Times New Roman" w:cs="Times New Roman"/>
          <w:i/>
          <w:noProof/>
        </w:rPr>
      </w:pPr>
      <w:r>
        <w:rPr>
          <w:rFonts w:ascii="Times New Roman" w:hAnsi="Times New Roman"/>
          <w:i/>
          <w:noProof/>
        </w:rPr>
        <w:t>Opatrovníctvo detí bez sprievodu</w:t>
      </w:r>
    </w:p>
    <w:p>
      <w:pPr>
        <w:spacing w:after="120" w:line="240" w:lineRule="auto"/>
        <w:jc w:val="both"/>
        <w:rPr>
          <w:rFonts w:ascii="Times New Roman" w:hAnsi="Times New Roman"/>
          <w:noProof/>
        </w:rPr>
      </w:pPr>
      <w:r>
        <w:rPr>
          <w:rFonts w:ascii="Times New Roman" w:hAnsi="Times New Roman"/>
          <w:noProof/>
        </w:rPr>
        <w:t xml:space="preserve">Európska komisia a Agentúra Európskej únie pre základné práva uverejnili príručku Opatrovníctvo detí bez rodičovskej starostlivosti, ktorá je zameraná na podporu orgánov členských štátov v posilňovaní ich opatrovníckych systémov a postupov s cieľom zabezpečiť, aby boli lepšie pripravené </w:t>
      </w:r>
      <w:r>
        <w:rPr>
          <w:rFonts w:ascii="Times New Roman" w:hAnsi="Times New Roman"/>
          <w:noProof/>
        </w:rPr>
        <w:lastRenderedPageBreak/>
        <w:t>zaoberať sa osobitnými potrebami detských obetí obchodovania s ľuďmi. Odborná príprava sudcov a ústredných orgánov v oblasti cezhraničného uznávania rozsudkov obsahujúcich ochranné opatrenia vrátane opatrovníctva detí bez sprievodu a detí odlúčených od rodiny sa uľahčí</w:t>
      </w:r>
      <w:r>
        <w:rPr>
          <w:rStyle w:val="FootnoteReference"/>
          <w:rFonts w:ascii="Times New Roman" w:hAnsi="Times New Roman"/>
          <w:noProof/>
        </w:rPr>
        <w:footnoteReference w:id="3"/>
      </w:r>
      <w:r>
        <w:rPr>
          <w:rFonts w:ascii="Times New Roman" w:hAnsi="Times New Roman"/>
          <w:noProof/>
        </w:rPr>
        <w:t>, okrem iného prostredníctvom Európskej justičnej siete pre občianske a obchodné veci.</w:t>
      </w:r>
    </w:p>
    <w:p>
      <w:pPr>
        <w:spacing w:after="120" w:line="240" w:lineRule="auto"/>
        <w:jc w:val="both"/>
        <w:rPr>
          <w:rFonts w:ascii="Times New Roman" w:hAnsi="Times New Roman" w:cs="Times New Roman"/>
          <w:noProof/>
        </w:rPr>
      </w:pPr>
    </w:p>
    <w:p>
      <w:pPr>
        <w:spacing w:after="120" w:line="240" w:lineRule="auto"/>
        <w:jc w:val="both"/>
        <w:rPr>
          <w:rFonts w:ascii="Times New Roman" w:hAnsi="Times New Roman" w:cs="Times New Roman"/>
          <w:i/>
          <w:noProof/>
        </w:rPr>
      </w:pPr>
      <w:r>
        <w:rPr>
          <w:rFonts w:ascii="Times New Roman" w:hAnsi="Times New Roman"/>
          <w:i/>
          <w:noProof/>
        </w:rPr>
        <w:t>Vzdelávanie detí migrantov v rámci EÚ aj mimo nej</w:t>
      </w:r>
    </w:p>
    <w:p>
      <w:pPr>
        <w:spacing w:after="120" w:line="240" w:lineRule="auto"/>
        <w:jc w:val="both"/>
        <w:rPr>
          <w:rFonts w:ascii="Times New Roman" w:hAnsi="Times New Roman" w:cs="Times New Roman"/>
          <w:noProof/>
        </w:rPr>
      </w:pPr>
      <w:r>
        <w:rPr>
          <w:rFonts w:ascii="Times New Roman" w:hAnsi="Times New Roman"/>
          <w:noProof/>
        </w:rPr>
        <w:t>Právo migrujúcich detí na vzdelanie je prioritou pre európsku spoluprácu v oblasti vzdelávania a odbornej prípravy</w:t>
      </w:r>
      <w:r>
        <w:rPr>
          <w:rStyle w:val="FootnoteReference"/>
          <w:rFonts w:ascii="Times New Roman" w:hAnsi="Times New Roman"/>
          <w:noProof/>
        </w:rPr>
        <w:footnoteReference w:id="4"/>
      </w:r>
      <w:r>
        <w:rPr>
          <w:rFonts w:ascii="Times New Roman" w:hAnsi="Times New Roman"/>
          <w:noProof/>
        </w:rPr>
        <w:t>, s osobitným dôrazom na migrantov, ktorí práve pricestovali, a na podporu sociálnych občianskych a medzikultúrnych kompetencií u detí a mladých ľudí s cieľom predísť marginalizácii. Európsky súbor nástrojov pre školy prístupný online ponúka odborníkom na školách a tvorcom politík praktické informácie o vzdelávaní, ktoré podporuje začlenenie vrátane integrácie migrantov.</w:t>
      </w:r>
    </w:p>
    <w:p>
      <w:pPr>
        <w:spacing w:after="120" w:line="240" w:lineRule="auto"/>
        <w:jc w:val="both"/>
        <w:rPr>
          <w:rFonts w:ascii="Times New Roman" w:hAnsi="Times New Roman" w:cs="Times New Roman"/>
          <w:noProof/>
        </w:rPr>
      </w:pPr>
      <w:r>
        <w:rPr>
          <w:rFonts w:ascii="Times New Roman" w:hAnsi="Times New Roman"/>
          <w:noProof/>
        </w:rPr>
        <w:t>Mimo EÚ bolo z finančných prostriedkov EÚ na obdobie 2015 – 2016 vyčlenených 120 miliónov EUR na regionálne programy vzdelávania a ochrany pre zraniteľné sýrske migrujúce deti a adolescentov, ako aj deti a adolescentov hostiteľských komunít, ktoré fungujú prostredníctvom partnerov ako UNICEF v Turecku, Libanone, Jordánsku a Iraku. Nástroj pre utečencov v Turecku bude podporovať vzdelávanie mladých sýrskych utečencov v Turecku. Okrem toho Komisia v súlade s globálnym cieľom OSN v roku 2016 štvornásobne zvýši svoju podporu na vzdelávanie detí v núdzových situáciách vrátane konfliktov – z 1 % na 4 % svojho rozpočtu na humanitárnu pomoc.</w:t>
      </w:r>
    </w:p>
    <w:p>
      <w:pPr>
        <w:spacing w:after="120" w:line="240" w:lineRule="auto"/>
        <w:jc w:val="both"/>
        <w:rPr>
          <w:noProof/>
        </w:rPr>
      </w:pP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SK</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SK</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1188442"/>
      <w:docPartObj>
        <w:docPartGallery w:val="Page Numbers (Bottom of Page)"/>
        <w:docPartUnique/>
      </w:docPartObj>
    </w:sdtPr>
    <w:sdtEndPr>
      <w:rPr>
        <w:noProof/>
      </w:rPr>
    </w:sdtEndPr>
    <w:sdtContent>
      <w:p>
        <w:pPr>
          <w:pStyle w:val="Footer"/>
          <w:jc w:val="cente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noProof/>
          </w:rPr>
          <w:t>2</w:t>
        </w:r>
        <w:r>
          <w:rPr>
            <w:rFonts w:ascii="Times New Roman" w:hAnsi="Times New Roman" w:cs="Times New Roman"/>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Akčný plán týkajúci sa maloletých bez sprievodu (2010 – 2014), KOM(2010) 213 v konečnom znení zo 6. mája 2010.</w:t>
      </w:r>
    </w:p>
  </w:footnote>
  <w:footnote w:id="2">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shd w:val="clear" w:color="auto" w:fill="FFFFFF"/>
        </w:rPr>
        <w:t xml:space="preserve">Závery Rady o vytvorení a vykonávaní cyklu politík EÚ na boj proti organizovanej a závažnej medzinárodnej trestnej činnosti, dokument </w:t>
      </w:r>
      <w:hyperlink r:id="rId1" w:tooltip="Závery Rady o vytvorení a vykonávaní cyklu politík EÚ na boj proti organizovanej a závažnej medzinárodnej trestnej činnosti">
        <w:r>
          <w:rPr>
            <w:rStyle w:val="Hyperlink"/>
            <w:rFonts w:ascii="Times New Roman" w:hAnsi="Times New Roman"/>
            <w:color w:val="auto"/>
            <w:u w:val="none"/>
            <w:bdr w:val="none" w:sz="0" w:space="0" w:color="auto" w:frame="1"/>
            <w:shd w:val="clear" w:color="auto" w:fill="FFFFFF"/>
          </w:rPr>
          <w:t>15358/10 COSI 69 ENFOPOL 298 CRIMORG 185 ENFOCUSTOM 94</w:t>
        </w:r>
      </w:hyperlink>
      <w:r>
        <w:rPr>
          <w:rFonts w:ascii="Times New Roman" w:hAnsi="Times New Roman"/>
          <w:shd w:val="clear" w:color="auto" w:fill="FFFFFF"/>
        </w:rPr>
        <w:t>.</w:t>
      </w:r>
    </w:p>
  </w:footnote>
  <w:footnote w:id="3">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Financovanie prostredníctvom Európskej justičnej siete.</w:t>
      </w:r>
    </w:p>
  </w:footnote>
  <w:footnote w:id="4">
    <w:p>
      <w:pPr>
        <w:pStyle w:val="FootnoteText"/>
        <w:tabs>
          <w:tab w:val="left" w:pos="284"/>
        </w:tabs>
        <w:ind w:left="284" w:hanging="284"/>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Projekty pre utečencov sú osobitnou prioritou programu Erasmus+ v roku 2016 (zhruba 1,5 miliardy EUR vyčlenených na činnosti v oblasti vzdelávania, odbornej prípravy, mládeže a športu).</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80C42"/>
    <w:multiLevelType w:val="hybridMultilevel"/>
    <w:tmpl w:val="E7787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ACCOMPAGNANT.CP" w:val="k"/>
    <w:docVar w:name="LW_ANNEX_NBR_FIRST" w:val="6"/>
    <w:docVar w:name="LW_ANNEX_NBR_LAST" w:val="6"/>
    <w:docVar w:name="LW_CONFIDENCE" w:val=" "/>
    <w:docVar w:name="LW_CONST_RESTREINT_UE" w:val="RESTREINT UE"/>
    <w:docVar w:name="LW_CORRIGENDUM" w:val="&lt;UNUSED&gt;"/>
    <w:docVar w:name="LW_COVERPAGE_GUID" w:val="20D31F847F7D48BCB060282E61814382"/>
    <w:docVar w:name="LW_CROSSREFERENCE" w:val="&lt;UNUSED&gt;"/>
    <w:docVar w:name="LW_DocType" w:val="NORMAL"/>
    <w:docVar w:name="LW_EMISSION" w:val="10. 2. 2016"/>
    <w:docVar w:name="LW_EMISSION_ISODATE" w:val="2016-02-10"/>
    <w:docVar w:name="LW_EMISSION_LOCATION" w:val="BRX"/>
    <w:docVar w:name="LW_EMISSION_PREFIX" w:val="V Bruseli"/>
    <w:docVar w:name="LW_EMISSION_SUFFIX" w:val=" "/>
    <w:docVar w:name="LW_ID_DOCTYPE_NONLW" w:val="CP-039"/>
    <w:docVar w:name="LW_LANGUE" w:val="SK"/>
    <w:docVar w:name="LW_MARKING" w:val="&lt;UNUSED&gt;"/>
    <w:docVar w:name="LW_NOM.INST" w:val="EURÓPSKA KOMISIA"/>
    <w:docVar w:name="LW_NOM.INST_JOINTDOC" w:val="&lt;EMPTY&gt;"/>
    <w:docVar w:name="LW_OBJETACTEPRINCIPAL.CP" w:val="Prebiehajúce opatrenia na ochranu detí po\u269?as migrácie"/>
    <w:docVar w:name="LW_PART_NBR" w:val="1"/>
    <w:docVar w:name="LW_PART_NBR_TOTAL" w:val="1"/>
    <w:docVar w:name="LW_REF.INST.NEW" w:val="COM"/>
    <w:docVar w:name="LW_REF.INST.NEW_ADOPTED" w:val="final"/>
    <w:docVar w:name="LW_REF.INST.NEW_TEXT" w:val="(2016) 85"/>
    <w:docVar w:name="LW_REF.INTERNE" w:val="&lt;UNUSED&gt;"/>
    <w:docVar w:name="LW_SUPERTITRE" w:val="&lt;UNUSED&gt;"/>
    <w:docVar w:name="LW_TITRE.OBJ.CP" w:val="&lt;UNUSED&gt;"/>
    <w:docVar w:name="LW_TYPE.DOC.CP" w:val="PRÍLOHA_x000b_"/>
    <w:docVar w:name="LW_TYPEACTEPRINCIPAL.CP" w:val="oznámeniu Komisie Európskemu parlamentu a Rade o sú\u269?asnom stave vykonávania prioritných opatrení v rámci európskej migra\u269?nej agendy"/>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sk-SK" w:bidi="sk-SK"/>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Revision">
    <w:name w:val="Revision"/>
    <w:hidden/>
    <w:uiPriority w:val="99"/>
    <w:semiHidden/>
    <w:pPr>
      <w:spacing w:after="0" w:line="240" w:lineRule="auto"/>
    </w:p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styleId="Hyperlink">
    <w:name w:val="Hyperlink"/>
    <w:basedOn w:val="DefaultParagraphFont"/>
    <w:uiPriority w:val="99"/>
    <w:unhideWhenUsed/>
    <w:rPr>
      <w:color w:val="0000FF" w:themeColor="hyperlink"/>
      <w:u w:val="single"/>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customStyle="1" w:styleId="Marker">
    <w:name w:val="Marker"/>
    <w:basedOn w:val="DefaultParagraphFont"/>
    <w:rPr>
      <w:color w:val="0000FF"/>
      <w:shd w:val="clear"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4900275">
      <w:bodyDiv w:val="1"/>
      <w:marLeft w:val="0"/>
      <w:marRight w:val="0"/>
      <w:marTop w:val="0"/>
      <w:marBottom w:val="0"/>
      <w:divBdr>
        <w:top w:val="none" w:sz="0" w:space="0" w:color="auto"/>
        <w:left w:val="none" w:sz="0" w:space="0" w:color="auto"/>
        <w:bottom w:val="none" w:sz="0" w:space="0" w:color="auto"/>
        <w:right w:val="none" w:sz="0" w:space="0" w:color="auto"/>
      </w:divBdr>
    </w:div>
    <w:div w:id="492138339">
      <w:bodyDiv w:val="1"/>
      <w:marLeft w:val="0"/>
      <w:marRight w:val="0"/>
      <w:marTop w:val="0"/>
      <w:marBottom w:val="0"/>
      <w:divBdr>
        <w:top w:val="none" w:sz="0" w:space="0" w:color="auto"/>
        <w:left w:val="none" w:sz="0" w:space="0" w:color="auto"/>
        <w:bottom w:val="none" w:sz="0" w:space="0" w:color="auto"/>
        <w:right w:val="none" w:sz="0" w:space="0" w:color="auto"/>
      </w:divBdr>
    </w:div>
    <w:div w:id="1517620455">
      <w:bodyDiv w:val="1"/>
      <w:marLeft w:val="0"/>
      <w:marRight w:val="0"/>
      <w:marTop w:val="0"/>
      <w:marBottom w:val="0"/>
      <w:divBdr>
        <w:top w:val="none" w:sz="0" w:space="0" w:color="auto"/>
        <w:left w:val="none" w:sz="0" w:space="0" w:color="auto"/>
        <w:bottom w:val="none" w:sz="0" w:space="0" w:color="auto"/>
        <w:right w:val="none" w:sz="0" w:space="0" w:color="auto"/>
      </w:divBdr>
    </w:div>
    <w:div w:id="1837574755">
      <w:bodyDiv w:val="1"/>
      <w:marLeft w:val="0"/>
      <w:marRight w:val="0"/>
      <w:marTop w:val="0"/>
      <w:marBottom w:val="0"/>
      <w:divBdr>
        <w:top w:val="none" w:sz="0" w:space="0" w:color="auto"/>
        <w:left w:val="none" w:sz="0" w:space="0" w:color="auto"/>
        <w:bottom w:val="none" w:sz="0" w:space="0" w:color="auto"/>
        <w:right w:val="none" w:sz="0" w:space="0" w:color="auto"/>
      </w:divBdr>
    </w:div>
    <w:div w:id="21116590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register.consilium.europa.eu/doc/srv?l=EN&amp;f=ST%2015358%202010%20IN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E7ACA-DAB6-4E02-9079-B3C09EA659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3</Pages>
  <Words>683</Words>
  <Characters>4099</Characters>
  <Application>Microsoft Office Word</Application>
  <DocSecurity>0</DocSecurity>
  <Lines>62</Lines>
  <Paragraphs>15</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4767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ADAMO Chiara (JUST)</dc:creator>
  <cp:lastModifiedBy>DIGIT/A3</cp:lastModifiedBy>
  <cp:revision>17</cp:revision>
  <cp:lastPrinted>2016-02-09T16:59:00Z</cp:lastPrinted>
  <dcterms:created xsi:type="dcterms:W3CDTF">2016-02-09T17:29:00Z</dcterms:created>
  <dcterms:modified xsi:type="dcterms:W3CDTF">2016-02-17T11:32:00Z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irst annex">
    <vt:lpwstr>6</vt:lpwstr>
  </property>
  <property fmtid="{D5CDD505-2E9C-101B-9397-08002B2CF9AE}" pid="3" name="Last annex">
    <vt:lpwstr>6</vt:lpwstr>
  </property>
  <property fmtid="{D5CDD505-2E9C-101B-9397-08002B2CF9AE}" pid="4" name="Part">
    <vt:lpwstr>1</vt:lpwstr>
  </property>
  <property fmtid="{D5CDD505-2E9C-101B-9397-08002B2CF9AE}" pid="5" name="Total parts">
    <vt:lpwstr>1</vt:lpwstr>
  </property>
  <property fmtid="{D5CDD505-2E9C-101B-9397-08002B2CF9AE}" pid="6" name="DocStatus">
    <vt:lpwstr>Green</vt:lpwstr>
  </property>
  <property fmtid="{D5CDD505-2E9C-101B-9397-08002B2CF9AE}" pid="7" name="Classification">
    <vt:lpwstr> </vt:lpwstr>
  </property>
</Properties>
</file>