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018E9808AB2449D9BDD2C069A677616" style="width:450.7pt;height:321.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keepNext/>
        <w:spacing w:before="360" w:after="120" w:line="240" w:lineRule="auto"/>
        <w:jc w:val="both"/>
        <w:outlineLvl w:val="0"/>
        <w:rPr>
          <w:rFonts w:ascii="Times New Roman" w:eastAsia="Times New Roman" w:hAnsi="Times New Roman" w:cs="Times New Roman"/>
          <w:b/>
          <w:bCs/>
          <w:smallCaps/>
          <w:noProof/>
          <w:sz w:val="24"/>
          <w:szCs w:val="32"/>
          <w:lang w:val="es-ES_tradnl"/>
        </w:rPr>
      </w:pPr>
      <w:bookmarkStart w:id="1" w:name="_GoBack"/>
      <w:bookmarkEnd w:id="1"/>
      <w:r>
        <w:rPr>
          <w:rFonts w:ascii="Times New Roman" w:hAnsi="Times New Roman"/>
          <w:b/>
          <w:smallCaps/>
          <w:noProof/>
          <w:sz w:val="24"/>
          <w:lang w:val="es-ES_tradnl"/>
        </w:rPr>
        <w:lastRenderedPageBreak/>
        <w:t>Introducción</w:t>
      </w:r>
    </w:p>
    <w:p>
      <w:pPr>
        <w:spacing w:before="120" w:after="120" w:line="240" w:lineRule="auto"/>
        <w:jc w:val="both"/>
        <w:rPr>
          <w:rFonts w:ascii="Times New Roman" w:eastAsia="Calibri" w:hAnsi="Times New Roman" w:cs="Times New Roman"/>
          <w:bCs/>
          <w:noProof/>
          <w:sz w:val="24"/>
          <w:szCs w:val="24"/>
          <w:lang w:val="es-ES_tradnl"/>
        </w:rPr>
      </w:pPr>
      <w:r>
        <w:rPr>
          <w:rFonts w:ascii="Times New Roman" w:hAnsi="Times New Roman"/>
          <w:noProof/>
          <w:sz w:val="24"/>
          <w:lang w:val="es-ES_tradnl"/>
        </w:rPr>
        <w:t>En un espacio europeo de libertad, seguridad y justicia, debe hacerse todo lo posible para garantizar la efectividad de la respuesta europea a las actividades delictivas y, en especial, a la delincuencia transfronteriza grave y al terrorismo. La Agenda Europea de Seguridad</w:t>
      </w:r>
      <w:r>
        <w:rPr>
          <w:rStyle w:val="FootnoteReference"/>
          <w:noProof/>
        </w:rPr>
        <w:footnoteReference w:id="2"/>
      </w:r>
      <w:r>
        <w:rPr>
          <w:rFonts w:ascii="Times New Roman" w:hAnsi="Times New Roman"/>
          <w:noProof/>
          <w:sz w:val="24"/>
          <w:lang w:val="es-ES_tradnl"/>
        </w:rPr>
        <w:t xml:space="preserve"> pone de relieve la necesidad de maximizar las medidas de la UE en materia de intercambio de información y cooperación operativa.</w:t>
      </w:r>
    </w:p>
    <w:p>
      <w:pPr>
        <w:spacing w:before="120" w:after="120" w:line="240" w:lineRule="auto"/>
        <w:jc w:val="both"/>
        <w:rPr>
          <w:rFonts w:ascii="Times New Roman" w:eastAsia="Calibri" w:hAnsi="Times New Roman" w:cs="Times New Roman"/>
          <w:bCs/>
          <w:noProof/>
          <w:sz w:val="24"/>
          <w:szCs w:val="24"/>
          <w:lang w:val="es-ES_tradnl"/>
        </w:rPr>
      </w:pPr>
      <w:r>
        <w:rPr>
          <w:rFonts w:ascii="Times New Roman" w:hAnsi="Times New Roman"/>
          <w:noProof/>
          <w:sz w:val="24"/>
          <w:lang w:val="es-ES_tradnl"/>
        </w:rPr>
        <w:t>El rápido y eficiente intercambio de información entre las autoridades competentes de los Estados miembros en relación con los registros de antecedentes penales es importante si se quiere evitar que los órganos jurisdiccionales nacionales impongan condenas únicamente a la vista de las condenas inscritas en los registros de antecedentes penales nacionales, sin conocimiento de las condenas pronunciadas en otros Estados miembros, de manera que los delincuentes escapen a su pasado desplazándose a otros Estados miembros. La Decisión Marco 2008/675/JAI</w:t>
      </w:r>
      <w:r>
        <w:rPr>
          <w:rStyle w:val="FootnoteReference"/>
          <w:noProof/>
        </w:rPr>
        <w:footnoteReference w:id="3"/>
      </w:r>
      <w:r>
        <w:rPr>
          <w:rFonts w:ascii="Times New Roman" w:hAnsi="Times New Roman"/>
          <w:noProof/>
          <w:sz w:val="24"/>
          <w:lang w:val="es-ES_tradnl"/>
        </w:rPr>
        <w:t xml:space="preserve"> obliga a los Estados miembros a garantizar que se tienen en cuenta las condenas anteriores durante la tramitación de los procedimientos penales.</w:t>
      </w:r>
    </w:p>
    <w:p>
      <w:pPr>
        <w:spacing w:before="120" w:after="120" w:line="240" w:lineRule="auto"/>
        <w:jc w:val="both"/>
        <w:rPr>
          <w:rFonts w:ascii="Times New Roman" w:eastAsia="Calibri" w:hAnsi="Times New Roman" w:cs="Times New Roman"/>
          <w:bCs/>
          <w:noProof/>
          <w:sz w:val="24"/>
          <w:szCs w:val="24"/>
          <w:lang w:val="es-ES_tradnl"/>
        </w:rPr>
      </w:pPr>
      <w:r>
        <w:rPr>
          <w:rFonts w:ascii="Times New Roman" w:hAnsi="Times New Roman"/>
          <w:noProof/>
          <w:sz w:val="24"/>
          <w:lang w:val="es-ES_tradnl"/>
        </w:rPr>
        <w:t>La Decisión Marco 2009/315/JAI del Consejo relativa a la organización y al contenido del intercambio de información de los registros de antecedentes penales entre los Estados miembros</w:t>
      </w:r>
      <w:r>
        <w:rPr>
          <w:rStyle w:val="FootnoteReference"/>
          <w:noProof/>
        </w:rPr>
        <w:footnoteReference w:id="4"/>
      </w:r>
      <w:r>
        <w:rPr>
          <w:rFonts w:ascii="Times New Roman" w:hAnsi="Times New Roman"/>
          <w:noProof/>
          <w:sz w:val="24"/>
          <w:lang w:val="es-ES_tradnl"/>
        </w:rPr>
        <w:t xml:space="preserve"> (en lo sucesivo la «Decisión Marco») pretende abordar estas deficiencias estableciendo que cualquier información acerca de las condenas anteriores por un órgano jurisdiccional penal en la UE de un ciudadano de la UE esté disponible para todos los órganos jurisdiccionales de los Estados miembros y las autoridades policiales y judiciales en las fases previas al juicio y durante la fase procesal propiamente dicha y en el momento de la ejecución de la condena. Al imponer una serie de obligaciones al Estado miembro en el que se ha dictado la sentencia condenatoria y al Estado miembro de nacionalidad del condenado, la Decisión Marco garantiza que cada Estado miembro facilite información completa y exhaustiva en relación con los registros de antecedentes penales de sus nacionales a petición de otro Estado miembro. La Decisión Marco se basa en el principio de que cada Estado miembro conserva todas las resoluciones penales condenatorias dictadas contra sus nacionales, incluidas las dictadas en otros Estados miembros. El intercambio de información se realiza de forma descentralizada entre las autoridades centrales designadas por los Estados miembros a efectos de un procedimiento penal o para otros fines de conformidad con la legislación nacional. Esto contribuye a la aplicación del principio de reconocimiento mutuo de las resoluciones judiciales en materia penal y permite también a las autoridades nacionales obtener información sobre antecedentes penales que pueda ser pertinente para determinadas actividades (por ejemplo, en relación con quienes trabajan con menores).</w:t>
      </w:r>
    </w:p>
    <w:p>
      <w:pPr>
        <w:spacing w:before="120" w:after="120" w:line="240" w:lineRule="auto"/>
        <w:jc w:val="both"/>
        <w:rPr>
          <w:rFonts w:ascii="Times New Roman" w:eastAsia="Calibri" w:hAnsi="Times New Roman" w:cs="Times New Roman"/>
          <w:bCs/>
          <w:i/>
          <w:noProof/>
          <w:sz w:val="24"/>
          <w:szCs w:val="24"/>
          <w:lang w:val="es-ES_tradnl"/>
        </w:rPr>
      </w:pPr>
      <w:r>
        <w:rPr>
          <w:rFonts w:ascii="Times New Roman" w:hAnsi="Times New Roman"/>
          <w:noProof/>
          <w:sz w:val="24"/>
          <w:lang w:val="es-ES_tradnl"/>
        </w:rPr>
        <w:t>La Decisión Marco establece una base para un sistema informatizado que permita agilizar y simplificar la transmisión de información sobre condenas penales. El Sistema Europeo de Información de Antecedentes Penales (ECRIS) se creó mediante Decisión del Consejo 2009/316/JAI</w:t>
      </w:r>
      <w:r>
        <w:rPr>
          <w:rStyle w:val="FootnoteReference"/>
          <w:noProof/>
        </w:rPr>
        <w:footnoteReference w:id="5"/>
      </w:r>
      <w:r>
        <w:rPr>
          <w:rFonts w:ascii="Times New Roman" w:hAnsi="Times New Roman"/>
          <w:noProof/>
          <w:sz w:val="24"/>
          <w:lang w:val="es-ES_tradnl"/>
        </w:rPr>
        <w:t xml:space="preserve"> y funciona desde abril de 2012. En la actualidad, 25 Estados miembros intercambian información a través de ECRIS. El volumen anual de intercambio ha llegado a más de 1,8 millones de mensajes (incluidas notificaciones, solicitudes y respuestas a solicitudes) a finales de </w:t>
      </w:r>
      <w:r>
        <w:rPr>
          <w:rFonts w:ascii="Times New Roman" w:hAnsi="Times New Roman" w:cs="Times New Roman"/>
          <w:noProof/>
          <w:sz w:val="24"/>
          <w:szCs w:val="24"/>
          <w:lang w:val="es-ES_tradnl"/>
        </w:rPr>
        <w:t>2015. Por término medio, se realizan cada mes más de 24 000 solicitudes y más de un 30 % reciben una «respuesta positiva»</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lang w:val="es-ES_tradnl"/>
        </w:rPr>
        <w:t>.</w:t>
      </w:r>
    </w:p>
    <w:p>
      <w:pPr>
        <w:keepNext/>
        <w:spacing w:before="360" w:after="120" w:line="240" w:lineRule="auto"/>
        <w:jc w:val="both"/>
        <w:outlineLvl w:val="0"/>
        <w:rPr>
          <w:rFonts w:ascii="Times New Roman" w:eastAsia="Times New Roman" w:hAnsi="Times New Roman" w:cs="Times New Roman"/>
          <w:b/>
          <w:bCs/>
          <w:smallCaps/>
          <w:noProof/>
          <w:sz w:val="24"/>
          <w:szCs w:val="32"/>
          <w:lang w:val="es-ES_tradnl"/>
        </w:rPr>
      </w:pPr>
      <w:bookmarkStart w:id="2" w:name="_Toc379977053"/>
      <w:r>
        <w:rPr>
          <w:rFonts w:ascii="Times New Roman" w:hAnsi="Times New Roman"/>
          <w:b/>
          <w:smallCaps/>
          <w:noProof/>
          <w:sz w:val="24"/>
          <w:lang w:val="es-ES_tradnl"/>
        </w:rPr>
        <w:t>Evaluación de la aplicación</w:t>
      </w:r>
      <w:bookmarkEnd w:id="2"/>
    </w:p>
    <w:p>
      <w:pPr>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De conformidad con el artículo 13 de la Directiva Marco, la Comisión ha recibido notificaciones sobre las normas nacionales de transposición de 22 Estados miembros</w:t>
      </w:r>
      <w:r>
        <w:rPr>
          <w:rStyle w:val="FootnoteReference"/>
          <w:noProof/>
        </w:rPr>
        <w:footnoteReference w:id="7"/>
      </w:r>
      <w:r>
        <w:rPr>
          <w:rFonts w:ascii="Times New Roman" w:hAnsi="Times New Roman"/>
          <w:noProof/>
          <w:sz w:val="24"/>
          <w:lang w:val="es-ES_tradnl"/>
        </w:rPr>
        <w:t>: AT, BE</w:t>
      </w:r>
      <w:r>
        <w:rPr>
          <w:rStyle w:val="FootnoteReference"/>
          <w:noProof/>
        </w:rPr>
        <w:footnoteReference w:id="8"/>
      </w:r>
      <w:r>
        <w:rPr>
          <w:rFonts w:ascii="Times New Roman" w:hAnsi="Times New Roman"/>
          <w:noProof/>
          <w:sz w:val="24"/>
          <w:lang w:val="es-ES_tradnl"/>
        </w:rPr>
        <w:t>, BG, CY, CZ, DE, EE, ES, FI, FR, HR, HU, LT, LU, LV, NL, PL, PT, SE, SI, SK y UK. El presente informe se basa en las disposiciones de transposición de dichos Estados miembros.</w:t>
      </w:r>
    </w:p>
    <w:p>
      <w:pPr>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Seis Estados miembros (DK, EL, IE, IT, MT y RO) todavía no han comunicado las medidas de transposición de las obligaciones derivadas de la Decisión Marco, pero cinco de ellos (DK, EL, IE, IT y RO) han intercambiado información sobre antecedentes penales a través del sistema ECRIS.</w:t>
      </w:r>
    </w:p>
    <w:p>
      <w:pPr>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Los Estados miembros han adoptado diferentes enfoques para la transposición de la Decisión Marco en su legislación nacional. AT, BG, CZ, DE, FR, HU, SE y SK han modificado diversas normas nacionales; EE, NL, PL y PT han modificado su legislación nacional de registros de antecedentes penales. Además de estas modificaciones, FI y BE adoptaron o propusieron normas de ejecución separadas. ES y LU sólo adoptaron una norma de ejecución separada. HR, LT y LV han adoptado nueva legislación que regula los aspectos relativos a los registros de antecedentes penales en general y algunas normas secundarias específicas. Dos Estados miembros han adoptado nueva legislación con un alcance más amplio (SI: una ley sobre cooperación internacional en materia penal; UK: una ley sobre Derecho penal y protección de datos). En CY, el texto de la Decisión Marco se incorporó directamente en la legislación nacional.</w:t>
      </w:r>
    </w:p>
    <w:p>
      <w:pPr>
        <w:keepNext/>
        <w:spacing w:before="120" w:after="120" w:line="240" w:lineRule="auto"/>
        <w:jc w:val="both"/>
        <w:outlineLvl w:val="2"/>
        <w:rPr>
          <w:rFonts w:ascii="Times New Roman" w:eastAsia="Times New Roman" w:hAnsi="Times New Roman" w:cs="Times New Roman"/>
          <w:b/>
          <w:bCs/>
          <w:noProof/>
          <w:sz w:val="24"/>
          <w:szCs w:val="26"/>
          <w:lang w:val="es-ES_tradnl"/>
        </w:rPr>
      </w:pPr>
      <w:bookmarkStart w:id="3" w:name="_Toc379977056"/>
      <w:bookmarkStart w:id="4" w:name="DQCErrorScopeED36BB807D0E4F218EC915DEBFB"/>
      <w:r>
        <w:rPr>
          <w:rFonts w:ascii="Times New Roman" w:hAnsi="Times New Roman"/>
          <w:b/>
          <w:noProof/>
          <w:sz w:val="24"/>
          <w:lang w:val="es-ES_tradnl"/>
        </w:rPr>
        <w:t xml:space="preserve">1. </w:t>
      </w:r>
      <w:r>
        <w:rPr>
          <w:noProof/>
          <w:lang w:val="es-ES_tradnl"/>
        </w:rPr>
        <w:tab/>
      </w:r>
      <w:r>
        <w:rPr>
          <w:rFonts w:ascii="Times New Roman" w:hAnsi="Times New Roman"/>
          <w:b/>
          <w:noProof/>
          <w:sz w:val="24"/>
          <w:lang w:val="es-ES_tradnl"/>
        </w:rPr>
        <w:t xml:space="preserve">Definición de </w:t>
      </w:r>
      <w:r>
        <w:rPr>
          <w:rFonts w:ascii="Times New Roman" w:hAnsi="Times New Roman"/>
          <w:b/>
          <w:i/>
          <w:noProof/>
          <w:sz w:val="24"/>
          <w:lang w:val="es-ES_tradnl"/>
        </w:rPr>
        <w:t>condena</w:t>
      </w:r>
      <w:bookmarkEnd w:id="3"/>
    </w:p>
    <w:bookmarkEnd w:id="4"/>
    <w:p>
      <w:pPr>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La definición de </w:t>
      </w:r>
      <w:r>
        <w:rPr>
          <w:rFonts w:ascii="Times New Roman" w:hAnsi="Times New Roman"/>
          <w:i/>
          <w:noProof/>
          <w:sz w:val="24"/>
          <w:lang w:val="es-ES_tradnl"/>
        </w:rPr>
        <w:t>condena</w:t>
      </w:r>
      <w:r>
        <w:rPr>
          <w:rFonts w:ascii="Times New Roman" w:hAnsi="Times New Roman"/>
          <w:noProof/>
          <w:sz w:val="24"/>
          <w:lang w:val="es-ES_tradnl"/>
        </w:rPr>
        <w:t xml:space="preserve"> recogida en el artículo 2, letra a), de la Decisión Marco abarca tan sólo las resoluciones definitivas de un órgano jurisdiccional penal por las que se dicta la culpabilidad de una persona por una infracción penal siempre que dichas resoluciones se inscriban en el registro de antecedentes penales del Estado miembro de condena. El «registro de antecedentes penales» es el registro nacional en el que se inscriben estas condenas; los Estados miembros pueden contar con varios registros y podrán acordar de forma bilateral o multilateral, de conformidad con el artículo 12, apartado 5, de la Decisión Marco, el intercambio de un ámbito de información mayor.</w:t>
      </w:r>
    </w:p>
    <w:p>
      <w:pPr>
        <w:tabs>
          <w:tab w:val="right" w:leader="dot" w:pos="9071"/>
        </w:tabs>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Algunos Estados miembros (AT, CY, CZ, FI, PL, PT, SK y UK) adoptaron la definición prevista en la Decisión Marco. En el caso de BG y HU, esto puede deducirse del contexto general de la normativa. En un número considerable de Estados miembros (BE, DE, EE, HR, LU, NL, SE y SI), el término </w:t>
      </w:r>
      <w:r>
        <w:rPr>
          <w:rFonts w:ascii="Times New Roman" w:hAnsi="Times New Roman"/>
          <w:i/>
          <w:noProof/>
          <w:sz w:val="24"/>
          <w:lang w:val="es-ES_tradnl"/>
        </w:rPr>
        <w:t>condena</w:t>
      </w:r>
      <w:r>
        <w:rPr>
          <w:rFonts w:ascii="Times New Roman" w:hAnsi="Times New Roman"/>
          <w:noProof/>
          <w:sz w:val="24"/>
          <w:lang w:val="es-ES_tradnl"/>
        </w:rPr>
        <w:t xml:space="preserve"> parece ir más allá de las resoluciones dictadas únicamente por los órganos jurisdiccionales penales. Por ejemplo, NL intercambiará también resoluciones adoptadas por un fiscal y, en algunos casos, datos sobre investigaciones judiciales o asuntos en curso. Varios Estados miembros (ES, FR, LT y LV) no establecieron una definición clara de lo que consideran </w:t>
      </w:r>
      <w:r>
        <w:rPr>
          <w:rFonts w:ascii="Times New Roman" w:hAnsi="Times New Roman"/>
          <w:i/>
          <w:noProof/>
          <w:sz w:val="24"/>
          <w:lang w:val="es-ES_tradnl"/>
        </w:rPr>
        <w:t>condena</w:t>
      </w:r>
      <w:r>
        <w:rPr>
          <w:rFonts w:ascii="Times New Roman" w:hAnsi="Times New Roman"/>
          <w:noProof/>
          <w:sz w:val="24"/>
          <w:lang w:val="es-ES_tradnl"/>
        </w:rPr>
        <w:t xml:space="preserve"> a efectos de la Decisión Marco.</w:t>
      </w:r>
    </w:p>
    <w:p>
      <w:pPr>
        <w:keepNext/>
        <w:spacing w:before="120" w:after="120" w:line="240" w:lineRule="auto"/>
        <w:jc w:val="both"/>
        <w:outlineLvl w:val="2"/>
        <w:rPr>
          <w:rFonts w:ascii="Times New Roman" w:eastAsia="Times New Roman" w:hAnsi="Times New Roman" w:cs="Times New Roman"/>
          <w:b/>
          <w:bCs/>
          <w:noProof/>
          <w:sz w:val="24"/>
          <w:szCs w:val="26"/>
          <w:lang w:val="es-ES_tradnl"/>
        </w:rPr>
      </w:pPr>
      <w:r>
        <w:rPr>
          <w:rFonts w:ascii="Times New Roman" w:hAnsi="Times New Roman"/>
          <w:b/>
          <w:noProof/>
          <w:sz w:val="24"/>
          <w:lang w:val="es-ES_tradnl"/>
        </w:rPr>
        <w:t xml:space="preserve">2. </w:t>
      </w:r>
      <w:r>
        <w:rPr>
          <w:noProof/>
          <w:lang w:val="es-ES_tradnl"/>
        </w:rPr>
        <w:tab/>
      </w:r>
      <w:r>
        <w:rPr>
          <w:rFonts w:ascii="Times New Roman" w:hAnsi="Times New Roman"/>
          <w:b/>
          <w:noProof/>
          <w:sz w:val="24"/>
          <w:lang w:val="es-ES_tradnl"/>
        </w:rPr>
        <w:t>Autoridades centrales</w:t>
      </w:r>
    </w:p>
    <w:p>
      <w:pPr>
        <w:tabs>
          <w:tab w:val="right" w:leader="dot" w:pos="9071"/>
        </w:tabs>
        <w:spacing w:before="120" w:after="120" w:line="240" w:lineRule="auto"/>
        <w:jc w:val="both"/>
        <w:rPr>
          <w:rFonts w:ascii="Times New Roman" w:eastAsia="Times New Roman" w:hAnsi="Times New Roman" w:cs="Times New Roman"/>
          <w:bCs/>
          <w:noProof/>
          <w:sz w:val="24"/>
          <w:szCs w:val="26"/>
          <w:lang w:val="es-ES_tradnl"/>
        </w:rPr>
      </w:pPr>
      <w:r>
        <w:rPr>
          <w:rFonts w:ascii="Times New Roman" w:hAnsi="Times New Roman"/>
          <w:noProof/>
          <w:sz w:val="24"/>
          <w:lang w:val="es-ES_tradnl"/>
        </w:rPr>
        <w:t>En 17 Estados miembros (BE, BG, CZ, DE, EE, EL, ES, FI, FR, HR, IT, LU, NL, PL, PT, SI y SK), los registros de antecedentes penales son responsabilidad del Ministerio de Justicia y en 11 (AT, CY, DK, HU, IE, LT, LV, MT, RO, SE y UK), del Ministerio del Interior. En los ministerios de Justicia, la mayoría de los Estados miembros asignaron sus registros de antecedentes penales a las oficinas de las autoridades centrales a los efectos de la Decisión Marco; LU y SK lo asignaron a la Fiscalía General. En los ministerios del Interior, los Estados miembros los asignaron a los servicios competentes de policía. De conformidad con el artículo 3, apartado 1, de la Decisión Marco, dos Estados miembros designaron a más una autoridad central a nivel nacional: cuatro en el caso de CY y dos en el caso de CZ</w:t>
      </w:r>
      <w:r>
        <w:rPr>
          <w:noProof/>
          <w:vertAlign w:val="superscript"/>
        </w:rPr>
        <w:footnoteReference w:id="9"/>
      </w:r>
      <w:r>
        <w:rPr>
          <w:rFonts w:ascii="Times New Roman" w:hAnsi="Times New Roman"/>
          <w:noProof/>
          <w:sz w:val="24"/>
          <w:lang w:val="es-ES_tradnl"/>
        </w:rPr>
        <w:t>.</w:t>
      </w:r>
    </w:p>
    <w:p>
      <w:pPr>
        <w:keepNext/>
        <w:spacing w:before="120" w:after="120" w:line="240" w:lineRule="auto"/>
        <w:jc w:val="both"/>
        <w:outlineLvl w:val="2"/>
        <w:rPr>
          <w:rFonts w:ascii="Times New Roman" w:eastAsia="Times New Roman" w:hAnsi="Times New Roman" w:cs="Times New Roman"/>
          <w:b/>
          <w:bCs/>
          <w:noProof/>
          <w:sz w:val="24"/>
          <w:szCs w:val="26"/>
          <w:lang w:val="es-ES_tradnl"/>
        </w:rPr>
      </w:pPr>
      <w:r>
        <w:rPr>
          <w:rFonts w:ascii="Times New Roman" w:hAnsi="Times New Roman"/>
          <w:b/>
          <w:noProof/>
          <w:sz w:val="24"/>
          <w:lang w:val="es-ES_tradnl"/>
        </w:rPr>
        <w:t xml:space="preserve">3. </w:t>
      </w:r>
      <w:r>
        <w:rPr>
          <w:noProof/>
          <w:lang w:val="es-ES_tradnl"/>
        </w:rPr>
        <w:tab/>
      </w:r>
      <w:r>
        <w:rPr>
          <w:rFonts w:ascii="Times New Roman" w:hAnsi="Times New Roman"/>
          <w:b/>
          <w:noProof/>
          <w:sz w:val="24"/>
          <w:lang w:val="es-ES_tradnl"/>
        </w:rPr>
        <w:t>Obligaciones</w:t>
      </w:r>
      <w:bookmarkStart w:id="5" w:name="DQCErrorScope863613D9E0BB4FB5BC2F58FBAEE"/>
      <w:r>
        <w:rPr>
          <w:rFonts w:ascii="Times New Roman" w:hAnsi="Times New Roman"/>
          <w:b/>
          <w:noProof/>
          <w:sz w:val="24"/>
          <w:lang w:val="es-ES_tradnl"/>
        </w:rPr>
        <w:t xml:space="preserve"> del Estado miembro de condena</w:t>
      </w:r>
    </w:p>
    <w:p>
      <w:pPr>
        <w:keepNext/>
        <w:spacing w:before="120" w:after="120" w:line="240" w:lineRule="auto"/>
        <w:ind w:left="130" w:firstLine="720"/>
        <w:jc w:val="both"/>
        <w:outlineLvl w:val="2"/>
        <w:rPr>
          <w:rFonts w:ascii="Times New Roman" w:eastAsia="Times New Roman" w:hAnsi="Times New Roman" w:cs="Times New Roman"/>
          <w:b/>
          <w:noProof/>
          <w:sz w:val="24"/>
          <w:szCs w:val="24"/>
          <w:lang w:val="es-ES_tradnl"/>
        </w:rPr>
      </w:pPr>
      <w:r>
        <w:rPr>
          <w:rFonts w:ascii="Times New Roman" w:hAnsi="Times New Roman"/>
          <w:b/>
          <w:noProof/>
          <w:sz w:val="24"/>
          <w:lang w:val="es-ES_tradnl"/>
        </w:rPr>
        <w:t xml:space="preserve">3.1. </w:t>
      </w:r>
      <w:r>
        <w:rPr>
          <w:noProof/>
          <w:lang w:val="es-ES_tradnl"/>
        </w:rPr>
        <w:tab/>
      </w:r>
      <w:r>
        <w:rPr>
          <w:rFonts w:ascii="Times New Roman" w:hAnsi="Times New Roman"/>
          <w:b/>
          <w:noProof/>
          <w:sz w:val="24"/>
          <w:lang w:val="es-ES_tradnl"/>
        </w:rPr>
        <w:t>El registro de información sobre la nacionalidad de la persona condenada</w:t>
      </w:r>
    </w:p>
    <w:p>
      <w:pPr>
        <w:tabs>
          <w:tab w:val="right" w:leader="dot" w:pos="9071"/>
        </w:tabs>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El artículo 4, apartado 1, de la Decisión Marco exige a cada Estado miembro que garantice que todas las condenas de los nacionales de otro Estado miembro vayan acompañadas de información sobre la nacionalidad o nacionalidades de la persona condenada en el momento de su transmisión a su registro de antecedentes penales. De lo contrario, el Estado miembro de condena no podría transmitir información al Estado miembro del que es nacional la persona, y no funcionaría el principio de centralización de la información en un solo lugar.</w:t>
      </w:r>
    </w:p>
    <w:p>
      <w:pPr>
        <w:tabs>
          <w:tab w:val="right" w:leader="dot" w:pos="9071"/>
        </w:tabs>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Casi todos los Estados miembros (AT, BE, BG, CY, DE, EE, ES, FI, FR, HR, HU, LT, LU, LV, NL, PL, PT, SI, SK y UK) incluyen una referencia directa a la nacionalidad en sus registros nacionales de antecedentes penales mediante la inscripción de la «nacionalidad» en la lista de los datos de identificación de la persona condenada inscritos en el registro de antecedentes penales o mediante la introducción de una disposición por la que se creaba explícitamente tal obligación. En el caso de CZ y SE, esta obligación puede deducirse del contexto general de los actos legislativos.</w:t>
      </w:r>
    </w:p>
    <w:p>
      <w:pPr>
        <w:tabs>
          <w:tab w:val="right" w:leader="dot" w:pos="9071"/>
        </w:tabs>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HU, LU y NL también registran información sobre las nacionalidades que se poseían previamente. NL tiene una disposición que garantiza que los datos se transmiten entre los Estados miembros en caso de cambio de nacionalidad por el autor del delito.</w:t>
      </w:r>
    </w:p>
    <w:p>
      <w:pPr>
        <w:keepNext/>
        <w:spacing w:before="120" w:after="120" w:line="240" w:lineRule="auto"/>
        <w:ind w:left="130" w:firstLine="720"/>
        <w:jc w:val="both"/>
        <w:outlineLvl w:val="2"/>
        <w:rPr>
          <w:rFonts w:ascii="Times New Roman" w:eastAsia="Times New Roman" w:hAnsi="Times New Roman" w:cs="Times New Roman"/>
          <w:b/>
          <w:noProof/>
          <w:sz w:val="24"/>
          <w:szCs w:val="24"/>
          <w:lang w:val="es-ES_tradnl"/>
        </w:rPr>
      </w:pPr>
      <w:r>
        <w:rPr>
          <w:rFonts w:ascii="Times New Roman" w:hAnsi="Times New Roman"/>
          <w:b/>
          <w:noProof/>
          <w:sz w:val="24"/>
          <w:lang w:val="es-ES_tradnl"/>
        </w:rPr>
        <w:t xml:space="preserve">3.2. </w:t>
      </w:r>
      <w:r>
        <w:rPr>
          <w:noProof/>
          <w:lang w:val="es-ES_tradnl"/>
        </w:rPr>
        <w:tab/>
      </w:r>
      <w:r>
        <w:rPr>
          <w:rFonts w:ascii="Times New Roman" w:hAnsi="Times New Roman"/>
          <w:b/>
          <w:noProof/>
          <w:sz w:val="24"/>
          <w:lang w:val="es-ES_tradnl"/>
        </w:rPr>
        <w:t>Notificaciones de condenas</w:t>
      </w:r>
    </w:p>
    <w:p>
      <w:pPr>
        <w:tabs>
          <w:tab w:val="right" w:leader="dot" w:pos="9071"/>
        </w:tabs>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La Decisión Marco obliga al Estado miembro de condena a enviar información sobre las condenas pronunciadas en su territorio («notificaciones») lo antes posible al Estado miembro de nacionalidad del autor del delito. Si la persona tiene varias nacionalidades, la notificación debería enviarse a todos los Estados miembros en cuestión, incluso si el condenado también posee la nacionalidad del Estado miembro de condena.</w:t>
      </w:r>
    </w:p>
    <w:p>
      <w:pPr>
        <w:tabs>
          <w:tab w:val="right" w:leader="dot" w:pos="9071"/>
        </w:tabs>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Casi todo los Estados miembros (AT, BE, BG, CY, CZ, EE, ES, FI, FR, HR, HU, LT, LU, LV, NL, PL, PT, SE, SI, SK y UK) han transpuesto enteramente la obligación de notificación. Aunque la mayor parte prescribieron que la notificación debe enviarse «inmediatamente», «sin demora», «tan pronto como sea posible» o «cuando se inscriba en el registro de antecedentes penales», tres introdujeron un plazo concreto para la transmisión. Este plazo va desde «el primer día hábil siguiente a más tardar» (LT), pasando por los diez días (CZ) hasta los dos meses después de la fecha de inscripción de la información en los registros de antecedentes penales (ES). DE y PT no parecen haber establecido en su legislación nacional en qué momento deben enviarse esas notificaciones; en la práctica, sin embargo, DE cumple la obligación prevista en el artículo 4, apartado 2, de la Decisión Marco. </w:t>
      </w:r>
    </w:p>
    <w:p>
      <w:pPr>
        <w:tabs>
          <w:tab w:val="right" w:leader="dot" w:pos="9071"/>
        </w:tabs>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De conformidad con el artículo 11, apartado 1, de la Decisión Marco, el Estado miembro de condena debe incluir en su notificación al Estado miembro de nacionalidad información «obligatoria» sobre el condenado, la naturaleza de la condena, el delito que dio lugar a la condena y el contenido de la misma. Asimismo, debe transmitir la información «facultativa», si es que consta en el registro de antecedentes penales e «información adicional», si la autoridad central dispone de ella. Aunque la gran mayoría de los Estados miembros (AT, BE, BG, CY, DE, EE, ES, FR, HR, HU, LT, LU, NL, PL, PT, SI, SK y UK) registran y transmiten toda la información obligatoria, en cuatro casos (CZ, FI, LV y SE) las disposiciones de aplicación son más generales o incluyen algunas condiciones </w:t>
      </w:r>
      <w:r>
        <w:rPr>
          <w:rFonts w:ascii="Times New Roman" w:hAnsi="Times New Roman" w:cs="Times New Roman"/>
          <w:noProof/>
          <w:sz w:val="24"/>
          <w:szCs w:val="24"/>
          <w:lang w:val="es-ES_tradnl"/>
        </w:rPr>
        <w:t>específicas. Por ejemplo, FI incluye «fecha, lugar y país de nacimiento» solo en ausencia de un «código de identificación personal» y en LV «la fecha de nacimiento» se incluye únicamente en ausencia de dicho código</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lang w:val="es-ES_tradnl"/>
        </w:rPr>
        <w:t>.</w:t>
      </w:r>
      <w:r>
        <w:rPr>
          <w:rFonts w:ascii="Times New Roman" w:hAnsi="Times New Roman"/>
          <w:noProof/>
          <w:sz w:val="24"/>
          <w:lang w:val="es-ES_tradnl"/>
        </w:rPr>
        <w:t xml:space="preserve"> </w:t>
      </w:r>
    </w:p>
    <w:p>
      <w:pPr>
        <w:tabs>
          <w:tab w:val="right" w:leader="dot" w:pos="9071"/>
        </w:tabs>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Solo algunos Estados miembros han introducido disposiciones legales explícitas que permitan el registro y la transmisión de la información «facultativa» y «adicional».</w:t>
      </w:r>
    </w:p>
    <w:p>
      <w:pPr>
        <w:tabs>
          <w:tab w:val="right" w:leader="dot" w:pos="9071"/>
        </w:tabs>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A fin de garantizar que la información sobre las condenas penales pueda transmitirse al Estado miembro de nacionalidad de la persona condenada tan pronto como sea posible, debe estar disponible rápidamente en el registro de antecedentes penales. A tal fin, más allá de sus obligaciones legales en virtud de la Decisión Marco, algunos Estados miembros (por ejemplo, CZ, DE, EE, LU y LV), establecieron una obligación adicional para que los órganos jurisdiccionales entreguen la información sobre condenas en el registro de antecedentes penales.</w:t>
      </w:r>
    </w:p>
    <w:p>
      <w:pPr>
        <w:keepNext/>
        <w:spacing w:before="120" w:after="120" w:line="240" w:lineRule="auto"/>
        <w:ind w:left="130" w:firstLine="720"/>
        <w:jc w:val="both"/>
        <w:outlineLvl w:val="2"/>
        <w:rPr>
          <w:rFonts w:ascii="Times New Roman" w:eastAsia="Times New Roman" w:hAnsi="Times New Roman" w:cs="Times New Roman"/>
          <w:b/>
          <w:noProof/>
          <w:sz w:val="24"/>
          <w:szCs w:val="24"/>
          <w:lang w:val="es-ES_tradnl"/>
        </w:rPr>
      </w:pPr>
      <w:r>
        <w:rPr>
          <w:rFonts w:ascii="Times New Roman" w:hAnsi="Times New Roman"/>
          <w:b/>
          <w:noProof/>
          <w:sz w:val="24"/>
          <w:lang w:val="es-ES_tradnl"/>
        </w:rPr>
        <w:t xml:space="preserve">3.3. </w:t>
      </w:r>
      <w:r>
        <w:rPr>
          <w:noProof/>
          <w:lang w:val="es-ES_tradnl"/>
        </w:rPr>
        <w:tab/>
      </w:r>
      <w:r>
        <w:rPr>
          <w:rFonts w:ascii="Times New Roman" w:hAnsi="Times New Roman"/>
          <w:b/>
          <w:noProof/>
          <w:sz w:val="24"/>
          <w:lang w:val="es-ES_tradnl"/>
        </w:rPr>
        <w:t>Actualizaciones</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Para garantizar que la información sea exhaustiva y actualizada, el artículo 4, apartado 3, de la Decisión Marco obliga al Estado miembro de condena a notificar inmediatamente al Estado miembro de nacionalidad del condenado cualquier revisión o supresión posterior de información en las notificaciones anteriores. Casi todos los Estados miembros (AT, BE, BG, CY, DE, EE, ES, FI, FR, HR, HU, LT, LU, LV, PL, PT, SE, SI, SK y UK) han aplicado esta disposición, refiriéndose explícitamente a la transmisión de actualizaciones. En el caso de CZ, la obligación puede deducirse del contexto. NL ha incluido una disposición relativa a la corrección y supresión de «datos inexactos» en notificaciones anteriores.</w:t>
      </w:r>
    </w:p>
    <w:p>
      <w:pPr>
        <w:keepNext/>
        <w:spacing w:before="120" w:after="120" w:line="240" w:lineRule="auto"/>
        <w:ind w:left="130" w:firstLine="720"/>
        <w:jc w:val="both"/>
        <w:outlineLvl w:val="2"/>
        <w:rPr>
          <w:rFonts w:ascii="Times New Roman" w:eastAsia="Times New Roman" w:hAnsi="Times New Roman" w:cs="Times New Roman"/>
          <w:noProof/>
          <w:sz w:val="24"/>
          <w:szCs w:val="24"/>
          <w:lang w:val="es-ES_tradnl"/>
        </w:rPr>
      </w:pPr>
      <w:r>
        <w:rPr>
          <w:rFonts w:ascii="Times New Roman" w:hAnsi="Times New Roman"/>
          <w:b/>
          <w:noProof/>
          <w:sz w:val="24"/>
          <w:lang w:val="es-ES_tradnl"/>
        </w:rPr>
        <w:t xml:space="preserve">3.4. </w:t>
      </w:r>
      <w:r>
        <w:rPr>
          <w:noProof/>
          <w:lang w:val="es-ES_tradnl"/>
        </w:rPr>
        <w:tab/>
      </w:r>
      <w:r>
        <w:rPr>
          <w:rFonts w:ascii="Times New Roman" w:hAnsi="Times New Roman"/>
          <w:b/>
          <w:noProof/>
          <w:sz w:val="24"/>
          <w:lang w:val="es-ES_tradnl"/>
        </w:rPr>
        <w:t>Transmisión de información adicional</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A petición del Estado miembro de nacionalidad y, en casos particulares, el Estado miembro de condena tienen la obligación de proporcionar una copia de las condenas y medidas subsiguientes, así como cualquier otra información relevante. Los Estados miembros podrán designar a otra autoridad central para la transmisión de dicha información. </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La mayoría de los Estados miembros (AT, BE, BG, CY, CZ, FI, HR, LT, LU, LV, NL, SI, SK y UK) ya han transpuesto en su totalidad el artículo 4, apartado 4, de la Decisión Marco. Al parecer, BG envía copias de las resoluciones judiciales que no han sido solicitadas en casos individuales, ya que lo hace de manera automática para todas las notificaciones. En muchos Estados miembros, las copias de las resoluciones no están directamente a disposición de las autoridades centrales o en los registros de antecedentes penales. Algunos Estados miembros (CZ, LT, LV y SK), por lo tanto, imponen una obligación explícita a sus órganos jurisdiccionales o a las autoridades competentes del Estado de proporcionar a la autoridad central la información solicitada. AT reenvía tales peticiones a sus tribunales para nuevas medidas. CZ y CY nombró a unas autoridades centrales que tienen acceso directo a las copias de las resoluciones judiciales para tratar las solicitudes previstas en el artículo 4, apartado 4. PT no hace referencia explícita a la obligación de responder a tales solicitudes, pero su autoridad central podrá solicitar copias de las resoluciones judiciales de los órganos jurisdiccionales que han dictado la condena con el fin de responder a las solicitudes procedentes de otros Estados miembros.</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Un número considerable de Estados miembros (DE, EE, ES, FR, HU, PL y SE) no han adoptado las disposiciones pertinentes. FR y PL informaron a la Comisión de que transmiten dicha información a través de los canales del Convenio relativo a la asistencia judicial en materia penal entre los Estados miembros de la Unión Europea</w:t>
      </w:r>
      <w:r>
        <w:rPr>
          <w:rStyle w:val="FootnoteReference"/>
          <w:rFonts w:ascii="Times New Roman" w:hAnsi="Times New Roman"/>
          <w:noProof/>
          <w:sz w:val="24"/>
        </w:rPr>
        <w:footnoteReference w:id="11"/>
      </w:r>
      <w:r>
        <w:rPr>
          <w:rFonts w:ascii="Times New Roman" w:hAnsi="Times New Roman"/>
          <w:noProof/>
          <w:sz w:val="24"/>
          <w:lang w:val="es-ES_tradnl"/>
        </w:rPr>
        <w:t>, ya que sus autoridades centrales no tienen acceso directo a las copias de las resoluciones judiciales.</w:t>
      </w:r>
    </w:p>
    <w:p>
      <w:pPr>
        <w:keepNext/>
        <w:spacing w:before="120" w:after="120" w:line="240" w:lineRule="auto"/>
        <w:jc w:val="both"/>
        <w:outlineLvl w:val="2"/>
        <w:rPr>
          <w:rFonts w:ascii="Times New Roman" w:eastAsia="Times New Roman" w:hAnsi="Times New Roman" w:cs="Times New Roman"/>
          <w:b/>
          <w:bCs/>
          <w:noProof/>
          <w:sz w:val="24"/>
          <w:szCs w:val="26"/>
          <w:lang w:val="es-ES_tradnl"/>
        </w:rPr>
      </w:pPr>
      <w:r>
        <w:rPr>
          <w:rFonts w:ascii="Times New Roman" w:hAnsi="Times New Roman"/>
          <w:b/>
          <w:noProof/>
          <w:sz w:val="24"/>
          <w:lang w:val="es-ES_tradnl"/>
        </w:rPr>
        <w:t xml:space="preserve">4. </w:t>
      </w:r>
      <w:r>
        <w:rPr>
          <w:noProof/>
          <w:lang w:val="es-ES_tradnl"/>
        </w:rPr>
        <w:tab/>
      </w:r>
      <w:r>
        <w:rPr>
          <w:rFonts w:ascii="Times New Roman" w:hAnsi="Times New Roman"/>
          <w:b/>
          <w:noProof/>
          <w:sz w:val="24"/>
          <w:lang w:val="es-ES_tradnl"/>
        </w:rPr>
        <w:t>Obligaciones del Estado miembro de nacionalidad</w:t>
      </w:r>
    </w:p>
    <w:p>
      <w:pPr>
        <w:keepNext/>
        <w:spacing w:before="120" w:after="120" w:line="240" w:lineRule="auto"/>
        <w:ind w:left="130" w:firstLine="720"/>
        <w:jc w:val="both"/>
        <w:outlineLvl w:val="2"/>
        <w:rPr>
          <w:rFonts w:ascii="Times New Roman" w:eastAsia="Times New Roman" w:hAnsi="Times New Roman" w:cs="Times New Roman"/>
          <w:b/>
          <w:noProof/>
          <w:sz w:val="24"/>
          <w:szCs w:val="24"/>
          <w:lang w:val="es-ES_tradnl"/>
        </w:rPr>
      </w:pPr>
      <w:r>
        <w:rPr>
          <w:rFonts w:ascii="Times New Roman" w:hAnsi="Times New Roman"/>
          <w:b/>
          <w:noProof/>
          <w:sz w:val="24"/>
          <w:lang w:val="es-ES_tradnl"/>
        </w:rPr>
        <w:t xml:space="preserve">4.1. </w:t>
      </w:r>
      <w:r>
        <w:rPr>
          <w:noProof/>
          <w:lang w:val="es-ES_tradnl"/>
        </w:rPr>
        <w:tab/>
      </w:r>
      <w:r>
        <w:rPr>
          <w:rFonts w:ascii="Times New Roman" w:hAnsi="Times New Roman"/>
          <w:b/>
          <w:noProof/>
          <w:sz w:val="24"/>
          <w:lang w:val="es-ES_tradnl"/>
        </w:rPr>
        <w:t>Conservación de la información a efectos de su transmisión ulterior</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El artículo 5, apartado 1, de la Decisión Marco exige al Estado miembro de nacionalidad del condenado conservar toda la información que se le haya transmitido a efectos de retransmisión, pero deja a cada Estado miembro la facultad de determinar las modalidades de conservación de la información. Como la información sobre las condenas dictadas en los otros Estados miembros se mantiene solo para fines de retransmisión, deben conservarse con independencia de si un determinado delito es punible con arreglo a la ley del Estado miembro de nacionalidad.</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Casi todos los Estados miembros (AT, BE, BG, CZ, CY, DE, EE, ES, FI, FR, HR, HU, LT, LU, LV, NL, PL, PT, SE, SK y UK) han previsto, en su legislación, una disposición específica sobre la obligación de conservación. La mayoría establece que toda la información recibida de otros Estados miembros se conservará en sus registros de antecedentes penales, es decir, independientemente de que el delito sea castigado también en virtud de su legislación. AT, LT y PT recogen esto de forma explícita en sus disposiciones. SI no parece haber incluido una disposición sobre las obligaciones de conservación en su legislación.</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El artículo 11, apartado 2, de la Decisión Marco determina las categorías de los datos transmitidos por el Estado miembro de condena en relación con una persona condenada en el extranjero que deben ser conservados por el Estado miembro de </w:t>
      </w:r>
      <w:r>
        <w:rPr>
          <w:rFonts w:ascii="Times New Roman" w:hAnsi="Times New Roman" w:cs="Times New Roman"/>
          <w:noProof/>
          <w:sz w:val="24"/>
          <w:szCs w:val="24"/>
          <w:lang w:val="es-ES_tradnl"/>
        </w:rPr>
        <w:t>nacionalidad. Aunque la gran mayoría de los Estados miembros (AT, BE, BG, CY, DE, EE, FI, FR, HR, HU, LT, LU, NL, PL, SK y UK) conservan toda la información exigida, tres (CZ, LV y SE) han adoptado disposiciones de aplicación que no precisan qué información debe conservarse, sino que son más generales o incluyen condiciones específicas</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lang w:val="es-ES_tradnl"/>
        </w:rPr>
        <w:t xml:space="preserve">. ES </w:t>
      </w:r>
      <w:r>
        <w:rPr>
          <w:rFonts w:ascii="Times New Roman" w:hAnsi="Times New Roman"/>
          <w:noProof/>
          <w:sz w:val="24"/>
          <w:lang w:val="es-ES_tradnl"/>
        </w:rPr>
        <w:t>y PT no han facilitado listas sobre la información conservada, sino que han establecido una obligación general de conservar toda la información transmitida por los demás Estados miembros.</w:t>
      </w:r>
    </w:p>
    <w:p>
      <w:pPr>
        <w:tabs>
          <w:tab w:val="right" w:leader="dot" w:pos="9071"/>
        </w:tabs>
        <w:spacing w:before="60" w:after="120" w:line="240" w:lineRule="auto"/>
        <w:jc w:val="both"/>
        <w:rPr>
          <w:rFonts w:ascii="Times New Roman" w:eastAsia="Calibri" w:hAnsi="Times New Roman" w:cs="Times New Roman"/>
          <w:noProof/>
          <w:sz w:val="24"/>
          <w:szCs w:val="24"/>
          <w:lang w:val="es-ES_tradnl"/>
        </w:rPr>
      </w:pPr>
      <w:r>
        <w:rPr>
          <w:rFonts w:ascii="Times New Roman" w:hAnsi="Times New Roman"/>
          <w:noProof/>
          <w:sz w:val="24"/>
          <w:lang w:val="es-ES_tradnl"/>
        </w:rPr>
        <w:t>Casi todos los Estados miembros registran la información sobre las condenas extranjeras impuestas a sus ciudadanos recibidas de otros Estados miembros en sus bases de datos de antecedentes penales. Cuatro Estados miembros (BG, FI, HU y PT) han decidido crear registros separados para la conservación de dichas condenas a efectos de su retransmisión. En la gran mayoría, existe una oficina de antecedentes penales con uno o más registros de antecedentes penales. Algunos (por ejemplo, BG) tienen una estructura descentralizada de entidades responsables de conservar los datos.</w:t>
      </w:r>
    </w:p>
    <w:p>
      <w:pPr>
        <w:keepNext/>
        <w:spacing w:before="120" w:after="120" w:line="240" w:lineRule="auto"/>
        <w:ind w:left="130" w:firstLine="720"/>
        <w:jc w:val="both"/>
        <w:outlineLvl w:val="2"/>
        <w:rPr>
          <w:rFonts w:ascii="Times New Roman" w:eastAsia="Times New Roman" w:hAnsi="Times New Roman" w:cs="Times New Roman"/>
          <w:b/>
          <w:noProof/>
          <w:sz w:val="24"/>
          <w:szCs w:val="24"/>
          <w:lang w:val="es-ES_tradnl"/>
        </w:rPr>
      </w:pPr>
      <w:r>
        <w:rPr>
          <w:rFonts w:ascii="Times New Roman" w:hAnsi="Times New Roman"/>
          <w:b/>
          <w:noProof/>
          <w:sz w:val="24"/>
          <w:lang w:val="es-ES_tradnl"/>
        </w:rPr>
        <w:t xml:space="preserve">4.2. </w:t>
      </w:r>
      <w:r>
        <w:rPr>
          <w:noProof/>
          <w:lang w:val="es-ES_tradnl"/>
        </w:rPr>
        <w:tab/>
      </w:r>
      <w:r>
        <w:rPr>
          <w:rFonts w:ascii="Times New Roman" w:hAnsi="Times New Roman"/>
          <w:b/>
          <w:noProof/>
          <w:sz w:val="24"/>
          <w:lang w:val="es-ES_tradnl"/>
        </w:rPr>
        <w:t>Actualización de la información</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De conformidad con el artículo 5, apartados 2 y 3, de la Decisión Marco, cuando el Estado miembro de nacionalidad reciba notificación de cualquier alteración o supresión de la información notificada previamente por el Estado miembro de condena, está obligado a modificar o suprimir la información en consecuencia.</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Sin embargo, ello no debe conducir a que las personas sean tratadas de forma menos favorable que si hubieran sido condenadas por su órgano jurisdiccional nacional. Por ejemplo, si las normas nacionales sobre la conservación y supresión de información hubieran conducido a la supresión de una condena, el Estado miembro de nacionalidad del condenado ya no podría utilizar tal información en procedimientos nacionales. Sin embargo, siempre debe poder transmitir tal información a otro Estado miembro que lo solicite. La Decisión Marco establece el principio de «doble régimen jurídico», dependiendo de si se utiliza la información a nivel interno en el Estado miembro de nacionalidad o es remitida a otro Estado miembro.</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La gran mayoría de los Estados miembros (AT, BE, BG, CY, CZ, DE, ES, FI, FR, HR, HU, LV, NL, PL, PT, SK y UK) han aplicado estas disposiciones, haciendo referencia explícita a la inscripción de las actualizaciones. Algunos Estados miembros (por ejemplo, BE, HR, HU y UK), prevén que solo puede retransmitirse la información actualizada. FR y PT han desarrollado el principio de «doble régimen jurídico» con más detalle, estableciendo que la supresión de una condena extranjera de sus registros nacionales de conformidad con la normativa nacional no impide su transmisión a otro Estado miembro si ha sido suprimida en el Estado miembro de condena. De acuerdo con las disposiciones previstas en la legislación de LT, la obligación de actualización, aunque no es explícita, puede deducirse del contexto. SE no menciona el registro de modificaciones, solo la supresión. En EE, sólo la obligación de supresión puede deducirse de la referencia a la legislación pertinente, no a la obligación de modificación. Dos Estados miembros prevén la supresión obligatoria de las condenas extranjeras impuestas a sus ciudadanos tras un máximo de cinco años (DE) o de veinte años (SE) a partir de la fecha de supresión de la condena, si, mientras tanto, no se ha recibido la información del Estado miembro de condena. LU y SI parecen no haber regulado las actualizaciones. Además de las actualizaciones de la información conservada, NL introdujo una forma específica de actualizaciones de la información facilitada previamente a otro Estado miembro en respuesta a una solicitud en los casos en que esta información haya sido modificada en el plazo de un año desde que fue transmitida. </w:t>
      </w:r>
    </w:p>
    <w:p>
      <w:pPr>
        <w:keepNext/>
        <w:spacing w:before="120" w:after="120" w:line="240" w:lineRule="auto"/>
        <w:jc w:val="both"/>
        <w:outlineLvl w:val="2"/>
        <w:rPr>
          <w:rFonts w:ascii="Times New Roman" w:eastAsia="Times New Roman" w:hAnsi="Times New Roman" w:cs="Times New Roman"/>
          <w:b/>
          <w:noProof/>
          <w:sz w:val="24"/>
          <w:szCs w:val="24"/>
          <w:lang w:val="es-ES_tradnl"/>
        </w:rPr>
      </w:pPr>
      <w:r>
        <w:rPr>
          <w:rFonts w:ascii="Times New Roman" w:hAnsi="Times New Roman"/>
          <w:b/>
          <w:noProof/>
          <w:sz w:val="24"/>
          <w:lang w:val="es-ES_tradnl"/>
        </w:rPr>
        <w:t xml:space="preserve">5. </w:t>
      </w:r>
      <w:r>
        <w:rPr>
          <w:noProof/>
          <w:lang w:val="es-ES_tradnl"/>
        </w:rPr>
        <w:tab/>
      </w:r>
      <w:r>
        <w:rPr>
          <w:rFonts w:ascii="Times New Roman" w:hAnsi="Times New Roman"/>
          <w:b/>
          <w:noProof/>
          <w:sz w:val="24"/>
          <w:lang w:val="es-ES_tradnl"/>
        </w:rPr>
        <w:t>Respuestas a las solicitudes de información</w:t>
      </w:r>
    </w:p>
    <w:p>
      <w:pPr>
        <w:keepNext/>
        <w:spacing w:before="120" w:after="120" w:line="240" w:lineRule="auto"/>
        <w:ind w:left="130" w:firstLine="720"/>
        <w:jc w:val="both"/>
        <w:outlineLvl w:val="2"/>
        <w:rPr>
          <w:rFonts w:ascii="Times New Roman" w:eastAsia="Times New Roman" w:hAnsi="Times New Roman" w:cs="Times New Roman"/>
          <w:b/>
          <w:noProof/>
          <w:sz w:val="24"/>
          <w:szCs w:val="24"/>
          <w:lang w:val="es-ES_tradnl"/>
        </w:rPr>
      </w:pPr>
      <w:r>
        <w:rPr>
          <w:rFonts w:ascii="Times New Roman" w:hAnsi="Times New Roman"/>
          <w:b/>
          <w:noProof/>
          <w:sz w:val="24"/>
          <w:lang w:val="es-ES_tradnl"/>
        </w:rPr>
        <w:t xml:space="preserve">5.1. </w:t>
      </w:r>
      <w:r>
        <w:rPr>
          <w:noProof/>
          <w:lang w:val="es-ES_tradnl"/>
        </w:rPr>
        <w:tab/>
      </w:r>
      <w:r>
        <w:rPr>
          <w:rFonts w:ascii="Times New Roman" w:hAnsi="Times New Roman"/>
          <w:b/>
          <w:noProof/>
          <w:sz w:val="24"/>
          <w:lang w:val="es-ES_tradnl"/>
        </w:rPr>
        <w:t>Solicitudes en relación con los procedimientos penales</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La Decisión Marco requiere que el Estado miembro de nacionalidad responda a otras solicitudes de información de los Estados miembros sobre sus nacionales a efectos de un procedimiento penal. El procedimiento penal abarca las fases previa y posterior al juicio y la ejecución de la condena. La respuesta incluye la información sobre las condenas nacionales, las condenas pronunciadas en otros Estados miembros y obligatoriamente transmitidas después del 27 de abril de 2012 o transmitidas por los mismos antes de dicha fecha y que se hayan inscrito en el registro de antecedentes penales. Esta obligación también se refiere a las condenas pronunciadas en terceros países y que se hayan inscrito en el registro de antecedentes penales del Estado miembro de nacionalidad.</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Todos los Estados miembros (AT, BE, BG, CY, CZ, DE, EE, ES, FI, FR, HR, HU, LT, LU, LV, NL, PL, PT, SE, SI, SK, UK) han procedido a la transposición en sus legislaciones nacionales, en su totalidad, del artículo 7, apartado 1, de la Decisión Marco. La mayoría ha asumido la lista exacta de las categorías de datos previstos en el artículo. Los demás establecieron la obligación de responder a través de la información pertinente incluida en su registro (DE, EE, FI, HU, LV, NL y PL) o en un extracto nacional expedido a efectos penales (FR y LU). EE también envía una copia de la condena.</w:t>
      </w:r>
    </w:p>
    <w:p>
      <w:pPr>
        <w:keepNext/>
        <w:spacing w:before="120" w:after="120" w:line="240" w:lineRule="auto"/>
        <w:ind w:left="130" w:firstLine="720"/>
        <w:jc w:val="both"/>
        <w:outlineLvl w:val="2"/>
        <w:rPr>
          <w:rFonts w:ascii="Times New Roman" w:eastAsia="Times New Roman" w:hAnsi="Times New Roman" w:cs="Times New Roman"/>
          <w:b/>
          <w:noProof/>
          <w:sz w:val="24"/>
          <w:szCs w:val="24"/>
          <w:lang w:val="es-ES_tradnl"/>
        </w:rPr>
      </w:pPr>
      <w:r>
        <w:rPr>
          <w:rFonts w:ascii="Times New Roman" w:hAnsi="Times New Roman"/>
          <w:b/>
          <w:noProof/>
          <w:sz w:val="24"/>
          <w:lang w:val="es-ES_tradnl"/>
        </w:rPr>
        <w:t xml:space="preserve">5.2. </w:t>
      </w:r>
      <w:r>
        <w:rPr>
          <w:noProof/>
          <w:lang w:val="es-ES_tradnl"/>
        </w:rPr>
        <w:tab/>
      </w:r>
      <w:r>
        <w:rPr>
          <w:rFonts w:ascii="Times New Roman" w:hAnsi="Times New Roman"/>
          <w:b/>
          <w:noProof/>
          <w:sz w:val="24"/>
          <w:lang w:val="es-ES_tradnl"/>
        </w:rPr>
        <w:t>Solicitudes para fines distintos de un procedimiento penal</w:t>
      </w:r>
    </w:p>
    <w:p>
      <w:pPr>
        <w:tabs>
          <w:tab w:val="right" w:leader="dot" w:pos="9071"/>
        </w:tabs>
        <w:spacing w:before="60" w:after="120" w:line="240" w:lineRule="auto"/>
        <w:jc w:val="both"/>
        <w:rPr>
          <w:rFonts w:ascii="Times New Roman" w:eastAsia="Times New Roman" w:hAnsi="Times New Roman" w:cs="Times New Roman"/>
          <w:bCs/>
          <w:iCs/>
          <w:noProof/>
          <w:sz w:val="24"/>
          <w:szCs w:val="28"/>
          <w:lang w:val="es-ES_tradnl"/>
        </w:rPr>
      </w:pPr>
      <w:r>
        <w:rPr>
          <w:rFonts w:ascii="Times New Roman" w:hAnsi="Times New Roman"/>
          <w:noProof/>
          <w:sz w:val="24"/>
          <w:lang w:val="es-ES_tradnl"/>
        </w:rPr>
        <w:t xml:space="preserve">El artículo 7, apartado 2, de la Decisión Marco dispone que, si la información se solicita para otros fines distintos de un procedimiento penal (alrededor del 20 % de las solicitudes), las autoridades centrales podrán responder de conformidad con el Derecho nacional. La información que puede incluirse en la respuesta puede ser la misma que en el caso de las solicitudes a efectos de un procedimiento penal, según lo previsto en la legislación nacional, lo que podría suponer una regulación diferente del alcance de la información o de las medidas para su transmisión. Además, la Decisión Marco establece normas específicas para la transmisión de la información que el Estado miembro de condena haya declarado de imposible retransmisión para fines distintos de un procedimiento penal. En tales casos, el Estado miembro de nacionalidad tendrá que comunicar al Estado miembro requirente que se ponga directamente en contacto con el Estado miembro de condena. De esta manera se garantiza un elevado nivel de protección de los datos de carácter personal transmitidos por el Estado miembro de condena al Estado miembro de nacionalidad. </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Todos los Estados miembros han transpuesto el artículo 7, apartado 2, de la Decisión Marco en su legislación nacional, si bien las disposiciones detalladas difieren considerablemente. La mayoría (BE, BG, CZ, CY, DE, EE, ES, FR, HR, LT, NL, SE, SI y UK) responden a las solicitudes para otros fines de conformidad con sus normas nacionales; y más particularmente: </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BE responde con arreglo a la Ley de enjuiciamiento criminal nacional;</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CZ y DE no envían determinadas condenas pronunciadas en otros Estados miembros que sus tribunales nacionales no consideren condenas; </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DE y ES envían información para los mismos fines y en la misma medida que a sus autoridades nacionales respectivas; </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EE responde si así lo prevé su Ley en materia de registro de antecedentes penales; </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FR facilita la información incluida en un extracto expedido para fines distintos de un procedimiento penal;</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HR responde en determinadas situaciones;</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LT responde sin el consentimiento de la persona condenada cuando su legislación nacional restringe los derechos y libertades del condenado en un caso concreto debido a su condena; de lo contrario, es necesario obtener el consentimiento de la persona;</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NL establece que podrá darse respuesta después de una evaluación detallada de cada caso; el ámbito de aplicación de la mencionada información dependerá de esta evaluación;</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en SE, la información puede transmitirse si SE tiene también derecho a recibir tal información del Estado miembro requirente; además, hay ciertas categorías de información que no pueden transmitirse para fines distintos de un procedimiento penal;</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SI intercambia información sólo sobre condenas penales nacionales y condenas impuestas en terceros países, pero no sobre las condenas pronunciadas en otros Estados miembros y que se le hayan transmitido;</w:t>
      </w:r>
    </w:p>
    <w:p>
      <w:pPr>
        <w:pStyle w:val="ListParagraph"/>
        <w:numPr>
          <w:ilvl w:val="0"/>
          <w:numId w:val="1"/>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UK establece en su legislación que solo pueden ser transmitidas las condenas «extinguidas», tal como se definen en la legislación nacional.</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Tres Estados miembros exigen además el consentimiento del interesado si debe darse una respuesta: </w:t>
      </w:r>
    </w:p>
    <w:p>
      <w:pPr>
        <w:pStyle w:val="ListParagraph"/>
        <w:numPr>
          <w:ilvl w:val="0"/>
          <w:numId w:val="2"/>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en ES, esto ocurre siempre salvo que la ley obligue a una persona a presentar el extracto de antecedentes penales; </w:t>
      </w:r>
    </w:p>
    <w:p>
      <w:pPr>
        <w:pStyle w:val="ListParagraph"/>
        <w:numPr>
          <w:ilvl w:val="0"/>
          <w:numId w:val="2"/>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en LT, el consentimiento es obligatorio en los casos de personas cuyos derechos y libertades no estén restringidos por la legislación del país debido a su condena; </w:t>
      </w:r>
    </w:p>
    <w:p>
      <w:pPr>
        <w:pStyle w:val="ListParagraph"/>
        <w:numPr>
          <w:ilvl w:val="0"/>
          <w:numId w:val="2"/>
        </w:num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en LU, los intercambios se producen únicamente cuando se trata de trabajar con niños y siempre se necesita el consentimiento. </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AT, LV, PL y SK no incluyen una referencia a la legislación nacional en las respuestas a las solicitudes para otros fines, ni ninguna otra limitación referida a la información, permitiendo de este modo transmisiones comparables a las de un procedimiento penal. Cuatro Estados miembros no intercambian información para fines distintos de un procedimiento penal, excepto en el caso de las solicitudes procedentes de una persona (FI, HU y PT) o para trabajar con niños (aplicando así la Directiva 2011/93/UE relativa a la lucha contra los abusos sexuales y la explotación sexual de los menores)</w:t>
      </w:r>
      <w:r>
        <w:rPr>
          <w:rStyle w:val="FootnoteReference"/>
          <w:noProof/>
        </w:rPr>
        <w:footnoteReference w:id="13"/>
      </w:r>
      <w:r>
        <w:rPr>
          <w:rFonts w:ascii="Times New Roman" w:hAnsi="Times New Roman"/>
          <w:noProof/>
          <w:sz w:val="24"/>
          <w:lang w:val="es-ES_tradnl"/>
        </w:rPr>
        <w:t xml:space="preserve"> (LU). Dos de estos países (HU y LU), además de SI, que no transmite las condenas dictadas en otros Estados miembros, no incluyen en sus disposiciones restricciones sobre la transmisión de información en consonancia con las normas establecidas por el Estado miembro de condena. FI, HU, LU, SI, EE, FR y NL no incluyen la obligación de indicar el Estado miembro de condena del que puede obtenerse la información restringida. Mientras que algunos Estados miembros (por ejemplo, BG, EE, SE) han establecido que, en el momento de enviar notificaciones sobre condenas en su territorio, podrán limitar la transmisión posterior de esta información únicamente a procedimientos penales, las notificaciones de ES y PT siempre estarían limitadas en este sentido.</w:t>
      </w:r>
    </w:p>
    <w:p>
      <w:pPr>
        <w:keepNext/>
        <w:spacing w:before="120" w:after="120" w:line="240" w:lineRule="auto"/>
        <w:ind w:left="130" w:firstLine="720"/>
        <w:jc w:val="both"/>
        <w:outlineLvl w:val="2"/>
        <w:rPr>
          <w:rFonts w:ascii="Times New Roman" w:eastAsia="Times New Roman" w:hAnsi="Times New Roman" w:cs="Times New Roman"/>
          <w:b/>
          <w:noProof/>
          <w:sz w:val="24"/>
          <w:szCs w:val="24"/>
          <w:lang w:val="es-ES_tradnl"/>
        </w:rPr>
      </w:pPr>
      <w:r>
        <w:rPr>
          <w:rFonts w:ascii="Times New Roman" w:hAnsi="Times New Roman"/>
          <w:b/>
          <w:noProof/>
          <w:sz w:val="24"/>
          <w:lang w:val="es-ES_tradnl"/>
        </w:rPr>
        <w:t xml:space="preserve">5.3. </w:t>
      </w:r>
      <w:r>
        <w:rPr>
          <w:noProof/>
          <w:lang w:val="es-ES_tradnl"/>
        </w:rPr>
        <w:tab/>
      </w:r>
      <w:r>
        <w:rPr>
          <w:rFonts w:ascii="Times New Roman" w:hAnsi="Times New Roman"/>
          <w:b/>
          <w:noProof/>
          <w:sz w:val="24"/>
          <w:lang w:val="es-ES_tradnl"/>
        </w:rPr>
        <w:t>Solicitudes procedentes de un tercer país</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De conformidad con el artículo 7, apartado 3, de la Decisión Marco, al responder a las solicitudes de terceros países (es decir, países no pertenecientes a la UE), el Estado miembro de nacionalidad podrá, en las condiciones establecidas en el artículo 7, apartados 1 y 2, transmitir información sobre las condenas recibidas de otros Estados miembros.</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En la legislación de los Estados miembros, la transmisión de información de los registros de antecedentes penales a terceros países se rige por los convenios sobre asistencia judicial, otros acuerdos internacionales o disposiciones específicas previstas en la legislación sobre antecedentes penales.</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La gran mayoría de los Estados miembros (BE, BG, CY, CZ, DE, EE, ES, FI, HR, HU, LV, NL, PL, SE, SI, SK y UK) incluyen de forma explícita el artículo 7, apartado 3, en su legislación. En LT, puede deducirse del contexto. En el caso de PT se prevé que las solicitudes procedentes de países no pertenecientes a la UE sean respondidas en virtud de los acuerdos internacionales aplicables, a condición de que haya reciprocidad. AT, FR y LU no han adoptado disposiciones en este ámbito.</w:t>
      </w:r>
    </w:p>
    <w:p>
      <w:pPr>
        <w:keepNext/>
        <w:spacing w:before="120" w:after="120" w:line="240" w:lineRule="auto"/>
        <w:ind w:left="130" w:firstLine="720"/>
        <w:jc w:val="both"/>
        <w:outlineLvl w:val="2"/>
        <w:rPr>
          <w:rFonts w:ascii="Times New Roman" w:eastAsia="Times New Roman" w:hAnsi="Times New Roman" w:cs="Times New Roman"/>
          <w:b/>
          <w:noProof/>
          <w:sz w:val="24"/>
          <w:szCs w:val="24"/>
          <w:lang w:val="es-ES_tradnl"/>
        </w:rPr>
      </w:pPr>
      <w:r>
        <w:rPr>
          <w:rFonts w:ascii="Times New Roman" w:hAnsi="Times New Roman"/>
          <w:b/>
          <w:noProof/>
          <w:sz w:val="24"/>
          <w:lang w:val="es-ES_tradnl"/>
        </w:rPr>
        <w:t xml:space="preserve">5.4. </w:t>
      </w:r>
      <w:r>
        <w:rPr>
          <w:noProof/>
          <w:lang w:val="es-ES_tradnl"/>
        </w:rPr>
        <w:tab/>
      </w:r>
      <w:r>
        <w:rPr>
          <w:rFonts w:ascii="Times New Roman" w:hAnsi="Times New Roman"/>
          <w:b/>
          <w:noProof/>
          <w:sz w:val="24"/>
          <w:lang w:val="es-ES_tradnl"/>
        </w:rPr>
        <w:t>Solicitudes a un Estado miembro distinto del Estado miembro de nacionalidad</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Es posible que una solicitud de información se dirija a un Estado miembro distinto del Estado miembro de nacionalidad. Por ejemplo, puede ser que el Estado miembro de condena reciba una solicitud de información sobre las condenas anteriores a la entrada en vigor de la Decisión Marco que podrían no haber sido transmitidas al Estado miembro de nacionalidad, o una solicitud puede referirse a un nacional de un país tercero que tampoco es ciudadano de la UE.</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El artículo 7, apartado 4, de la Decisión Marco exige al Estado miembro que recibe la solicitud responder transmitiendo la información que posee en su registro de antecedentes penales sobre las condenas pronunciadas en su territorio así como sobre las condenas dictadas contra nacionales de terceros países y contra apátridas. La respuesta está sujeta a las mismas condiciones que las establecidas en el artículo 13 del Convenio relativo a la asistencia judicial en materia penal entre los Estados miembros de la Unión Europea, es decir, es obligatoria y deberá contener toda la información (en el caso de las solicitudes a efectos de un procedimiento penal), o atenerse a la legislación nacional (en el caso de las solicitudes para otros fines).</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Por lo que se refiere a los nacionales de terceros países, el mecanismo ECRIS mediante el cual se envían «solicitudes genéricas» a todos los Estados miembros para determinar si esta persona fue condenada, en combinación con la obligación de responder prevista en el artículo 7, apartado 4, de la Decisión Marco, da lugar a una enorme carga administrativa para todos los Estados miembros, incluidos los Estados miembros (la mayoría) que no disponen de la información solicitada. Por esta razón, la Comisión propone una modificación de la Directiva sobre el intercambio de información sobre antecedentes penales en relación con los nacionales de terceros países condenados en la UE.</w:t>
      </w:r>
    </w:p>
    <w:p>
      <w:pPr>
        <w:tabs>
          <w:tab w:val="right" w:leader="dot" w:pos="9071"/>
        </w:tabs>
        <w:spacing w:before="6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La gran mayoría de los Estados miembros (AT, BE, BG, CY, CZ, DE, EE, ES, FI, FR, HR, HU, LT, LV, NL, PL, PT, SE y UK) ya han aplicado en su totalidad el artículo 7, apartado 4, de la Decisión Marco. La mayor parte de los Estados miembros (AT, CZ, DE, EE, ES, FI, FR, LT, NL, PL y SE) no hacen ninguna distinción entre las respuestas a las solicitudes relativas a sus ciudadanos, los ciudadanos de otros Estados miembros y los nacionales de terceros países, en relación con el procedimiento penal o de otro tipo; todos se rigen por las mismas disposiciones generales. Además de estas disposiciones, dos Estados miembros establecen concretamente que la información se ha de facilitar con arreglo al Convenio relativo a la asistencia judicial en materia penal entre los Estados miembros de la Unión Europea (HU) o los tratados internacionales (LV). FI, HU y PT solo responderán a las solicitudes a efectos de un procedimiento penal. BE, BG, CY, HR y UK adoptaron una disposición separada, en su mayoría reproduciendo el contenido del artículo 7, apartado 4, de la Decisión Marco, específicamente para responder a solicitudes relativas a ciudadanos de otros Estados miembros. Otros dos Estados miembros cuentan en su legislación con una disposición separada similar, pero en SI ésta aborda únicamente las respuestas relativas a los ciudadanos de terceros países y apátridas (no a los ciudadanos de los demás Estados miembros) y, en el caso de SK, solo se menciona que la información debe facilitarse en la medida requerida por un acuerdo internacional. LU parece no haber transpuesto esta disposición.</w:t>
      </w:r>
    </w:p>
    <w:p>
      <w:pPr>
        <w:keepNext/>
        <w:spacing w:before="120" w:after="120" w:line="240" w:lineRule="auto"/>
        <w:ind w:left="130" w:firstLine="720"/>
        <w:jc w:val="both"/>
        <w:outlineLvl w:val="2"/>
        <w:rPr>
          <w:rFonts w:ascii="Times New Roman" w:eastAsia="Times New Roman" w:hAnsi="Times New Roman" w:cs="Times New Roman"/>
          <w:b/>
          <w:noProof/>
          <w:color w:val="00B050"/>
          <w:sz w:val="24"/>
          <w:szCs w:val="24"/>
          <w:lang w:val="es-ES_tradnl"/>
        </w:rPr>
      </w:pPr>
      <w:r>
        <w:rPr>
          <w:rFonts w:ascii="Times New Roman" w:hAnsi="Times New Roman"/>
          <w:b/>
          <w:noProof/>
          <w:sz w:val="24"/>
          <w:lang w:val="es-ES_tradnl"/>
        </w:rPr>
        <w:t xml:space="preserve">5.5. </w:t>
      </w:r>
      <w:r>
        <w:rPr>
          <w:noProof/>
          <w:lang w:val="es-ES_tradnl"/>
        </w:rPr>
        <w:tab/>
      </w:r>
      <w:r>
        <w:rPr>
          <w:rFonts w:ascii="Times New Roman" w:hAnsi="Times New Roman"/>
          <w:b/>
          <w:noProof/>
          <w:sz w:val="24"/>
          <w:lang w:val="es-ES_tradnl"/>
        </w:rPr>
        <w:t>Plazo de respuesta</w:t>
      </w:r>
    </w:p>
    <w:p>
      <w:pPr>
        <w:tabs>
          <w:tab w:val="right" w:leader="dot" w:pos="9071"/>
        </w:tabs>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Las respuestas a las solicitudes a efectos de un procedimiento penal y otros fines debe proporcionarse inmediatamente y, en cualquier caso, en el plazo de diez 10 hábiles, o 20 días hábiles si la solicitud procede de una persona que solicita información sobre su propia inscripción en el registro. Cuando el Estado miembro requerido necesite información adicional para identificar el objeto de la solicitud, consultará de inmediato al Estado miembro requirente y dará una respuesta en los 10 días hábiles siguientes a la recepción de la información.</w:t>
      </w:r>
    </w:p>
    <w:p>
      <w:pPr>
        <w:tabs>
          <w:tab w:val="right" w:leader="dot" w:pos="9071"/>
        </w:tabs>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Casi todo los Estados miembros (AT, BE, CY, CZ, BG, EE, ES, FI, FR, HR, HU, LT, LU, LV, NL, PL, SI, SK y UK) han transpuesto las disposiciones en materia de plazos. HU y PL no adoptaron disposiciones relativas a su petición de información suplementaria. CZ, NL y SK aplican el plazo de diez días también a las solicitudes presentadas por una persona. SE regula las respuestas a las solicitudes de un procedimiento penal, pero no para otros fines. DE no mencionó el plazo de respuesta a las solicitudes de conformidad con el artículo 6, apartado 1, de la Decisión Marco, solo para los casos de una solicitud presentada por un particular. PT no parece haber establecido plazos en su legislación.</w:t>
      </w:r>
    </w:p>
    <w:p>
      <w:pPr>
        <w:keepNext/>
        <w:spacing w:before="120" w:after="120" w:line="240" w:lineRule="auto"/>
        <w:jc w:val="both"/>
        <w:outlineLvl w:val="2"/>
        <w:rPr>
          <w:rFonts w:ascii="Times New Roman" w:eastAsia="Times New Roman" w:hAnsi="Times New Roman" w:cs="Times New Roman"/>
          <w:b/>
          <w:noProof/>
          <w:sz w:val="24"/>
          <w:szCs w:val="24"/>
          <w:lang w:val="es-ES_tradnl"/>
        </w:rPr>
      </w:pPr>
      <w:r>
        <w:rPr>
          <w:rFonts w:ascii="Times New Roman" w:hAnsi="Times New Roman"/>
          <w:b/>
          <w:noProof/>
          <w:sz w:val="24"/>
          <w:lang w:val="es-ES_tradnl"/>
        </w:rPr>
        <w:t xml:space="preserve">6. </w:t>
      </w:r>
      <w:r>
        <w:rPr>
          <w:noProof/>
          <w:lang w:val="es-ES_tradnl"/>
        </w:rPr>
        <w:tab/>
      </w:r>
      <w:r>
        <w:rPr>
          <w:rFonts w:ascii="Times New Roman" w:hAnsi="Times New Roman"/>
          <w:b/>
          <w:noProof/>
          <w:sz w:val="24"/>
          <w:lang w:val="es-ES_tradnl"/>
        </w:rPr>
        <w:t>Solicitud de información</w:t>
      </w:r>
    </w:p>
    <w:p>
      <w:pPr>
        <w:tabs>
          <w:tab w:val="right" w:leader="dot" w:pos="9071"/>
        </w:tabs>
        <w:spacing w:before="120" w:after="120" w:line="240" w:lineRule="auto"/>
        <w:jc w:val="both"/>
        <w:rPr>
          <w:rFonts w:ascii="Times New Roman" w:eastAsia="Times New Roman" w:hAnsi="Times New Roman" w:cs="Times New Roman"/>
          <w:bCs/>
          <w:noProof/>
          <w:sz w:val="24"/>
          <w:szCs w:val="26"/>
          <w:lang w:val="es-ES_tradnl"/>
        </w:rPr>
      </w:pPr>
      <w:r>
        <w:rPr>
          <w:rFonts w:ascii="Times New Roman" w:hAnsi="Times New Roman"/>
          <w:noProof/>
          <w:sz w:val="24"/>
          <w:lang w:val="es-ES_tradnl"/>
        </w:rPr>
        <w:t>Cuando la información sea solicitada a nivel nacional para el procedimiento penal u otros fines, la autoridad central del Estado miembro podrá, de conformidad con su Derecho nacional, presentar una solicitud de información a la autoridad central de otro Estado miembro (artículo 6, apartado 1, de la Decisión Marco).</w:t>
      </w:r>
    </w:p>
    <w:p>
      <w:pPr>
        <w:tabs>
          <w:tab w:val="right" w:leader="dot" w:pos="9071"/>
        </w:tabs>
        <w:spacing w:before="120" w:after="120" w:line="240" w:lineRule="auto"/>
        <w:jc w:val="both"/>
        <w:rPr>
          <w:rFonts w:ascii="Times New Roman" w:eastAsia="Times New Roman" w:hAnsi="Times New Roman" w:cs="Times New Roman"/>
          <w:bCs/>
          <w:noProof/>
          <w:sz w:val="24"/>
          <w:szCs w:val="26"/>
          <w:lang w:val="es-ES_tradnl"/>
        </w:rPr>
      </w:pPr>
      <w:r>
        <w:rPr>
          <w:rFonts w:ascii="Times New Roman" w:hAnsi="Times New Roman"/>
          <w:noProof/>
          <w:sz w:val="24"/>
          <w:lang w:val="es-ES_tradnl"/>
        </w:rPr>
        <w:t>Casi todos los Estados miembros (AT, BE, BG, CY, CZ, DE, EE, ES, FI, HR, HU, LU, LV, NL, PL, PT, SE, SI, SK y UK) han adoptado una disposición que permite a una autoridad central solicitar información cuando así lo requieran las autoridades nacionales. Algunos Estados miembros (BG, EE, FI, HR, HU, LV, PL, PT, SE y SI) indican en su legislación exactamente quién puede solicitar información a la autoridad central a nivel nacional y en qué circunstancias. CZ, FI y HU solo solicitan información a efectos de un procedimiento penal. PL solicita información de conformidad con la ley del Estado miembro requerido, en lugar de la suya propia. FR y LT no han adoptado disposiciones explícitas sobre las solicitudes con arreglo al artículo 6, apartado 1.</w:t>
      </w:r>
    </w:p>
    <w:p>
      <w:pPr>
        <w:tabs>
          <w:tab w:val="right" w:leader="dot" w:pos="9071"/>
        </w:tabs>
        <w:spacing w:before="120" w:after="120" w:line="240" w:lineRule="auto"/>
        <w:jc w:val="both"/>
        <w:rPr>
          <w:rFonts w:ascii="Times New Roman" w:eastAsia="Times New Roman" w:hAnsi="Times New Roman" w:cs="Times New Roman"/>
          <w:bCs/>
          <w:noProof/>
          <w:sz w:val="24"/>
          <w:szCs w:val="26"/>
          <w:lang w:val="es-ES_tradnl"/>
        </w:rPr>
      </w:pPr>
      <w:r>
        <w:rPr>
          <w:rFonts w:ascii="Times New Roman" w:hAnsi="Times New Roman"/>
          <w:noProof/>
          <w:sz w:val="24"/>
          <w:lang w:val="es-ES_tradnl"/>
        </w:rPr>
        <w:t>Se aplican normas particulares cuando un ciudadano de la UE solicita, a la autoridad central de un Estado miembro que no sea su Estado miembro de nacionalidad, información sobre su propio registro de antecedentes penales con fecha de 27 de abril de 2012 o posterior. Con el fin de garantizar que el Estado miembro requerido no expida un extracto que no incluya información exhaustiva sobre los antecedentes penales del ciudadano en cuestión, el artículo 6, apartado 3, de la Decisión Marco obliga a dicho Estado miembro a solicitar información al Estado miembro de nacionalidad e incluir este dato en el extracto. Esta disposición es especialmente importante en el contexto de la obtención de extractos de antecedentes penales para fines de empleo en sectores sensibles como el de la seguridad o el trabajo con menores (véase la Directiva 2011/93/UE).</w:t>
      </w:r>
    </w:p>
    <w:p>
      <w:pPr>
        <w:tabs>
          <w:tab w:val="right" w:leader="dot" w:pos="9071"/>
        </w:tabs>
        <w:spacing w:before="120" w:after="120" w:line="240" w:lineRule="auto"/>
        <w:jc w:val="both"/>
        <w:rPr>
          <w:rFonts w:ascii="Times New Roman" w:eastAsia="Times New Roman" w:hAnsi="Times New Roman" w:cs="Times New Roman"/>
          <w:bCs/>
          <w:noProof/>
          <w:sz w:val="24"/>
          <w:szCs w:val="26"/>
          <w:lang w:val="es-ES_tradnl"/>
        </w:rPr>
      </w:pPr>
      <w:r>
        <w:rPr>
          <w:rFonts w:ascii="Times New Roman" w:hAnsi="Times New Roman"/>
          <w:noProof/>
          <w:sz w:val="24"/>
          <w:lang w:val="es-ES_tradnl"/>
        </w:rPr>
        <w:t>Aunque la gran mayoría de los Estados miembros (AT, BE, BG, CY, CZ, DE, ES, FI, FR, HR, LT, LU, LV, PL, PT, SE, SI y SK) introdujeron la obligación de que la autoridad central solicite información en nombre de un ciudadano de otro Estado miembro, algunos (BG, FI, LV, SE y SK) no han previsto explícitamente que la información obtenida deba incluirse en el extracto expedido a los ciudadanos. En HR, en general, los particulares no pueden obtener extractos del registro de antecedentes penales, únicamente leerlo en presencia de un funcionario. Puede expedirse un certificado con carácter excepcional para la realización de actividades que supongan el contacto regular con menores o para el ejercicio de un derecho específico en el extranjero o en una organización internacional. En DE, HR, NL, el ciudadano recibe un «certificado de conducta» especial. EE, HU, NL y UK no han transpuesto la obligación contemplada en el artículo 6, apartado 3, de la Decisión Marco. En NL, como en HR, un particular no puede solicitar un extracto de sus registros de antecedentes penales, y solo tiene derecho a controlarlos. Puede obtenerse un certificado de «buena conducta», por ejemplo, a efectos profesionales, pero esto se regula mediante disposiciones separadas, y no se notifica a la Comisión. El Reino Unido solo ha transpuesto el artículo 6, apartado 2, de la Decisión Marco sin obligación de solicitar información.</w:t>
      </w:r>
    </w:p>
    <w:p>
      <w:pPr>
        <w:keepNext/>
        <w:spacing w:before="120" w:after="120" w:line="240" w:lineRule="auto"/>
        <w:jc w:val="both"/>
        <w:outlineLvl w:val="2"/>
        <w:rPr>
          <w:rFonts w:ascii="Times New Roman" w:eastAsia="Times New Roman" w:hAnsi="Times New Roman" w:cs="Times New Roman"/>
          <w:b/>
          <w:bCs/>
          <w:noProof/>
          <w:sz w:val="24"/>
          <w:szCs w:val="26"/>
          <w:lang w:val="es-ES_tradnl"/>
        </w:rPr>
      </w:pPr>
      <w:r>
        <w:rPr>
          <w:rFonts w:ascii="Times New Roman" w:hAnsi="Times New Roman"/>
          <w:b/>
          <w:noProof/>
          <w:sz w:val="24"/>
          <w:lang w:val="es-ES_tradnl"/>
        </w:rPr>
        <w:t xml:space="preserve">7. </w:t>
      </w:r>
      <w:r>
        <w:rPr>
          <w:noProof/>
          <w:lang w:val="es-ES_tradnl"/>
        </w:rPr>
        <w:tab/>
      </w:r>
      <w:r>
        <w:rPr>
          <w:rFonts w:ascii="Times New Roman" w:hAnsi="Times New Roman"/>
          <w:b/>
          <w:noProof/>
          <w:sz w:val="24"/>
          <w:lang w:val="es-ES_tradnl"/>
        </w:rPr>
        <w:t>Condiciones de uso de los datos de carácter personal</w:t>
      </w:r>
    </w:p>
    <w:p>
      <w:pPr>
        <w:tabs>
          <w:tab w:val="right" w:leader="dot" w:pos="9071"/>
        </w:tabs>
        <w:spacing w:before="120" w:after="120" w:line="240" w:lineRule="auto"/>
        <w:jc w:val="both"/>
        <w:rPr>
          <w:rFonts w:ascii="Times New Roman" w:eastAsia="Times New Roman" w:hAnsi="Times New Roman" w:cs="Times New Roman"/>
          <w:iCs/>
          <w:noProof/>
          <w:sz w:val="24"/>
          <w:szCs w:val="28"/>
          <w:lang w:val="es-ES_tradnl"/>
        </w:rPr>
      </w:pPr>
      <w:r>
        <w:rPr>
          <w:rFonts w:ascii="Times New Roman" w:hAnsi="Times New Roman"/>
          <w:noProof/>
          <w:sz w:val="24"/>
          <w:lang w:val="es-ES_tradnl"/>
        </w:rPr>
        <w:t>La Decisión Marco contiene una serie de disposiciones destinadas a garantizar un alto nivel de protección de los datos de carácter personal (artículos 7 y 9 de la Directiva Marco). Los datos personales aportados en respuesta a las solicitudes solo podrán utilizarse para los fines para los que se solicitaron. Además, los datos personales facilitados para fines distintos de procedimientos penales podrán ser utilizados, de conformidad con el Derecho nacional del Estado miembro requirente, dentro de los límites especificados por el Estado miembro requerido. Del mismo modo, los datos de carácter personal comunicados a un tercer país están sujetos a las limitaciones relativas a los fines y al uso indicado por el Estado miembro de condena.</w:t>
      </w:r>
    </w:p>
    <w:p>
      <w:pPr>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Casi todos los Estados miembros (AT, BE, BG, CY, CZ, DE, EE, ES, FI, HR, HU, LT, LV, NL, PL, PT, SE, SI, SK y UK) han aplicado estas salvaguardias de los datos personales. Si bien en todos se reflejan, en cierta medida, las disposiciones de la Decisión Marco, BG, FI y LT añaden una referencia explícita al tratamiento de los datos, de conformidad con los instrumentos nacionales de protección de datos. FI, LU, LT y PT incluyeron directamente disposiciones relativas a la protección de los derechos del interesado; en FI, por ejemplo, la persona puede pedir a quién y con qué fin se han revelado sus datos en el año anterior. En cualquier caso, la legislación nacional de protección de datos se aplica al tratamiento de los datos personales en las bases de datos nacionales de los registros de antecedentes penales y al intercambio de tales datos con otros Estados miembros. FR y LU parecen no haber adoptado las disposiciones pertinentes en este ámbito, aunque FR incluyó una declaración en el sentido de que la información sólo podrá divulgarse cuando así esté previsto por ley.</w:t>
      </w:r>
    </w:p>
    <w:p>
      <w:pPr>
        <w:keepNext/>
        <w:spacing w:before="120" w:after="120" w:line="240" w:lineRule="auto"/>
        <w:jc w:val="both"/>
        <w:outlineLvl w:val="2"/>
        <w:rPr>
          <w:rFonts w:ascii="Times New Roman" w:eastAsia="Times New Roman" w:hAnsi="Times New Roman" w:cs="Times New Roman"/>
          <w:b/>
          <w:noProof/>
          <w:sz w:val="24"/>
          <w:szCs w:val="24"/>
          <w:lang w:val="es-ES_tradnl"/>
        </w:rPr>
      </w:pPr>
      <w:r>
        <w:rPr>
          <w:rFonts w:ascii="Times New Roman" w:hAnsi="Times New Roman"/>
          <w:b/>
          <w:noProof/>
          <w:sz w:val="24"/>
          <w:lang w:val="es-ES_tradnl"/>
        </w:rPr>
        <w:t xml:space="preserve">8. </w:t>
      </w:r>
      <w:r>
        <w:rPr>
          <w:noProof/>
          <w:lang w:val="es-ES_tradnl"/>
        </w:rPr>
        <w:tab/>
      </w:r>
      <w:r>
        <w:rPr>
          <w:rFonts w:ascii="Times New Roman" w:hAnsi="Times New Roman"/>
          <w:b/>
          <w:noProof/>
          <w:sz w:val="24"/>
          <w:lang w:val="es-ES_tradnl"/>
        </w:rPr>
        <w:t>Adopción de un formato normalizado de transmisión electrónica</w:t>
      </w:r>
      <w:bookmarkEnd w:id="5"/>
    </w:p>
    <w:p>
      <w:pPr>
        <w:spacing w:before="120" w:after="120" w:line="240" w:lineRule="auto"/>
        <w:jc w:val="both"/>
        <w:rPr>
          <w:rFonts w:ascii="Times New Roman" w:eastAsia="Times New Roman" w:hAnsi="Times New Roman" w:cs="Times New Roman"/>
          <w:bCs/>
          <w:noProof/>
          <w:sz w:val="24"/>
          <w:szCs w:val="26"/>
          <w:lang w:val="es-ES_tradnl"/>
        </w:rPr>
      </w:pPr>
      <w:r>
        <w:rPr>
          <w:rFonts w:ascii="Times New Roman" w:hAnsi="Times New Roman"/>
          <w:noProof/>
          <w:sz w:val="24"/>
          <w:lang w:val="es-ES_tradnl"/>
        </w:rPr>
        <w:t>El sistema ECRIS, que permite que se intercambie información por vía electrónica con arreglo a un «formato europeo normalizado», fue creado sobre la base de la Decisión Marco. A partir del 27 de abril de 2012, los Estados miembros están obligados a utilizarlo para todas las transmisiones, de acuerdo con lo dispuesto en el artículo 11, apartado 3, de la Decisión Marco. En la actualidad, todos los Estados miembros, excepto SI, PT y MT</w:t>
      </w:r>
      <w:r>
        <w:rPr>
          <w:rStyle w:val="FootnoteReference"/>
          <w:noProof/>
        </w:rPr>
        <w:footnoteReference w:id="14"/>
      </w:r>
      <w:r>
        <w:rPr>
          <w:rFonts w:ascii="Times New Roman" w:hAnsi="Times New Roman"/>
          <w:noProof/>
          <w:sz w:val="24"/>
          <w:lang w:val="es-ES_tradnl"/>
        </w:rPr>
        <w:t xml:space="preserve"> intercambian información a través de ECRIS.</w:t>
      </w:r>
    </w:p>
    <w:p>
      <w:pPr>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La mayoría de los Estados miembros (BE, BG, CY, CZ, EE, ES, FR, FI, HR, LT, LV, NL, PL, PT, SI y SK) introdujeron una obligación en su legislación nacional para el intercambio de información por vía electrónica utilizando un formato normalizado. Muchos (BE, BG, EE, HR, LT, PL, SI, SK y UK) hacen una referencia explícita al sistema ECRIS como el medio electrónico para el intercambio de los registros de </w:t>
      </w:r>
      <w:r>
        <w:rPr>
          <w:rFonts w:ascii="Times New Roman" w:hAnsi="Times New Roman" w:cs="Times New Roman"/>
          <w:noProof/>
          <w:sz w:val="24"/>
          <w:szCs w:val="24"/>
          <w:lang w:val="es-ES_tradnl"/>
        </w:rPr>
        <w:t>antecedentes penales. En SI, el Ministro de Justicia adoptará una orden fijando la fecha a partir de la cual se iniciará el intercambio electrónico de información a través de ECRIS. En AT, la utilización del forma</w:t>
      </w:r>
      <w:r>
        <w:rPr>
          <w:rFonts w:ascii="Times New Roman" w:hAnsi="Times New Roman"/>
          <w:noProof/>
          <w:sz w:val="24"/>
          <w:lang w:val="es-ES_tradnl"/>
        </w:rPr>
        <w:t>to electrónico puede deducirse del contexto. DE, HU, LU, SE y UK no se refieren al formato electrónico en sus disposiciones nacionales, pero en la práctica el intercambio de información se realiza a través de ECRIS.</w:t>
      </w:r>
    </w:p>
    <w:p>
      <w:pPr>
        <w:keepNext/>
        <w:spacing w:before="360" w:after="120" w:line="240" w:lineRule="auto"/>
        <w:ind w:left="850" w:hanging="850"/>
        <w:jc w:val="both"/>
        <w:outlineLvl w:val="0"/>
        <w:rPr>
          <w:rFonts w:ascii="Times New Roman" w:eastAsia="Times New Roman" w:hAnsi="Times New Roman" w:cs="Times New Roman"/>
          <w:b/>
          <w:bCs/>
          <w:smallCaps/>
          <w:noProof/>
          <w:sz w:val="24"/>
          <w:szCs w:val="32"/>
          <w:lang w:val="es-ES_tradnl"/>
        </w:rPr>
      </w:pPr>
      <w:r>
        <w:rPr>
          <w:rFonts w:ascii="Times New Roman" w:hAnsi="Times New Roman"/>
          <w:b/>
          <w:smallCaps/>
          <w:noProof/>
          <w:sz w:val="24"/>
          <w:lang w:val="es-ES_tradnl"/>
        </w:rPr>
        <w:t>Conclusión</w:t>
      </w:r>
    </w:p>
    <w:p>
      <w:pPr>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La transposición de la Decisión Marco por parte de 22 Estados miembros ha conducido a progresos significativos en la mejora del intercambio de información de los registros de antecedentes penales en la Unión. El nivel de cumplimiento varía. La transposición del artículo 4, apartados 1, 2 y 3, el artículo 5, apartado 1, el artículo 6, apartado 1, el artículo 7, apartado 1, y el artículo 8 de la Decisión Marco es, por lo general, satisfactoria. Los 22 Estados miembros han incorporado la obligación de enviar notificaciones sobre condenas, conservarlas e intercambiar información a efectos de un procedimiento penal. La transmisión de información sobre condenas anteriores, si se solicita para un procedimiento penal pendiente, facilitará la correcta aplicación de la Decisión Marco 2008/675/JAI relativa a la consideración de las resoluciones condenatorias entre los Estados miembros de la Unión Europea con motivo de un nuevo procedimiento penal. </w:t>
      </w:r>
    </w:p>
    <w:p>
      <w:pPr>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 xml:space="preserve">No obstante, los artículos 4, apartado 4, artículo 5, apartado 2, artículo 6, apartado 3, artículo 7, apartados 2 y 4 y artículo 11, apartados 1, 2 y 3, de la Decisión Marco parecen haberse transpuesto de manera desigual. La ausencia de transposición o que se haya hecho de forma fragmentada puede dar lugar a diferencias de trato entre las personas cuyo registro de antecedentes penales completo está disponible y aquellos cuyos registros no contienen las condenas de otros Estados miembros. Los Estados miembros que han ejecutado correctamente todas las provisiones no pueden beneficiarse de los intercambios que cumplen todas las normas previstas en la Decisión Marco con los Estados miembros que no las cumplen. La información sobre condenas penales podría no ser intercambiable. </w:t>
      </w:r>
    </w:p>
    <w:p>
      <w:pPr>
        <w:spacing w:before="120" w:after="120" w:line="240" w:lineRule="auto"/>
        <w:jc w:val="both"/>
        <w:rPr>
          <w:rFonts w:ascii="Times New Roman" w:eastAsia="Times New Roman" w:hAnsi="Times New Roman" w:cs="Times New Roman"/>
          <w:noProof/>
          <w:sz w:val="24"/>
          <w:szCs w:val="24"/>
          <w:lang w:val="es-ES_tradnl"/>
        </w:rPr>
      </w:pPr>
      <w:r>
        <w:rPr>
          <w:rFonts w:ascii="Times New Roman" w:hAnsi="Times New Roman"/>
          <w:noProof/>
          <w:sz w:val="24"/>
          <w:lang w:val="es-ES_tradnl"/>
        </w:rPr>
        <w:t>La Comisión seguirá supervisando de cerca el cumplimiento por parte de los Estados miembros de todos los requisitos de la Decisión Marco. La Comisión anima a los Estados miembros que han indicado que están preparando la legislación pertinente a aprobar y notificar lo antes posible esas medidas nacionales, y pide a los Estados miembros que aún no hayan incorporado la Decisión Marco que lo hagan de forma urgente.</w:t>
      </w:r>
    </w:p>
    <w:p>
      <w:pPr>
        <w:spacing w:line="240" w:lineRule="auto"/>
        <w:jc w:val="center"/>
        <w:rPr>
          <w:rFonts w:ascii="Times New Roman" w:eastAsia="Times New Roman" w:hAnsi="Times New Roman" w:cs="Times New Roman"/>
          <w:b/>
          <w:smallCaps/>
          <w:noProof/>
          <w:sz w:val="24"/>
          <w:szCs w:val="24"/>
          <w:lang w:val="es-ES_tradnl"/>
        </w:rPr>
      </w:pPr>
      <w:r>
        <w:rPr>
          <w:noProof/>
          <w:lang w:val="es-ES_tradnl"/>
        </w:rPr>
        <w:br w:type="page"/>
      </w:r>
      <w:r>
        <w:rPr>
          <w:rFonts w:ascii="Times New Roman" w:hAnsi="Times New Roman"/>
          <w:b/>
          <w:smallCaps/>
          <w:noProof/>
          <w:sz w:val="24"/>
          <w:lang w:val="es-ES_tradnl"/>
        </w:rPr>
        <w:t xml:space="preserve">Anexo </w:t>
      </w:r>
    </w:p>
    <w:p>
      <w:pPr>
        <w:spacing w:after="0" w:line="240" w:lineRule="auto"/>
        <w:jc w:val="center"/>
        <w:rPr>
          <w:rFonts w:ascii="Times New Roman" w:eastAsia="Times New Roman" w:hAnsi="Times New Roman" w:cs="Times New Roman"/>
          <w:b/>
          <w:smallCaps/>
          <w:noProof/>
          <w:sz w:val="24"/>
          <w:szCs w:val="24"/>
          <w:lang w:val="es-ES_tradnl"/>
        </w:rPr>
      </w:pPr>
      <w:r>
        <w:rPr>
          <w:rFonts w:ascii="Times New Roman" w:hAnsi="Times New Roman"/>
          <w:b/>
          <w:smallCaps/>
          <w:noProof/>
          <w:sz w:val="24"/>
          <w:lang w:val="es-ES_tradnl"/>
        </w:rPr>
        <w:t>Recapitulación de las notificaciones de los Estados miembros</w:t>
      </w:r>
    </w:p>
    <w:p>
      <w:pPr>
        <w:spacing w:after="0" w:line="240" w:lineRule="auto"/>
        <w:jc w:val="center"/>
        <w:rPr>
          <w:rFonts w:ascii="Times New Roman" w:eastAsia="Times New Roman" w:hAnsi="Times New Roman" w:cs="Times New Roman"/>
          <w:b/>
          <w:noProof/>
          <w:sz w:val="24"/>
          <w:szCs w:val="24"/>
          <w:lang w:val="es-ES_trad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446"/>
        <w:gridCol w:w="3544"/>
        <w:gridCol w:w="1559"/>
        <w:gridCol w:w="2126"/>
      </w:tblGrid>
      <w:tr>
        <w:tc>
          <w:tcPr>
            <w:tcW w:w="647" w:type="dxa"/>
            <w:shd w:val="clear" w:color="auto" w:fill="auto"/>
          </w:tcPr>
          <w:p>
            <w:pPr>
              <w:spacing w:after="0" w:line="240" w:lineRule="auto"/>
              <w:jc w:val="center"/>
              <w:rPr>
                <w:rFonts w:ascii="Times New Roman" w:eastAsia="Times New Roman" w:hAnsi="Times New Roman" w:cs="Times New Roman"/>
                <w:b/>
                <w:noProof/>
                <w:lang w:val="es-ES_tradnl"/>
              </w:rPr>
            </w:pPr>
          </w:p>
        </w:tc>
        <w:tc>
          <w:tcPr>
            <w:tcW w:w="1446" w:type="dxa"/>
            <w:shd w:val="clear" w:color="auto" w:fill="auto"/>
          </w:tcPr>
          <w:p>
            <w:pPr>
              <w:spacing w:after="0" w:line="240" w:lineRule="auto"/>
              <w:jc w:val="center"/>
              <w:rPr>
                <w:rFonts w:ascii="Times New Roman" w:eastAsia="Times New Roman" w:hAnsi="Times New Roman" w:cs="Times New Roman"/>
                <w:b/>
                <w:i/>
                <w:noProof/>
                <w:lang w:val="es-ES_tradnl"/>
              </w:rPr>
            </w:pPr>
            <w:r>
              <w:rPr>
                <w:rFonts w:ascii="Times New Roman" w:hAnsi="Times New Roman"/>
                <w:b/>
                <w:i/>
                <w:noProof/>
                <w:lang w:val="es-ES_tradnl"/>
              </w:rPr>
              <w:t>¿Se han notificado las medidas de transposición?</w:t>
            </w:r>
          </w:p>
          <w:p>
            <w:pPr>
              <w:spacing w:after="0" w:line="240" w:lineRule="auto"/>
              <w:jc w:val="center"/>
              <w:rPr>
                <w:rFonts w:ascii="Times New Roman" w:eastAsia="Times New Roman" w:hAnsi="Times New Roman" w:cs="Times New Roman"/>
                <w:b/>
                <w:i/>
                <w:noProof/>
              </w:rPr>
            </w:pPr>
            <w:r>
              <w:rPr>
                <w:rFonts w:ascii="Times New Roman" w:hAnsi="Times New Roman"/>
                <w:b/>
                <w:i/>
                <w:noProof/>
              </w:rPr>
              <w:t>Fecha de notificación</w:t>
            </w:r>
          </w:p>
        </w:tc>
        <w:tc>
          <w:tcPr>
            <w:tcW w:w="3544" w:type="dxa"/>
            <w:shd w:val="clear" w:color="auto" w:fill="auto"/>
          </w:tcPr>
          <w:p>
            <w:pPr>
              <w:spacing w:after="0" w:line="240" w:lineRule="auto"/>
              <w:jc w:val="center"/>
              <w:rPr>
                <w:rFonts w:ascii="Times New Roman" w:eastAsia="Times New Roman" w:hAnsi="Times New Roman" w:cs="Times New Roman"/>
                <w:b/>
                <w:i/>
                <w:noProof/>
              </w:rPr>
            </w:pPr>
            <w:r>
              <w:rPr>
                <w:rFonts w:ascii="Times New Roman" w:hAnsi="Times New Roman"/>
                <w:b/>
                <w:i/>
                <w:noProof/>
              </w:rPr>
              <w:t>Disposiciones de aplicación</w:t>
            </w:r>
          </w:p>
        </w:tc>
        <w:tc>
          <w:tcPr>
            <w:tcW w:w="1559" w:type="dxa"/>
            <w:shd w:val="clear" w:color="auto" w:fill="auto"/>
          </w:tcPr>
          <w:p>
            <w:pPr>
              <w:spacing w:after="0" w:line="240" w:lineRule="auto"/>
              <w:jc w:val="center"/>
              <w:rPr>
                <w:rFonts w:ascii="Times New Roman" w:eastAsia="Times New Roman" w:hAnsi="Times New Roman" w:cs="Times New Roman"/>
                <w:b/>
                <w:i/>
                <w:noProof/>
                <w:lang w:val="es-ES_tradnl"/>
              </w:rPr>
            </w:pPr>
            <w:r>
              <w:rPr>
                <w:rFonts w:ascii="Times New Roman" w:hAnsi="Times New Roman"/>
                <w:b/>
                <w:i/>
                <w:noProof/>
                <w:lang w:val="es-ES_tradnl"/>
              </w:rPr>
              <w:t>Fecha de transposición/ entrada en vigor</w:t>
            </w:r>
          </w:p>
        </w:tc>
        <w:tc>
          <w:tcPr>
            <w:tcW w:w="2126" w:type="dxa"/>
          </w:tcPr>
          <w:p>
            <w:pPr>
              <w:spacing w:after="0" w:line="240" w:lineRule="auto"/>
              <w:jc w:val="center"/>
              <w:rPr>
                <w:rFonts w:ascii="Times New Roman" w:eastAsia="Times New Roman" w:hAnsi="Times New Roman" w:cs="Times New Roman"/>
                <w:b/>
                <w:i/>
                <w:noProof/>
                <w:lang w:val="es-ES_tradnl"/>
              </w:rPr>
            </w:pPr>
            <w:r>
              <w:rPr>
                <w:rFonts w:ascii="Times New Roman" w:hAnsi="Times New Roman"/>
                <w:b/>
                <w:i/>
                <w:noProof/>
                <w:lang w:val="es-ES_tradnl"/>
              </w:rPr>
              <w:t>Notificación a las autoridades competentes (artículo 3, apartado 2)</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AT</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 xml:space="preserve">Sí </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20.8.2013</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Modificación de la Ley Federal sobre cooperación judicial en materia penal con los Estados miembros de la UE de 27.12.2011</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Modificación de la Ley en materia de registro de antecedentes penales de 20.4.2012</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Modificación de la Ley en materia de condenas extinguidas 20.4.2012</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27.4.2012</w:t>
            </w:r>
          </w:p>
        </w:tc>
        <w:tc>
          <w:tcPr>
            <w:tcW w:w="2126" w:type="dxa"/>
            <w:vAlign w:val="center"/>
          </w:tcPr>
          <w:p>
            <w:pPr>
              <w:spacing w:after="0" w:line="240" w:lineRule="auto"/>
              <w:rPr>
                <w:rFonts w:ascii="Times New Roman" w:eastAsia="Calibri" w:hAnsi="Times New Roman" w:cs="Times New Roman"/>
                <w:noProof/>
                <w:lang w:val="es-ES_tradnl"/>
              </w:rPr>
            </w:pPr>
            <w:r>
              <w:rPr>
                <w:rFonts w:ascii="Times New Roman" w:hAnsi="Times New Roman"/>
                <w:noProof/>
                <w:lang w:val="es-ES_tradnl"/>
              </w:rPr>
              <w:t>Policía — Oficina de Antecedentes Penales de la Dirección de la Policía Federal en Viena</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BE</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30.1.2015</w:t>
            </w:r>
          </w:p>
          <w:p>
            <w:pPr>
              <w:spacing w:after="0" w:line="240" w:lineRule="auto"/>
              <w:jc w:val="center"/>
              <w:rPr>
                <w:rFonts w:ascii="Times New Roman" w:eastAsia="Times New Roman" w:hAnsi="Times New Roman" w:cs="Times New Roman"/>
                <w:noProof/>
              </w:rPr>
            </w:pPr>
            <w:r>
              <w:rPr>
                <w:rFonts w:ascii="Times New Roman" w:hAnsi="Times New Roman"/>
                <w:noProof/>
              </w:rPr>
              <w:t>18.7.2014</w:t>
            </w:r>
          </w:p>
          <w:p>
            <w:pPr>
              <w:spacing w:after="0" w:line="240" w:lineRule="auto"/>
              <w:jc w:val="center"/>
              <w:rPr>
                <w:rFonts w:ascii="Times New Roman" w:eastAsia="Times New Roman" w:hAnsi="Times New Roman" w:cs="Times New Roman"/>
                <w:noProof/>
              </w:rPr>
            </w:pP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Artículos 589-597 de la Ley de Enjuiciamiento Criminal en su versión modificada por la Ley de 25 de abril de 2014 relativa a diversas cuestiones en materia de justicia</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Proyecto de circular sobre el intercambio de información de los registros de antecedentes penales entre los Estados miembros de la UE</w:t>
            </w:r>
          </w:p>
        </w:tc>
        <w:tc>
          <w:tcPr>
            <w:tcW w:w="1559"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Circular: finales de marzo de 2015;</w:t>
            </w:r>
          </w:p>
          <w:p>
            <w:pPr>
              <w:spacing w:after="0" w:line="240" w:lineRule="auto"/>
              <w:jc w:val="both"/>
              <w:rPr>
                <w:rFonts w:ascii="Times New Roman" w:eastAsia="Times New Roman" w:hAnsi="Times New Roman" w:cs="Times New Roman"/>
                <w:noProof/>
              </w:rPr>
            </w:pPr>
            <w:r>
              <w:rPr>
                <w:rFonts w:ascii="Times New Roman" w:hAnsi="Times New Roman"/>
                <w:noProof/>
              </w:rPr>
              <w:t>medidas previas 24.5.2014</w:t>
            </w:r>
          </w:p>
        </w:tc>
        <w:tc>
          <w:tcPr>
            <w:tcW w:w="2126" w:type="dxa"/>
          </w:tcPr>
          <w:p>
            <w:pPr>
              <w:spacing w:after="0" w:line="240" w:lineRule="auto"/>
              <w:rPr>
                <w:rFonts w:ascii="Times New Roman" w:eastAsia="Times New Roman" w:hAnsi="Times New Roman" w:cs="Times New Roman"/>
                <w:noProof/>
              </w:rPr>
            </w:pPr>
            <w:r>
              <w:rPr>
                <w:rFonts w:ascii="Times New Roman" w:hAnsi="Times New Roman"/>
                <w:noProof/>
              </w:rPr>
              <w:t>Ministerio de Justicia, Oficina Central de Antecedentes Penales (</w:t>
            </w:r>
            <w:r>
              <w:rPr>
                <w:rFonts w:ascii="Times New Roman" w:hAnsi="Times New Roman"/>
                <w:i/>
                <w:noProof/>
              </w:rPr>
              <w:t>Casier Judiciaire Central</w:t>
            </w:r>
            <w:r>
              <w:rPr>
                <w:rFonts w:ascii="Times New Roman" w:hAnsi="Times New Roman"/>
                <w:noProof/>
              </w:rPr>
              <w:t>), Bruselas</w:t>
            </w:r>
          </w:p>
        </w:tc>
      </w:tr>
      <w:tr>
        <w:trPr>
          <w:trHeight w:val="128"/>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BG</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30.7.2014</w:t>
            </w:r>
          </w:p>
          <w:p>
            <w:pPr>
              <w:spacing w:after="0" w:line="240" w:lineRule="auto"/>
              <w:jc w:val="center"/>
              <w:rPr>
                <w:rFonts w:ascii="Times New Roman" w:eastAsia="Times New Roman" w:hAnsi="Times New Roman" w:cs="Times New Roman"/>
                <w:noProof/>
              </w:rPr>
            </w:pPr>
            <w:r>
              <w:rPr>
                <w:rFonts w:ascii="Times New Roman" w:hAnsi="Times New Roman"/>
                <w:noProof/>
              </w:rPr>
              <w:t>20.3.2013</w:t>
            </w:r>
          </w:p>
          <w:p>
            <w:pPr>
              <w:spacing w:after="0" w:line="240" w:lineRule="auto"/>
              <w:jc w:val="center"/>
              <w:rPr>
                <w:rFonts w:ascii="Times New Roman" w:eastAsia="Times New Roman" w:hAnsi="Times New Roman" w:cs="Times New Roman"/>
                <w:noProof/>
              </w:rPr>
            </w:pPr>
          </w:p>
        </w:tc>
        <w:tc>
          <w:tcPr>
            <w:tcW w:w="3544" w:type="dxa"/>
            <w:shd w:val="clear" w:color="auto" w:fill="auto"/>
          </w:tcPr>
          <w:p>
            <w:pPr>
              <w:spacing w:after="0" w:line="240" w:lineRule="auto"/>
              <w:rPr>
                <w:rFonts w:ascii="Times New Roman" w:eastAsia="Times New Roman" w:hAnsi="Times New Roman" w:cs="Times New Roman"/>
                <w:noProof/>
                <w:lang w:val="es-ES_tradnl"/>
              </w:rPr>
            </w:pPr>
            <w:r>
              <w:rPr>
                <w:rFonts w:ascii="Times New Roman" w:hAnsi="Times New Roman"/>
                <w:noProof/>
                <w:lang w:val="es-ES_tradnl"/>
              </w:rPr>
              <w:t>Modificaciones de la Ley del sistema judicial y del Reglamento n.º 8, de 26 de febrero de 2008, sobre el funcionamiento y la organización de las oficinas de registros de antecedentes penales</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15.2.2013</w:t>
            </w:r>
          </w:p>
          <w:p>
            <w:pPr>
              <w:spacing w:after="0" w:line="240" w:lineRule="auto"/>
              <w:jc w:val="both"/>
              <w:rPr>
                <w:rFonts w:ascii="Times New Roman" w:eastAsia="Times New Roman" w:hAnsi="Times New Roman" w:cs="Times New Roman"/>
                <w:noProof/>
              </w:rPr>
            </w:pPr>
            <w:r>
              <w:rPr>
                <w:rFonts w:ascii="Times New Roman" w:hAnsi="Times New Roman"/>
                <w:noProof/>
              </w:rPr>
              <w:t>1.9.2012</w:t>
            </w:r>
          </w:p>
        </w:tc>
        <w:tc>
          <w:tcPr>
            <w:tcW w:w="2126" w:type="dxa"/>
          </w:tcPr>
          <w:p>
            <w:pPr>
              <w:spacing w:after="0" w:line="240" w:lineRule="auto"/>
              <w:rPr>
                <w:rFonts w:ascii="Times New Roman" w:eastAsia="Times New Roman" w:hAnsi="Times New Roman" w:cs="Times New Roman"/>
                <w:noProof/>
              </w:rPr>
            </w:pPr>
            <w:r>
              <w:rPr>
                <w:rFonts w:ascii="Times New Roman" w:hAnsi="Times New Roman"/>
                <w:noProof/>
              </w:rPr>
              <w:t>Ministerio de Justicia, Oficina Central de Registros de Antecedentes Penales, Sofía</w:t>
            </w:r>
          </w:p>
        </w:tc>
      </w:tr>
      <w:tr>
        <w:trPr>
          <w:trHeight w:val="127"/>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CY</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23.4.2012</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Decisión n.º 71.068, de 8 de octubre de 2010, por la que se adopta la Decisión Marco 2009/315/JAI</w:t>
            </w:r>
          </w:p>
        </w:tc>
        <w:tc>
          <w:tcPr>
            <w:tcW w:w="1559" w:type="dxa"/>
            <w:shd w:val="clear" w:color="auto" w:fill="auto"/>
          </w:tcPr>
          <w:p>
            <w:pPr>
              <w:spacing w:after="0" w:line="240" w:lineRule="auto"/>
              <w:jc w:val="both"/>
              <w:rPr>
                <w:rFonts w:ascii="Times New Roman" w:eastAsia="Times New Roman" w:hAnsi="Times New Roman" w:cs="Times New Roman"/>
                <w:noProof/>
                <w:lang w:val="es-ES_tradnl"/>
              </w:rPr>
            </w:pPr>
          </w:p>
        </w:tc>
        <w:tc>
          <w:tcPr>
            <w:tcW w:w="2126" w:type="dxa"/>
          </w:tcPr>
          <w:p>
            <w:pPr>
              <w:spacing w:after="0" w:line="240" w:lineRule="auto"/>
              <w:rPr>
                <w:rFonts w:ascii="Times New Roman" w:eastAsia="Times New Roman" w:hAnsi="Times New Roman" w:cs="Times New Roman"/>
                <w:noProof/>
                <w:lang w:val="es-ES_tradnl"/>
              </w:rPr>
            </w:pPr>
            <w:r>
              <w:rPr>
                <w:rFonts w:ascii="Times New Roman" w:hAnsi="Times New Roman"/>
                <w:noProof/>
                <w:lang w:val="es-ES_tradnl"/>
              </w:rPr>
              <w:t>Policía — Jefe de la policía;</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Oficina de Condenas Anteriores (Departamento C);</w:t>
            </w:r>
          </w:p>
          <w:p>
            <w:pPr>
              <w:spacing w:after="0" w:line="240" w:lineRule="auto"/>
              <w:rPr>
                <w:rFonts w:ascii="Times New Roman" w:eastAsia="Times New Roman" w:hAnsi="Times New Roman" w:cs="Times New Roman"/>
                <w:noProof/>
                <w:lang w:val="es-ES_tradnl"/>
              </w:rPr>
            </w:pPr>
            <w:r>
              <w:rPr>
                <w:rFonts w:ascii="Times New Roman" w:hAnsi="Times New Roman"/>
                <w:noProof/>
                <w:lang w:val="es-ES_tradnl"/>
              </w:rPr>
              <w:t>Oficina de Condenas Anteriores; Cuartel General de la Policía, Infracciones de Tráfico (Departamento temático B);</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Cuartel General de la policía, Dirección de Cooperación Policial con la UE e Internacional</w:t>
            </w:r>
          </w:p>
        </w:tc>
      </w:tr>
      <w:tr>
        <w:trPr>
          <w:trHeight w:val="233"/>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CZ</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25.3.2015</w:t>
            </w:r>
          </w:p>
          <w:p>
            <w:pPr>
              <w:spacing w:after="0" w:line="240" w:lineRule="auto"/>
              <w:jc w:val="center"/>
              <w:rPr>
                <w:rFonts w:ascii="Times New Roman" w:eastAsia="Times New Roman" w:hAnsi="Times New Roman" w:cs="Times New Roman"/>
                <w:noProof/>
              </w:rPr>
            </w:pPr>
            <w:r>
              <w:rPr>
                <w:rFonts w:ascii="Times New Roman" w:hAnsi="Times New Roman"/>
                <w:noProof/>
              </w:rPr>
              <w:t>9.7.2014</w:t>
            </w:r>
          </w:p>
          <w:p>
            <w:pPr>
              <w:spacing w:after="0" w:line="240" w:lineRule="auto"/>
              <w:jc w:val="center"/>
              <w:rPr>
                <w:rFonts w:ascii="Times New Roman" w:eastAsia="Times New Roman" w:hAnsi="Times New Roman" w:cs="Times New Roman"/>
                <w:noProof/>
              </w:rPr>
            </w:pPr>
            <w:r>
              <w:rPr>
                <w:rFonts w:ascii="Times New Roman" w:hAnsi="Times New Roman"/>
                <w:noProof/>
              </w:rPr>
              <w:t>1.2.2013</w:t>
            </w:r>
          </w:p>
        </w:tc>
        <w:tc>
          <w:tcPr>
            <w:tcW w:w="3544" w:type="dxa"/>
            <w:shd w:val="clear" w:color="auto" w:fill="auto"/>
          </w:tcPr>
          <w:p>
            <w:pPr>
              <w:spacing w:after="0" w:line="240" w:lineRule="auto"/>
              <w:rPr>
                <w:rFonts w:ascii="Times New Roman" w:eastAsia="Times New Roman" w:hAnsi="Times New Roman" w:cs="Times New Roman"/>
                <w:noProof/>
                <w:lang w:val="es-ES_tradnl"/>
              </w:rPr>
            </w:pPr>
            <w:r>
              <w:rPr>
                <w:rFonts w:ascii="Times New Roman" w:hAnsi="Times New Roman"/>
                <w:noProof/>
                <w:lang w:val="es-ES_tradnl"/>
              </w:rPr>
              <w:t>Ley n.º 357/2011 por la que se modifica la Ley n.º 269/1994 sobre antecedentes penales, en su versión modificada, y otras leyes</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27.4.2012</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 xml:space="preserve">Ministerio de Justicia — Oficina de Antecedentes Penales en Praga; Ministerio de Justicia </w:t>
            </w:r>
          </w:p>
        </w:tc>
      </w:tr>
      <w:tr>
        <w:trPr>
          <w:trHeight w:val="128"/>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DE</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25.6.2014</w:t>
            </w:r>
          </w:p>
          <w:p>
            <w:pPr>
              <w:spacing w:after="0" w:line="240" w:lineRule="auto"/>
              <w:jc w:val="center"/>
              <w:rPr>
                <w:rFonts w:ascii="Times New Roman" w:eastAsia="Times New Roman" w:hAnsi="Times New Roman" w:cs="Times New Roman"/>
                <w:noProof/>
              </w:rPr>
            </w:pPr>
            <w:r>
              <w:rPr>
                <w:rFonts w:ascii="Times New Roman" w:hAnsi="Times New Roman"/>
                <w:noProof/>
              </w:rPr>
              <w:t>16.3.2012</w:t>
            </w:r>
          </w:p>
          <w:p>
            <w:pPr>
              <w:spacing w:after="0" w:line="240" w:lineRule="auto"/>
              <w:jc w:val="center"/>
              <w:rPr>
                <w:rFonts w:ascii="Times New Roman" w:eastAsia="Times New Roman" w:hAnsi="Times New Roman" w:cs="Times New Roman"/>
                <w:noProof/>
              </w:rPr>
            </w:pP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de mejora del intercambio de datos de los registros de antecedentes penales entre los Estados miembros de la Unión Europea y por el que se modifican las disposiciones que regulan los registros con arreglo a la Ley de 15 de diciembre de 2011</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 xml:space="preserve">27.4.2012 </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Ministerio de Justicia — Registro Federal Central, Bonn</w:t>
            </w:r>
          </w:p>
        </w:tc>
      </w:tr>
      <w:tr>
        <w:trPr>
          <w:trHeight w:val="127"/>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DK</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No</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 xml:space="preserve"> </w:t>
            </w:r>
          </w:p>
        </w:tc>
        <w:tc>
          <w:tcPr>
            <w:tcW w:w="3544" w:type="dxa"/>
            <w:shd w:val="clear" w:color="auto" w:fill="auto"/>
          </w:tcPr>
          <w:p>
            <w:pPr>
              <w:spacing w:after="0" w:line="240" w:lineRule="auto"/>
              <w:jc w:val="both"/>
              <w:rPr>
                <w:rFonts w:ascii="Times New Roman" w:eastAsia="Times New Roman" w:hAnsi="Times New Roman" w:cs="Times New Roman"/>
                <w:noProof/>
              </w:rPr>
            </w:pP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Policía — Centro de Comunicaciones de la Policía Nacional danesa, Copenhague</w:t>
            </w:r>
          </w:p>
        </w:tc>
      </w:tr>
      <w:tr>
        <w:trPr>
          <w:trHeight w:val="127"/>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EE</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12.2.2015</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de Registro de Condenas de 17 de febrero de 2011</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1.1.2012</w:t>
            </w:r>
          </w:p>
        </w:tc>
        <w:tc>
          <w:tcPr>
            <w:tcW w:w="2126" w:type="dxa"/>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Ministerio de Justicia — Centro de Sistemas de Información y Registro, Tallin</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EL</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No</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p>
        </w:tc>
        <w:tc>
          <w:tcPr>
            <w:tcW w:w="3544" w:type="dxa"/>
            <w:shd w:val="clear" w:color="auto" w:fill="auto"/>
          </w:tcPr>
          <w:p>
            <w:pPr>
              <w:spacing w:after="0" w:line="240" w:lineRule="auto"/>
              <w:jc w:val="both"/>
              <w:rPr>
                <w:rFonts w:ascii="Times New Roman" w:eastAsia="Times New Roman" w:hAnsi="Times New Roman" w:cs="Times New Roman"/>
                <w:noProof/>
              </w:rPr>
            </w:pP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jc w:val="both"/>
              <w:rPr>
                <w:rFonts w:ascii="Times New Roman" w:eastAsia="Times New Roman" w:hAnsi="Times New Roman" w:cs="Times New Roman"/>
                <w:noProof/>
                <w:lang w:val="pt-PT"/>
              </w:rPr>
            </w:pPr>
            <w:r>
              <w:rPr>
                <w:rFonts w:ascii="Times New Roman" w:hAnsi="Times New Roman"/>
                <w:noProof/>
                <w:lang w:val="pt-PT"/>
              </w:rPr>
              <w:t>Ministerio de Justicia — Departamento de Antecedentes Penales, Atenas</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ES</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14.11.2014</w:t>
            </w:r>
          </w:p>
          <w:p>
            <w:pPr>
              <w:spacing w:after="0" w:line="240" w:lineRule="auto"/>
              <w:jc w:val="center"/>
              <w:rPr>
                <w:rFonts w:ascii="Times New Roman" w:eastAsia="Times New Roman" w:hAnsi="Times New Roman" w:cs="Times New Roman"/>
                <w:noProof/>
              </w:rPr>
            </w:pPr>
            <w:r>
              <w:rPr>
                <w:rFonts w:ascii="Times New Roman" w:hAnsi="Times New Roman"/>
                <w:noProof/>
              </w:rPr>
              <w:t>7.7.2014</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La Ley Orgánica 7/2014, de 12 de noviembre de 2014, sobre intercambio de información de antecedentes penales y consideración de resoluciones judiciales penales en la Unión Europea</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1.12.2014</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Ministerio de Justicia — Registro Central de Penados, Madrid</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FI</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26.6.2014</w:t>
            </w:r>
          </w:p>
          <w:p>
            <w:pPr>
              <w:spacing w:after="0" w:line="240" w:lineRule="auto"/>
              <w:jc w:val="center"/>
              <w:rPr>
                <w:rFonts w:ascii="Times New Roman" w:eastAsia="Times New Roman" w:hAnsi="Times New Roman" w:cs="Times New Roman"/>
                <w:noProof/>
              </w:rPr>
            </w:pPr>
            <w:r>
              <w:rPr>
                <w:rFonts w:ascii="Times New Roman" w:hAnsi="Times New Roman"/>
                <w:noProof/>
              </w:rPr>
              <w:t>29.5.2012</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sobre la conservación y divulgación de los registros de antecedentes penales entre Finlandia y otros Estados miembros de la Unión Europea (214/2012), de 11 de mayo de 2012</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por la que se modifica la Ley en materia de Registro de Antecedentes Penales (215/2012), a excepción de la enmienda a la sección 4ª, de 11 de mayo de 2012</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por la que se modifica la sección 24 de la Ley de asistencia jurídica internacional en materia penal (217/2012), de 11 de mayo de 2012</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15.5.2012</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Ministerio de Justicia — Centro de Registros Oficiales, Hameenlinna</w:t>
            </w:r>
          </w:p>
        </w:tc>
      </w:tr>
      <w:tr>
        <w:trPr>
          <w:trHeight w:val="128"/>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FR</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10.3.2015</w:t>
            </w:r>
          </w:p>
          <w:p>
            <w:pPr>
              <w:spacing w:after="0" w:line="240" w:lineRule="auto"/>
              <w:jc w:val="center"/>
              <w:rPr>
                <w:rFonts w:ascii="Times New Roman" w:eastAsia="Times New Roman" w:hAnsi="Times New Roman" w:cs="Times New Roman"/>
                <w:noProof/>
              </w:rPr>
            </w:pPr>
            <w:r>
              <w:rPr>
                <w:rFonts w:ascii="Times New Roman" w:hAnsi="Times New Roman"/>
                <w:noProof/>
              </w:rPr>
              <w:t>20.1.2015</w:t>
            </w:r>
          </w:p>
          <w:p>
            <w:pPr>
              <w:spacing w:after="0" w:line="240" w:lineRule="auto"/>
              <w:jc w:val="center"/>
              <w:rPr>
                <w:rFonts w:ascii="Times New Roman" w:eastAsia="Times New Roman" w:hAnsi="Times New Roman" w:cs="Times New Roman"/>
                <w:noProof/>
              </w:rPr>
            </w:pPr>
            <w:r>
              <w:rPr>
                <w:rFonts w:ascii="Times New Roman" w:hAnsi="Times New Roman"/>
                <w:noProof/>
              </w:rPr>
              <w:t>22.1.2013</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2012-409, de 27 de marzo de 2012, relativa a la ejecución de condenas</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Decreto n.º 214, de 28 de noviembre de 2014, relativo a los registros de antecedentes penales nacionales y a los intercambios con otros Estados miembros de la UE</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1.12.2014</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Ministerio de Justicia, Registro Nacional de Antecedentes Penales, Nantes</w:t>
            </w:r>
          </w:p>
        </w:tc>
      </w:tr>
      <w:tr>
        <w:trPr>
          <w:trHeight w:val="127"/>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HR</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18.6.2014</w:t>
            </w:r>
          </w:p>
          <w:p>
            <w:pPr>
              <w:spacing w:after="0" w:line="240" w:lineRule="auto"/>
              <w:jc w:val="center"/>
              <w:rPr>
                <w:rFonts w:ascii="Times New Roman" w:eastAsia="Times New Roman" w:hAnsi="Times New Roman" w:cs="Times New Roman"/>
                <w:noProof/>
              </w:rPr>
            </w:pPr>
            <w:r>
              <w:rPr>
                <w:rFonts w:ascii="Times New Roman" w:hAnsi="Times New Roman"/>
                <w:noProof/>
              </w:rPr>
              <w:t>28.6.2013</w:t>
            </w:r>
          </w:p>
        </w:tc>
        <w:tc>
          <w:tcPr>
            <w:tcW w:w="3544" w:type="dxa"/>
            <w:shd w:val="clear" w:color="auto" w:fill="auto"/>
          </w:tcPr>
          <w:p>
            <w:pPr>
              <w:spacing w:after="0" w:line="240" w:lineRule="auto"/>
              <w:rPr>
                <w:rFonts w:ascii="Times New Roman" w:eastAsia="Times New Roman" w:hAnsi="Times New Roman" w:cs="Times New Roman"/>
                <w:noProof/>
                <w:lang w:val="es-ES_tradnl"/>
              </w:rPr>
            </w:pPr>
            <w:r>
              <w:rPr>
                <w:rFonts w:ascii="Times New Roman" w:hAnsi="Times New Roman"/>
                <w:noProof/>
                <w:lang w:val="es-ES_tradnl"/>
              </w:rPr>
              <w:t>Ley n.º 143/12 sobre las consecuencias jurídicas de las condenas, registro de antecedentes penales y rehabilitación</w:t>
            </w:r>
          </w:p>
          <w:p>
            <w:pPr>
              <w:spacing w:after="0" w:line="240" w:lineRule="auto"/>
              <w:jc w:val="both"/>
              <w:rPr>
                <w:rFonts w:ascii="Times New Roman" w:eastAsia="Times New Roman" w:hAnsi="Times New Roman" w:cs="Times New Roman"/>
                <w:noProof/>
              </w:rPr>
            </w:pPr>
            <w:r>
              <w:rPr>
                <w:rFonts w:ascii="Times New Roman" w:hAnsi="Times New Roman"/>
                <w:noProof/>
              </w:rPr>
              <w:t>Modificaciones al código normativo que afecta a los registros de antecedentes penales (NN, n.º 66/2013)</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1.7.2013</w:t>
            </w: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Ministerio de Justicia, Zagreb</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HU</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30.12.2014</w:t>
            </w:r>
          </w:p>
          <w:p>
            <w:pPr>
              <w:spacing w:after="0" w:line="240" w:lineRule="auto"/>
              <w:jc w:val="center"/>
              <w:rPr>
                <w:rFonts w:ascii="Times New Roman" w:eastAsia="Times New Roman" w:hAnsi="Times New Roman" w:cs="Times New Roman"/>
                <w:noProof/>
              </w:rPr>
            </w:pPr>
            <w:r>
              <w:rPr>
                <w:rFonts w:ascii="Times New Roman" w:hAnsi="Times New Roman"/>
                <w:noProof/>
              </w:rPr>
              <w:t>28.11.2014</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XLVII de 2009 sobre el sistema de antecedentes penales, el registro de las condenas dictadas contra los nacionales húngaros por órganos jurisdiccionales de los Estados miembros de la Unión Europea, y registro de datos biométricos penales y policiales</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LXXVIII de 2013, de adecuación de determinadas leyes en materia penal</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CLXXXVI de 2013 por la que se modifican determinadas leyes en materia penal y otros actos relacionados</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XIX de 1998 sobre el procedimiento penal</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Decreto del Gobierno n.º 276, de 23 de diciembre de 2006, relativo al establecimiento, las responsabilidades y las competencias de la Oficina Central de Servicios Públicos Electrónicos y Administrativos</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CXII de 2011 sobre la autonomía de la información y la libertad de información</w:t>
            </w:r>
          </w:p>
        </w:tc>
        <w:tc>
          <w:tcPr>
            <w:tcW w:w="1559" w:type="dxa"/>
            <w:shd w:val="clear" w:color="auto" w:fill="auto"/>
          </w:tcPr>
          <w:p>
            <w:pPr>
              <w:spacing w:after="0" w:line="240" w:lineRule="auto"/>
              <w:jc w:val="both"/>
              <w:rPr>
                <w:rFonts w:ascii="Times New Roman" w:eastAsia="Times New Roman" w:hAnsi="Times New Roman" w:cs="Times New Roman"/>
                <w:noProof/>
                <w:lang w:val="es-ES_tradnl"/>
              </w:rPr>
            </w:pPr>
          </w:p>
        </w:tc>
        <w:tc>
          <w:tcPr>
            <w:tcW w:w="2126" w:type="dxa"/>
          </w:tcPr>
          <w:p>
            <w:pPr>
              <w:spacing w:after="0" w:line="240" w:lineRule="auto"/>
              <w:jc w:val="both"/>
              <w:rPr>
                <w:rFonts w:ascii="Times New Roman" w:hAnsi="Times New Roman"/>
                <w:noProof/>
              </w:rPr>
            </w:pPr>
            <w:r>
              <w:rPr>
                <w:rFonts w:ascii="Times New Roman" w:hAnsi="Times New Roman"/>
                <w:noProof/>
              </w:rPr>
              <w:t>Ministerio del Interior — Instituto Central de Servicios Públicos Electrónicos y Administrativos, Budapest</w:t>
            </w:r>
          </w:p>
        </w:tc>
      </w:tr>
      <w:tr>
        <w:trPr>
          <w:trHeight w:val="279"/>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IE</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No - proyecto de ley recibido</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 xml:space="preserve"> </w:t>
            </w:r>
          </w:p>
        </w:tc>
        <w:tc>
          <w:tcPr>
            <w:tcW w:w="3544" w:type="dxa"/>
            <w:shd w:val="clear" w:color="auto" w:fill="auto"/>
          </w:tcPr>
          <w:p>
            <w:pPr>
              <w:spacing w:after="0" w:line="240" w:lineRule="auto"/>
              <w:jc w:val="both"/>
              <w:rPr>
                <w:rFonts w:ascii="Times New Roman" w:eastAsia="Times New Roman" w:hAnsi="Times New Roman" w:cs="Times New Roman"/>
                <w:noProof/>
              </w:rPr>
            </w:pP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Ministerio del Interior — Comisario de Garda (Policía Nacional), Tipperary</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IT</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No</w:t>
            </w:r>
          </w:p>
        </w:tc>
        <w:tc>
          <w:tcPr>
            <w:tcW w:w="3544" w:type="dxa"/>
            <w:shd w:val="clear" w:color="auto" w:fill="auto"/>
          </w:tcPr>
          <w:p>
            <w:pPr>
              <w:spacing w:after="0" w:line="240" w:lineRule="auto"/>
              <w:jc w:val="both"/>
              <w:rPr>
                <w:rFonts w:ascii="Times New Roman" w:eastAsia="Times New Roman" w:hAnsi="Times New Roman" w:cs="Times New Roman"/>
                <w:noProof/>
              </w:rPr>
            </w:pP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jc w:val="both"/>
              <w:rPr>
                <w:rFonts w:ascii="Times New Roman" w:eastAsia="Times New Roman" w:hAnsi="Times New Roman" w:cs="Times New Roman"/>
                <w:noProof/>
              </w:rPr>
            </w:pPr>
            <w:r>
              <w:rPr>
                <w:rFonts w:ascii="Times New Roman" w:hAnsi="Times New Roman"/>
                <w:noProof/>
              </w:rPr>
              <w:t>Ministerio de Justicia — Oficina de Antecedentes Penales, Roma</w:t>
            </w:r>
          </w:p>
        </w:tc>
      </w:tr>
      <w:tr>
        <w:trPr>
          <w:trHeight w:val="260"/>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LT</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27.5.2014</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sobre el registro de sospechosos, acusados y condenados N.º XI-1503, adoptada el 22 de junio de 2011</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Normas para el registro de los sospechosos, acusados y condenados, aprobada mediante Resolución n.º 435 del Gobierno de la República de Lituania, de 18 de abril de 2012</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Normas para el registro de personas y divulgación de datos del registro de sospechosos, acusados y condenados, de 10 de agosto de 2012</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1.7.2012</w:t>
            </w:r>
          </w:p>
        </w:tc>
        <w:tc>
          <w:tcPr>
            <w:tcW w:w="2126" w:type="dxa"/>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Ministerio del Interior — Departamento de Comunicaciones y Tecnología de la Información, Vilnius</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LU</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3.7.2014</w:t>
            </w:r>
          </w:p>
          <w:p>
            <w:pPr>
              <w:spacing w:after="0" w:line="240" w:lineRule="auto"/>
              <w:jc w:val="center"/>
              <w:rPr>
                <w:rFonts w:ascii="Times New Roman" w:eastAsia="Times New Roman" w:hAnsi="Times New Roman" w:cs="Times New Roman"/>
                <w:noProof/>
              </w:rPr>
            </w:pPr>
            <w:r>
              <w:rPr>
                <w:rFonts w:ascii="Times New Roman" w:hAnsi="Times New Roman"/>
                <w:noProof/>
              </w:rPr>
              <w:t>24.5.2013</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de 29 de marzo de 2013 sobre la organización y el intercambio de información de los registros de antecedentes penales entre los Estados miembros de la UE</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1.8.2013</w:t>
            </w:r>
          </w:p>
        </w:tc>
        <w:tc>
          <w:tcPr>
            <w:tcW w:w="2126" w:type="dxa"/>
          </w:tcPr>
          <w:p>
            <w:pPr>
              <w:spacing w:after="0" w:line="240" w:lineRule="auto"/>
              <w:rPr>
                <w:rFonts w:ascii="Times New Roman" w:eastAsia="Times New Roman" w:hAnsi="Times New Roman" w:cs="Times New Roman"/>
                <w:noProof/>
              </w:rPr>
            </w:pPr>
            <w:r>
              <w:rPr>
                <w:rFonts w:ascii="Times New Roman" w:hAnsi="Times New Roman"/>
                <w:noProof/>
              </w:rPr>
              <w:t>Fiscalía General, Luxemburgo</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LV</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27.1.2015</w:t>
            </w:r>
          </w:p>
          <w:p>
            <w:pPr>
              <w:spacing w:after="0" w:line="240" w:lineRule="auto"/>
              <w:jc w:val="center"/>
              <w:rPr>
                <w:rFonts w:ascii="Times New Roman" w:eastAsia="Times New Roman" w:hAnsi="Times New Roman" w:cs="Times New Roman"/>
                <w:noProof/>
              </w:rPr>
            </w:pPr>
            <w:r>
              <w:rPr>
                <w:rFonts w:ascii="Times New Roman" w:hAnsi="Times New Roman"/>
                <w:noProof/>
              </w:rPr>
              <w:t>24.7.2014</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 xml:space="preserve">Ley en materia de antecedentes penales, de 10 de octubre de 2013 </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Reglamento del Consejo de Ministros n.º 1427, de 10 de diciembre de 2013, en relación con el contenido y la estructura del formulario de solicitud y comunicación de información sobre las condenas;</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Reglamento del Consejo de Ministros en relación con el suministro y la recepción de la información de los registros de antecedentes penales, el importe del derecho y la preparación del extracto</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1.1.2014</w:t>
            </w:r>
          </w:p>
        </w:tc>
        <w:tc>
          <w:tcPr>
            <w:tcW w:w="2126" w:type="dxa"/>
          </w:tcPr>
          <w:p>
            <w:pPr>
              <w:spacing w:after="0" w:line="240" w:lineRule="auto"/>
              <w:rPr>
                <w:rFonts w:ascii="Times New Roman" w:eastAsia="Times New Roman" w:hAnsi="Times New Roman" w:cs="Times New Roman"/>
                <w:noProof/>
                <w:lang w:val="es-ES_tradnl"/>
              </w:rPr>
            </w:pPr>
            <w:r>
              <w:rPr>
                <w:rFonts w:ascii="Times New Roman" w:hAnsi="Times New Roman"/>
                <w:noProof/>
                <w:lang w:val="es-ES_tradnl"/>
              </w:rPr>
              <w:t>Ministerio del Interior — Centro de Información, Riga</w:t>
            </w:r>
          </w:p>
        </w:tc>
      </w:tr>
      <w:tr>
        <w:trPr>
          <w:trHeight w:val="328"/>
        </w:trP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MT</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No</w:t>
            </w:r>
          </w:p>
        </w:tc>
        <w:tc>
          <w:tcPr>
            <w:tcW w:w="3544" w:type="dxa"/>
            <w:shd w:val="clear" w:color="auto" w:fill="auto"/>
          </w:tcPr>
          <w:p>
            <w:pPr>
              <w:spacing w:after="0" w:line="240" w:lineRule="auto"/>
              <w:jc w:val="both"/>
              <w:rPr>
                <w:rFonts w:ascii="Times New Roman" w:eastAsia="Times New Roman" w:hAnsi="Times New Roman" w:cs="Times New Roman"/>
                <w:noProof/>
              </w:rPr>
            </w:pP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rPr>
                <w:rFonts w:ascii="Times New Roman" w:eastAsia="Times New Roman" w:hAnsi="Times New Roman" w:cs="Times New Roman"/>
                <w:noProof/>
                <w:lang w:val="es-ES_tradnl"/>
              </w:rPr>
            </w:pPr>
            <w:r>
              <w:rPr>
                <w:rFonts w:ascii="Times New Roman" w:hAnsi="Times New Roman"/>
                <w:noProof/>
                <w:lang w:val="es-ES_tradnl"/>
              </w:rPr>
              <w:t>Policía — Departamento de Investigación Criminal, Floriana</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NL</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12.4.2012</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Decreto de 23 de marzo de 2012 por el que se modifica el Decreto sobre datos judiciales y registros de antecedentes penales</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1.4.2012</w:t>
            </w:r>
          </w:p>
        </w:tc>
        <w:tc>
          <w:tcPr>
            <w:tcW w:w="2126" w:type="dxa"/>
          </w:tcPr>
          <w:p>
            <w:pPr>
              <w:spacing w:after="0" w:line="240" w:lineRule="auto"/>
              <w:rPr>
                <w:rFonts w:ascii="Times New Roman" w:eastAsia="Times New Roman" w:hAnsi="Times New Roman" w:cs="Times New Roman"/>
                <w:noProof/>
                <w:lang w:val="es-ES_tradnl"/>
              </w:rPr>
            </w:pPr>
            <w:r>
              <w:rPr>
                <w:rFonts w:ascii="Times New Roman" w:hAnsi="Times New Roman"/>
                <w:noProof/>
                <w:lang w:val="es-ES_tradnl"/>
              </w:rPr>
              <w:t>Ministerio de Justicia — Servicio de Información Judicial, Almelo</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PL</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31.7.2013</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de 16 de septiembre de 2011 por la que se modifica la Ley relativa al registro nacional de antecedentes penales</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27.4.2012</w:t>
            </w:r>
          </w:p>
        </w:tc>
        <w:tc>
          <w:tcPr>
            <w:tcW w:w="2126" w:type="dxa"/>
          </w:tcPr>
          <w:p>
            <w:pPr>
              <w:spacing w:after="0" w:line="240" w:lineRule="auto"/>
              <w:rPr>
                <w:rFonts w:ascii="Times New Roman" w:eastAsia="Times New Roman" w:hAnsi="Times New Roman" w:cs="Times New Roman"/>
                <w:noProof/>
              </w:rPr>
            </w:pPr>
            <w:r>
              <w:rPr>
                <w:rFonts w:ascii="Times New Roman" w:hAnsi="Times New Roman"/>
                <w:noProof/>
              </w:rPr>
              <w:t xml:space="preserve">Ministerio de Justicia, Oficina de Información sobre Antecedentes Penales, Varsovia </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PT</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15.6.2015</w:t>
            </w:r>
          </w:p>
          <w:p>
            <w:pPr>
              <w:spacing w:after="0" w:line="240" w:lineRule="auto"/>
              <w:jc w:val="center"/>
              <w:rPr>
                <w:rFonts w:ascii="Times New Roman" w:eastAsia="Times New Roman" w:hAnsi="Times New Roman" w:cs="Times New Roman"/>
                <w:noProof/>
              </w:rPr>
            </w:pPr>
            <w:r>
              <w:rPr>
                <w:rFonts w:ascii="Times New Roman" w:hAnsi="Times New Roman"/>
                <w:noProof/>
              </w:rPr>
              <w:t>5.5.2015</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n.º 37/2015, de 5 de mayo de 2015, por la que se establecen los principios relativos a la organización y funcionamiento de la identificación y la transposición de la Decisión Marco 2009/315/JHA a la legislación nacional.</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22.7.2015</w:t>
            </w:r>
          </w:p>
        </w:tc>
        <w:tc>
          <w:tcPr>
            <w:tcW w:w="2126" w:type="dxa"/>
          </w:tcPr>
          <w:p>
            <w:pPr>
              <w:spacing w:after="0" w:line="240" w:lineRule="auto"/>
              <w:rPr>
                <w:rFonts w:ascii="Times New Roman" w:eastAsia="Times New Roman" w:hAnsi="Times New Roman" w:cs="Times New Roman"/>
                <w:noProof/>
              </w:rPr>
            </w:pPr>
            <w:r>
              <w:rPr>
                <w:rFonts w:ascii="Times New Roman" w:hAnsi="Times New Roman"/>
                <w:noProof/>
              </w:rPr>
              <w:t>Ministerio de Justicia — Servicios de Identificación Penal, Lisboa</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RO</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No</w:t>
            </w:r>
          </w:p>
        </w:tc>
        <w:tc>
          <w:tcPr>
            <w:tcW w:w="3544" w:type="dxa"/>
            <w:shd w:val="clear" w:color="auto" w:fill="auto"/>
          </w:tcPr>
          <w:p>
            <w:pPr>
              <w:spacing w:after="0" w:line="240" w:lineRule="auto"/>
              <w:jc w:val="both"/>
              <w:rPr>
                <w:rFonts w:ascii="Times New Roman" w:eastAsia="Times New Roman" w:hAnsi="Times New Roman" w:cs="Times New Roman"/>
                <w:noProof/>
              </w:rPr>
            </w:pPr>
          </w:p>
        </w:tc>
        <w:tc>
          <w:tcPr>
            <w:tcW w:w="1559" w:type="dxa"/>
            <w:shd w:val="clear" w:color="auto" w:fill="auto"/>
          </w:tcPr>
          <w:p>
            <w:pPr>
              <w:spacing w:after="0" w:line="240" w:lineRule="auto"/>
              <w:jc w:val="both"/>
              <w:rPr>
                <w:rFonts w:ascii="Times New Roman" w:eastAsia="Times New Roman" w:hAnsi="Times New Roman" w:cs="Times New Roman"/>
                <w:noProof/>
              </w:rPr>
            </w:pPr>
          </w:p>
        </w:tc>
        <w:tc>
          <w:tcPr>
            <w:tcW w:w="2126" w:type="dxa"/>
          </w:tcPr>
          <w:p>
            <w:pPr>
              <w:spacing w:after="0" w:line="240" w:lineRule="auto"/>
              <w:rPr>
                <w:rFonts w:ascii="Times New Roman" w:eastAsia="Times New Roman" w:hAnsi="Times New Roman" w:cs="Times New Roman"/>
                <w:noProof/>
                <w:lang w:val="es-ES_tradnl"/>
              </w:rPr>
            </w:pPr>
            <w:r>
              <w:rPr>
                <w:rFonts w:ascii="Times New Roman" w:hAnsi="Times New Roman"/>
                <w:noProof/>
                <w:lang w:val="es-ES_tradnl"/>
              </w:rPr>
              <w:t>Ministerio del Interior, Inspección general de la policía: Dirección de Registros de Antecedentes Penales, Estadísticas y Registros Operativos, Bucarest</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SE</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21.5.2013</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de modificación de la Ley de registros de antecedentes penales (1998: 620)</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por la que se modifica la Ley sobre datos de la policía (2010: 361);</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por la que se modifica la Ley de asistencia jurídica internacional en materia penal (2000:562)</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por la que se modifica la Ley de Secretos y Acceso Público a la información (2009: 400)</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Reglamento por el que se modifica la Orden sobre datos de la policía (2010: 1155)</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Orden que modifica la Orden que contiene instrucciones de la Dirección General de la Policía Nacional (1989: 773)</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Orden de modificación de la Orden de registros de antecedentes penales (1999: 1134)</w:t>
            </w:r>
          </w:p>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 todas adoptadas el 29 de noviembre de 2012</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1.1.2013</w:t>
            </w:r>
          </w:p>
        </w:tc>
        <w:tc>
          <w:tcPr>
            <w:tcW w:w="2126" w:type="dxa"/>
          </w:tcPr>
          <w:p>
            <w:pPr>
              <w:spacing w:after="0" w:line="240" w:lineRule="auto"/>
              <w:rPr>
                <w:rFonts w:ascii="Times New Roman" w:eastAsia="Times New Roman" w:hAnsi="Times New Roman" w:cs="Times New Roman"/>
                <w:noProof/>
                <w:lang w:val="es-ES_tradnl"/>
              </w:rPr>
            </w:pPr>
            <w:r>
              <w:rPr>
                <w:rFonts w:ascii="Times New Roman" w:hAnsi="Times New Roman"/>
                <w:noProof/>
                <w:lang w:val="es-ES_tradnl"/>
              </w:rPr>
              <w:t>Policía, Dirección de la Policía Nacional, Kiruna</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SI</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12.12.2013</w:t>
            </w:r>
          </w:p>
          <w:p>
            <w:pPr>
              <w:spacing w:after="0" w:line="240" w:lineRule="auto"/>
              <w:jc w:val="center"/>
              <w:rPr>
                <w:rFonts w:ascii="Times New Roman" w:eastAsia="Times New Roman" w:hAnsi="Times New Roman" w:cs="Times New Roman"/>
                <w:noProof/>
              </w:rPr>
            </w:pPr>
            <w:r>
              <w:rPr>
                <w:rFonts w:ascii="Times New Roman" w:hAnsi="Times New Roman"/>
                <w:noProof/>
              </w:rPr>
              <w:t>22.10.2013</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sobre cooperación internacional en materia penal entre los Estados miembros de la Unión Europea, de 23 de mayo de 2013</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20.9.2013</w:t>
            </w:r>
          </w:p>
        </w:tc>
        <w:tc>
          <w:tcPr>
            <w:tcW w:w="2126" w:type="dxa"/>
          </w:tcPr>
          <w:p>
            <w:pPr>
              <w:spacing w:after="0" w:line="240" w:lineRule="auto"/>
              <w:rPr>
                <w:rFonts w:ascii="Times New Roman" w:eastAsia="Times New Roman" w:hAnsi="Times New Roman" w:cs="Times New Roman"/>
                <w:noProof/>
              </w:rPr>
            </w:pPr>
            <w:r>
              <w:rPr>
                <w:rFonts w:ascii="Times New Roman" w:hAnsi="Times New Roman"/>
                <w:noProof/>
              </w:rPr>
              <w:t>Ministerio de Justicia — Departamento de Antecedentes Penales, Liubliana</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SK</w:t>
            </w:r>
          </w:p>
        </w:tc>
        <w:tc>
          <w:tcPr>
            <w:tcW w:w="1446" w:type="dxa"/>
            <w:shd w:val="clear" w:color="auto" w:fill="auto"/>
          </w:tcPr>
          <w:p>
            <w:pPr>
              <w:spacing w:after="0" w:line="240" w:lineRule="auto"/>
              <w:jc w:val="center"/>
              <w:rPr>
                <w:rFonts w:ascii="Times New Roman" w:eastAsia="Times New Roman" w:hAnsi="Times New Roman" w:cs="Times New Roman"/>
                <w:noProof/>
              </w:rPr>
            </w:pPr>
            <w:r>
              <w:rPr>
                <w:rFonts w:ascii="Times New Roman" w:hAnsi="Times New Roman"/>
                <w:noProof/>
              </w:rPr>
              <w:t>Sí</w:t>
            </w:r>
          </w:p>
          <w:p>
            <w:pPr>
              <w:spacing w:after="0" w:line="240" w:lineRule="auto"/>
              <w:jc w:val="center"/>
              <w:rPr>
                <w:rFonts w:ascii="Times New Roman" w:eastAsia="Times New Roman" w:hAnsi="Times New Roman" w:cs="Times New Roman"/>
                <w:noProof/>
              </w:rPr>
            </w:pPr>
          </w:p>
          <w:p>
            <w:pPr>
              <w:spacing w:after="0" w:line="240" w:lineRule="auto"/>
              <w:jc w:val="center"/>
              <w:rPr>
                <w:rFonts w:ascii="Times New Roman" w:eastAsia="Times New Roman" w:hAnsi="Times New Roman" w:cs="Times New Roman"/>
                <w:noProof/>
              </w:rPr>
            </w:pPr>
            <w:r>
              <w:rPr>
                <w:rFonts w:ascii="Times New Roman" w:hAnsi="Times New Roman"/>
                <w:noProof/>
              </w:rPr>
              <w:t>10.6.2014</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Ley n.º 334/2012 por la que se modifica la Ley n.º 330/2007 sobre antecedentes penales y por la que se modifican determinadas leyes</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1.1.2013</w:t>
            </w:r>
          </w:p>
        </w:tc>
        <w:tc>
          <w:tcPr>
            <w:tcW w:w="2126" w:type="dxa"/>
          </w:tcPr>
          <w:p>
            <w:pPr>
              <w:spacing w:after="0" w:line="240" w:lineRule="auto"/>
              <w:rPr>
                <w:rFonts w:ascii="Times New Roman" w:eastAsia="Times New Roman" w:hAnsi="Times New Roman" w:cs="Times New Roman"/>
                <w:noProof/>
                <w:lang w:val="es-ES_tradnl"/>
              </w:rPr>
            </w:pPr>
            <w:r>
              <w:rPr>
                <w:rFonts w:ascii="Times New Roman" w:hAnsi="Times New Roman"/>
                <w:noProof/>
                <w:lang w:val="es-ES_tradnl"/>
              </w:rPr>
              <w:t>Oficina de la Fiscalía General, Bratislava</w:t>
            </w:r>
          </w:p>
        </w:tc>
      </w:tr>
      <w:tr>
        <w:tc>
          <w:tcPr>
            <w:tcW w:w="647" w:type="dxa"/>
            <w:shd w:val="clear" w:color="auto" w:fill="auto"/>
          </w:tcPr>
          <w:p>
            <w:pPr>
              <w:spacing w:after="0" w:line="240" w:lineRule="auto"/>
              <w:jc w:val="center"/>
              <w:rPr>
                <w:rFonts w:ascii="Times New Roman" w:eastAsia="Times New Roman" w:hAnsi="Times New Roman" w:cs="Times New Roman"/>
                <w:b/>
                <w:noProof/>
              </w:rPr>
            </w:pPr>
            <w:r>
              <w:rPr>
                <w:rFonts w:ascii="Times New Roman" w:hAnsi="Times New Roman"/>
                <w:b/>
                <w:noProof/>
              </w:rPr>
              <w:t>UK</w:t>
            </w:r>
          </w:p>
        </w:tc>
        <w:tc>
          <w:tcPr>
            <w:tcW w:w="1446" w:type="dxa"/>
            <w:shd w:val="clear" w:color="auto" w:fill="auto"/>
          </w:tcPr>
          <w:p>
            <w:pPr>
              <w:pStyle w:val="s26"/>
              <w:spacing w:before="0" w:beforeAutospacing="0" w:after="0" w:afterAutospacing="0"/>
              <w:jc w:val="center"/>
              <w:rPr>
                <w:noProof/>
                <w:sz w:val="22"/>
                <w:szCs w:val="22"/>
              </w:rPr>
            </w:pPr>
            <w:r>
              <w:rPr>
                <w:rStyle w:val="s32"/>
                <w:noProof/>
                <w:sz w:val="22"/>
              </w:rPr>
              <w:t>Sí</w:t>
            </w:r>
          </w:p>
          <w:p>
            <w:pPr>
              <w:pStyle w:val="s26"/>
              <w:spacing w:before="0" w:beforeAutospacing="0" w:after="0" w:afterAutospacing="0"/>
              <w:jc w:val="center"/>
              <w:rPr>
                <w:noProof/>
                <w:sz w:val="22"/>
                <w:szCs w:val="22"/>
              </w:rPr>
            </w:pPr>
            <w:r>
              <w:rPr>
                <w:noProof/>
                <w:sz w:val="22"/>
              </w:rPr>
              <w:t> </w:t>
            </w:r>
          </w:p>
          <w:p>
            <w:pPr>
              <w:spacing w:after="0" w:line="240" w:lineRule="auto"/>
              <w:jc w:val="center"/>
              <w:rPr>
                <w:rFonts w:ascii="Times New Roman" w:eastAsia="Times New Roman" w:hAnsi="Times New Roman" w:cs="Times New Roman"/>
                <w:noProof/>
              </w:rPr>
            </w:pPr>
            <w:r>
              <w:rPr>
                <w:rFonts w:ascii="Times New Roman" w:hAnsi="Times New Roman"/>
                <w:noProof/>
              </w:rPr>
              <w:t>9.1.2015</w:t>
            </w:r>
          </w:p>
        </w:tc>
        <w:tc>
          <w:tcPr>
            <w:tcW w:w="3544" w:type="dxa"/>
            <w:shd w:val="clear" w:color="auto" w:fill="auto"/>
          </w:tcPr>
          <w:p>
            <w:pPr>
              <w:spacing w:after="0" w:line="240" w:lineRule="auto"/>
              <w:jc w:val="both"/>
              <w:rPr>
                <w:rFonts w:ascii="Times New Roman" w:eastAsia="Times New Roman" w:hAnsi="Times New Roman" w:cs="Times New Roman"/>
                <w:noProof/>
                <w:lang w:val="es-ES_tradnl"/>
              </w:rPr>
            </w:pPr>
            <w:r>
              <w:rPr>
                <w:rFonts w:ascii="Times New Roman" w:hAnsi="Times New Roman"/>
                <w:noProof/>
                <w:lang w:val="es-ES_tradnl"/>
              </w:rPr>
              <w:t>Reglamentos 62-74 de la justicia penal y protección de datos (Protocolo n.º 36); Reglamentos 2014 (cooperación internacional) de 2003</w:t>
            </w:r>
          </w:p>
        </w:tc>
        <w:tc>
          <w:tcPr>
            <w:tcW w:w="1559" w:type="dxa"/>
            <w:shd w:val="clear" w:color="auto" w:fill="auto"/>
          </w:tcPr>
          <w:p>
            <w:pPr>
              <w:spacing w:after="0" w:line="240" w:lineRule="auto"/>
              <w:jc w:val="both"/>
              <w:rPr>
                <w:rFonts w:ascii="Times New Roman" w:eastAsia="Times New Roman" w:hAnsi="Times New Roman" w:cs="Times New Roman"/>
                <w:noProof/>
              </w:rPr>
            </w:pPr>
            <w:r>
              <w:rPr>
                <w:rFonts w:ascii="Times New Roman" w:hAnsi="Times New Roman"/>
                <w:noProof/>
              </w:rPr>
              <w:t>1.12.2014</w:t>
            </w:r>
          </w:p>
        </w:tc>
        <w:tc>
          <w:tcPr>
            <w:tcW w:w="2126" w:type="dxa"/>
            <w:vAlign w:val="center"/>
          </w:tcPr>
          <w:p>
            <w:pPr>
              <w:spacing w:after="0" w:line="240" w:lineRule="auto"/>
              <w:rPr>
                <w:rFonts w:ascii="Times New Roman" w:eastAsia="Times New Roman" w:hAnsi="Times New Roman" w:cs="Times New Roman"/>
                <w:noProof/>
              </w:rPr>
            </w:pPr>
            <w:r>
              <w:rPr>
                <w:rStyle w:val="s32"/>
                <w:rFonts w:ascii="Times New Roman" w:hAnsi="Times New Roman"/>
                <w:noProof/>
              </w:rPr>
              <w:t xml:space="preserve">Policía — Oficina de Antecedentes Penales (ACRO), Southampton </w:t>
            </w:r>
          </w:p>
        </w:tc>
      </w:tr>
    </w:tbl>
    <w:p>
      <w:pPr>
        <w:spacing w:line="240" w:lineRule="auto"/>
        <w:rPr>
          <w:noProof/>
        </w:rPr>
      </w:pPr>
    </w:p>
    <w:p>
      <w:pPr>
        <w:spacing w:line="240" w:lineRule="auto"/>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738778"/>
      <w:docPartObj>
        <w:docPartGallery w:val="Page Numbers (Bottom of Page)"/>
        <w:docPartUnique/>
      </w:docPartObj>
    </w:sdtPr>
    <w:sdtContent>
      <w:p>
        <w:pPr>
          <w:pStyle w:val="Footer"/>
          <w:tabs>
            <w:tab w:val="clear" w:pos="9072"/>
            <w:tab w:val="right" w:pos="9923"/>
          </w:tabs>
          <w:ind w:left="-851"/>
        </w:pPr>
        <w:r>
          <w:rPr>
            <w:rFonts w:ascii="Arial" w:hAnsi="Arial"/>
            <w:b/>
            <w:sz w:val="48"/>
          </w:rPr>
          <w:t>ES</w:t>
        </w:r>
        <w:r>
          <w:rPr>
            <w:rFonts w:ascii="Times New Roman" w:hAnsi="Times New Roman"/>
            <w:sz w:val="24"/>
          </w:rPr>
          <w:t xml:space="preserve"> </w:t>
        </w: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r>
          <w:tab/>
        </w:r>
        <w:r>
          <w:rPr>
            <w:rFonts w:ascii="Arial" w:hAnsi="Arial"/>
            <w:b/>
            <w:sz w:val="48"/>
          </w:rPr>
          <w:t>ES</w:t>
        </w:r>
      </w:p>
    </w:sdtContent>
  </w:sdt>
  <w:p>
    <w:pPr>
      <w:pStyle w:val="Footer"/>
      <w:ind w:left="-85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426" w:hanging="426"/>
        <w:jc w:val="both"/>
        <w:rPr>
          <w:lang w:val="es-ES_tradnl"/>
        </w:rPr>
      </w:pPr>
      <w:r>
        <w:rPr>
          <w:rStyle w:val="FootnoteReference"/>
        </w:rPr>
        <w:footnoteRef/>
      </w:r>
      <w:r>
        <w:rPr>
          <w:lang w:val="es-ES_tradnl"/>
        </w:rPr>
        <w:t xml:space="preserve"> </w:t>
      </w:r>
      <w:r>
        <w:rPr>
          <w:lang w:val="es-ES_tradnl"/>
        </w:rPr>
        <w:tab/>
      </w:r>
      <w:r>
        <w:rPr>
          <w:rFonts w:ascii="Times New Roman" w:hAnsi="Times New Roman"/>
          <w:lang w:val="es-ES_tradnl"/>
        </w:rPr>
        <w:t>COM(2015) 185 final.</w:t>
      </w:r>
    </w:p>
  </w:footnote>
  <w:footnote w:id="3">
    <w:p>
      <w:pPr>
        <w:tabs>
          <w:tab w:val="right" w:leader="dot" w:pos="9071"/>
        </w:tabs>
        <w:spacing w:after="0" w:line="240" w:lineRule="auto"/>
        <w:ind w:left="426" w:hanging="426"/>
        <w:jc w:val="both"/>
        <w:rPr>
          <w:rFonts w:ascii="Times New Roman" w:eastAsia="Times New Roman" w:hAnsi="Times New Roman"/>
          <w:sz w:val="20"/>
          <w:szCs w:val="20"/>
          <w:lang w:val="es-ES_tradnl"/>
        </w:rPr>
      </w:pPr>
      <w:r>
        <w:rPr>
          <w:rStyle w:val="FootnoteReference"/>
          <w:rFonts w:ascii="Times New Roman" w:hAnsi="Times New Roman"/>
        </w:rPr>
        <w:footnoteRef/>
      </w:r>
      <w:r>
        <w:rPr>
          <w:rFonts w:ascii="Times New Roman" w:hAnsi="Times New Roman"/>
          <w:sz w:val="20"/>
          <w:lang w:val="es-ES_tradnl"/>
        </w:rPr>
        <w:t xml:space="preserve"> </w:t>
      </w:r>
      <w:r>
        <w:rPr>
          <w:lang w:val="es-ES_tradnl"/>
        </w:rPr>
        <w:tab/>
      </w:r>
      <w:r>
        <w:rPr>
          <w:rFonts w:ascii="Times New Roman" w:hAnsi="Times New Roman"/>
          <w:sz w:val="20"/>
          <w:lang w:val="es-ES_tradnl"/>
        </w:rPr>
        <w:t>Decisión Marco 2008/675/JAI del Consejo, de 24 de julio de 2008, relativa a la consideración de las resoluciones condenatorias entre los Estados miembros de la Unión Europea con motivo de un nuevo proceso penal (DO L 220 de 15.8.2008, p. 32).</w:t>
      </w:r>
    </w:p>
  </w:footnote>
  <w:footnote w:id="4">
    <w:p>
      <w:pPr>
        <w:pStyle w:val="FootnoteText"/>
        <w:ind w:left="426" w:hanging="426"/>
        <w:jc w:val="both"/>
        <w:rPr>
          <w:rFonts w:ascii="Times New Roman" w:hAnsi="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lang w:val="es-ES_tradnl"/>
        </w:rPr>
        <w:tab/>
      </w:r>
      <w:r>
        <w:rPr>
          <w:rFonts w:ascii="Times New Roman" w:hAnsi="Times New Roman"/>
          <w:lang w:val="es-ES_tradnl"/>
        </w:rPr>
        <w:t>DO L 93 de 7.4.2009, p. 23.</w:t>
      </w:r>
    </w:p>
  </w:footnote>
  <w:footnote w:id="5">
    <w:p>
      <w:pPr>
        <w:pStyle w:val="FootnoteText"/>
        <w:ind w:left="426" w:hanging="426"/>
        <w:jc w:val="both"/>
        <w:rPr>
          <w:rFonts w:ascii="Times New Roman" w:hAnsi="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lang w:val="es-ES_tradnl"/>
        </w:rPr>
        <w:tab/>
      </w:r>
      <w:r>
        <w:rPr>
          <w:rFonts w:ascii="Times New Roman" w:hAnsi="Times New Roman"/>
          <w:lang w:val="es-ES_tradnl"/>
        </w:rPr>
        <w:t>Decisión 2009/316/JAI del Consejo por la que se establece el Sistema Europeo de Información de Antecedentes Penales (ECRIS) en aplicación del artículo 11 de la Decisión Marco 2009/315/JAI adoptada el 6 de abril de 2009 (DO L 93 de 7.4.2009, p. 33).</w:t>
      </w:r>
    </w:p>
  </w:footnote>
  <w:footnote w:id="6">
    <w:p>
      <w:pPr>
        <w:pStyle w:val="FootnoteText"/>
        <w:ind w:left="426" w:hanging="426"/>
        <w:jc w:val="both"/>
        <w:rPr>
          <w:rFonts w:ascii="Times New Roman" w:hAnsi="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lang w:val="es-ES_tradnl"/>
        </w:rPr>
        <w:tab/>
      </w:r>
      <w:r>
        <w:rPr>
          <w:rFonts w:ascii="Times New Roman" w:hAnsi="Times New Roman"/>
          <w:lang w:val="es-ES_tradnl"/>
        </w:rPr>
        <w:t>Es decir, una respuesta que contenga una o varias condenas.</w:t>
      </w:r>
    </w:p>
  </w:footnote>
  <w:footnote w:id="7">
    <w:p>
      <w:pPr>
        <w:pStyle w:val="FootnoteText"/>
        <w:ind w:left="426" w:hanging="426"/>
        <w:jc w:val="both"/>
        <w:rPr>
          <w:lang w:val="es-ES_tradnl"/>
        </w:rPr>
      </w:pPr>
      <w:r>
        <w:rPr>
          <w:rStyle w:val="FootnoteReference"/>
          <w:rFonts w:ascii="Times New Roman" w:hAnsi="Times New Roman"/>
        </w:rPr>
        <w:footnoteRef/>
      </w:r>
      <w:r>
        <w:rPr>
          <w:rFonts w:ascii="Times New Roman" w:hAnsi="Times New Roman"/>
          <w:lang w:val="es-ES_tradnl"/>
        </w:rPr>
        <w:t xml:space="preserve"> </w:t>
      </w:r>
      <w:r>
        <w:rPr>
          <w:lang w:val="es-ES_tradnl"/>
        </w:rPr>
        <w:tab/>
      </w:r>
      <w:r>
        <w:rPr>
          <w:rFonts w:ascii="Times New Roman" w:hAnsi="Times New Roman"/>
          <w:lang w:val="es-ES_tradnl"/>
        </w:rPr>
        <w:t>Una serie de Estados miembros transmite el texto de sus disposiciones nacionales a la Comisión o a la Secretaría General del Consejo. La Comisión envió dos cartas a los Estados miembros a este respecto, el 22 de abril y el 10 de octubre de 2014. En el anexo del presente informe se ofrece una recapitulación de las fechas en que los Estados miembros presentaron las notificaciones.</w:t>
      </w:r>
    </w:p>
  </w:footnote>
  <w:footnote w:id="8">
    <w:p>
      <w:pPr>
        <w:pStyle w:val="FootnoteText"/>
        <w:ind w:left="426" w:hanging="426"/>
        <w:jc w:val="both"/>
        <w:rPr>
          <w:rFonts w:ascii="Times New Roman" w:hAnsi="Times New Roman"/>
          <w:lang w:val="es-ES_tradnl"/>
        </w:rPr>
      </w:pPr>
      <w:r>
        <w:rPr>
          <w:rStyle w:val="FootnoteReference"/>
        </w:rPr>
        <w:footnoteRef/>
      </w:r>
      <w:r>
        <w:rPr>
          <w:lang w:val="es-ES_tradnl"/>
        </w:rPr>
        <w:t xml:space="preserve"> </w:t>
      </w:r>
      <w:r>
        <w:rPr>
          <w:lang w:val="es-ES_tradnl"/>
        </w:rPr>
        <w:tab/>
      </w:r>
      <w:r>
        <w:rPr>
          <w:rFonts w:ascii="Times New Roman" w:hAnsi="Times New Roman"/>
          <w:lang w:val="es-ES_tradnl"/>
        </w:rPr>
        <w:t>BE facilitó también a la Comisión una copia de un proyecto de acto de ejecución, que completará la transposición.</w:t>
      </w:r>
    </w:p>
  </w:footnote>
  <w:footnote w:id="9">
    <w:p>
      <w:pPr>
        <w:pStyle w:val="FootnoteText"/>
        <w:ind w:left="426" w:hanging="426"/>
        <w:jc w:val="both"/>
        <w:rPr>
          <w:rFonts w:ascii="Times New Roman" w:hAnsi="Times New Roman" w:cs="Times New Roman"/>
          <w:lang w:val="es-ES_tradnl"/>
        </w:rPr>
      </w:pPr>
      <w:r>
        <w:rPr>
          <w:rStyle w:val="FootnoteReference"/>
        </w:rPr>
        <w:footnoteRef/>
      </w:r>
      <w:r>
        <w:rPr>
          <w:lang w:val="es-ES_tradnl"/>
        </w:rPr>
        <w:t xml:space="preserve"> </w:t>
      </w:r>
      <w:r>
        <w:rPr>
          <w:lang w:val="es-ES_tradnl"/>
        </w:rPr>
        <w:tab/>
        <w:t>E</w:t>
      </w:r>
      <w:r>
        <w:rPr>
          <w:rFonts w:ascii="Times New Roman" w:hAnsi="Times New Roman"/>
          <w:lang w:val="es-ES_tradnl"/>
        </w:rPr>
        <w:t>n el anexo se recoge una lista detallada de las autoridades centrales.</w:t>
      </w:r>
    </w:p>
  </w:footnote>
  <w:footnote w:id="10">
    <w:p>
      <w:pPr>
        <w:pStyle w:val="FootnoteText"/>
        <w:ind w:left="426" w:hanging="426"/>
        <w:jc w:val="both"/>
        <w:rPr>
          <w:rFonts w:ascii="Times New Roman" w:hAnsi="Times New Roman" w:cs="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lang w:val="es-ES_tradnl"/>
        </w:rPr>
        <w:tab/>
      </w:r>
      <w:r>
        <w:rPr>
          <w:rFonts w:ascii="Times New Roman" w:hAnsi="Times New Roman"/>
          <w:lang w:val="es-ES_tradnl"/>
        </w:rPr>
        <w:t>SE emplea algunas afirmaciones generales sobre las categorías de información y prevé asimismo que la notificación se producirá con arreglo a los principios de la Directiva Marco; los registros de antecedentes penales de CZ contienen datos para garantizar que la persona condenada «no pueda confundirse con otra persona».</w:t>
      </w:r>
    </w:p>
  </w:footnote>
  <w:footnote w:id="11">
    <w:p>
      <w:pPr>
        <w:pStyle w:val="FootnoteText"/>
        <w:ind w:left="426" w:hanging="426"/>
        <w:jc w:val="both"/>
        <w:rPr>
          <w:rFonts w:ascii="Times New Roman" w:hAnsi="Times New Roman" w:cs="Times New Roman"/>
          <w:lang w:val="es-ES_tradnl"/>
        </w:rPr>
      </w:pPr>
      <w:r>
        <w:rPr>
          <w:rStyle w:val="FootnoteReference"/>
          <w:rFonts w:ascii="Times New Roman" w:hAnsi="Times New Roman"/>
        </w:rPr>
        <w:footnoteRef/>
      </w:r>
      <w:r>
        <w:rPr>
          <w:lang w:val="es-ES_tradnl"/>
        </w:rPr>
        <w:tab/>
      </w:r>
      <w:r>
        <w:rPr>
          <w:rFonts w:ascii="Times New Roman" w:hAnsi="Times New Roman"/>
          <w:lang w:val="es-ES_tradnl"/>
        </w:rPr>
        <w:t>Convenio relativo a la asistencia judicial en materia penal entre los Estados miembros de la Unión Europea, de 29 de mayo de 2000 (DO C 197 de 12.7.2000, p. 3).</w:t>
      </w:r>
    </w:p>
  </w:footnote>
  <w:footnote w:id="12">
    <w:p>
      <w:pPr>
        <w:pStyle w:val="FootnoteText"/>
        <w:ind w:left="426" w:hanging="426"/>
        <w:jc w:val="both"/>
        <w:rPr>
          <w:rFonts w:ascii="Times New Roman" w:hAnsi="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lang w:val="es-ES_tradnl"/>
        </w:rPr>
        <w:tab/>
      </w:r>
      <w:r>
        <w:rPr>
          <w:rFonts w:ascii="Times New Roman" w:hAnsi="Times New Roman"/>
          <w:lang w:val="es-ES_tradnl"/>
        </w:rPr>
        <w:t>SE utiliza algunas definiciones generales sobre las categorías de información, pero prevé asimismo que el Gobierno sueco puede dictar normas más detalladas a este respecto. En el caso de LV y CZ, véase la sección 4.2.</w:t>
      </w:r>
    </w:p>
  </w:footnote>
  <w:footnote w:id="13">
    <w:p>
      <w:pPr>
        <w:pStyle w:val="FootnoteText"/>
        <w:ind w:left="426" w:hanging="426"/>
        <w:jc w:val="both"/>
        <w:rPr>
          <w:lang w:val="es-ES_tradnl"/>
        </w:rPr>
      </w:pPr>
      <w:r>
        <w:rPr>
          <w:rStyle w:val="FootnoteReference"/>
        </w:rPr>
        <w:footnoteRef/>
      </w:r>
      <w:r>
        <w:rPr>
          <w:lang w:val="es-ES_tradnl"/>
        </w:rPr>
        <w:t xml:space="preserve"> </w:t>
      </w:r>
      <w:r>
        <w:rPr>
          <w:lang w:val="es-ES_tradnl"/>
        </w:rPr>
        <w:tab/>
      </w:r>
      <w:r>
        <w:rPr>
          <w:rFonts w:ascii="Times New Roman" w:hAnsi="Times New Roman"/>
          <w:lang w:val="es-ES_tradnl"/>
        </w:rPr>
        <w:t>Directiva 2011/93/UE del Parlamento Europeo y del Consejo, de 13 de diciembre de 2011, relativa a la lucha contra los abusos sexuales y la explotación sexual de los menores y la pornografía infantil y por la que se sustituye la Decisión Marco 2004/68/JAI del Consejo (DO L 335 de17.12.2011, p. 1).</w:t>
      </w:r>
    </w:p>
  </w:footnote>
  <w:footnote w:id="14">
    <w:p>
      <w:pPr>
        <w:pStyle w:val="FootnoteText"/>
        <w:ind w:left="426" w:hanging="426"/>
        <w:jc w:val="both"/>
        <w:rPr>
          <w:rFonts w:ascii="Times New Roman" w:hAnsi="Times New Roman"/>
          <w:lang w:val="es-ES_tradnl"/>
        </w:rPr>
      </w:pPr>
      <w:r>
        <w:rPr>
          <w:rStyle w:val="FootnoteReference"/>
          <w:rFonts w:ascii="Times New Roman" w:hAnsi="Times New Roman"/>
        </w:rPr>
        <w:footnoteRef/>
      </w:r>
      <w:r>
        <w:rPr>
          <w:rFonts w:ascii="Times New Roman" w:hAnsi="Times New Roman"/>
          <w:lang w:val="es-ES_tradnl"/>
        </w:rPr>
        <w:t xml:space="preserve"> </w:t>
      </w:r>
      <w:r>
        <w:rPr>
          <w:lang w:val="es-ES_tradnl"/>
        </w:rPr>
        <w:tab/>
      </w:r>
      <w:r>
        <w:rPr>
          <w:rFonts w:ascii="Times New Roman" w:hAnsi="Times New Roman"/>
          <w:lang w:val="es-ES_tradnl"/>
        </w:rPr>
        <w:t>A finales de 2014, el porcentaje de interconexión era del 66 % del conjunto de las interconexiones posibles entre todos los Estados miembros. MT ha declarado que en 2015 puso en marcha su interconexión.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4972"/>
    <w:multiLevelType w:val="hybridMultilevel"/>
    <w:tmpl w:val="B1E66FE6"/>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BA4660"/>
    <w:multiLevelType w:val="hybridMultilevel"/>
    <w:tmpl w:val="1862BE86"/>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018E9808AB2449D9BDD2C069A677616"/>
    <w:docVar w:name="LW_CROSSREFERENCE" w:val="&lt;UNUSED&gt;"/>
    <w:docVar w:name="LW_DocType" w:val="NORMAL"/>
    <w:docVar w:name="LW_EMISSION" w:val="19.1.2016"/>
    <w:docVar w:name="LW_EMISSION_ISODATE" w:val="2016-01-19"/>
    <w:docVar w:name="LW_EMISSION_LOCATION" w:val="STR"/>
    <w:docVar w:name="LW_EMISSION_PREFIX" w:val="Estrasburgo, "/>
    <w:docVar w:name="LW_EMISSION_SUFFIX" w:val=" "/>
    <w:docVar w:name="LW_ID_DOCTYPE_NONLW" w:val="CP-006"/>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6) 6"/>
    <w:docVar w:name="LW_REF.INTERNE" w:val="&lt;UNUSED&gt;"/>
    <w:docVar w:name="LW_SOUS.TITRE.OBJ.CP" w:val="&lt;UNUSED&gt;"/>
    <w:docVar w:name="LW_SUPERTITRE" w:val="&lt;UNUSED&gt;"/>
    <w:docVar w:name="LW_TITRE.OBJ.CP" w:val="sobre la aplicación de la Decisión Marco 2009/315/JAI del Consejo, de 26 de febrero _x000b_de 2009, relativa a la organización y al contenido del intercambio de información de los registros de antecedentes penales entre los Estados miembros"/>
    <w:docVar w:name="LW_TYPE.DOC.CP" w:val="INFORME DE LA COMISIÓN AL PARLAMENTO EUROPEO Y AL CONSEJO"/>
    <w:docVar w:name="Stamp" w:val="\\dossiers.dgt.cec.eu.int\dossiers\JUST\JUST-2015-03288\JUST-2015-03288-00-02-EN-REV-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aliases w:val="Footnote Reference Superscript,Footnote Reference text,Footnote symbol,Voetnootverwijzing,footnote ref,FR,Fußnotenzeichen diss neu,Times 10 Point,Exposant 3 Point,Odwołanie przypisu"/>
    <w:rPr>
      <w:shd w:val="clear" w:color="auto" w:fill="auto"/>
      <w:vertAlign w:val="superscript"/>
    </w:rPr>
  </w:style>
  <w:style w:type="paragraph" w:styleId="Header">
    <w:name w:val="header"/>
    <w:basedOn w:val="Normal"/>
    <w:link w:val="HeaderChar"/>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outlineLvl w:val="0"/>
    </w:pPr>
    <w:rPr>
      <w:rFonts w:ascii="Times New Roman" w:eastAsia="Times New Roman" w:hAnsi="Times New Roman" w:cs="Times New Roman"/>
      <w:bCs/>
      <w:smallCaps/>
      <w:noProof/>
      <w:sz w:val="24"/>
      <w:szCs w:val="32"/>
    </w:rPr>
  </w:style>
  <w:style w:type="character" w:customStyle="1" w:styleId="FooterCoverPageChar">
    <w:name w:val="Footer Cover Page Char"/>
    <w:basedOn w:val="DefaultParagraphFont"/>
    <w:link w:val="FooterCoverPage"/>
    <w:rPr>
      <w:rFonts w:ascii="Times New Roman" w:eastAsia="Times New Roman" w:hAnsi="Times New Roman" w:cs="Times New Roman"/>
      <w:bCs/>
      <w:smallCaps/>
      <w:noProof/>
      <w:sz w:val="24"/>
      <w:szCs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noProof/>
      <w:sz w:val="24"/>
    </w:rPr>
  </w:style>
  <w:style w:type="character" w:customStyle="1" w:styleId="HeaderCoverPageChar">
    <w:name w:val="Header Cover Page Char"/>
    <w:basedOn w:val="DefaultParagraphFont"/>
    <w:link w:val="HeaderCoverPage"/>
    <w:rPr>
      <w:rFonts w:ascii="Times New Roman" w:hAnsi="Times New Roman" w:cs="Times New Roman"/>
      <w:noProof/>
      <w:sz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26">
    <w:name w:val="s26"/>
    <w:basedOn w:val="Normal"/>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32">
    <w:name w:val="s32"/>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FootnoteReference">
    <w:name w:val="footnote reference"/>
    <w:aliases w:val="Footnote Reference Superscript,Footnote Reference text,Footnote symbol,Voetnootverwijzing,footnote ref,FR,Fußnotenzeichen diss neu,Times 10 Point,Exposant 3 Point,Odwołanie przypisu"/>
    <w:rPr>
      <w:shd w:val="clear" w:color="auto" w:fill="auto"/>
      <w:vertAlign w:val="superscript"/>
    </w:rPr>
  </w:style>
  <w:style w:type="paragraph" w:styleId="Header">
    <w:name w:val="header"/>
    <w:basedOn w:val="Normal"/>
    <w:link w:val="HeaderChar"/>
    <w:pPr>
      <w:tabs>
        <w:tab w:val="center" w:pos="4536"/>
        <w:tab w:val="right" w:pos="9072"/>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outlineLvl w:val="0"/>
    </w:pPr>
    <w:rPr>
      <w:rFonts w:ascii="Times New Roman" w:eastAsia="Times New Roman" w:hAnsi="Times New Roman" w:cs="Times New Roman"/>
      <w:bCs/>
      <w:smallCaps/>
      <w:noProof/>
      <w:sz w:val="24"/>
      <w:szCs w:val="32"/>
    </w:rPr>
  </w:style>
  <w:style w:type="character" w:customStyle="1" w:styleId="FooterCoverPageChar">
    <w:name w:val="Footer Cover Page Char"/>
    <w:basedOn w:val="DefaultParagraphFont"/>
    <w:link w:val="FooterCoverPage"/>
    <w:rPr>
      <w:rFonts w:ascii="Times New Roman" w:eastAsia="Times New Roman" w:hAnsi="Times New Roman" w:cs="Times New Roman"/>
      <w:bCs/>
      <w:smallCaps/>
      <w:noProof/>
      <w:sz w:val="24"/>
      <w:szCs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noProof/>
      <w:sz w:val="24"/>
    </w:rPr>
  </w:style>
  <w:style w:type="character" w:customStyle="1" w:styleId="HeaderCoverPageChar">
    <w:name w:val="Header Cover Page Char"/>
    <w:basedOn w:val="DefaultParagraphFont"/>
    <w:link w:val="HeaderCoverPage"/>
    <w:rPr>
      <w:rFonts w:ascii="Times New Roman" w:hAnsi="Times New Roman" w:cs="Times New Roman"/>
      <w:noProof/>
      <w:sz w:val="24"/>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26">
    <w:name w:val="s26"/>
    <w:basedOn w:val="Normal"/>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32">
    <w:name w:val="s32"/>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268741">
      <w:bodyDiv w:val="1"/>
      <w:marLeft w:val="0"/>
      <w:marRight w:val="0"/>
      <w:marTop w:val="0"/>
      <w:marBottom w:val="0"/>
      <w:divBdr>
        <w:top w:val="none" w:sz="0" w:space="0" w:color="auto"/>
        <w:left w:val="none" w:sz="0" w:space="0" w:color="auto"/>
        <w:bottom w:val="none" w:sz="0" w:space="0" w:color="auto"/>
        <w:right w:val="none" w:sz="0" w:space="0" w:color="auto"/>
      </w:divBdr>
    </w:div>
    <w:div w:id="20259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B498CE185174196A05FECC36B5BC6" ma:contentTypeVersion="0" ma:contentTypeDescription="Create a new document." ma:contentTypeScope="" ma:versionID="ee5e42815d766720b7b44d93943a92e4">
  <xsd:schema xmlns:xsd="http://www.w3.org/2001/XMLSchema" xmlns:xs="http://www.w3.org/2001/XMLSchema" xmlns:p="http://schemas.microsoft.com/office/2006/metadata/properties" targetNamespace="http://schemas.microsoft.com/office/2006/metadata/properties" ma:root="true" ma:fieldsID="6110f9209989c659e159b38e0556030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9F63C-6FD3-4A70-AF14-413437027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5AECFB-2A47-4432-A983-763A27A7EFB7}">
  <ds:schemaRefs>
    <ds:schemaRef ds:uri="http://schemas.microsoft.com/sharepoint/v3/contenttype/forms"/>
  </ds:schemaRefs>
</ds:datastoreItem>
</file>

<file path=customXml/itemProps3.xml><?xml version="1.0" encoding="utf-8"?>
<ds:datastoreItem xmlns:ds="http://schemas.openxmlformats.org/officeDocument/2006/customXml" ds:itemID="{D0893C9E-44B1-4A4B-B0FF-80E5E01B96BB}">
  <ds:schemaRef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1888A1BB-483D-4E35-A32D-9C23267A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8078</Words>
  <Characters>42410</Characters>
  <Application>Microsoft Office Word</Application>
  <DocSecurity>0</DocSecurity>
  <Lines>1034</Lines>
  <Paragraphs>343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2016-01-13T11:03:00Z</cp:lastPrinted>
  <dcterms:created xsi:type="dcterms:W3CDTF">2016-02-19T15:59:00Z</dcterms:created>
  <dcterms:modified xsi:type="dcterms:W3CDTF">2016-02-22T16:44:00Z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0x0101004C4B498CE185174196A05FECC36B5BC6</vt:lpwstr>
  </property>
  <property fmtid="{D5CDD505-2E9C-101B-9397-08002B2CF9AE}" pid="4" name="IsMyDocuments">
    <vt:bool>true</vt:bool>
  </property>
  <property fmtid="{D5CDD505-2E9C-101B-9397-08002B2CF9AE}" pid="5" name="Part">
    <vt:lpwstr>1</vt:lpwstr>
  </property>
  <property fmtid="{D5CDD505-2E9C-101B-9397-08002B2CF9AE}" pid="6" name="Total parts">
    <vt:lpwstr>1</vt:lpwstr>
  </property>
  <property fmtid="{D5CDD505-2E9C-101B-9397-08002B2CF9AE}" pid="7" name="Classification">
    <vt:lpwstr> </vt:lpwstr>
  </property>
  <property fmtid="{D5CDD505-2E9C-101B-9397-08002B2CF9AE}" pid="8" name="DocStatus">
    <vt:lpwstr>Green</vt:lpwstr>
  </property>
</Properties>
</file>