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3F53E0E21394C1BB7BD0943BAAA03B2" style="width:450.7pt;height:307.6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numPr>
          <w:ilvl w:val="0"/>
          <w:numId w:val="6"/>
        </w:numPr>
        <w:spacing w:before="0"/>
        <w:ind w:left="284" w:hanging="284"/>
        <w:rPr>
          <w:rFonts w:ascii="Times New Roman" w:eastAsia="Times New Roman" w:hAnsi="Times New Roman" w:cs="Times New Roman"/>
          <w:b/>
          <w:noProof/>
          <w:color w:val="auto"/>
          <w:sz w:val="24"/>
          <w:szCs w:val="24"/>
        </w:rPr>
      </w:pPr>
      <w:bookmarkStart w:id="1" w:name="_Toc432513521"/>
      <w:bookmarkStart w:id="2" w:name="_GoBack"/>
      <w:bookmarkEnd w:id="2"/>
      <w:r>
        <w:rPr>
          <w:rFonts w:ascii="Times New Roman" w:hAnsi="Times New Roman"/>
          <w:b/>
          <w:noProof/>
          <w:color w:val="auto"/>
          <w:sz w:val="24"/>
        </w:rPr>
        <w:lastRenderedPageBreak/>
        <w:t>ĮVADAS</w:t>
      </w:r>
      <w:bookmarkEnd w:id="1"/>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 xml:space="preserve">Dėl keičiamų vardų ir slapyvardžių ar suklastotų dokumentų naudojimo nustatyti asmens tapatybę darosi vis sunkiau. Naudojimasis suklastotais dokumentais – vis dažnesnis būdas neteisėtai patekti į Šengeno zoną ir judėti joje. 2015 m. </w:t>
      </w:r>
      <w:r>
        <w:rPr>
          <w:rFonts w:ascii="Times New Roman" w:hAnsi="Times New Roman"/>
          <w:i/>
          <w:noProof/>
          <w:sz w:val="24"/>
        </w:rPr>
        <w:t>FRONTEX metinėje rizikos analizėje</w:t>
      </w:r>
      <w:r>
        <w:rPr>
          <w:rFonts w:ascii="Times New Roman" w:hAnsi="Times New Roman"/>
          <w:noProof/>
          <w:sz w:val="24"/>
        </w:rPr>
        <w:t xml:space="preserve"> pateikta duomenų, rodančių, kad 2014 m. atvykimo iš trečiųjų šalių į ES ir (arba) Šengeno zoną vietose nustatyta maždaug 9 400 dokumentų klastojimo atvejų. Tai šiek tiek mažiau nei praėjusiais metais. Tačiau gerokai – 27 proc. – padaugėjo dokumentų klastojimo atvejų, nustatytų ES esantiems asmenims judant Šengeno zonoje: nuo 7 867 (2013 m.) iki 9 968 (2014 m.). </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 xml:space="preserve">Dokumentų klastotojai kenkia ne tik sienų saugumui, bet ir ES vidaus saugumui. Neretai policijos ieškomi asmenys siekia nuslėpti savo tapatybę ir naudojasi įvairiais slapyvardžiais. Kai kurie asmenys, kuriems uždrausta atvykti į Šengeno zoną, gali teisėtai pasikeisti savo tapatybę kilmės šalyje, kad tikroji jų tapatybė nebūtų nustatyta. Tokiomis aplinkybėmis būtinas patikimas tapatybės nustatymo metodas. Pirštų atspaudų ėmimas – veiksmingas būdas tiek sienos apsaugos, tiek teisėsaugos pareigūnams nustatyti valdžios institucijų ieškomų asmenų tapatybę ir suklastotus dokumentus. </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Suklastotų dokumentų naudojimas, susijęs su neseniai Paryžiuje įvykdytais teroristiniais išpuoliais, taip pat rodo, kad reikia priemonės, kuri suteiktų galimybę pagal pirštų atspaudus nustatyti asmens tapatybę. Todėl 2015 m. lapkričio mėn. Tarybos išvadose pabrėžta, kad svarbu stiprinti kontrolę ir atlikti sistemingus patikrinimus. Kol kas nėra ES masto sistemos, kuri leistų tikrinti asmens tapatybę pagal pirštų atspaudus.</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 xml:space="preserve">2013 m. balandžio 9 d. pradėjo veikti antrosios kartos Šengeno informacinė sistema (SIS). Naujas jos ypatumas – pirštų atspaudų saugojimas centrinėje sistemoje. Šiuo metu pirštų atspaudais naudojamasi norint </w:t>
      </w:r>
      <w:r>
        <w:rPr>
          <w:rFonts w:ascii="Times New Roman" w:hAnsi="Times New Roman"/>
          <w:i/>
          <w:noProof/>
          <w:sz w:val="24"/>
        </w:rPr>
        <w:t>patvirtinti</w:t>
      </w:r>
      <w:r>
        <w:rPr>
          <w:rFonts w:ascii="Times New Roman" w:hAnsi="Times New Roman"/>
          <w:noProof/>
          <w:sz w:val="24"/>
        </w:rPr>
        <w:t xml:space="preserve"> asmens tapatybę, kuri jau nustatyta atlikus paiešką (paprastai pagal vardą, pavardę ir gimimo datą). Tai verifikavimas, kai asmens pirštų atspaudai lyginami su vienu SIS atspaudų rinkiniu. Tačiau galimybė </w:t>
      </w:r>
      <w:r>
        <w:rPr>
          <w:rFonts w:ascii="Times New Roman" w:hAnsi="Times New Roman"/>
          <w:i/>
          <w:noProof/>
          <w:sz w:val="24"/>
        </w:rPr>
        <w:t>identifikuoti</w:t>
      </w:r>
      <w:r>
        <w:rPr>
          <w:rFonts w:ascii="Times New Roman" w:hAnsi="Times New Roman"/>
          <w:noProof/>
          <w:sz w:val="24"/>
        </w:rPr>
        <w:t xml:space="preserve"> asmenį pagal jo pirštų atspaudus atsiras tik tada, kai bus pakeista dabartinė teisėsaugos praktika: asmens atspaudai turi būti lyginami su įvairiais atspaudų rinkiniais – tikrinimas „vienas su daugeliu“, – o asmens tapatybė nustatoma vien iš pirštų atspaudų. Tam reikia įdiegti automatinę pirštų atspaudų identifikavimo sistemą (toliau – AFIS).</w:t>
      </w:r>
    </w:p>
    <w:p>
      <w:pPr>
        <w:spacing w:before="100" w:beforeAutospacing="1" w:after="100" w:afterAutospacing="1"/>
        <w:jc w:val="both"/>
        <w:rPr>
          <w:noProof/>
        </w:rPr>
      </w:pPr>
      <w:r>
        <w:rPr>
          <w:rFonts w:ascii="Times New Roman" w:hAnsi="Times New Roman"/>
          <w:noProof/>
          <w:sz w:val="24"/>
        </w:rPr>
        <w:t xml:space="preserve">AFIS sėkmingai naudojama įvairiose nacionalinėse ir tarpvalstybinėse bendradarbiavimo duomenų bazėse. Akivaizdžiausi ES pavyzdžiai – Vizų informacinė sistema (VIS) ir EURODAC. </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Teisinis AFIS naudojimo pagrindas – SIS II sprendimo</w:t>
      </w:r>
      <w:r>
        <w:rPr>
          <w:rStyle w:val="FootnoteReference"/>
          <w:rFonts w:ascii="Times New Roman" w:hAnsi="Times New Roman"/>
          <w:noProof/>
          <w:sz w:val="24"/>
        </w:rPr>
        <w:footnoteReference w:id="1"/>
      </w:r>
      <w:r>
        <w:rPr>
          <w:rFonts w:ascii="Times New Roman" w:hAnsi="Times New Roman"/>
          <w:noProof/>
          <w:sz w:val="24"/>
        </w:rPr>
        <w:t xml:space="preserve"> 22 straipsnio c punktas ir SIS II reglamentas</w:t>
      </w:r>
      <w:r>
        <w:rPr>
          <w:rStyle w:val="FootnoteReference"/>
          <w:rFonts w:ascii="Times New Roman" w:hAnsi="Times New Roman"/>
          <w:noProof/>
          <w:sz w:val="24"/>
        </w:rPr>
        <w:footnoteReference w:id="2"/>
      </w:r>
      <w:r>
        <w:rPr>
          <w:rFonts w:ascii="Times New Roman" w:hAnsi="Times New Roman"/>
          <w:noProof/>
          <w:sz w:val="24"/>
        </w:rPr>
        <w:t xml:space="preserve">. Prieš įdiegiant šią funkciją Komisija turi pateikti ataskaitą apie galimybes ir pasirengimą naudoti reikiamas technologijas. Šiuo klausimu ji turi konsultuotis su Europos Parlamentu. Šios ataskaitos tikslas – patenkinti šį reikalavimą ir patvirtinti, kad pirštų atspaudų identifikavimo technologija yra sukurta ir gali būti integruota į SIS II. </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Pasirengimo naudoti minėtą technologiją ir jos prieinamumo lygis turi būti vertinamas atsižvelgiant į unikalią SIS II padėtį ir ypatumus, keliančius įvairių techninių ir organizacinių sunkumų, kuriems reikia specialių ir tikslinių sprendimų. Šioje ataskaitoje, grindžiamoje Komisijos Jungtinio tyrimų centro (JRC)</w:t>
      </w:r>
      <w:r>
        <w:rPr>
          <w:rStyle w:val="FootnoteReference"/>
          <w:rFonts w:ascii="Times New Roman" w:hAnsi="Times New Roman"/>
          <w:noProof/>
          <w:sz w:val="24"/>
        </w:rPr>
        <w:footnoteReference w:id="3"/>
      </w:r>
      <w:r>
        <w:rPr>
          <w:rFonts w:ascii="Times New Roman" w:hAnsi="Times New Roman"/>
          <w:noProof/>
          <w:sz w:val="24"/>
        </w:rPr>
        <w:t xml:space="preserve"> atliktu tyrimu, taip pat išdėstomi su SIS susiję techniniai ir organizaciniai reikalavimai, aprašomi atvejų, kuriais operatyviniais tikslais naudojami pirštų atspaudai, tipai, pateikiama sėkmingo AFIS įdiegimo rekomendacijų.</w:t>
      </w:r>
    </w:p>
    <w:p>
      <w:pPr>
        <w:pStyle w:val="Heading1"/>
        <w:rPr>
          <w:rFonts w:ascii="Times New Roman" w:eastAsia="Times New Roman" w:hAnsi="Times New Roman" w:cs="Times New Roman"/>
          <w:b/>
          <w:noProof/>
          <w:color w:val="auto"/>
          <w:sz w:val="24"/>
          <w:szCs w:val="24"/>
        </w:rPr>
      </w:pPr>
      <w:bookmarkStart w:id="3" w:name="_Toc432513531"/>
      <w:r>
        <w:rPr>
          <w:rFonts w:ascii="Times New Roman" w:hAnsi="Times New Roman"/>
          <w:b/>
          <w:noProof/>
          <w:color w:val="auto"/>
          <w:sz w:val="24"/>
        </w:rPr>
        <w:t>2. JUNGTINIO TYRIMŲ CENTRO TYRIMAS IR JO IŠVADOS</w:t>
      </w:r>
      <w:bookmarkEnd w:id="3"/>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i/>
          <w:noProof/>
          <w:sz w:val="24"/>
        </w:rPr>
        <w:t xml:space="preserve">ES mokslinių tyrimų ir inovacijų programoje „Horizontas 2020“ </w:t>
      </w:r>
      <w:r>
        <w:rPr>
          <w:rFonts w:ascii="Times New Roman" w:hAnsi="Times New Roman"/>
          <w:noProof/>
          <w:sz w:val="24"/>
        </w:rPr>
        <w:t>pasirengimas naudoti minėtą technologiją ir jos prieinamumas vertintas devyniais lygmenimis</w:t>
      </w:r>
      <w:r>
        <w:rPr>
          <w:rStyle w:val="FootnoteReference"/>
          <w:rFonts w:ascii="Times New Roman" w:hAnsi="Times New Roman"/>
          <w:noProof/>
          <w:sz w:val="24"/>
        </w:rPr>
        <w:footnoteReference w:id="4"/>
      </w:r>
      <w:r>
        <w:rPr>
          <w:rFonts w:ascii="Times New Roman" w:hAnsi="Times New Roman"/>
          <w:noProof/>
          <w:sz w:val="24"/>
        </w:rPr>
        <w:t xml:space="preserve">: pirmajame nustatyti bendrieji principai, kurių reikia laikytis, devintajame – faktinių sistemų bandymas operatyvinėje aplinkoje. AFIS technologija jau yra pasiekusi devintą lygmenį – visame pasaulyje veikia daugybė jos sistemų. </w:t>
      </w:r>
      <w:bookmarkStart w:id="4" w:name="_Toc432513532"/>
    </w:p>
    <w:p>
      <w:pPr>
        <w:pStyle w:val="Heading2"/>
        <w:rPr>
          <w:rFonts w:ascii="Times New Roman" w:eastAsia="Times New Roman" w:hAnsi="Times New Roman" w:cs="Times New Roman"/>
          <w:noProof/>
          <w:color w:val="auto"/>
          <w:sz w:val="24"/>
          <w:szCs w:val="24"/>
        </w:rPr>
      </w:pPr>
      <w:r>
        <w:rPr>
          <w:rFonts w:ascii="Times New Roman" w:hAnsi="Times New Roman"/>
          <w:noProof/>
          <w:color w:val="auto"/>
          <w:sz w:val="24"/>
        </w:rPr>
        <w:t>2.1 AFIS technologijos apžvalga</w:t>
      </w:r>
      <w:bookmarkEnd w:id="4"/>
    </w:p>
    <w:p>
      <w:pPr>
        <w:pStyle w:val="Heading2"/>
        <w:ind w:left="720"/>
        <w:rPr>
          <w:rFonts w:ascii="Times New Roman" w:eastAsia="Times New Roman" w:hAnsi="Times New Roman" w:cs="Times New Roman"/>
          <w:noProof/>
          <w:color w:val="auto"/>
          <w:sz w:val="24"/>
          <w:szCs w:val="24"/>
        </w:rPr>
      </w:pPr>
      <w:bookmarkStart w:id="5" w:name="_Toc432513533"/>
    </w:p>
    <w:p>
      <w:pPr>
        <w:pStyle w:val="Heading2"/>
        <w:ind w:left="720"/>
        <w:rPr>
          <w:rFonts w:ascii="Times New Roman" w:eastAsia="Times New Roman" w:hAnsi="Times New Roman" w:cs="Times New Roman"/>
          <w:noProof/>
          <w:color w:val="auto"/>
          <w:sz w:val="24"/>
          <w:szCs w:val="24"/>
        </w:rPr>
      </w:pPr>
      <w:r>
        <w:rPr>
          <w:rFonts w:ascii="Times New Roman" w:hAnsi="Times New Roman"/>
          <w:noProof/>
          <w:color w:val="auto"/>
          <w:sz w:val="24"/>
        </w:rPr>
        <w:t>2.1.1 Veikimas</w:t>
      </w:r>
      <w:bookmarkEnd w:id="5"/>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Jungtinis tyrimų centras pateikė svarbiausių nepriklausomų veikimo vertinimo kampanijų apžvalgą ir nustatė SIS kontekste aktualiausias iniciatyvas. Nustatyti trys pagrindiniai dalykai:</w:t>
      </w:r>
    </w:p>
    <w:p>
      <w:pPr>
        <w:pStyle w:val="ListParagraph"/>
        <w:numPr>
          <w:ilvl w:val="0"/>
          <w:numId w:val="2"/>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AFIS tikslumas visiškai priklauso nuo jos vertinimui naudojamų duomenų ir tų duomenų kokybės.</w:t>
      </w:r>
    </w:p>
    <w:p>
      <w:pPr>
        <w:pStyle w:val="ListParagraph"/>
        <w:numPr>
          <w:ilvl w:val="0"/>
          <w:numId w:val="2"/>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Kiti veiksniai, galintys daryti poveikį AFIS veikimui, yra duomenų bazės, kurioje atliekama paieška, dydis, paieškai naudojamų atspaudų skaičius ir tikėtinas atsako laikas.</w:t>
      </w:r>
    </w:p>
    <w:p>
      <w:pPr>
        <w:pStyle w:val="ListParagraph"/>
        <w:numPr>
          <w:ilvl w:val="0"/>
          <w:numId w:val="2"/>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Vertinimas rodo, kad jeigu duomenų kokybė gera ir atliekamas asmenų daktiloskopinių kortelių tikrinimas („dešimt su dešimt“), AFIS technologija yra labai tiksli: klaidų rodiklis – maždaug 0,1 proc.</w:t>
      </w:r>
    </w:p>
    <w:p>
      <w:pPr>
        <w:pStyle w:val="Heading2"/>
        <w:ind w:left="720"/>
        <w:rPr>
          <w:rFonts w:ascii="Times New Roman" w:eastAsia="Times New Roman" w:hAnsi="Times New Roman" w:cs="Times New Roman"/>
          <w:noProof/>
          <w:color w:val="auto"/>
          <w:sz w:val="24"/>
          <w:szCs w:val="24"/>
        </w:rPr>
      </w:pPr>
      <w:bookmarkStart w:id="6" w:name="_Toc432513534"/>
      <w:r>
        <w:rPr>
          <w:rFonts w:ascii="Times New Roman" w:hAnsi="Times New Roman"/>
          <w:noProof/>
          <w:color w:val="auto"/>
          <w:sz w:val="24"/>
        </w:rPr>
        <w:t>2.1.2 Kokybė</w:t>
      </w:r>
      <w:bookmarkEnd w:id="6"/>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Daugelis tyrimų ir lyginamųjų standartų parodė, kad biometrinių sistemų veikimą nulemia įvedamų bandinių kokybė. Kokybės gerinimas gali būti techninio pobūdžio, susijęs su standartais ar net atspaudų ėmimo metodais, t. y. ar pirštų atspaudai imami naudojant elektroninį daktiloskopavimo įrenginį (</w:t>
      </w:r>
      <w:r>
        <w:rPr>
          <w:rFonts w:ascii="Times New Roman" w:hAnsi="Times New Roman"/>
          <w:i/>
          <w:noProof/>
          <w:sz w:val="24"/>
        </w:rPr>
        <w:t>live-scan</w:t>
      </w:r>
      <w:r>
        <w:rPr>
          <w:rFonts w:ascii="Times New Roman" w:hAnsi="Times New Roman"/>
          <w:noProof/>
          <w:sz w:val="24"/>
        </w:rPr>
        <w:t>), ar rankiniu būdu, naudojant rašalą. Geriausia kokybė gaunama taikant elektroninį nuskaitymą, kurį atlieka patyręs specialistas. Tačiau tebenaudojami ir pirštų atspaudai, paimti naudojant rašalą, kurie vėliau nuskaitomi ir įkeliami į duomenų bazę. Į sistemas turėtų būti integruoti prastos kokybės atspaudų atpažinimo metodai.</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Itin daug dėmesio užtikrinant kokybę turėtų būti skiriama šiems veiksniams:</w:t>
      </w:r>
    </w:p>
    <w:p>
      <w:pPr>
        <w:pStyle w:val="ListParagraph"/>
        <w:numPr>
          <w:ilvl w:val="0"/>
          <w:numId w:val="2"/>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 xml:space="preserve">atspaudų ėmimui; </w:t>
      </w:r>
    </w:p>
    <w:p>
      <w:pPr>
        <w:pStyle w:val="ListParagraph"/>
        <w:numPr>
          <w:ilvl w:val="0"/>
          <w:numId w:val="2"/>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 xml:space="preserve">techniniam jų kokybės vertinimui; </w:t>
      </w:r>
    </w:p>
    <w:p>
      <w:pPr>
        <w:pStyle w:val="ListParagraph"/>
        <w:numPr>
          <w:ilvl w:val="0"/>
          <w:numId w:val="2"/>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 xml:space="preserve">sisteminiams atitikties užtikrinimo sprendimams; </w:t>
      </w:r>
    </w:p>
    <w:p>
      <w:pPr>
        <w:pStyle w:val="ListParagraph"/>
        <w:numPr>
          <w:ilvl w:val="0"/>
          <w:numId w:val="2"/>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 xml:space="preserve">geriausių bandinių naudojimui; </w:t>
      </w:r>
    </w:p>
    <w:p>
      <w:pPr>
        <w:pStyle w:val="ListParagraph"/>
        <w:numPr>
          <w:ilvl w:val="0"/>
          <w:numId w:val="2"/>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sistemos veikimo ir ją naudojančių žmonių stebėsenai.</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 xml:space="preserve">Tyrimas buvo išsamus, tad taip pat įvertintas pats sudėtingiausias kokybės aspektas – latentiniai atspaudai, rasti nusikaltimo ar nelaimingo atsitikimo vietoje.  </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Latentiniai atspaudai bus naudojami tik konsultaciniais tikslais. Numatoma, kad SIS bus saugomos tik asmens daktiloskopinės kortelės (visų 10 pirštų atspaudai).</w:t>
      </w:r>
    </w:p>
    <w:p>
      <w:pPr>
        <w:spacing w:before="100" w:beforeAutospacing="1" w:after="100" w:afterAutospacing="1"/>
        <w:jc w:val="both"/>
        <w:rPr>
          <w:rFonts w:ascii="Times New Roman" w:eastAsia="Times New Roman" w:hAnsi="Times New Roman" w:cs="Times New Roman"/>
          <w:i/>
          <w:noProof/>
          <w:sz w:val="24"/>
          <w:szCs w:val="24"/>
        </w:rPr>
      </w:pPr>
      <w:r>
        <w:rPr>
          <w:rFonts w:ascii="Times New Roman" w:hAnsi="Times New Roman"/>
          <w:noProof/>
          <w:sz w:val="24"/>
        </w:rPr>
        <w:t>Daugumoje tirtų valstybių narių kokybė užtikrinama naudojant sudėtinių duomenų rinkinius. Jei asmens pirštų atspaudai buvo paimti kelis kartus (t. y. kaskart jį sulaikius), jie yra išsaugomi. Pavieniai atspaudai rinkiniuose gali būti lyginami pagal savo kokybę ir iš dešimties aukščiausios kokybės atspaudų gali būti sudarytas sudėtinis rinkinys. Tokį metodą būtų galima taikyti ir SIS.</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Labai svarbu į AFIS integruoti kokybės vertinimo mechanizmus, kad pagerėtų sistemos veikimas. Kalbant apie kokybę, apsvarstytini šeši svarbūs aspektai:</w:t>
      </w:r>
    </w:p>
    <w:p>
      <w:pPr>
        <w:pStyle w:val="ListParagraph"/>
        <w:numPr>
          <w:ilvl w:val="0"/>
          <w:numId w:val="3"/>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AFIS veikimas visapusiškai priklauso nuo įvestų duomenų (t. y. atspaudų bandinių) kokybės;</w:t>
      </w:r>
    </w:p>
    <w:p>
      <w:pPr>
        <w:pStyle w:val="ListParagraph"/>
        <w:numPr>
          <w:ilvl w:val="0"/>
          <w:numId w:val="3"/>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atspaudų kokybę veikia patys įvairiausi veiksniai. Kai kuriuos iš jų galima kontroliuoti (pavyzdžiui, sensoriaus švarumą), kitų – ne (pavyzdžiui, kai dėl rankomis atliekamo darbo pirštų galai būna nusitrynę);</w:t>
      </w:r>
    </w:p>
    <w:p>
      <w:pPr>
        <w:pStyle w:val="ListParagraph"/>
        <w:numPr>
          <w:ilvl w:val="0"/>
          <w:numId w:val="3"/>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labai svarbų vaidmenį kontroliuojant į AFIS įvedamų duomenų kokybę atlieka automatiniai pirštų atspaudų kokybės mechanizmai;</w:t>
      </w:r>
    </w:p>
    <w:p>
      <w:pPr>
        <w:pStyle w:val="ListParagraph"/>
        <w:numPr>
          <w:ilvl w:val="0"/>
          <w:numId w:val="3"/>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skirtingi atspaudų tipai yra skirtingos kokybės. Svarbiausi AFIS atspaudų tipai yra šie: rašalinio daktiloskopavimo, nuskaityti elektroniniu daktiloskopavimo įrenginiu, ritinti, plokštieji, latentiniai;</w:t>
      </w:r>
    </w:p>
    <w:p>
      <w:pPr>
        <w:pStyle w:val="ListParagraph"/>
        <w:numPr>
          <w:ilvl w:val="0"/>
          <w:numId w:val="3"/>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daugiausia sunkumų AFIS veikimui kelia latentiniai atspaudai, kurių kokybės kontroliuoti neįmanoma;</w:t>
      </w:r>
    </w:p>
    <w:p>
      <w:pPr>
        <w:pStyle w:val="ListParagraph"/>
        <w:numPr>
          <w:ilvl w:val="0"/>
          <w:numId w:val="3"/>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 xml:space="preserve">atspaudų kokybės vertinimo standartų nėra, tačiau </w:t>
      </w:r>
      <w:r>
        <w:rPr>
          <w:rFonts w:ascii="Times New Roman" w:hAnsi="Times New Roman"/>
          <w:i/>
          <w:noProof/>
          <w:sz w:val="24"/>
        </w:rPr>
        <w:t>de facto</w:t>
      </w:r>
      <w:r>
        <w:rPr>
          <w:rFonts w:ascii="Times New Roman" w:hAnsi="Times New Roman"/>
          <w:noProof/>
          <w:sz w:val="24"/>
        </w:rPr>
        <w:t xml:space="preserve"> standartais yra tapusios puikiai veikiančios ir prieinamos </w:t>
      </w:r>
      <w:r>
        <w:rPr>
          <w:rFonts w:ascii="Times New Roman" w:hAnsi="Times New Roman"/>
          <w:i/>
          <w:noProof/>
          <w:sz w:val="24"/>
        </w:rPr>
        <w:t>NFIQ</w:t>
      </w:r>
      <w:r>
        <w:rPr>
          <w:rFonts w:ascii="Times New Roman" w:hAnsi="Times New Roman"/>
          <w:noProof/>
          <w:sz w:val="24"/>
        </w:rPr>
        <w:t xml:space="preserve"> ir </w:t>
      </w:r>
      <w:r>
        <w:rPr>
          <w:rFonts w:ascii="Times New Roman" w:hAnsi="Times New Roman"/>
          <w:i/>
          <w:noProof/>
          <w:sz w:val="24"/>
        </w:rPr>
        <w:t>NFIQ-II</w:t>
      </w:r>
      <w:r>
        <w:rPr>
          <w:rFonts w:ascii="Times New Roman" w:hAnsi="Times New Roman"/>
          <w:noProof/>
          <w:sz w:val="24"/>
        </w:rPr>
        <w:t xml:space="preserve"> sistemos (Amerikos nacionalinio standartų ir technologijų instituto (NIST) pirštų atspaudų atvaizdo kokybės sistemos).</w:t>
      </w:r>
    </w:p>
    <w:p>
      <w:pPr>
        <w:pStyle w:val="Heading2"/>
        <w:rPr>
          <w:rFonts w:ascii="Times New Roman" w:eastAsia="Times New Roman" w:hAnsi="Times New Roman" w:cs="Times New Roman"/>
          <w:noProof/>
          <w:color w:val="auto"/>
          <w:sz w:val="24"/>
          <w:szCs w:val="24"/>
        </w:rPr>
      </w:pPr>
      <w:bookmarkStart w:id="7" w:name="_Toc432513535"/>
      <w:r>
        <w:rPr>
          <w:rFonts w:ascii="Times New Roman" w:hAnsi="Times New Roman"/>
          <w:noProof/>
          <w:color w:val="auto"/>
          <w:sz w:val="24"/>
        </w:rPr>
        <w:t>2.2 Bendras nacionalinių AFIS naudojimas</w:t>
      </w:r>
      <w:bookmarkEnd w:id="7"/>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Atliekant tyrimą buvo nustatyti tipiniai pirštų atspaudų naudojimo atvejai. Patys svarbiausi SIS tikslams atvejai yra susiję su asmenimis (pavyzdžiui, sulaikytais įtariamaisiais), kurių pirštų atspaudai paimami tiesiogiai. Reikia nustatyti du kriterijus:</w:t>
      </w:r>
    </w:p>
    <w:p>
      <w:pPr>
        <w:pStyle w:val="ListParagraph"/>
        <w:numPr>
          <w:ilvl w:val="0"/>
          <w:numId w:val="1"/>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minimalus tikėtinas atitikties proceso tikslumas;</w:t>
      </w:r>
    </w:p>
    <w:p>
      <w:pPr>
        <w:pStyle w:val="ListParagraph"/>
        <w:numPr>
          <w:ilvl w:val="0"/>
          <w:numId w:val="1"/>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maksimalus leidžiamas atsako gavimo laikas.</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Pavyzdys: sulaikytas įtariamasis nugabenamas į policijos nuovadą, kur paimami jo pirštų atspaudai. Paieškai centrinėje pirštų atspaudų duomenų bazėje naudojamas dešimties atspaudų rinkinys. Nustatoma dešimties atspaudų, kurie buvo paimti šio asmens ankstesnio sulaikymo metu, atitiktis. Abu kartus imant pirštų atspaudus dalyvavo pats asmuo, todėl tikėtina, kad kokybė bus gera. Kadangi asmuo veikiausiai bus sulaikytas ne trumpiau nei kelias valandas, atsako skubumas nėra svarbus.</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 xml:space="preserve">Jei asmenį patikrinti reikia skubiai (pavyzdžiui, oro uoste), gali būti nuskaitomi tik dviejų pirštų atspaudai. </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 xml:space="preserve">Tikėtinas patikrinimo tikslumas bus mažesnis, tačiau paėmus du atspaudus ir palyginimui naudojant visų dešimties atspaudų rinkinį kontrolė vis dar bus pakankama. Kadangi šis asmuo nėra sulaikytas, atsako gavimo laikas turi būti trumpas – kelios sekundės, o ne minutės. Jei nustatoma atitiktis, antros linijos patikrinimą galima atlikti naudojant visų 10 atspaudų paiešką. </w:t>
      </w:r>
    </w:p>
    <w:p>
      <w:pPr>
        <w:pStyle w:val="Heading2"/>
        <w:rPr>
          <w:rFonts w:ascii="Times New Roman" w:eastAsia="Times New Roman" w:hAnsi="Times New Roman" w:cs="Times New Roman"/>
          <w:noProof/>
          <w:color w:val="auto"/>
          <w:sz w:val="24"/>
          <w:szCs w:val="24"/>
        </w:rPr>
      </w:pPr>
      <w:bookmarkStart w:id="8" w:name="_Toc432513536"/>
      <w:r>
        <w:rPr>
          <w:rFonts w:ascii="Times New Roman" w:hAnsi="Times New Roman"/>
          <w:noProof/>
          <w:color w:val="auto"/>
          <w:sz w:val="24"/>
        </w:rPr>
        <w:t>2.3 EURODAC ir VIS</w:t>
      </w:r>
      <w:bookmarkEnd w:id="8"/>
    </w:p>
    <w:p>
      <w:pPr>
        <w:pStyle w:val="ListParagraph"/>
        <w:spacing w:before="100" w:beforeAutospacing="1" w:after="100" w:afterAutospacing="1"/>
        <w:ind w:left="0"/>
        <w:jc w:val="both"/>
        <w:rPr>
          <w:rFonts w:ascii="Times New Roman" w:eastAsia="Times New Roman" w:hAnsi="Times New Roman" w:cs="Times New Roman"/>
          <w:noProof/>
          <w:sz w:val="24"/>
          <w:szCs w:val="24"/>
        </w:rPr>
      </w:pPr>
      <w:r>
        <w:rPr>
          <w:rFonts w:ascii="Times New Roman" w:hAnsi="Times New Roman"/>
          <w:noProof/>
          <w:sz w:val="24"/>
        </w:rPr>
        <w:t>Siekiant tinkamai parengti SIS buvo išanalizuotos dvi ES jau naudojamos sistemos, į kurias integruota AFIS.</w:t>
      </w:r>
    </w:p>
    <w:p>
      <w:pPr>
        <w:pStyle w:val="ListParagraph"/>
        <w:spacing w:before="100" w:beforeAutospacing="1" w:after="100" w:afterAutospacing="1"/>
        <w:ind w:left="0"/>
        <w:jc w:val="both"/>
        <w:rPr>
          <w:rFonts w:ascii="Times New Roman" w:eastAsia="Times New Roman" w:hAnsi="Times New Roman" w:cs="Times New Roman"/>
          <w:noProof/>
          <w:sz w:val="24"/>
          <w:szCs w:val="24"/>
        </w:rPr>
      </w:pPr>
    </w:p>
    <w:p>
      <w:pPr>
        <w:pStyle w:val="ListParagraph"/>
        <w:spacing w:before="100" w:beforeAutospacing="1" w:after="100" w:afterAutospacing="1"/>
        <w:ind w:left="0"/>
        <w:jc w:val="both"/>
        <w:rPr>
          <w:rFonts w:ascii="Times New Roman" w:eastAsia="Times New Roman" w:hAnsi="Times New Roman" w:cs="Times New Roman"/>
          <w:noProof/>
          <w:sz w:val="24"/>
          <w:szCs w:val="24"/>
        </w:rPr>
      </w:pPr>
      <w:r>
        <w:rPr>
          <w:rFonts w:ascii="Times New Roman" w:hAnsi="Times New Roman"/>
          <w:noProof/>
          <w:sz w:val="24"/>
        </w:rPr>
        <w:t>Kaip nustatyta 2014 m. metinėje „eu-LISA“ ataskaitoje, sistemoje EURODAC buvo 2,7 mln. pirštų atspaudų įrašų (visų 10 pirštų) ir įvykdytos 756 368 operacijos. Dėl integruotų kokybės procedūrų nepakankamos kokybės atspaudų atmetimo norma buvo 4,49 proc. – tokiu atveju tekdavo pirštų atspaudus paimti ir pateikti iš naujo. Duomenų bazės dydis beveik prilygsta potencialiam SIS dydžiui, tačiau operacijų mastas yra gerokai menkesnis, o atsako gavimo greitis gerokai mažesnis nei būtų reikalaujama SIS: skubus atspaudų palyginimas EURODAC atliekamas per vieną valandą, o SIS – dėl veikimo scenarijų skirtumų – atsakymo galima tikėtis per kelias sekundes.</w:t>
      </w:r>
    </w:p>
    <w:p>
      <w:pPr>
        <w:pStyle w:val="ListParagraph"/>
        <w:spacing w:before="100" w:beforeAutospacing="1" w:after="100" w:afterAutospacing="1"/>
        <w:ind w:left="0"/>
        <w:jc w:val="both"/>
        <w:rPr>
          <w:rFonts w:ascii="Times New Roman" w:eastAsia="Times New Roman" w:hAnsi="Times New Roman" w:cs="Times New Roman"/>
          <w:noProof/>
          <w:sz w:val="24"/>
          <w:szCs w:val="24"/>
        </w:rPr>
      </w:pPr>
    </w:p>
    <w:p>
      <w:pPr>
        <w:pStyle w:val="ListParagraph"/>
        <w:spacing w:before="100" w:beforeAutospacing="1" w:after="100" w:afterAutospacing="1"/>
        <w:ind w:left="0"/>
        <w:jc w:val="both"/>
        <w:rPr>
          <w:rFonts w:ascii="Times New Roman" w:eastAsia="Times New Roman" w:hAnsi="Times New Roman" w:cs="Times New Roman"/>
          <w:noProof/>
          <w:sz w:val="24"/>
          <w:szCs w:val="24"/>
        </w:rPr>
      </w:pPr>
      <w:r>
        <w:rPr>
          <w:rFonts w:ascii="Times New Roman" w:hAnsi="Times New Roman"/>
          <w:noProof/>
          <w:sz w:val="24"/>
        </w:rPr>
        <w:t>VIS yra maždaug 20 mln. pirštų atspaudų įrašų (visų 10 pirštų). Paprastai patikrinimai VIS atliekami pasienyje: tikrinama, ar asmuo iš tiesų yra tikrasis prašymą išduoti vizą pateikęs asmuo. Tačiau VIS taip pat atliekamas naujų prašymą išduoti vizą pateikiančių asmenų atpažinimas (lyginant „vienas su daugeliu“), o per antros linijos patikrinimą naudojama asmens daktiloskopinė kortelė (visų 10 pirštų atspaudai). Kasdien vidutiniškai atliekama 20 000–30 000 tokių patikrinimų, o piko valandomis – 3 000 per valandą. Tikėtina identifikavimo atsako gavimo trukmė – mažiau nei 20 min. (mažiau nei 3 sek. atliekant verifikavimą lyginant su vienu įrašu, naudojant vieną–keturis pirštus tipinio patikrinimo pasienyje atveju).</w:t>
      </w:r>
    </w:p>
    <w:p>
      <w:pPr>
        <w:pStyle w:val="Heading2"/>
        <w:rPr>
          <w:rFonts w:ascii="Times New Roman" w:eastAsia="Times New Roman" w:hAnsi="Times New Roman" w:cs="Times New Roman"/>
          <w:noProof/>
          <w:color w:val="auto"/>
          <w:sz w:val="24"/>
          <w:szCs w:val="24"/>
        </w:rPr>
      </w:pPr>
      <w:bookmarkStart w:id="9" w:name="_Toc432513537"/>
      <w:r>
        <w:rPr>
          <w:rFonts w:ascii="Times New Roman" w:hAnsi="Times New Roman"/>
          <w:noProof/>
          <w:color w:val="auto"/>
          <w:sz w:val="24"/>
        </w:rPr>
        <w:t xml:space="preserve">2.4 Valstybių narių ir trečiųjų šalių AFIS </w:t>
      </w:r>
      <w:bookmarkEnd w:id="9"/>
    </w:p>
    <w:p>
      <w:pPr>
        <w:pStyle w:val="ListParagraph"/>
        <w:spacing w:before="100" w:beforeAutospacing="1" w:after="100" w:afterAutospacing="1"/>
        <w:ind w:left="0"/>
        <w:jc w:val="both"/>
        <w:rPr>
          <w:rFonts w:ascii="Times New Roman" w:eastAsia="Times New Roman" w:hAnsi="Times New Roman" w:cs="Times New Roman"/>
          <w:noProof/>
          <w:sz w:val="24"/>
          <w:szCs w:val="24"/>
        </w:rPr>
      </w:pPr>
      <w:r>
        <w:rPr>
          <w:rFonts w:ascii="Times New Roman" w:hAnsi="Times New Roman"/>
          <w:noProof/>
          <w:sz w:val="24"/>
        </w:rPr>
        <w:t>Atlikus tyrimą nustatyta, kad valstybių narių nacionalinės kriminalinės policijos AFIS dėl saugomų įrašų masto gali būti didesnė nei planuojama SIS AFIS. Dviejose nagrinėtose JAV sistemose yra dešimtys milijonų įrašų. SIS gali būti saugomi tik tų asmenų, dėl kurių paskelbtas perspėjimas, pirštų atspaudai. 2015 m. sausio 1 d. SIS buvo kiek mažiau nei 800 000 perspėjimų dėl asmenų.</w:t>
      </w:r>
    </w:p>
    <w:p>
      <w:pPr>
        <w:pStyle w:val="Heading2"/>
        <w:rPr>
          <w:rFonts w:ascii="Times New Roman" w:eastAsia="Times New Roman" w:hAnsi="Times New Roman" w:cs="Times New Roman"/>
          <w:noProof/>
          <w:color w:val="auto"/>
          <w:sz w:val="24"/>
          <w:szCs w:val="24"/>
        </w:rPr>
      </w:pPr>
      <w:bookmarkStart w:id="10" w:name="_Toc432513538"/>
      <w:r>
        <w:rPr>
          <w:rFonts w:ascii="Times New Roman" w:hAnsi="Times New Roman"/>
          <w:noProof/>
          <w:color w:val="auto"/>
          <w:sz w:val="24"/>
        </w:rPr>
        <w:t>2.5 AFIS technologijos įgyvendinimo sunkumai</w:t>
      </w:r>
      <w:bookmarkEnd w:id="10"/>
    </w:p>
    <w:p>
      <w:pPr>
        <w:pStyle w:val="ListParagraph"/>
        <w:spacing w:before="100" w:beforeAutospacing="1" w:after="100" w:afterAutospacing="1"/>
        <w:ind w:left="0"/>
        <w:jc w:val="both"/>
        <w:rPr>
          <w:rFonts w:ascii="Times New Roman" w:eastAsia="Times New Roman" w:hAnsi="Times New Roman" w:cs="Times New Roman"/>
          <w:noProof/>
          <w:sz w:val="24"/>
          <w:szCs w:val="24"/>
        </w:rPr>
      </w:pPr>
      <w:r>
        <w:rPr>
          <w:rFonts w:ascii="Times New Roman" w:hAnsi="Times New Roman"/>
          <w:noProof/>
          <w:sz w:val="24"/>
        </w:rPr>
        <w:t>AFIS technologijos įgyvendinimo sunkumus galima apibendrinti taip:</w:t>
      </w:r>
    </w:p>
    <w:p>
      <w:pPr>
        <w:pStyle w:val="ListParagraph"/>
        <w:spacing w:before="100" w:beforeAutospacing="1" w:after="100" w:afterAutospacing="1"/>
        <w:ind w:left="0"/>
        <w:jc w:val="both"/>
        <w:rPr>
          <w:rFonts w:ascii="Times New Roman" w:eastAsia="Times New Roman" w:hAnsi="Times New Roman" w:cs="Times New Roman"/>
          <w:noProof/>
          <w:sz w:val="24"/>
          <w:szCs w:val="24"/>
        </w:rPr>
      </w:pPr>
    </w:p>
    <w:p>
      <w:pPr>
        <w:pStyle w:val="ListParagraph"/>
        <w:numPr>
          <w:ilvl w:val="0"/>
          <w:numId w:val="1"/>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naudojimo atvejai;</w:t>
      </w:r>
    </w:p>
    <w:p>
      <w:pPr>
        <w:pStyle w:val="ListParagraph"/>
        <w:numPr>
          <w:ilvl w:val="0"/>
          <w:numId w:val="1"/>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veikimas;</w:t>
      </w:r>
    </w:p>
    <w:p>
      <w:pPr>
        <w:pStyle w:val="ListParagraph"/>
        <w:numPr>
          <w:ilvl w:val="0"/>
          <w:numId w:val="1"/>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kokybė;</w:t>
      </w:r>
    </w:p>
    <w:p>
      <w:pPr>
        <w:pStyle w:val="ListParagraph"/>
        <w:numPr>
          <w:ilvl w:val="0"/>
          <w:numId w:val="1"/>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veikimo sparta (atsako gavimo laikas);</w:t>
      </w:r>
    </w:p>
    <w:p>
      <w:pPr>
        <w:pStyle w:val="ListParagraph"/>
        <w:numPr>
          <w:ilvl w:val="0"/>
          <w:numId w:val="1"/>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duomenų bazės dydis;</w:t>
      </w:r>
    </w:p>
    <w:p>
      <w:pPr>
        <w:pStyle w:val="ListParagraph"/>
        <w:numPr>
          <w:ilvl w:val="0"/>
          <w:numId w:val="1"/>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atitikmenų radimo pajėgumai;</w:t>
      </w:r>
    </w:p>
    <w:p>
      <w:pPr>
        <w:pStyle w:val="ListParagraph"/>
        <w:numPr>
          <w:ilvl w:val="0"/>
          <w:numId w:val="1"/>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operacijų ir (arba) rastų atitikmenų skaičius piko valandomis;</w:t>
      </w:r>
    </w:p>
    <w:p>
      <w:pPr>
        <w:pStyle w:val="ListParagraph"/>
        <w:numPr>
          <w:ilvl w:val="0"/>
          <w:numId w:val="1"/>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užklausų valdymo strategija;</w:t>
      </w:r>
    </w:p>
    <w:p>
      <w:pPr>
        <w:pStyle w:val="ListParagraph"/>
        <w:numPr>
          <w:ilvl w:val="0"/>
          <w:numId w:val="1"/>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duomenų mainų formatas;</w:t>
      </w:r>
    </w:p>
    <w:p>
      <w:pPr>
        <w:pStyle w:val="ListParagraph"/>
        <w:numPr>
          <w:ilvl w:val="0"/>
          <w:numId w:val="1"/>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sistemos struktūra; centralizavimas ar decentralizavimas;</w:t>
      </w:r>
    </w:p>
    <w:p>
      <w:pPr>
        <w:pStyle w:val="ListParagraph"/>
        <w:numPr>
          <w:ilvl w:val="0"/>
          <w:numId w:val="1"/>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apdorojamų duomenų tipas – atspaudų formatas;</w:t>
      </w:r>
    </w:p>
    <w:p>
      <w:pPr>
        <w:pStyle w:val="ListParagraph"/>
        <w:numPr>
          <w:ilvl w:val="0"/>
          <w:numId w:val="1"/>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latentiniai atspaudai.</w:t>
      </w:r>
    </w:p>
    <w:p>
      <w:pPr>
        <w:pStyle w:val="ListParagraph"/>
        <w:spacing w:before="100" w:beforeAutospacing="1" w:after="100" w:afterAutospacing="1"/>
        <w:ind w:left="0"/>
        <w:jc w:val="both"/>
        <w:rPr>
          <w:rFonts w:ascii="Times New Roman" w:eastAsia="Times New Roman" w:hAnsi="Times New Roman" w:cs="Times New Roman"/>
          <w:noProof/>
          <w:sz w:val="24"/>
          <w:szCs w:val="24"/>
        </w:rPr>
      </w:pPr>
    </w:p>
    <w:p>
      <w:pPr>
        <w:pStyle w:val="Heading2"/>
        <w:rPr>
          <w:rFonts w:ascii="Times New Roman" w:eastAsia="Times New Roman" w:hAnsi="Times New Roman" w:cs="Times New Roman"/>
          <w:noProof/>
          <w:color w:val="auto"/>
          <w:sz w:val="24"/>
          <w:szCs w:val="24"/>
        </w:rPr>
      </w:pPr>
      <w:r>
        <w:rPr>
          <w:rFonts w:ascii="Times New Roman" w:hAnsi="Times New Roman"/>
          <w:noProof/>
          <w:color w:val="auto"/>
          <w:sz w:val="24"/>
        </w:rPr>
        <w:t>2.6 Išvados</w:t>
      </w:r>
    </w:p>
    <w:p>
      <w:pPr>
        <w:pStyle w:val="ListParagraph"/>
        <w:spacing w:before="100" w:beforeAutospacing="1" w:after="100" w:afterAutospacing="1"/>
        <w:ind w:left="0"/>
        <w:jc w:val="both"/>
        <w:rPr>
          <w:rFonts w:ascii="Times New Roman" w:eastAsia="Times New Roman" w:hAnsi="Times New Roman" w:cs="Times New Roman"/>
          <w:noProof/>
          <w:sz w:val="24"/>
          <w:szCs w:val="24"/>
        </w:rPr>
      </w:pPr>
      <w:r>
        <w:rPr>
          <w:rFonts w:ascii="Times New Roman" w:hAnsi="Times New Roman"/>
          <w:noProof/>
          <w:sz w:val="24"/>
        </w:rPr>
        <w:t>Kaip nurodyta šio skyriaus pradžioje, technologija jau sukurta ir gali būti naudojama. Komisija taip pat nurodė spręstinas problemas. Sėkmingo įgyvendinimo rekomendacijos ir šių problemų sprendimo būdai aprašyti 4 skyriuje.</w:t>
      </w:r>
    </w:p>
    <w:p>
      <w:pPr>
        <w:pStyle w:val="Heading1"/>
        <w:rPr>
          <w:rFonts w:eastAsia="Times New Roman"/>
          <w:b/>
          <w:noProof/>
          <w:color w:val="auto"/>
        </w:rPr>
      </w:pPr>
      <w:bookmarkStart w:id="11" w:name="_Toc432513539"/>
      <w:r>
        <w:rPr>
          <w:rFonts w:ascii="Times New Roman" w:hAnsi="Times New Roman"/>
          <w:b/>
          <w:noProof/>
          <w:color w:val="auto"/>
          <w:sz w:val="24"/>
        </w:rPr>
        <w:t>3. AFIS integravimas į SIS</w:t>
      </w:r>
      <w:bookmarkStart w:id="12" w:name="_Toc432513540"/>
      <w:bookmarkEnd w:id="11"/>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 xml:space="preserve">SIS AFIS turės būti tvarkomi visų tipų pirštų atspaudų įrašai. Tai, be kita ko: </w:t>
      </w:r>
    </w:p>
    <w:p>
      <w:pPr>
        <w:pStyle w:val="ListParagraph"/>
        <w:numPr>
          <w:ilvl w:val="0"/>
          <w:numId w:val="7"/>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 xml:space="preserve">plokštieji ir ritinti atspaudai; </w:t>
      </w:r>
    </w:p>
    <w:p>
      <w:pPr>
        <w:pStyle w:val="ListParagraph"/>
        <w:numPr>
          <w:ilvl w:val="0"/>
          <w:numId w:val="7"/>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 xml:space="preserve">greiti patikrinimai nuskaitant, pavyzdžiui, tik du pirštus; </w:t>
      </w:r>
    </w:p>
    <w:p>
      <w:pPr>
        <w:pStyle w:val="ListParagraph"/>
        <w:numPr>
          <w:ilvl w:val="0"/>
          <w:numId w:val="7"/>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latentiniai atspaudai, surinkti nusikaltimo vietoje.</w:t>
      </w:r>
    </w:p>
    <w:p>
      <w:pPr>
        <w:pStyle w:val="Heading2"/>
        <w:rPr>
          <w:rFonts w:ascii="Times New Roman" w:eastAsia="Times New Roman" w:hAnsi="Times New Roman" w:cs="Times New Roman"/>
          <w:noProof/>
          <w:color w:val="auto"/>
          <w:sz w:val="24"/>
          <w:szCs w:val="24"/>
        </w:rPr>
      </w:pPr>
      <w:r>
        <w:rPr>
          <w:rFonts w:ascii="Times New Roman" w:hAnsi="Times New Roman"/>
          <w:noProof/>
          <w:color w:val="auto"/>
          <w:sz w:val="24"/>
        </w:rPr>
        <w:t>3.1 Duomenų apsauga</w:t>
      </w:r>
    </w:p>
    <w:p>
      <w:p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Bet koks pirštų atspaudų apdorojimas SIS II, įskaitant saugojimą ir naudojimą tapatybės nustatymo tikslais, turi atitikti tam tikras duomenų apsaugos nuostatas, nustatytas SIS II teisės aktuose, ir taikomas nacionalines duomenų apsaugos nuostatas, kuriomis įgyvendinama Direktyva 95/46/EB</w:t>
      </w:r>
      <w:r>
        <w:rPr>
          <w:rStyle w:val="FootnoteReference"/>
          <w:rFonts w:ascii="Times New Roman" w:hAnsi="Times New Roman"/>
          <w:noProof/>
          <w:sz w:val="24"/>
        </w:rPr>
        <w:footnoteReference w:id="5"/>
      </w:r>
      <w:r>
        <w:rPr>
          <w:rFonts w:ascii="Times New Roman" w:hAnsi="Times New Roman"/>
          <w:noProof/>
          <w:sz w:val="24"/>
        </w:rPr>
        <w:t xml:space="preserve"> ir pamatinis sprendimas 2008/977/TVR</w:t>
      </w:r>
      <w:r>
        <w:rPr>
          <w:rStyle w:val="FootnoteReference"/>
          <w:rFonts w:ascii="Times New Roman" w:hAnsi="Times New Roman"/>
          <w:noProof/>
          <w:sz w:val="24"/>
        </w:rPr>
        <w:footnoteReference w:id="6"/>
      </w:r>
      <w:r>
        <w:rPr>
          <w:rFonts w:ascii="Times New Roman" w:hAnsi="Times New Roman"/>
          <w:noProof/>
          <w:sz w:val="24"/>
        </w:rPr>
        <w:t>. Abi teisinės priemonės taikomos tiek trečiųjų šalių, tiek ES piliečių pirštų atspaudų apdorojimui. Pirštų atspaudus galima naudoti tik jei tai leidžiama Sąjungos ar valstybės narės teisės nuostatomis. Vadovaujantis tikslingumo principu, SIS II turi būti aiškiai nustatytas pirštų atspaudų naudojimo tikslas ir priemonės. Pirštų atspaudų apdorojimas negali viršyti to, kas būtina bendrojo intereso tikslui pasiekti ir, jei reikia, jam gali būti taikomos atitinkamos apsaugos priemonės. Diegiant šias naujas funkcijas SIS II reikėtų laikytis standartizuotosios ir pritaikytosios duomenų apsaugos principų.</w:t>
      </w:r>
    </w:p>
    <w:p>
      <w:pPr>
        <w:pStyle w:val="Heading2"/>
        <w:rPr>
          <w:rFonts w:ascii="Times New Roman" w:eastAsia="Times New Roman" w:hAnsi="Times New Roman" w:cs="Times New Roman"/>
          <w:noProof/>
          <w:color w:val="auto"/>
          <w:sz w:val="24"/>
          <w:szCs w:val="24"/>
        </w:rPr>
      </w:pPr>
      <w:r>
        <w:rPr>
          <w:rFonts w:ascii="Times New Roman" w:hAnsi="Times New Roman"/>
          <w:noProof/>
          <w:color w:val="auto"/>
          <w:sz w:val="24"/>
        </w:rPr>
        <w:t>3.2 Pirštų atspaudų naudojimo SIS scenarijai</w:t>
      </w:r>
      <w:bookmarkEnd w:id="12"/>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Numatoma SIS vykdyti dviejų tipų operacijas:</w:t>
      </w:r>
    </w:p>
    <w:p>
      <w:pPr>
        <w:pStyle w:val="ListParagraph"/>
        <w:numPr>
          <w:ilvl w:val="0"/>
          <w:numId w:val="1"/>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sukuriamas ar atnaujinamas perspėjimas pridedant pirštų atspaudus;</w:t>
      </w:r>
    </w:p>
    <w:p>
      <w:pPr>
        <w:pStyle w:val="ListParagraph"/>
        <w:numPr>
          <w:ilvl w:val="0"/>
          <w:numId w:val="1"/>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paieška SIS duomenų bazėje atliekama naudojant pirštų atspaudus, o ne vardą, pavardę ar gimimo datą. Siekiant patikrinti, ar asmens duomenys jau įvesti į SIS su ankstesniu perspėjimu, tokia paieška bus atliekama dar iki naujo perspėjimo įvedimo.</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Jei įmanoma, prie SIS perspėjimų turi būti pridedami pirštų atspaudai. Aplinkybės, kuriomis galima tikėtis SIS rasti pirštų atspaudus, išdėstytos tolesniuose skyreliuose. Kiekvienas atvejis buvo lyginamas su panašiu naudojimo atveju valstybių narių AFIS. Priklausomai nuo scenarijaus, šie atvejai plačiai aprašyti Jungtinio tyrimų centro tyrime aptariant asmenų daktiloskopinių kortelių tikrinimą („dešimt su dešimt“).</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Išskyrus atvejus, keliančius operatyvinių problemų, bendra atspaudų kokybė yra aukšta, nes tiek tiesiai iš asmens imami atspaudai, tiek duomenų bazėje saugomi atspaudų rinkiniai buvo gauti kontroliuojamomis aplinkybėmis su galimybe atmesti netinkamos kokybės atspaudus ir paimti juos iš naujo.</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Tais atvejais, kai valstybė narė sukuria perspėjimą, bet neturi asmens pirštų atspaudų, tuos atspaudus nacionalinėje AFIS duomenų bazėje gali turėti kita valstybė narė, kuri su tuo asmeniu susidūrė anksčiau. SIRENE vadove</w:t>
      </w:r>
      <w:r>
        <w:rPr>
          <w:rStyle w:val="FootnoteReference"/>
          <w:rFonts w:ascii="Times New Roman" w:hAnsi="Times New Roman"/>
          <w:noProof/>
          <w:sz w:val="24"/>
        </w:rPr>
        <w:footnoteReference w:id="7"/>
      </w:r>
      <w:r>
        <w:rPr>
          <w:rFonts w:ascii="Times New Roman" w:hAnsi="Times New Roman"/>
          <w:noProof/>
          <w:sz w:val="24"/>
        </w:rPr>
        <w:t xml:space="preserve"> aprašoma, kaip siųsti atspaudus drauge su perspėjimu. Kadangi pirštų atspaudai galėjo būti paimti kitoje sistemoje, reikėtų užtikrinti, kad prie atspaudų būtų pridedamas įrašas apie jų kokybę, kad tų atspaudų naudotojai būtų tinkamai informuoti.</w:t>
      </w:r>
    </w:p>
    <w:p>
      <w:pPr>
        <w:pStyle w:val="Heading2"/>
        <w:ind w:left="720"/>
        <w:rPr>
          <w:rFonts w:ascii="Times New Roman" w:eastAsia="Times New Roman" w:hAnsi="Times New Roman" w:cs="Times New Roman"/>
          <w:noProof/>
          <w:color w:val="auto"/>
          <w:sz w:val="24"/>
          <w:szCs w:val="24"/>
        </w:rPr>
      </w:pPr>
      <w:bookmarkStart w:id="13" w:name="_Toc432513541"/>
      <w:r>
        <w:rPr>
          <w:rFonts w:ascii="Times New Roman" w:hAnsi="Times New Roman"/>
          <w:noProof/>
          <w:color w:val="auto"/>
          <w:sz w:val="24"/>
        </w:rPr>
        <w:t>3.2.1 Draudimas atvykti ar apsigyventi (Reglamento 24 straipsnis)</w:t>
      </w:r>
      <w:bookmarkEnd w:id="13"/>
      <w:r>
        <w:rPr>
          <w:rFonts w:ascii="Times New Roman" w:hAnsi="Times New Roman"/>
          <w:noProof/>
          <w:color w:val="auto"/>
          <w:sz w:val="24"/>
        </w:rPr>
        <w:t xml:space="preserve">  </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 xml:space="preserve">Šis perspėjimas yra pats dažniausias. Darant prielaidą, kad perspėjimą išduodanti valstybė narė turi prieigą prie asmens, dėl kurio SIS sistemoje paskelbtas perspėjimas, – t. y. prie perspėjimo subjekto, – bus paimti dešimt atspaudų, kurie bus pridėti prie perspėjimo ir palyginti su SIS sistemoje esančiomis asmenų daktiloskopinėmis kortelėmis (visų 10 pirštų atspaudais). Taip galima nustatyti sąsajas su kitais perspėjimais.  </w:t>
      </w:r>
    </w:p>
    <w:p>
      <w:pPr>
        <w:pStyle w:val="Heading2"/>
        <w:ind w:left="720"/>
        <w:rPr>
          <w:rFonts w:ascii="Times New Roman" w:eastAsia="Times New Roman" w:hAnsi="Times New Roman" w:cs="Times New Roman"/>
          <w:noProof/>
          <w:color w:val="auto"/>
          <w:sz w:val="24"/>
          <w:szCs w:val="24"/>
        </w:rPr>
      </w:pPr>
      <w:bookmarkStart w:id="14" w:name="_Toc432513542"/>
      <w:r>
        <w:rPr>
          <w:rFonts w:ascii="Times New Roman" w:hAnsi="Times New Roman"/>
          <w:noProof/>
          <w:color w:val="auto"/>
          <w:sz w:val="24"/>
        </w:rPr>
        <w:t>3.2.2 Suėmimas perdavimo arba ekstradicijos tikslu (Sprendimo 26 straipsnis)</w:t>
      </w:r>
      <w:bookmarkEnd w:id="14"/>
      <w:r>
        <w:rPr>
          <w:rFonts w:ascii="Times New Roman" w:hAnsi="Times New Roman"/>
          <w:noProof/>
          <w:color w:val="auto"/>
          <w:sz w:val="24"/>
        </w:rPr>
        <w:t xml:space="preserve">  </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 xml:space="preserve">Perspėjimo išdavimo metu gali nebūti galimybių turėti prieigą prie perspėjimo subjekto ir paimti jo pirštų atspaudus. Tačiau perspėjimą skelbianti valstybė narė jau gali turėti to asmens pirštų atspaudus nacionalinėje AFIS ir gali parengti visapusišką perspėjimą. Bus paimti dešimt atspaudų, kurie bus pridėti prie perspėjimo ir palyginti su SIS sistemoje esančiomis kitų perspėjimų dėl asmenų daktiloskopinėmis kortelėmis (visų 10 pirštų atspaudais). </w:t>
      </w:r>
    </w:p>
    <w:p>
      <w:pPr>
        <w:pStyle w:val="Heading2"/>
        <w:ind w:left="720"/>
        <w:rPr>
          <w:rFonts w:ascii="Times New Roman" w:eastAsia="Times New Roman" w:hAnsi="Times New Roman" w:cs="Times New Roman"/>
          <w:noProof/>
          <w:color w:val="auto"/>
          <w:sz w:val="24"/>
          <w:szCs w:val="24"/>
        </w:rPr>
      </w:pPr>
      <w:bookmarkStart w:id="15" w:name="_Toc432513543"/>
      <w:r>
        <w:rPr>
          <w:rFonts w:ascii="Times New Roman" w:hAnsi="Times New Roman"/>
          <w:noProof/>
          <w:color w:val="auto"/>
          <w:sz w:val="24"/>
        </w:rPr>
        <w:t>3.2.3 Dingę asmenys (Sprendimo 32 straipsnis)</w:t>
      </w:r>
      <w:bookmarkEnd w:id="15"/>
      <w:r>
        <w:rPr>
          <w:rFonts w:ascii="Times New Roman" w:hAnsi="Times New Roman"/>
          <w:noProof/>
          <w:color w:val="auto"/>
          <w:sz w:val="24"/>
        </w:rPr>
        <w:t xml:space="preserve"> </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 xml:space="preserve">Paskelbus perspėjimą tokių asmenų atspaudai turimi ne visada. Tačiau tam tikrais atvejais, jei yra nacionalinis registras ir tai leidžiama teisės aktais, atspaudus galima perduoti kaip atsakymą į perspėjimą.  </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 xml:space="preserve">Atliekant tyrimą galima teikti užklausą SIS naudojant latentinius asmens pirštų atspaudus (tačiau šie atspaudai duomenų bazėje neišsaugomi ir nelaikomi). Tokiu atveju tai ne perspėjimo sukūrimas, o paieška. </w:t>
      </w:r>
    </w:p>
    <w:p>
      <w:pPr>
        <w:pStyle w:val="Heading2"/>
        <w:ind w:left="720"/>
        <w:rPr>
          <w:rFonts w:ascii="Times New Roman" w:eastAsia="Times New Roman" w:hAnsi="Times New Roman" w:cs="Times New Roman"/>
          <w:noProof/>
          <w:color w:val="auto"/>
          <w:sz w:val="24"/>
          <w:szCs w:val="24"/>
        </w:rPr>
      </w:pPr>
      <w:bookmarkStart w:id="16" w:name="_Toc432513544"/>
      <w:r>
        <w:rPr>
          <w:rFonts w:ascii="Times New Roman" w:hAnsi="Times New Roman"/>
          <w:noProof/>
          <w:color w:val="auto"/>
          <w:sz w:val="24"/>
        </w:rPr>
        <w:t>3.2.4 Asmenys, kurių ieškoma, kad būtų šaukiami atvykti į teismą (Sprendimo 34 straipsnis)</w:t>
      </w:r>
      <w:bookmarkEnd w:id="16"/>
      <w:r>
        <w:rPr>
          <w:rFonts w:ascii="Times New Roman" w:hAnsi="Times New Roman"/>
          <w:noProof/>
          <w:color w:val="auto"/>
          <w:sz w:val="24"/>
        </w:rPr>
        <w:t xml:space="preserve"> </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 xml:space="preserve">Atspaudai gali būti neprieinami, tačiau valstybė narė perspėjimą gali papildyti atspaudais iš nacionalinės AFIS, jei tai leidžiama. </w:t>
      </w:r>
    </w:p>
    <w:p>
      <w:pPr>
        <w:pStyle w:val="Heading2"/>
        <w:ind w:left="720"/>
        <w:rPr>
          <w:rFonts w:ascii="Times New Roman" w:eastAsia="Times New Roman" w:hAnsi="Times New Roman" w:cs="Times New Roman"/>
          <w:noProof/>
          <w:color w:val="auto"/>
          <w:sz w:val="24"/>
          <w:szCs w:val="24"/>
        </w:rPr>
      </w:pPr>
      <w:bookmarkStart w:id="17" w:name="_Toc432513545"/>
      <w:r>
        <w:rPr>
          <w:rFonts w:ascii="Times New Roman" w:hAnsi="Times New Roman"/>
          <w:noProof/>
          <w:color w:val="auto"/>
          <w:sz w:val="24"/>
        </w:rPr>
        <w:t>3.2.5 Slapti ar specialūs patikrinimai (Sprendimo 36 straipsnis)</w:t>
      </w:r>
      <w:bookmarkEnd w:id="17"/>
      <w:r>
        <w:rPr>
          <w:rFonts w:ascii="Times New Roman" w:hAnsi="Times New Roman"/>
          <w:noProof/>
          <w:color w:val="auto"/>
          <w:sz w:val="24"/>
        </w:rPr>
        <w:t xml:space="preserve">  </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 xml:space="preserve">Gali būti atvejų, kai atspaudai neprieinami. Tokių patikrinimų pobūdis reiškia, kad atspaudai veikiausiai bus neprieinami ir ateityje. Tačiau perspėjimą skelbianti valstybė narė jau gali turėti to asmens pirštų atspaudus nacionalinėje AFIS ir gali parengti visapusišką perspėjimą. Policijos patikrinimas ar patikrinimas pasienyje gali būti gera proga atlikti paiešką pagal šiuos atspaudus.  </w:t>
      </w:r>
    </w:p>
    <w:p>
      <w:pPr>
        <w:pStyle w:val="Heading2"/>
        <w:ind w:left="720"/>
        <w:rPr>
          <w:rFonts w:ascii="Times New Roman" w:eastAsia="Times New Roman" w:hAnsi="Times New Roman" w:cs="Times New Roman"/>
          <w:noProof/>
          <w:color w:val="auto"/>
          <w:sz w:val="24"/>
          <w:szCs w:val="24"/>
        </w:rPr>
      </w:pPr>
      <w:bookmarkStart w:id="18" w:name="_Toc432513546"/>
      <w:r>
        <w:rPr>
          <w:rFonts w:ascii="Times New Roman" w:hAnsi="Times New Roman"/>
          <w:noProof/>
          <w:color w:val="auto"/>
          <w:sz w:val="24"/>
        </w:rPr>
        <w:t xml:space="preserve">3.2.6 Neteisėtas naudojimasis tapatybe (Reglamento 36 straipsnis; Sprendimo 51 straipsnis) </w:t>
      </w:r>
      <w:bookmarkEnd w:id="18"/>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 xml:space="preserve">Aukai, kurios tapatybe buvo neteisėtai pasinaudota, sutikus, valstybės narės gali pridėti jos pirštų atspaudus prie perspėjimo dėl ta tapatybe neteisėtai pasinaudojusio asmens. Tokiu atveju perspėjimas bus atnaujinamas, o ne sukuriamas. Taip valdžios institucijos galės nustatyti tiek svetima tapatybe besinaudojantį asmenį, tiek auką, nes auka prireikus galės įrodyti savo tapatybę. Kai pirmos linijos patikrinimo pasienyje metu atlikus paiešką nustatomas asmens vardas, pavardė ir gimimo data, antros linijos patikrinimo metu galima patikrinti aukos tapatybę. </w:t>
      </w:r>
    </w:p>
    <w:p>
      <w:pPr>
        <w:pStyle w:val="Heading2"/>
        <w:rPr>
          <w:rFonts w:ascii="Times New Roman" w:eastAsia="Times New Roman" w:hAnsi="Times New Roman" w:cs="Times New Roman"/>
          <w:noProof/>
          <w:color w:val="auto"/>
          <w:sz w:val="24"/>
          <w:szCs w:val="24"/>
        </w:rPr>
      </w:pPr>
      <w:bookmarkStart w:id="19" w:name="_Toc432513547"/>
      <w:r>
        <w:rPr>
          <w:rFonts w:ascii="Times New Roman" w:hAnsi="Times New Roman"/>
          <w:noProof/>
          <w:color w:val="auto"/>
          <w:sz w:val="24"/>
        </w:rPr>
        <w:t>3.3 SIS AFIS dydžio ir operacijų skaičiaus įvertinimas</w:t>
      </w:r>
      <w:bookmarkEnd w:id="19"/>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Atliekant tyrimą SIS buvo maždaug 5 500 pirštų atspaudų įrašų. Valstybės narės patvirtino, kad motyvaciją kelti atspaudus į SIS menkina būtent AFIS funkcijos stoka.</w:t>
      </w:r>
    </w:p>
    <w:p>
      <w:pPr>
        <w:pStyle w:val="Heading2"/>
        <w:ind w:left="720"/>
        <w:rPr>
          <w:rFonts w:ascii="Times New Roman" w:eastAsia="Times New Roman" w:hAnsi="Times New Roman" w:cs="Times New Roman"/>
          <w:noProof/>
          <w:color w:val="auto"/>
          <w:sz w:val="24"/>
          <w:szCs w:val="24"/>
        </w:rPr>
      </w:pPr>
      <w:bookmarkStart w:id="20" w:name="_Toc432513548"/>
      <w:r>
        <w:rPr>
          <w:rFonts w:ascii="Times New Roman" w:hAnsi="Times New Roman"/>
          <w:noProof/>
          <w:color w:val="auto"/>
          <w:sz w:val="24"/>
        </w:rPr>
        <w:t>3.3.1 Dydis</w:t>
      </w:r>
      <w:bookmarkEnd w:id="20"/>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Perspėjimų dėl asmenų skaičius SIS yra gana stabilus. Tačiau jis gali išaugti dėl pasiūlymų skelbti perspėjimus dėl sprendimų grąžinti ir su tuo susijusio draudimo atvykti. Net po tokio padidėjimo SIS AFIS dydis neviršys didelės valstybės narės sistemos dydžio, todėl techninių problemų neturėtų kilti.</w:t>
      </w:r>
    </w:p>
    <w:p>
      <w:pPr>
        <w:pStyle w:val="Heading2"/>
        <w:ind w:left="720"/>
        <w:rPr>
          <w:rFonts w:ascii="Times New Roman" w:eastAsia="Times New Roman" w:hAnsi="Times New Roman" w:cs="Times New Roman"/>
          <w:noProof/>
          <w:color w:val="auto"/>
          <w:sz w:val="24"/>
          <w:szCs w:val="24"/>
        </w:rPr>
      </w:pPr>
      <w:bookmarkStart w:id="21" w:name="_Toc432513549"/>
      <w:r>
        <w:rPr>
          <w:rFonts w:ascii="Times New Roman" w:hAnsi="Times New Roman"/>
          <w:noProof/>
          <w:color w:val="auto"/>
          <w:sz w:val="24"/>
        </w:rPr>
        <w:t>3.3.2 Operacijų mastas</w:t>
      </w:r>
      <w:bookmarkEnd w:id="21"/>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Reikėtų atsižvelgti į dviejų tipų operacijas:</w:t>
      </w:r>
    </w:p>
    <w:p>
      <w:pPr>
        <w:pStyle w:val="ListParagraph"/>
        <w:numPr>
          <w:ilvl w:val="0"/>
          <w:numId w:val="4"/>
        </w:numPr>
        <w:spacing w:before="100" w:beforeAutospacing="1" w:after="100" w:afterAutospacing="1"/>
        <w:jc w:val="both"/>
        <w:rPr>
          <w:rFonts w:ascii="Times New Roman" w:eastAsia="Times New Roman" w:hAnsi="Times New Roman" w:cs="Times New Roman"/>
          <w:b/>
          <w:noProof/>
          <w:sz w:val="24"/>
          <w:szCs w:val="24"/>
        </w:rPr>
      </w:pPr>
      <w:r>
        <w:rPr>
          <w:rFonts w:ascii="Times New Roman" w:hAnsi="Times New Roman"/>
          <w:b/>
          <w:noProof/>
          <w:sz w:val="24"/>
        </w:rPr>
        <w:t>Užklausos ir paieška.</w:t>
      </w:r>
      <w:r>
        <w:rPr>
          <w:rFonts w:ascii="Times New Roman" w:hAnsi="Times New Roman"/>
          <w:noProof/>
          <w:sz w:val="24"/>
        </w:rPr>
        <w:t xml:space="preserve"> Dažniausiai SIS bus naudojamasi užklausų ir paieškos tikslais. 2014 m. visose perspėjimų kategorijose SIS gavo beveik 2 mlrd. užklausų nacionalinėse sistemose ar centrinėje sistemoje. Tai apims ir paieškas, kurios jau perduotos SIS ir bus remiamos integravus AFIS.</w:t>
      </w:r>
      <w:r>
        <w:rPr>
          <w:rFonts w:ascii="Times New Roman" w:hAnsi="Times New Roman"/>
          <w:b/>
          <w:noProof/>
          <w:sz w:val="24"/>
        </w:rPr>
        <w:t xml:space="preserve"> </w:t>
      </w:r>
      <w:r>
        <w:rPr>
          <w:rFonts w:ascii="Times New Roman" w:hAnsi="Times New Roman"/>
          <w:noProof/>
          <w:sz w:val="24"/>
        </w:rPr>
        <w:t>SIS turėtų būti tikrinami per VIS pateikti prašymai išduoti vizą. Kas dieną atliekama 20 000–30 000 užklausų dėl tapatybės. EURODAC 2014 m. įvykdyta 750 000 operacijų. Iki šių operacijų reikia atlikti paiešką VIS ir SIS, siekiant užtikrinti teroristinių ir kitų sunkių nusikaltimų prevenciją, atskleidimą ir tyrimą. Daroma prielaida, kad taip pat bus atliekama pirštų atspaudų patikra. Patikrinimai prie Šengeno zonos sienų atliekami pagal vardą, pavardę ir gimimo datą. Ateityje ketinama vykdyti trečiųjų šalių piliečių pirštų atspaudų patikras. Ne prie visų perspėjimų pridėti pirštų atspaudai, todėl taip apdoroti galima ne visas užklausas;</w:t>
      </w:r>
      <w:r>
        <w:rPr>
          <w:rFonts w:ascii="Times New Roman" w:hAnsi="Times New Roman"/>
          <w:b/>
          <w:noProof/>
          <w:sz w:val="24"/>
        </w:rPr>
        <w:t xml:space="preserve"> </w:t>
      </w:r>
      <w:r>
        <w:rPr>
          <w:rFonts w:ascii="Times New Roman" w:hAnsi="Times New Roman"/>
          <w:noProof/>
          <w:sz w:val="24"/>
        </w:rPr>
        <w:t>daug patikrų ir toliau bus vykdomos pagal vardą, pavardę ir gimimo datą. Atlikti paiešką pagal pirštų atspaudus galima ne visose SIS prieigos vietose.</w:t>
      </w:r>
    </w:p>
    <w:p>
      <w:pPr>
        <w:pStyle w:val="ListParagraph"/>
        <w:spacing w:before="100" w:beforeAutospacing="1" w:after="100" w:afterAutospacing="1"/>
        <w:jc w:val="both"/>
        <w:rPr>
          <w:rFonts w:ascii="Times New Roman" w:eastAsia="Times New Roman" w:hAnsi="Times New Roman" w:cs="Times New Roman"/>
          <w:b/>
          <w:noProof/>
          <w:sz w:val="24"/>
          <w:szCs w:val="24"/>
        </w:rPr>
      </w:pPr>
    </w:p>
    <w:p>
      <w:pPr>
        <w:pStyle w:val="ListParagraph"/>
        <w:numPr>
          <w:ilvl w:val="0"/>
          <w:numId w:val="4"/>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b/>
          <w:noProof/>
          <w:sz w:val="24"/>
        </w:rPr>
        <w:t xml:space="preserve">Perspėjimų sukūrimas, atnaujinimas ir pašalinimas (angl. CUD). </w:t>
      </w:r>
      <w:r>
        <w:rPr>
          <w:rFonts w:ascii="Times New Roman" w:hAnsi="Times New Roman"/>
          <w:noProof/>
          <w:sz w:val="24"/>
        </w:rPr>
        <w:t>2014 m. įvykdyta 1,4 mln. CUD operacijų. Iš jų 780 000 buvo perspėjimo dėl asmens sukūrimo ar atnaujinimo operacijos, kurių metu buvo galima pridėti pirštų atspaudus. Pašalinimas turėtų būti atliekamas automatiškai, kai ištrinamas perspėjimas, tačiau tam reikia atitinkamų apdorojimo pajėgumų.</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Svarbu užtikrinti, kad nustatant tinkamą SIS AFIS dydį būtų naudojamasi tiksliais statistikos duomenimis. Kompetencija, sukaupta plėtojant nacionalines AFIS, gali būti naudojama ir SIS kontekste.</w:t>
      </w:r>
    </w:p>
    <w:p>
      <w:pPr>
        <w:pStyle w:val="Heading2"/>
        <w:ind w:left="720"/>
        <w:rPr>
          <w:rFonts w:ascii="Times New Roman" w:eastAsia="Times New Roman" w:hAnsi="Times New Roman" w:cs="Times New Roman"/>
          <w:noProof/>
          <w:color w:val="auto"/>
          <w:sz w:val="24"/>
          <w:szCs w:val="24"/>
        </w:rPr>
      </w:pPr>
      <w:bookmarkStart w:id="22" w:name="_Toc432513550"/>
      <w:r>
        <w:rPr>
          <w:rFonts w:ascii="Times New Roman" w:hAnsi="Times New Roman"/>
          <w:noProof/>
          <w:color w:val="auto"/>
          <w:sz w:val="24"/>
        </w:rPr>
        <w:t>3.3.3 Pirštų atspaudų mainų standartai</w:t>
      </w:r>
      <w:bookmarkEnd w:id="22"/>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Tinkamas tokių mainų pagrindas – NIST standartai ir Interpolo gerosios praktikos vadovas.</w:t>
      </w:r>
    </w:p>
    <w:p>
      <w:pPr>
        <w:pStyle w:val="Heading2"/>
        <w:ind w:left="720"/>
        <w:rPr>
          <w:rFonts w:ascii="Times New Roman" w:eastAsia="Times New Roman" w:hAnsi="Times New Roman" w:cs="Times New Roman"/>
          <w:noProof/>
          <w:color w:val="auto"/>
          <w:sz w:val="24"/>
          <w:szCs w:val="24"/>
        </w:rPr>
      </w:pPr>
      <w:bookmarkStart w:id="23" w:name="_Toc432513551"/>
      <w:r>
        <w:rPr>
          <w:rFonts w:ascii="Times New Roman" w:hAnsi="Times New Roman"/>
          <w:noProof/>
          <w:color w:val="auto"/>
          <w:sz w:val="24"/>
        </w:rPr>
        <w:t>3.3.4 Struktūra</w:t>
      </w:r>
      <w:bookmarkEnd w:id="23"/>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 xml:space="preserve">SIS struktūra: </w:t>
      </w:r>
    </w:p>
    <w:p>
      <w:pPr>
        <w:pStyle w:val="ListParagraph"/>
        <w:numPr>
          <w:ilvl w:val="0"/>
          <w:numId w:val="5"/>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centrinė sistema, kurioje atliekama 20 proc. operacijų. Centrine sistema tiesiogiai naudojasi penkios valstybės narės;</w:t>
      </w:r>
    </w:p>
    <w:p>
      <w:pPr>
        <w:pStyle w:val="ListParagraph"/>
        <w:numPr>
          <w:ilvl w:val="0"/>
          <w:numId w:val="5"/>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 xml:space="preserve">nacionalinės kopijos, kuriose atliekama 80 proc. operacijų ir kurios gali būti: </w:t>
      </w:r>
    </w:p>
    <w:p>
      <w:pPr>
        <w:pStyle w:val="ListParagraph"/>
        <w:spacing w:before="100" w:beforeAutospacing="1" w:after="100" w:afterAutospacing="1"/>
        <w:jc w:val="both"/>
        <w:rPr>
          <w:rFonts w:ascii="Times New Roman" w:eastAsia="Times New Roman" w:hAnsi="Times New Roman" w:cs="Times New Roman"/>
          <w:noProof/>
          <w:sz w:val="24"/>
          <w:szCs w:val="24"/>
        </w:rPr>
      </w:pPr>
    </w:p>
    <w:p>
      <w:pPr>
        <w:pStyle w:val="ListParagraph"/>
        <w:numPr>
          <w:ilvl w:val="1"/>
          <w:numId w:val="5"/>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 xml:space="preserve">dalinės (tik žodiniai ir skaitiniai duomenys; tokias kopijas turi devynios valstybės narės) arba </w:t>
      </w:r>
    </w:p>
    <w:p>
      <w:pPr>
        <w:pStyle w:val="ListParagraph"/>
        <w:numPr>
          <w:ilvl w:val="1"/>
          <w:numId w:val="5"/>
        </w:num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 xml:space="preserve">išsamios (žodiniai ir skaitiniai duomenys, taip pat nuotraukos ir pirštų atspaudai – tokias kopijas turi 16 valstybių narių). </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Kad nacionalinės kopijos neturinčios valstybės narės, tik dalinę kopiją turinčios valstybės narės ar techninių sunkumų dėl išsamios nacionalinės kopijos patiriančios valstybės narės gautų tinkamas paslaugas, reikia centrinės AFIS.</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 xml:space="preserve">Visos perspėjimo CUD operacijos yra susijusios su centrine sistema. Norint pridėti pirštų atspaudus prie perspėjimo, teks atlikti AFIS kokybės patikrinimą centrinėje sistemoje.  </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CUD operacijos, išsiųstos į centrinę sistemą, per tris minutes perduodamos nacionalinėms kopijoms. Šioms operacijoms paremti reikės centrinės AFIS.</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 xml:space="preserve">Pagal SIS II teisės aktus nacionalinėje kopijoje atliekama paieška turi sugeneruoti rezultatą, lygiavertį paieškos SIS duomenų bazėje rezultatui. Atitiktis tokiai vardų, pavardžių ir skaičių paieškos koncepcijai turės būti pritaikyta ir pirštų atspaudų paieškai.  </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Jei valstybė narė plėtos savo AFIS kaip nacionalinės kopijos dalį, ji turės užtikrinti tokius pačius identifikacijos rezultatus kaip centrinė AFIS. Integruoti AFIS į nacionalinę kopiją yra techniškai ir teisiškai įmanoma, tačiau užtikrinti rezultatų ekvivalentiškumą bus gana sunku.</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Centralizuotą struktūrą yra lengviau valdyti kokybės atžvilgiu, tačiau ji turi būti pajėgi tenkinti jai daromą spaudimą. Struktūroje, kurią sudarytų centrinė AFIS ir kitos AFIS išsamiose nacionalinėse kopijose, paklausą būtų galima išskirstyti, tačiau tokia struktūra patirtų pirmiau nurodytų sunkumų. Problemą būtų galima išspręsti, jei visose AFIS būtų naudojama tokia pati programinė įranga.</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Priėmus sprendimą dėl bendros struktūros reikėtų apsvarstyti, ar naudojimo atvejai turėtų būti apdorojami taip pat, ar dėl masto ar atsako gavimo laiko skirtumų vertėtų AFIS nustatyti lygiagrečius veiksmų srautus ar posistemes.</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 xml:space="preserve">Vykdant kai kurias teisėsaugos ar pasienio kontrolės operacijas atsaką reikės gauti greičiau nei per 30 sekundžių, tačiau konsuliniuose skyriuose pakaks atsaką gauti greičiau nei per 5 minutes. </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Kontroliuojamomis aplinkybėmis policijos nuovadose gali reikėti atsaką gauti greičiau nei per 10 minučių. Svarbu įvertinti dėl šių naudojimo atvejų atsirandantį darbo krūvį ir nustatyti paklausos tenkinimo prioritetus. Naudojant filtrus, pavyzdžiui, amžiaus ir lyties, gali būti sumažinamas įrašų, su kuriais lyginama, skaičius, ir paspartinamas atsako gavimas.</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Galiausiai SIS AFIS bus taikomos vertinimo ir atskaitomybės procedūros, kaip nustatyta SIS II teisės aktuose.</w:t>
      </w:r>
    </w:p>
    <w:p>
      <w:pPr>
        <w:pStyle w:val="Heading1"/>
        <w:rPr>
          <w:rFonts w:ascii="Times New Roman" w:eastAsia="Times New Roman" w:hAnsi="Times New Roman" w:cs="Times New Roman"/>
          <w:b/>
          <w:noProof/>
          <w:color w:val="auto"/>
          <w:sz w:val="24"/>
          <w:szCs w:val="24"/>
        </w:rPr>
      </w:pPr>
      <w:bookmarkStart w:id="24" w:name="_Toc432513552"/>
      <w:r>
        <w:rPr>
          <w:rFonts w:ascii="Times New Roman" w:hAnsi="Times New Roman"/>
          <w:b/>
          <w:noProof/>
          <w:color w:val="auto"/>
          <w:sz w:val="24"/>
        </w:rPr>
        <w:t>4. REKOMENDACIJOS</w:t>
      </w:r>
      <w:bookmarkEnd w:id="24"/>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 xml:space="preserve">Ankstesniuose skyriuose patvirtinta, kad AFIS technologija yra pakankamai išplėtota ir prieinama. Be to, Komisija laikosi nuomonės, kad toliau pateiktų 19 rekomendacijų įgyvendinimas padėtų sėkmingai įgyvendinti ir naudoti SIS AFIS. </w:t>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Papildomos statistikos poreikis</w:t>
      </w:r>
      <w:r>
        <w:rPr>
          <w:rFonts w:ascii="Times New Roman" w:hAnsi="Times New Roman"/>
          <w:noProof/>
          <w:sz w:val="24"/>
        </w:rPr>
        <w:t xml:space="preserve"> – reikia statistikos apie per metus atliekamų su asmenimis susijusių paieškų skaičių ir jų operatyvinį kontekstą, kad būtų galima teisingai įvertinti AFIS dydį ir duomenų apdorojimo pajėgumus.</w:t>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Gerosios patirties sklaida</w:t>
      </w:r>
      <w:r>
        <w:rPr>
          <w:rFonts w:ascii="Times New Roman" w:hAnsi="Times New Roman"/>
          <w:noProof/>
          <w:sz w:val="24"/>
        </w:rPr>
        <w:t xml:space="preserve"> – kuriant SIS AFIS reikia dalytis gerąja patirtimi, sukaupta plėtojant ir valdant nacionalines AFIS.</w:t>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Bendras mainų standartas</w:t>
      </w:r>
      <w:r>
        <w:rPr>
          <w:rFonts w:ascii="Times New Roman" w:hAnsi="Times New Roman"/>
          <w:noProof/>
          <w:sz w:val="24"/>
        </w:rPr>
        <w:t xml:space="preserve"> – NIST formatas yra tinkamas pirštų atspaudų duomenų mainų pagrindas. Reikėtų parengti automatinį įgyvendinimo patikrinimą.</w:t>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 xml:space="preserve">Priumo mechanizmas ir SIS II papildomumas </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reikėtų išanalizuoti Priumo mechanizmo ir SIS AFIS tarpusavio papildomumą, kad būtų išvengta veiklos dubliavimo</w:t>
      </w:r>
      <w:r>
        <w:rPr>
          <w:rStyle w:val="FootnoteReference"/>
          <w:rFonts w:ascii="Times New Roman" w:hAnsi="Times New Roman"/>
          <w:noProof/>
          <w:sz w:val="24"/>
        </w:rPr>
        <w:footnoteReference w:id="8"/>
      </w:r>
      <w:r>
        <w:rPr>
          <w:rFonts w:ascii="Times New Roman" w:hAnsi="Times New Roman"/>
          <w:noProof/>
          <w:sz w:val="24"/>
        </w:rPr>
        <w:t>.</w:t>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Specialios posistemės</w:t>
      </w:r>
      <w:r>
        <w:rPr>
          <w:rFonts w:ascii="Times New Roman" w:hAnsi="Times New Roman"/>
          <w:noProof/>
          <w:sz w:val="24"/>
        </w:rPr>
        <w:t xml:space="preserve"> – dėl skirtingų naudojimo atvejų, visų pirma dėl masto ir atsako gavimo trukmės, reikėtų apsvarstyti lygiagrečius veiksmų srautus ar specialias posistemes.</w:t>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Kokybiškas registravimo procesas</w:t>
      </w:r>
      <w:r>
        <w:rPr>
          <w:rFonts w:ascii="Times New Roman" w:hAnsi="Times New Roman"/>
          <w:noProof/>
          <w:sz w:val="24"/>
        </w:rPr>
        <w:t xml:space="preserve"> – registravimo etapu reikėtų teikti pirmenybę elektroniniam atspaudų nuskaitymui ir patyrusiems specialistams.</w:t>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Sudėtinių duomenų rinkinių saugojimas</w:t>
      </w:r>
      <w:r>
        <w:rPr>
          <w:rFonts w:ascii="Times New Roman" w:hAnsi="Times New Roman"/>
          <w:noProof/>
          <w:sz w:val="24"/>
        </w:rPr>
        <w:t xml:space="preserve"> – kad būtų galima taikyti sudėtinės paieškos strategiją.</w:t>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Kontroliuojamas duomenų rinkinių perdavimas</w:t>
      </w:r>
      <w:r>
        <w:rPr>
          <w:rFonts w:ascii="Times New Roman" w:hAnsi="Times New Roman"/>
          <w:noProof/>
          <w:sz w:val="24"/>
        </w:rPr>
        <w:t xml:space="preserve"> – SIS AFIS turėtų pripažinti kitose sistemose parengtus pirštų atspaudus, jei prie perspėjimo pridėtame duomenų rinkinyje išsaugomi tų sistemų parametrai.</w:t>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Kokybiški atspaudų ėmimo punktai</w:t>
      </w:r>
      <w:r>
        <w:rPr>
          <w:rFonts w:ascii="Times New Roman" w:hAnsi="Times New Roman"/>
          <w:noProof/>
          <w:sz w:val="24"/>
        </w:rPr>
        <w:t xml:space="preserve"> </w:t>
      </w:r>
    </w:p>
    <w:p>
      <w:pPr>
        <w:pStyle w:val="ListParagraph"/>
        <w:numPr>
          <w:ilvl w:val="1"/>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Prižiūrintis operatorius</w:t>
      </w:r>
      <w:r>
        <w:rPr>
          <w:rFonts w:ascii="Times New Roman" w:hAnsi="Times New Roman"/>
          <w:noProof/>
          <w:sz w:val="24"/>
        </w:rPr>
        <w:t xml:space="preserve"> – turi būti tinkamai parengtas šiam darbui. </w:t>
      </w:r>
    </w:p>
    <w:p>
      <w:pPr>
        <w:pStyle w:val="ListParagraph"/>
        <w:numPr>
          <w:ilvl w:val="1"/>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 xml:space="preserve">Adekvatus sensorius </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reikėtų teikti pirmenybę elektroninio nuskaitymo įrenginiams. </w:t>
      </w:r>
    </w:p>
    <w:p>
      <w:pPr>
        <w:pStyle w:val="ListParagraph"/>
        <w:numPr>
          <w:ilvl w:val="1"/>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 xml:space="preserve">Patobulinta grafinė naudotojo sąsaja (GUI) </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kad būtų galima realiuoju laiku gauti atsakymą apie įvestus duomenis. </w:t>
      </w:r>
    </w:p>
    <w:p>
      <w:pPr>
        <w:pStyle w:val="ListParagraph"/>
        <w:numPr>
          <w:ilvl w:val="1"/>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 xml:space="preserve">Tinkamas ryšys su naudotojais </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registravimo procesas turėtų būti patogus naudotojams. </w:t>
      </w:r>
    </w:p>
    <w:p>
      <w:pPr>
        <w:pStyle w:val="ListParagraph"/>
        <w:numPr>
          <w:ilvl w:val="1"/>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 xml:space="preserve">Adekvati aplinka </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reikia tinkamo apšvietimo, temperatūros ir fono. </w:t>
      </w:r>
    </w:p>
    <w:p>
      <w:pPr>
        <w:pStyle w:val="ListParagraph"/>
        <w:numPr>
          <w:ilvl w:val="1"/>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 xml:space="preserve">Sensoriaus priežiūra </w:t>
      </w:r>
      <w:r>
        <w:rPr>
          <w:rFonts w:ascii="Times New Roman" w:hAnsi="Times New Roman"/>
          <w:noProof/>
          <w:sz w:val="24"/>
        </w:rPr>
        <w:t>– turėtų būti reguliari ir sistemiška.</w:t>
      </w:r>
    </w:p>
    <w:p>
      <w:pPr>
        <w:pStyle w:val="ListParagraph"/>
        <w:numPr>
          <w:ilvl w:val="0"/>
          <w:numId w:val="8"/>
        </w:numPr>
        <w:spacing w:before="120" w:after="120"/>
        <w:ind w:hanging="357"/>
        <w:contextualSpacing w:val="0"/>
        <w:jc w:val="both"/>
        <w:rPr>
          <w:rFonts w:ascii="Times New Roman" w:eastAsia="Times New Roman" w:hAnsi="Times New Roman" w:cs="Times New Roman"/>
          <w:b/>
          <w:noProof/>
          <w:sz w:val="24"/>
          <w:szCs w:val="24"/>
        </w:rPr>
      </w:pPr>
      <w:r>
        <w:rPr>
          <w:rFonts w:ascii="Times New Roman" w:hAnsi="Times New Roman"/>
          <w:b/>
          <w:noProof/>
          <w:sz w:val="24"/>
        </w:rPr>
        <w:t>Kokybės vertinimo algoritmai</w:t>
      </w:r>
      <w:r>
        <w:rPr>
          <w:rFonts w:ascii="Times New Roman" w:hAnsi="Times New Roman"/>
          <w:noProof/>
          <w:sz w:val="24"/>
        </w:rPr>
        <w:t xml:space="preserve"> </w:t>
      </w:r>
    </w:p>
    <w:p>
      <w:pPr>
        <w:pStyle w:val="ListParagraph"/>
        <w:numPr>
          <w:ilvl w:val="1"/>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 xml:space="preserve">Standartų laikymasis </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reikia naudoti pripažintus</w:t>
      </w:r>
      <w:r>
        <w:rPr>
          <w:rFonts w:ascii="Times New Roman" w:hAnsi="Times New Roman"/>
          <w:b/>
          <w:noProof/>
          <w:sz w:val="24"/>
        </w:rPr>
        <w:t xml:space="preserve"> </w:t>
      </w:r>
      <w:r>
        <w:rPr>
          <w:rFonts w:ascii="Times New Roman" w:hAnsi="Times New Roman"/>
          <w:noProof/>
          <w:sz w:val="24"/>
        </w:rPr>
        <w:t>kokybės rodiklius.</w:t>
      </w:r>
      <w:r>
        <w:rPr>
          <w:rFonts w:ascii="Times New Roman" w:hAnsi="Times New Roman"/>
          <w:b/>
          <w:noProof/>
          <w:sz w:val="24"/>
        </w:rPr>
        <w:t xml:space="preserve"> </w:t>
      </w:r>
    </w:p>
    <w:p>
      <w:pPr>
        <w:pStyle w:val="ListParagraph"/>
        <w:numPr>
          <w:ilvl w:val="1"/>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 xml:space="preserve">Taisomieji veiksmai </w:t>
      </w:r>
      <w:r>
        <w:rPr>
          <w:rFonts w:ascii="Times New Roman" w:hAnsi="Times New Roman"/>
          <w:noProof/>
          <w:sz w:val="24"/>
        </w:rPr>
        <w:t xml:space="preserve">– kad būtų galima gauti pakankamos kokybės atspaudus. </w:t>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Identifikavimo sistemų kokybė</w:t>
      </w:r>
      <w:r>
        <w:rPr>
          <w:rFonts w:ascii="Times New Roman" w:hAnsi="Times New Roman"/>
          <w:noProof/>
          <w:sz w:val="24"/>
        </w:rPr>
        <w:t xml:space="preserve"> </w:t>
      </w:r>
    </w:p>
    <w:p>
      <w:pPr>
        <w:pStyle w:val="ListParagraph"/>
        <w:numPr>
          <w:ilvl w:val="1"/>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 xml:space="preserve">Kokybe grindžiamas apdorojimas </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be kita ko, reikia naudoti papildomas priemones, kaip antai alternatyvaus požymių išskyrimo funkcijas ir su procesu susietus atitinkamus algoritmus. </w:t>
      </w:r>
    </w:p>
    <w:p>
      <w:pPr>
        <w:pStyle w:val="ListParagraph"/>
        <w:numPr>
          <w:ilvl w:val="1"/>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Kokybe grindžiama sintezė</w:t>
      </w:r>
      <w:r>
        <w:rPr>
          <w:rFonts w:ascii="Times New Roman" w:hAnsi="Times New Roman"/>
          <w:noProof/>
          <w:sz w:val="24"/>
        </w:rPr>
        <w:t xml:space="preserve"> –</w:t>
      </w:r>
      <w:r>
        <w:rPr>
          <w:rFonts w:ascii="Times New Roman" w:hAnsi="Times New Roman"/>
          <w:b/>
          <w:noProof/>
          <w:sz w:val="24"/>
        </w:rPr>
        <w:t xml:space="preserve"> </w:t>
      </w:r>
      <w:r>
        <w:rPr>
          <w:rFonts w:ascii="Times New Roman" w:hAnsi="Times New Roman"/>
          <w:noProof/>
          <w:sz w:val="24"/>
        </w:rPr>
        <w:t xml:space="preserve">įvairių bandinių kombinacija, kad būtų galima atlikti sudėtinę patikrą. </w:t>
      </w:r>
    </w:p>
    <w:p>
      <w:pPr>
        <w:pStyle w:val="ListParagraph"/>
        <w:numPr>
          <w:ilvl w:val="1"/>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 xml:space="preserve">Šablonų keitimas/atnaujinimas </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generuojant AFIS šablonus reikia naudoti geriausius bandinius. </w:t>
      </w:r>
    </w:p>
    <w:p>
      <w:pPr>
        <w:pStyle w:val="ListParagraph"/>
        <w:numPr>
          <w:ilvl w:val="1"/>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 xml:space="preserve">Stebėsena </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reikia rengti visų tipų taikomųjų programų, vietų, įrenginių ir operatorių statistiką. </w:t>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 xml:space="preserve">Vaikų atvejai </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visų pirma kiek tai susiję su dingusiais asmenimis, SIS AFIS turėtų teikti galimybių modifikuoti atitikties procesą, jei akivaizdu, kad vaikas nuo pirštų atspaudų paėmimo dienos išaugo.</w:t>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Kokybės patikrinimo centrinė tarnyba</w:t>
      </w:r>
      <w:r>
        <w:rPr>
          <w:rFonts w:ascii="Times New Roman" w:hAnsi="Times New Roman"/>
          <w:noProof/>
          <w:sz w:val="24"/>
        </w:rPr>
        <w:t xml:space="preserve"> – atspaudo kokybės įvertinimas lyginant su SIS AFIS kokybės rodikliais. </w:t>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Pranešimas apie nepakankamos kokybės pirštų atspaudų kortelę</w:t>
      </w:r>
      <w:r>
        <w:rPr>
          <w:rFonts w:ascii="Times New Roman" w:hAnsi="Times New Roman"/>
          <w:noProof/>
          <w:sz w:val="24"/>
        </w:rPr>
        <w:t xml:space="preserve"> – kai duomenų rinkinys, kurį siūloma užregistruoti ar pridėti prie perspėjimo, yra SIS AFIS perspėjimo arba pačios atspaudų kortelės reikalavimų netenkinančios kokybės. </w:t>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Duomenų bazės integralumas</w:t>
      </w:r>
      <w:r>
        <w:rPr>
          <w:rFonts w:ascii="Times New Roman" w:hAnsi="Times New Roman"/>
          <w:noProof/>
          <w:sz w:val="24"/>
        </w:rPr>
        <w:t xml:space="preserve"> – reikia vadovautis gerąja praktika, kad duomenų bazėje sumažėtų nenuoseklumo ar klaidingų duomenų, įskaitant atspaudus, pavojus. </w:t>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Konsultacijos</w:t>
      </w:r>
      <w:r>
        <w:rPr>
          <w:rFonts w:ascii="Times New Roman" w:hAnsi="Times New Roman"/>
          <w:noProof/>
          <w:sz w:val="24"/>
        </w:rPr>
        <w:t xml:space="preserve"> </w:t>
      </w:r>
    </w:p>
    <w:p>
      <w:pPr>
        <w:pStyle w:val="ListParagraph"/>
        <w:numPr>
          <w:ilvl w:val="1"/>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Didesnė rezoliucija (1 000 dpi</w:t>
      </w:r>
      <w:r>
        <w:rPr>
          <w:rStyle w:val="FootnoteReference"/>
          <w:rFonts w:ascii="Times New Roman" w:hAnsi="Times New Roman"/>
          <w:noProof/>
          <w:sz w:val="24"/>
        </w:rPr>
        <w:footnoteReference w:id="9"/>
      </w:r>
      <w:r>
        <w:rPr>
          <w:rFonts w:ascii="Times New Roman" w:hAnsi="Times New Roman"/>
          <w:b/>
          <w:noProof/>
          <w:sz w:val="24"/>
        </w:rPr>
        <w:t xml:space="preserve">) </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reikia suteikti galimybę saugoti didesnės rezoliucijos atspaudus, jei valstybės narės yra atnaujinusios savo skaitytuvus. </w:t>
      </w:r>
    </w:p>
    <w:p>
      <w:pPr>
        <w:pStyle w:val="ListParagraph"/>
        <w:numPr>
          <w:ilvl w:val="1"/>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 xml:space="preserve">Plokštieji ir ritinti pirštų atspaudai </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valstybėms narėms turėtų būti suteikta galimybė konsultacijų tikslais renkant pirštų atspaudus apsiriboti plokščiaisiais atspaudais. </w:t>
      </w:r>
    </w:p>
    <w:p>
      <w:pPr>
        <w:pStyle w:val="ListParagraph"/>
        <w:numPr>
          <w:ilvl w:val="1"/>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 xml:space="preserve">Dviejų atspaudų greitas patikrinimas </w:t>
      </w:r>
      <w:r>
        <w:rPr>
          <w:rFonts w:ascii="Times New Roman" w:hAnsi="Times New Roman"/>
          <w:noProof/>
          <w:sz w:val="24"/>
        </w:rPr>
        <w:t xml:space="preserve">– turi būti suteikta galimybė atlikti sparčiąsias paieškas. </w:t>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Adekvatus atsako gavimo laikas</w:t>
      </w:r>
      <w:r>
        <w:rPr>
          <w:rFonts w:ascii="Times New Roman" w:hAnsi="Times New Roman"/>
          <w:noProof/>
          <w:sz w:val="24"/>
        </w:rPr>
        <w:t xml:space="preserve"> – remiantis skirtingais operatyviniais scenarijais turėtų būti nustatytos trys orientacinės laiko grupės: a) trumpas laikas (mažiau nei 30 sekundžių); b) vidutinis laikas (iki 5 minučių); c) ilgas laikas (iki 10 minučių).</w:t>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Užklausų prioritetai</w:t>
      </w:r>
      <w:r>
        <w:rPr>
          <w:rFonts w:ascii="Times New Roman" w:hAnsi="Times New Roman"/>
          <w:noProof/>
          <w:sz w:val="24"/>
        </w:rPr>
        <w:t xml:space="preserve"> – reikėtų nustatyti užklausų apdorojimo prioritetiškumą, kad būtų geriau valdoma SIS AFIS apkrova.</w:t>
      </w:r>
    </w:p>
    <w:p>
      <w:pPr>
        <w:pStyle w:val="ListParagraph"/>
        <w:numPr>
          <w:ilvl w:val="0"/>
          <w:numId w:val="8"/>
        </w:numPr>
        <w:spacing w:before="120" w:after="120"/>
        <w:ind w:hanging="357"/>
        <w:contextualSpacing w:val="0"/>
        <w:jc w:val="both"/>
        <w:rPr>
          <w:rFonts w:ascii="Times New Roman" w:eastAsia="Times New Roman" w:hAnsi="Times New Roman" w:cs="Times New Roman"/>
          <w:noProof/>
          <w:sz w:val="24"/>
          <w:szCs w:val="24"/>
        </w:rPr>
      </w:pPr>
      <w:r>
        <w:rPr>
          <w:rFonts w:ascii="Times New Roman" w:hAnsi="Times New Roman"/>
          <w:b/>
          <w:noProof/>
          <w:sz w:val="24"/>
        </w:rPr>
        <w:t>Veikimo lyginamieji standartai</w:t>
      </w:r>
      <w:r>
        <w:rPr>
          <w:rFonts w:ascii="Times New Roman" w:hAnsi="Times New Roman"/>
          <w:noProof/>
          <w:sz w:val="24"/>
        </w:rPr>
        <w:t xml:space="preserve"> – reikėtų iš anksto suplanuoti SIS AFIS veikimo vertinimą. </w:t>
      </w:r>
      <w:bookmarkStart w:id="25" w:name="_Toc432513553"/>
    </w:p>
    <w:p>
      <w:pPr>
        <w:pStyle w:val="Heading1"/>
        <w:rPr>
          <w:rFonts w:ascii="Times New Roman" w:eastAsia="Times New Roman" w:hAnsi="Times New Roman" w:cs="Times New Roman"/>
          <w:b/>
          <w:noProof/>
          <w:color w:val="auto"/>
          <w:sz w:val="24"/>
          <w:szCs w:val="24"/>
        </w:rPr>
      </w:pPr>
      <w:r>
        <w:rPr>
          <w:rFonts w:ascii="Times New Roman" w:hAnsi="Times New Roman"/>
          <w:b/>
          <w:noProof/>
          <w:color w:val="auto"/>
          <w:sz w:val="24"/>
        </w:rPr>
        <w:t>5. BŪSIMI ŽINGSNIAI. VEIKSMŲ PLANAS</w:t>
      </w:r>
      <w:bookmarkEnd w:id="25"/>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Tyrimo užbaigimas ir šios ataskaitos pateikimas Europos Parlamentui – pirmieji žingsniai siekiant užtikrinti AFIS funkcionalumą SIS aplinkoje. Dabar „eu-LISA“ ir valstybės narės turi imtis praktinės veiklos, kurią galima apibendrinti taip:</w:t>
      </w:r>
    </w:p>
    <w:p>
      <w:pPr>
        <w:pStyle w:val="ListNumber"/>
        <w:rPr>
          <w:noProof/>
        </w:rPr>
      </w:pPr>
      <w:r>
        <w:rPr>
          <w:noProof/>
        </w:rPr>
        <w:t>nustatyti specialios kokybės patikros reikalavimus, kad būtų užtikrinta, jog tenkinami minimalūs duomenų kokybės standartai. Specifikacijos turėtų būti įtrauktos į Komisijos įgyvendinimo sprendimą;</w:t>
      </w:r>
    </w:p>
    <w:p>
      <w:pPr>
        <w:pStyle w:val="ListNumber"/>
        <w:rPr>
          <w:noProof/>
        </w:rPr>
      </w:pPr>
      <w:r>
        <w:rPr>
          <w:noProof/>
        </w:rPr>
        <w:t>baigti rengti reikalavimus naudotojams ir nustatyti sistemos dydį;</w:t>
      </w:r>
    </w:p>
    <w:p>
      <w:pPr>
        <w:pStyle w:val="ListNumber"/>
        <w:rPr>
          <w:noProof/>
        </w:rPr>
      </w:pPr>
      <w:r>
        <w:rPr>
          <w:noProof/>
        </w:rPr>
        <w:t>apibrėžti sistemos struktūrą. Tai turėtų būti įtraukta į Komisijos įgyvendinimo sprendimą;</w:t>
      </w:r>
    </w:p>
    <w:p>
      <w:pPr>
        <w:pStyle w:val="ListNumber"/>
        <w:rPr>
          <w:noProof/>
        </w:rPr>
      </w:pPr>
      <w:r>
        <w:rPr>
          <w:noProof/>
        </w:rPr>
        <w:t>nustatyti technines specifikacijas ir įgyvendinimo tvarkaraštį;</w:t>
      </w:r>
    </w:p>
    <w:p>
      <w:pPr>
        <w:pStyle w:val="ListNumber"/>
        <w:rPr>
          <w:noProof/>
        </w:rPr>
      </w:pPr>
      <w:r>
        <w:rPr>
          <w:noProof/>
        </w:rPr>
        <w:t>imtis veiksmų, kad būtų įgyvendintas SIS AFIS projektas.</w:t>
      </w:r>
    </w:p>
    <w:p>
      <w:pPr>
        <w:pStyle w:val="Heading1"/>
        <w:rPr>
          <w:rFonts w:ascii="Times New Roman" w:eastAsia="Times New Roman" w:hAnsi="Times New Roman" w:cs="Times New Roman"/>
          <w:b/>
          <w:noProof/>
          <w:color w:val="auto"/>
          <w:sz w:val="24"/>
          <w:szCs w:val="24"/>
        </w:rPr>
      </w:pPr>
      <w:bookmarkStart w:id="26" w:name="_Toc437336425"/>
      <w:bookmarkStart w:id="27" w:name="_Toc437336486"/>
      <w:bookmarkStart w:id="28" w:name="_Toc432513554"/>
      <w:bookmarkEnd w:id="26"/>
      <w:bookmarkEnd w:id="27"/>
      <w:r>
        <w:rPr>
          <w:rFonts w:ascii="Times New Roman" w:hAnsi="Times New Roman"/>
          <w:b/>
          <w:noProof/>
          <w:color w:val="auto"/>
          <w:sz w:val="24"/>
        </w:rPr>
        <w:t>6. IŠVADA</w:t>
      </w:r>
      <w:bookmarkEnd w:id="28"/>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AFIS jau iš esmės susieta su teisėsaugos ir pasienio tarnybų duomenų bazėmis. SIS yra viena iš tokių duomenų bazių, tačiau be AFIS nebus išnaudojami visi perspėjimo apie asmenis sistemos pajėgumai ir nauda.</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Atsižvelgdama į šioje ataskaitoje pateiktą analizę ir pastebėjimus, Komisija daro išvadą, kad AFIS technologija yra pakankamai išplėtota ir prieinama, kad ją būtų galima integruoti į SIS. Šioje ataskaitoje taip pat apžvelgiami Komisijos pasiūlymai, kurie bus išnagrinėti įgyvendinant ir naudojant SIS AFIS operatyvinėje aplinkoje.</w:t>
      </w:r>
    </w:p>
    <w:sectPr>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135"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LT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412034"/>
      <w:docPartObj>
        <w:docPartGallery w:val="Page Numbers (Bottom of Page)"/>
        <w:docPartUnique/>
      </w:docPartObj>
    </w:sdtPr>
    <w:sdtEndPr>
      <w:rPr>
        <w:rFonts w:ascii="Times New Roman" w:hAnsi="Times New Roman"/>
        <w:noProof/>
      </w:rPr>
    </w:sdtEndPr>
    <w:sdtContent>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w:t>
        </w:r>
        <w:r>
          <w:rPr>
            <w:rFonts w:ascii="Times New Roman" w:hAnsi="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680"/>
        <w:tab w:val="clear" w:pos="9360"/>
        <w:tab w:val="left" w:pos="525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2007 m. birželio 12 d. Tarybos sprendimas 2007/533/TVR dėl antrosios kartos Šengeno informacinės sistemos (SIS II) sukūrimo, veikimo ir naudojimo.</w:t>
      </w:r>
    </w:p>
  </w:footnote>
  <w:footnote w:id="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2006 m. gruodžio 20 d. Europos Parlamento ir Tarybos reglamentas (EB) Nr. 1987/2006 dėl antrosios kartos Šengeno informacinės sistemos (SIS II) sukūrimo, veikimo ir naudojimo.</w:t>
      </w:r>
    </w:p>
  </w:footnote>
  <w:footnote w:id="3">
    <w:p>
      <w:pPr>
        <w:pStyle w:val="FootnoteText"/>
        <w:spacing w:after="120"/>
      </w:pPr>
      <w:r>
        <w:rPr>
          <w:rStyle w:val="FootnoteReference"/>
        </w:rPr>
        <w:footnoteRef/>
      </w:r>
      <w:r>
        <w:t xml:space="preserve"> </w:t>
      </w:r>
      <w:r>
        <w:rPr>
          <w:rFonts w:ascii="Times New Roman" w:hAnsi="Times New Roman"/>
        </w:rPr>
        <w:t>http://publications.jrc.ec.europa.eu/repository/handle/JRC97779.</w:t>
      </w:r>
    </w:p>
  </w:footnote>
  <w:footnote w:id="4">
    <w:p>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https://ec.europa.eu/research/participants/portal/doc/call/h2020/common/1617621-part_19_general_annexes_v.2.0_en.pdf. </w:t>
      </w:r>
    </w:p>
    <w:p>
      <w:pPr>
        <w:pStyle w:val="FootnoteText"/>
        <w:rPr>
          <w:lang w:val="nb-NO"/>
        </w:rPr>
      </w:pPr>
      <w:r>
        <w:rPr>
          <w:rFonts w:ascii="Times New Roman" w:hAnsi="Times New Roman"/>
        </w:rPr>
        <w:t xml:space="preserve">  http://ec.europa.eu/research/participants/data/ref/h2020/other/wp/2016-2017/annexes/h2020-wp1617-annex-</w:t>
      </w:r>
      <w:r>
        <w:rPr>
          <w:rFonts w:ascii="Times New Roman" w:hAnsi="Times New Roman" w:cs="Times New Roman"/>
        </w:rPr>
        <w:br/>
      </w:r>
      <w:r>
        <w:rPr>
          <w:rFonts w:ascii="Times New Roman" w:hAnsi="Times New Roman"/>
        </w:rPr>
        <w:t xml:space="preserve">  ga_en.pdf.</w:t>
      </w:r>
      <w:r>
        <w:t xml:space="preserve">  </w:t>
      </w:r>
    </w:p>
  </w:footnote>
  <w:footnote w:id="5">
    <w:p>
      <w:pPr>
        <w:pStyle w:val="FootnoteText"/>
        <w:spacing w:after="120"/>
        <w:jc w:val="both"/>
        <w:rPr>
          <w:rFonts w:ascii="Times New Roman" w:hAnsi="Times New Roman" w:cs="Times New Roman"/>
          <w:lang w:val="nb-NO"/>
        </w:rPr>
      </w:pPr>
      <w:r>
        <w:rPr>
          <w:rStyle w:val="FootnoteReference"/>
          <w:rFonts w:ascii="Times New Roman" w:hAnsi="Times New Roman"/>
        </w:rPr>
        <w:footnoteRef/>
      </w:r>
      <w:r>
        <w:rPr>
          <w:rFonts w:ascii="Times New Roman" w:hAnsi="Times New Roman"/>
        </w:rPr>
        <w:t xml:space="preserve"> </w:t>
      </w:r>
      <w:r>
        <w:rPr>
          <w:rStyle w:val="Strong"/>
          <w:rFonts w:ascii="Times New Roman" w:hAnsi="Times New Roman"/>
          <w:b w:val="0"/>
        </w:rPr>
        <w:t>1995 m. spalio 24 d. Europos Parlamento ir Tarybos direktyva 95/46/EB dėl asmenų apsaugos tvarkant asmens duomenis ir dėl laisvo tokių duomenų judėjimo.</w:t>
      </w:r>
    </w:p>
  </w:footnote>
  <w:footnote w:id="6">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2008 m. lapkričio 27 d. Tarybos pamatinis sprendimas 2008/977/TVR dėl asmens duomenų, tvarkomų vykdant policijos ir teisminį bendradarbiavimą baudžiamosiose bylose, apsaugos.</w:t>
      </w:r>
    </w:p>
  </w:footnote>
  <w:footnote w:id="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Komisijos įgyvendinimo sprendimo 2013/115/ES priimti antrosios kartos Šengeno informacinės sistemos (SIS II) SIRENE vadovą ir kitas įgyvendinimo priemones priedas.</w:t>
      </w:r>
    </w:p>
  </w:footnote>
  <w:footnote w:id="8">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SIS II saugomi pirštų atspaudai pridedami prie perspėjimų, o SIS II naudojamasi pasienio kontrolės ir teisėsaugos institucijų vykdomų patikrinimų metu. Remiantis Sprendimu 2008/615/TVR, Priumo mechanizmas suteikia galimybę teikti užklausą nacionalinėse kriminalinėse AFIS. Priešingai nei SIS II, Priumo mechanizmas nesuteikia realiojo laiko prieigos prie pirštų atspaudų įrašų ir gali būti naudojamas tik pavienių tyrimų atvejais.</w:t>
      </w:r>
    </w:p>
  </w:footnote>
  <w:footnote w:id="9">
    <w:p>
      <w:pPr>
        <w:pStyle w:val="FootnoteText"/>
        <w:rPr>
          <w:rFonts w:ascii="Times New Roman" w:hAnsi="Times New Roman" w:cs="Times New Roman"/>
          <w:lang w:val="it-IT"/>
        </w:rPr>
      </w:pPr>
      <w:r>
        <w:rPr>
          <w:rStyle w:val="FootnoteReference"/>
          <w:rFonts w:ascii="Times New Roman" w:hAnsi="Times New Roman"/>
        </w:rPr>
        <w:footnoteRef/>
      </w:r>
      <w:r>
        <w:rPr>
          <w:rFonts w:ascii="Times New Roman" w:hAnsi="Times New Roman"/>
        </w:rPr>
        <w:t xml:space="preserve"> dpi – taškai colyje (angl. </w:t>
      </w:r>
      <w:r>
        <w:rPr>
          <w:rFonts w:ascii="Times New Roman" w:hAnsi="Times New Roman"/>
          <w:i/>
        </w:rPr>
        <w:t>dots per inch</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1E361C0"/>
    <w:multiLevelType w:val="hybridMultilevel"/>
    <w:tmpl w:val="9014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3">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4">
    <w:nsid w:val="22572D2B"/>
    <w:multiLevelType w:val="hybridMultilevel"/>
    <w:tmpl w:val="26A86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nsid w:val="36C55ABF"/>
    <w:multiLevelType w:val="hybridMultilevel"/>
    <w:tmpl w:val="6DE09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1C0B0E"/>
    <w:multiLevelType w:val="hybridMultilevel"/>
    <w:tmpl w:val="94CCF9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9D6572A"/>
    <w:multiLevelType w:val="hybridMultilevel"/>
    <w:tmpl w:val="648CD6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E6300E7"/>
    <w:multiLevelType w:val="hybridMultilevel"/>
    <w:tmpl w:val="756400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7">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8">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9">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1">
    <w:nsid w:val="72075493"/>
    <w:multiLevelType w:val="hybridMultilevel"/>
    <w:tmpl w:val="B372B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B4641B"/>
    <w:multiLevelType w:val="hybridMultilevel"/>
    <w:tmpl w:val="98884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4"/>
  </w:num>
  <w:num w:numId="4">
    <w:abstractNumId w:val="1"/>
  </w:num>
  <w:num w:numId="5">
    <w:abstractNumId w:val="7"/>
  </w:num>
  <w:num w:numId="6">
    <w:abstractNumId w:val="22"/>
  </w:num>
  <w:num w:numId="7">
    <w:abstractNumId w:val="21"/>
  </w:num>
  <w:num w:numId="8">
    <w:abstractNumId w:val="14"/>
  </w:num>
  <w:num w:numId="9">
    <w:abstractNumId w:val="16"/>
  </w:num>
  <w:num w:numId="10">
    <w:abstractNumId w:val="9"/>
  </w:num>
  <w:num w:numId="11">
    <w:abstractNumId w:val="6"/>
  </w:num>
  <w:num w:numId="12">
    <w:abstractNumId w:val="3"/>
  </w:num>
  <w:num w:numId="13">
    <w:abstractNumId w:val="2"/>
  </w:num>
  <w:num w:numId="14">
    <w:abstractNumId w:val="17"/>
  </w:num>
  <w:num w:numId="15">
    <w:abstractNumId w:val="19"/>
  </w:num>
  <w:num w:numId="16">
    <w:abstractNumId w:val="18"/>
  </w:num>
  <w:num w:numId="17">
    <w:abstractNumId w:val="20"/>
  </w:num>
  <w:num w:numId="18">
    <w:abstractNumId w:val="5"/>
  </w:num>
  <w:num w:numId="19">
    <w:abstractNumId w:val="10"/>
  </w:num>
  <w:num w:numId="20">
    <w:abstractNumId w:val="12"/>
  </w:num>
  <w:num w:numId="21">
    <w:abstractNumId w:val="11"/>
  </w:num>
  <w:num w:numId="22">
    <w:abstractNumId w:val="0"/>
  </w:num>
  <w:num w:numId="23">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efaultTabStop w:val="720"/>
  <w:hyphenationZone w:val="396"/>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3F53E0E21394C1BB7BD0943BAAA03B2"/>
    <w:docVar w:name="LW_CROSSREFERENCE" w:val="&lt;UNUSED&gt;"/>
    <w:docVar w:name="LW_DocType" w:val="NORMAL"/>
    <w:docVar w:name="LW_EMISSION" w:val="2016 02 29"/>
    <w:docVar w:name="LW_EMISSION_ISODATE" w:val="2016-02-29"/>
    <w:docVar w:name="LW_EMISSION_LOCATION" w:val="BRX"/>
    <w:docVar w:name="LW_EMISSION_PREFIX" w:val="Briuselis, "/>
    <w:docVar w:name="LW_EMISSION_SUFFIX" w:val=" "/>
    <w:docVar w:name="LW_ID_DOCTYPE_NONLW" w:val="CP-006"/>
    <w:docVar w:name="LW_LANGUE" w:val="LT"/>
    <w:docVar w:name="LW_MARKING" w:val="&lt;UNUSED&gt;"/>
    <w:docVar w:name="LW_NOM.INST" w:val="EUROPOS KOMISIJA"/>
    <w:docVar w:name="LW_NOM.INST_JOINTDOC" w:val="&lt;EMPTY&gt;"/>
    <w:docVar w:name="LW_PART_NBR" w:val="1"/>
    <w:docVar w:name="LW_PART_NBR_TOTAL" w:val="1"/>
    <w:docVar w:name="LW_REF.INST.NEW" w:val="COM"/>
    <w:docVar w:name="LW_REF.INST.NEW_ADOPTED" w:val="final"/>
    <w:docVar w:name="LW_REF.INST.NEW_TEXT" w:val="(2016) 93"/>
    <w:docVar w:name="LW_REF.INTERNE" w:val="&lt;UNUSED&gt;"/>
    <w:docVar w:name="LW_SOUS.TITRE.OBJ.CP" w:val="&lt;UNUSED&gt;"/>
    <w:docVar w:name="LW_SUPERTITRE" w:val="&lt;UNUSED&gt;"/>
    <w:docVar w:name="LW_TITRE.OBJ.CP" w:val="Asmens tapatyb\u279?s pagal pir\u353?t\u371? atspaudus nustatymo technologij\u371? prieinamumas ir parengimas naudoti antrosios kartos \u352?engeno informacin\u279?je sistemoje (SIS II)"/>
    <w:docVar w:name="LW_TYPE.DOC.CP" w:val="KOMISIJOS ATASKAITA EUROPOS PARLAMENTUI IR TARYBAI"/>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lt-LT" w:bidi="lt-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lsdException w:name="toc 5" w:uiPriority="0"/>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pPr>
      <w:keepNext/>
      <w:keepLines/>
      <w:spacing w:after="34"/>
      <w:ind w:left="10" w:hanging="10"/>
      <w:outlineLvl w:val="2"/>
    </w:pPr>
    <w:rPr>
      <w:rFonts w:ascii="Cambria" w:eastAsia="Cambria" w:hAnsi="Cambria" w:cs="Cambria"/>
      <w:b/>
      <w:color w:val="4F81BD"/>
    </w:rPr>
  </w:style>
  <w:style w:type="paragraph" w:styleId="Heading4">
    <w:name w:val="heading 4"/>
    <w:next w:val="Normal"/>
    <w:link w:val="Heading4Char"/>
    <w:uiPriority w:val="9"/>
    <w:unhideWhenUsed/>
    <w:qFormat/>
    <w:pPr>
      <w:keepNext/>
      <w:keepLines/>
      <w:ind w:left="10" w:hanging="10"/>
      <w:outlineLvl w:val="3"/>
    </w:pPr>
    <w:rPr>
      <w:rFonts w:ascii="Cambria" w:eastAsia="Cambria" w:hAnsi="Cambria" w:cs="Cambria"/>
      <w:b/>
      <w:i/>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rPr>
      <w:rFonts w:ascii="Cambria" w:eastAsia="Cambria" w:hAnsi="Cambria" w:cs="Cambria"/>
      <w:b/>
      <w:color w:val="4F81BD"/>
    </w:rPr>
  </w:style>
  <w:style w:type="character" w:customStyle="1" w:styleId="Heading4Char">
    <w:name w:val="Heading 4 Char"/>
    <w:basedOn w:val="DefaultParagraphFont"/>
    <w:link w:val="Heading4"/>
    <w:uiPriority w:val="9"/>
    <w:rPr>
      <w:rFonts w:ascii="Cambria" w:eastAsia="Cambria" w:hAnsi="Cambria" w:cs="Cambria"/>
      <w:b/>
      <w:i/>
      <w:color w:val="4F81BD"/>
    </w:rPr>
  </w:style>
  <w:style w:type="paragraph" w:customStyle="1" w:styleId="footnotedescription">
    <w:name w:val="footnote description"/>
    <w:next w:val="Normal"/>
    <w:link w:val="footnotedescriptionChar"/>
    <w:hidden/>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Arial" w:eastAsia="Arial" w:hAnsi="Arial" w:cs="Arial"/>
      <w:color w:val="000000"/>
      <w:sz w:val="18"/>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TOCHeading">
    <w:name w:val="TOC Heading"/>
    <w:basedOn w:val="Normal"/>
    <w:next w:val="Normal"/>
    <w:qFormat/>
    <w:pPr>
      <w:keepNext/>
      <w:spacing w:before="240" w:after="240"/>
      <w:jc w:val="center"/>
    </w:pPr>
    <w:rPr>
      <w:rFonts w:ascii="Times New Roman" w:eastAsia="Times New Roman" w:hAnsi="Times New Roman" w:cs="Times New Roman"/>
      <w:b/>
      <w:sz w:val="24"/>
      <w:szCs w:val="20"/>
      <w:lang w:eastAsia="en-US" w:bidi="ar-SA"/>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pPr>
      <w:tabs>
        <w:tab w:val="right" w:leader="dot" w:pos="8640"/>
      </w:tabs>
      <w:spacing w:before="120" w:after="120"/>
      <w:ind w:left="482" w:right="720" w:hanging="482"/>
      <w:jc w:val="both"/>
    </w:pPr>
    <w:rPr>
      <w:rFonts w:ascii="Times New Roman" w:eastAsia="Times New Roman" w:hAnsi="Times New Roman" w:cs="Times New Roman"/>
      <w:caps/>
      <w:sz w:val="24"/>
      <w:szCs w:val="20"/>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beforeAutospacing="1" w:afterAutospacing="1"/>
      <w:ind w:left="-850" w:right="-850"/>
    </w:pPr>
    <w:rPr>
      <w:rFonts w:ascii="Times New Roman" w:eastAsia="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beforeAutospacing="1" w:after="120" w:afterAutospacing="1"/>
      <w:jc w:val="both"/>
    </w:pPr>
    <w:rPr>
      <w:rFonts w:ascii="Times New Roman" w:eastAsia="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TOC2">
    <w:name w:val="toc 2"/>
    <w:basedOn w:val="Normal"/>
    <w:next w:val="Normal"/>
    <w:pPr>
      <w:tabs>
        <w:tab w:val="right" w:leader="dot" w:pos="8640"/>
      </w:tabs>
      <w:spacing w:before="60" w:after="60"/>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pPr>
      <w:tabs>
        <w:tab w:val="right" w:leader="dot" w:pos="8640"/>
      </w:tabs>
      <w:spacing w:before="60" w:after="60"/>
      <w:ind w:left="1916" w:right="720" w:hanging="839"/>
      <w:jc w:val="both"/>
    </w:pPr>
    <w:rPr>
      <w:rFonts w:ascii="Times New Roman" w:eastAsia="Times New Roman" w:hAnsi="Times New Roman" w:cs="Times New Roman"/>
      <w:sz w:val="24"/>
      <w:szCs w:val="20"/>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styleId="Revision">
    <w:name w:val="Revision"/>
    <w:hidden/>
    <w:uiPriority w:val="99"/>
    <w:semiHidden/>
  </w:style>
  <w:style w:type="paragraph" w:customStyle="1" w:styleId="Contact">
    <w:name w:val="Contact"/>
    <w:basedOn w:val="Normal"/>
    <w:next w:val="Normal"/>
    <w:pPr>
      <w:spacing w:before="480"/>
      <w:ind w:left="567" w:hanging="567"/>
    </w:pPr>
    <w:rPr>
      <w:rFonts w:ascii="Times New Roman" w:eastAsia="Times New Roman" w:hAnsi="Times New Roman" w:cs="Times New Roman"/>
      <w:sz w:val="24"/>
      <w:szCs w:val="20"/>
      <w:lang w:eastAsia="en-US" w:bidi="ar-SA"/>
    </w:rPr>
  </w:style>
  <w:style w:type="paragraph" w:styleId="ListBullet">
    <w:name w:val="List Bullet"/>
    <w:basedOn w:val="Normal"/>
    <w:pPr>
      <w:numPr>
        <w:numId w:val="9"/>
      </w:numPr>
      <w:spacing w:after="240"/>
      <w:jc w:val="both"/>
    </w:pPr>
    <w:rPr>
      <w:rFonts w:ascii="Times New Roman" w:eastAsia="Times New Roman" w:hAnsi="Times New Roman" w:cs="Times New Roman"/>
      <w:sz w:val="24"/>
      <w:szCs w:val="20"/>
      <w:lang w:eastAsia="en-US" w:bidi="ar-SA"/>
    </w:rPr>
  </w:style>
  <w:style w:type="paragraph" w:customStyle="1" w:styleId="ListBullet1">
    <w:name w:val="List Bullet 1"/>
    <w:basedOn w:val="Normal"/>
    <w:pPr>
      <w:numPr>
        <w:numId w:val="10"/>
      </w:numPr>
      <w:spacing w:after="240"/>
      <w:jc w:val="both"/>
    </w:pPr>
    <w:rPr>
      <w:rFonts w:ascii="Times New Roman" w:eastAsia="Times New Roman" w:hAnsi="Times New Roman" w:cs="Times New Roman"/>
      <w:sz w:val="24"/>
      <w:szCs w:val="20"/>
      <w:lang w:eastAsia="en-US" w:bidi="ar-SA"/>
    </w:rPr>
  </w:style>
  <w:style w:type="paragraph" w:styleId="ListBullet2">
    <w:name w:val="List Bullet 2"/>
    <w:basedOn w:val="Normal"/>
    <w:pPr>
      <w:numPr>
        <w:numId w:val="11"/>
      </w:numPr>
      <w:spacing w:after="240"/>
      <w:jc w:val="both"/>
    </w:pPr>
    <w:rPr>
      <w:rFonts w:ascii="Times New Roman" w:eastAsia="Times New Roman" w:hAnsi="Times New Roman" w:cs="Times New Roman"/>
      <w:sz w:val="24"/>
      <w:szCs w:val="20"/>
      <w:lang w:eastAsia="en-US" w:bidi="ar-SA"/>
    </w:rPr>
  </w:style>
  <w:style w:type="paragraph" w:styleId="ListBullet3">
    <w:name w:val="List Bullet 3"/>
    <w:basedOn w:val="Normal"/>
    <w:pPr>
      <w:numPr>
        <w:numId w:val="12"/>
      </w:numPr>
      <w:spacing w:after="240"/>
      <w:jc w:val="both"/>
    </w:pPr>
    <w:rPr>
      <w:rFonts w:ascii="Times New Roman" w:eastAsia="Times New Roman" w:hAnsi="Times New Roman" w:cs="Times New Roman"/>
      <w:sz w:val="24"/>
      <w:szCs w:val="20"/>
      <w:lang w:eastAsia="en-US" w:bidi="ar-SA"/>
    </w:rPr>
  </w:style>
  <w:style w:type="paragraph" w:styleId="ListBullet4">
    <w:name w:val="List Bullet 4"/>
    <w:basedOn w:val="Normal"/>
    <w:pPr>
      <w:numPr>
        <w:numId w:val="13"/>
      </w:numPr>
      <w:spacing w:after="240"/>
      <w:jc w:val="both"/>
    </w:pPr>
    <w:rPr>
      <w:rFonts w:ascii="Times New Roman" w:eastAsia="Times New Roman" w:hAnsi="Times New Roman" w:cs="Times New Roman"/>
      <w:sz w:val="24"/>
      <w:szCs w:val="20"/>
      <w:lang w:eastAsia="en-US" w:bidi="ar-SA"/>
    </w:rPr>
  </w:style>
  <w:style w:type="paragraph" w:customStyle="1" w:styleId="ListDash">
    <w:name w:val="List Dash"/>
    <w:basedOn w:val="Normal"/>
    <w:pPr>
      <w:numPr>
        <w:numId w:val="14"/>
      </w:numPr>
      <w:spacing w:after="240"/>
      <w:jc w:val="both"/>
    </w:pPr>
    <w:rPr>
      <w:rFonts w:ascii="Times New Roman" w:eastAsia="Times New Roman" w:hAnsi="Times New Roman" w:cs="Times New Roman"/>
      <w:sz w:val="24"/>
      <w:szCs w:val="20"/>
      <w:lang w:eastAsia="en-US" w:bidi="ar-SA"/>
    </w:rPr>
  </w:style>
  <w:style w:type="paragraph" w:customStyle="1" w:styleId="ListDash1">
    <w:name w:val="List Dash 1"/>
    <w:basedOn w:val="Normal"/>
    <w:pPr>
      <w:numPr>
        <w:numId w:val="15"/>
      </w:numPr>
      <w:spacing w:after="240"/>
      <w:jc w:val="both"/>
    </w:pPr>
    <w:rPr>
      <w:rFonts w:ascii="Times New Roman" w:eastAsia="Times New Roman" w:hAnsi="Times New Roman" w:cs="Times New Roman"/>
      <w:sz w:val="24"/>
      <w:szCs w:val="20"/>
      <w:lang w:eastAsia="en-US" w:bidi="ar-SA"/>
    </w:rPr>
  </w:style>
  <w:style w:type="paragraph" w:customStyle="1" w:styleId="ListDash2">
    <w:name w:val="List Dash 2"/>
    <w:basedOn w:val="Normal"/>
    <w:pPr>
      <w:numPr>
        <w:numId w:val="16"/>
      </w:numPr>
      <w:spacing w:after="240"/>
      <w:jc w:val="both"/>
    </w:pPr>
    <w:rPr>
      <w:rFonts w:ascii="Times New Roman" w:eastAsia="Times New Roman" w:hAnsi="Times New Roman" w:cs="Times New Roman"/>
      <w:sz w:val="24"/>
      <w:szCs w:val="20"/>
      <w:lang w:eastAsia="en-US" w:bidi="ar-SA"/>
    </w:rPr>
  </w:style>
  <w:style w:type="paragraph" w:customStyle="1" w:styleId="ListDash3">
    <w:name w:val="List Dash 3"/>
    <w:basedOn w:val="Normal"/>
    <w:pPr>
      <w:numPr>
        <w:numId w:val="17"/>
      </w:numPr>
      <w:spacing w:after="240"/>
      <w:jc w:val="both"/>
    </w:pPr>
    <w:rPr>
      <w:rFonts w:ascii="Times New Roman" w:eastAsia="Times New Roman" w:hAnsi="Times New Roman" w:cs="Times New Roman"/>
      <w:sz w:val="24"/>
      <w:szCs w:val="20"/>
      <w:lang w:eastAsia="en-US" w:bidi="ar-SA"/>
    </w:rPr>
  </w:style>
  <w:style w:type="paragraph" w:customStyle="1" w:styleId="ListDash4">
    <w:name w:val="List Dash 4"/>
    <w:basedOn w:val="Normal"/>
    <w:pPr>
      <w:numPr>
        <w:numId w:val="18"/>
      </w:numPr>
      <w:spacing w:after="240"/>
      <w:jc w:val="both"/>
    </w:pPr>
    <w:rPr>
      <w:rFonts w:ascii="Times New Roman" w:eastAsia="Times New Roman" w:hAnsi="Times New Roman" w:cs="Times New Roman"/>
      <w:sz w:val="24"/>
      <w:szCs w:val="20"/>
      <w:lang w:eastAsia="en-US" w:bidi="ar-SA"/>
    </w:rPr>
  </w:style>
  <w:style w:type="paragraph" w:styleId="ListNumber">
    <w:name w:val="List Number"/>
    <w:basedOn w:val="Normal"/>
    <w:pPr>
      <w:numPr>
        <w:numId w:val="19"/>
      </w:numPr>
      <w:spacing w:after="240"/>
      <w:jc w:val="both"/>
    </w:pPr>
    <w:rPr>
      <w:rFonts w:ascii="Times New Roman" w:eastAsia="Times New Roman" w:hAnsi="Times New Roman" w:cs="Times New Roman"/>
      <w:sz w:val="24"/>
      <w:szCs w:val="20"/>
      <w:lang w:eastAsia="en-US" w:bidi="ar-SA"/>
    </w:rPr>
  </w:style>
  <w:style w:type="paragraph" w:customStyle="1" w:styleId="ListNumber1">
    <w:name w:val="List Number 1"/>
    <w:basedOn w:val="Normal"/>
    <w:pPr>
      <w:numPr>
        <w:numId w:val="20"/>
      </w:numPr>
      <w:spacing w:after="240"/>
      <w:jc w:val="both"/>
    </w:pPr>
    <w:rPr>
      <w:rFonts w:ascii="Times New Roman" w:eastAsia="Times New Roman" w:hAnsi="Times New Roman" w:cs="Times New Roman"/>
      <w:sz w:val="24"/>
      <w:szCs w:val="20"/>
      <w:lang w:eastAsia="en-US" w:bidi="ar-SA"/>
    </w:rPr>
  </w:style>
  <w:style w:type="paragraph" w:styleId="ListNumber2">
    <w:name w:val="List Number 2"/>
    <w:basedOn w:val="Normal"/>
    <w:pPr>
      <w:numPr>
        <w:numId w:val="21"/>
      </w:numPr>
      <w:spacing w:after="240"/>
      <w:jc w:val="both"/>
    </w:pPr>
    <w:rPr>
      <w:rFonts w:ascii="Times New Roman" w:eastAsia="Times New Roman" w:hAnsi="Times New Roman" w:cs="Times New Roman"/>
      <w:sz w:val="24"/>
      <w:szCs w:val="20"/>
      <w:lang w:eastAsia="en-US" w:bidi="ar-SA"/>
    </w:rPr>
  </w:style>
  <w:style w:type="paragraph" w:styleId="ListNumber3">
    <w:name w:val="List Number 3"/>
    <w:basedOn w:val="Normal"/>
    <w:pPr>
      <w:numPr>
        <w:numId w:val="22"/>
      </w:numPr>
      <w:spacing w:after="240"/>
      <w:jc w:val="both"/>
    </w:pPr>
    <w:rPr>
      <w:rFonts w:ascii="Times New Roman" w:eastAsia="Times New Roman" w:hAnsi="Times New Roman" w:cs="Times New Roman"/>
      <w:sz w:val="24"/>
      <w:szCs w:val="20"/>
      <w:lang w:eastAsia="en-US" w:bidi="ar-SA"/>
    </w:rPr>
  </w:style>
  <w:style w:type="paragraph" w:styleId="ListNumber4">
    <w:name w:val="List Number 4"/>
    <w:basedOn w:val="Normal"/>
    <w:pPr>
      <w:numPr>
        <w:numId w:val="23"/>
      </w:numPr>
      <w:spacing w:after="240"/>
      <w:jc w:val="both"/>
    </w:pPr>
    <w:rPr>
      <w:rFonts w:ascii="Times New Roman" w:eastAsia="Times New Roman" w:hAnsi="Times New Roman" w:cs="Times New Roman"/>
      <w:sz w:val="24"/>
      <w:szCs w:val="20"/>
      <w:lang w:eastAsia="en-US" w:bidi="ar-SA"/>
    </w:rPr>
  </w:style>
  <w:style w:type="paragraph" w:customStyle="1" w:styleId="ListNumberLevel2">
    <w:name w:val="List Number (Level 2)"/>
    <w:basedOn w:val="Normal"/>
    <w:pPr>
      <w:numPr>
        <w:ilvl w:val="1"/>
        <w:numId w:val="19"/>
      </w:numPr>
      <w:spacing w:after="240"/>
      <w:jc w:val="both"/>
    </w:pPr>
    <w:rPr>
      <w:rFonts w:ascii="Times New Roman" w:eastAsia="Times New Roman" w:hAnsi="Times New Roman" w:cs="Times New Roman"/>
      <w:sz w:val="24"/>
      <w:szCs w:val="20"/>
      <w:lang w:eastAsia="en-US" w:bidi="ar-SA"/>
    </w:rPr>
  </w:style>
  <w:style w:type="paragraph" w:customStyle="1" w:styleId="ListNumber1Level2">
    <w:name w:val="List Number 1 (Level 2)"/>
    <w:basedOn w:val="Normal"/>
    <w:pPr>
      <w:numPr>
        <w:ilvl w:val="1"/>
        <w:numId w:val="20"/>
      </w:numPr>
      <w:spacing w:after="240"/>
      <w:jc w:val="both"/>
    </w:pPr>
    <w:rPr>
      <w:rFonts w:ascii="Times New Roman" w:eastAsia="Times New Roman" w:hAnsi="Times New Roman" w:cs="Times New Roman"/>
      <w:sz w:val="24"/>
      <w:szCs w:val="20"/>
      <w:lang w:eastAsia="en-US" w:bidi="ar-SA"/>
    </w:rPr>
  </w:style>
  <w:style w:type="paragraph" w:customStyle="1" w:styleId="ListNumber2Level2">
    <w:name w:val="List Number 2 (Level 2)"/>
    <w:basedOn w:val="Normal"/>
    <w:pPr>
      <w:numPr>
        <w:ilvl w:val="1"/>
        <w:numId w:val="21"/>
      </w:numPr>
      <w:spacing w:after="240"/>
      <w:jc w:val="both"/>
    </w:pPr>
    <w:rPr>
      <w:rFonts w:ascii="Times New Roman" w:eastAsia="Times New Roman" w:hAnsi="Times New Roman" w:cs="Times New Roman"/>
      <w:sz w:val="24"/>
      <w:szCs w:val="20"/>
      <w:lang w:eastAsia="en-US" w:bidi="ar-SA"/>
    </w:rPr>
  </w:style>
  <w:style w:type="paragraph" w:customStyle="1" w:styleId="ListNumber3Level2">
    <w:name w:val="List Number 3 (Level 2)"/>
    <w:basedOn w:val="Normal"/>
    <w:pPr>
      <w:numPr>
        <w:ilvl w:val="1"/>
        <w:numId w:val="22"/>
      </w:numPr>
      <w:spacing w:after="240"/>
      <w:jc w:val="both"/>
    </w:pPr>
    <w:rPr>
      <w:rFonts w:ascii="Times New Roman" w:eastAsia="Times New Roman" w:hAnsi="Times New Roman" w:cs="Times New Roman"/>
      <w:sz w:val="24"/>
      <w:szCs w:val="20"/>
      <w:lang w:eastAsia="en-US" w:bidi="ar-SA"/>
    </w:rPr>
  </w:style>
  <w:style w:type="paragraph" w:customStyle="1" w:styleId="ListNumber4Level2">
    <w:name w:val="List Number 4 (Level 2)"/>
    <w:basedOn w:val="Normal"/>
    <w:pPr>
      <w:numPr>
        <w:ilvl w:val="1"/>
        <w:numId w:val="23"/>
      </w:numPr>
      <w:spacing w:after="240"/>
      <w:jc w:val="both"/>
    </w:pPr>
    <w:rPr>
      <w:rFonts w:ascii="Times New Roman" w:eastAsia="Times New Roman" w:hAnsi="Times New Roman" w:cs="Times New Roman"/>
      <w:sz w:val="24"/>
      <w:szCs w:val="20"/>
      <w:lang w:eastAsia="en-US" w:bidi="ar-SA"/>
    </w:rPr>
  </w:style>
  <w:style w:type="paragraph" w:customStyle="1" w:styleId="ListNumberLevel3">
    <w:name w:val="List Number (Level 3)"/>
    <w:basedOn w:val="Normal"/>
    <w:pPr>
      <w:numPr>
        <w:ilvl w:val="2"/>
        <w:numId w:val="19"/>
      </w:numPr>
      <w:spacing w:after="240"/>
      <w:jc w:val="both"/>
    </w:pPr>
    <w:rPr>
      <w:rFonts w:ascii="Times New Roman" w:eastAsia="Times New Roman" w:hAnsi="Times New Roman" w:cs="Times New Roman"/>
      <w:sz w:val="24"/>
      <w:szCs w:val="20"/>
      <w:lang w:eastAsia="en-US" w:bidi="ar-SA"/>
    </w:rPr>
  </w:style>
  <w:style w:type="paragraph" w:customStyle="1" w:styleId="ListNumber1Level3">
    <w:name w:val="List Number 1 (Level 3)"/>
    <w:basedOn w:val="Normal"/>
    <w:pPr>
      <w:numPr>
        <w:ilvl w:val="2"/>
        <w:numId w:val="20"/>
      </w:numPr>
      <w:spacing w:after="240"/>
      <w:jc w:val="both"/>
    </w:pPr>
    <w:rPr>
      <w:rFonts w:ascii="Times New Roman" w:eastAsia="Times New Roman" w:hAnsi="Times New Roman" w:cs="Times New Roman"/>
      <w:sz w:val="24"/>
      <w:szCs w:val="20"/>
      <w:lang w:eastAsia="en-US" w:bidi="ar-SA"/>
    </w:rPr>
  </w:style>
  <w:style w:type="paragraph" w:customStyle="1" w:styleId="ListNumber2Level3">
    <w:name w:val="List Number 2 (Level 3)"/>
    <w:basedOn w:val="Normal"/>
    <w:pPr>
      <w:numPr>
        <w:ilvl w:val="2"/>
        <w:numId w:val="21"/>
      </w:numPr>
      <w:spacing w:after="240"/>
      <w:jc w:val="both"/>
    </w:pPr>
    <w:rPr>
      <w:rFonts w:ascii="Times New Roman" w:eastAsia="Times New Roman" w:hAnsi="Times New Roman" w:cs="Times New Roman"/>
      <w:sz w:val="24"/>
      <w:szCs w:val="20"/>
      <w:lang w:eastAsia="en-US" w:bidi="ar-SA"/>
    </w:rPr>
  </w:style>
  <w:style w:type="paragraph" w:customStyle="1" w:styleId="ListNumber3Level3">
    <w:name w:val="List Number 3 (Level 3)"/>
    <w:basedOn w:val="Normal"/>
    <w:pPr>
      <w:numPr>
        <w:ilvl w:val="2"/>
        <w:numId w:val="22"/>
      </w:numPr>
      <w:spacing w:after="240"/>
      <w:jc w:val="both"/>
    </w:pPr>
    <w:rPr>
      <w:rFonts w:ascii="Times New Roman" w:eastAsia="Times New Roman" w:hAnsi="Times New Roman" w:cs="Times New Roman"/>
      <w:sz w:val="24"/>
      <w:szCs w:val="20"/>
      <w:lang w:eastAsia="en-US" w:bidi="ar-SA"/>
    </w:rPr>
  </w:style>
  <w:style w:type="paragraph" w:customStyle="1" w:styleId="ListNumber4Level3">
    <w:name w:val="List Number 4 (Level 3)"/>
    <w:basedOn w:val="Normal"/>
    <w:pPr>
      <w:numPr>
        <w:ilvl w:val="2"/>
        <w:numId w:val="23"/>
      </w:numPr>
      <w:spacing w:after="240"/>
      <w:jc w:val="both"/>
    </w:pPr>
    <w:rPr>
      <w:rFonts w:ascii="Times New Roman" w:eastAsia="Times New Roman" w:hAnsi="Times New Roman" w:cs="Times New Roman"/>
      <w:sz w:val="24"/>
      <w:szCs w:val="20"/>
      <w:lang w:eastAsia="en-US" w:bidi="ar-SA"/>
    </w:rPr>
  </w:style>
  <w:style w:type="paragraph" w:customStyle="1" w:styleId="ListNumberLevel4">
    <w:name w:val="List Number (Level 4)"/>
    <w:basedOn w:val="Normal"/>
    <w:pPr>
      <w:numPr>
        <w:ilvl w:val="3"/>
        <w:numId w:val="19"/>
      </w:numPr>
      <w:spacing w:after="240"/>
      <w:jc w:val="both"/>
    </w:pPr>
    <w:rPr>
      <w:rFonts w:ascii="Times New Roman" w:eastAsia="Times New Roman" w:hAnsi="Times New Roman" w:cs="Times New Roman"/>
      <w:sz w:val="24"/>
      <w:szCs w:val="20"/>
      <w:lang w:eastAsia="en-US" w:bidi="ar-SA"/>
    </w:rPr>
  </w:style>
  <w:style w:type="paragraph" w:customStyle="1" w:styleId="ListNumber1Level4">
    <w:name w:val="List Number 1 (Level 4)"/>
    <w:basedOn w:val="Normal"/>
    <w:pPr>
      <w:numPr>
        <w:ilvl w:val="3"/>
        <w:numId w:val="20"/>
      </w:numPr>
      <w:spacing w:after="240"/>
      <w:jc w:val="both"/>
    </w:pPr>
    <w:rPr>
      <w:rFonts w:ascii="Times New Roman" w:eastAsia="Times New Roman" w:hAnsi="Times New Roman" w:cs="Times New Roman"/>
      <w:sz w:val="24"/>
      <w:szCs w:val="20"/>
      <w:lang w:eastAsia="en-US" w:bidi="ar-SA"/>
    </w:rPr>
  </w:style>
  <w:style w:type="paragraph" w:customStyle="1" w:styleId="ListNumber2Level4">
    <w:name w:val="List Number 2 (Level 4)"/>
    <w:basedOn w:val="Normal"/>
    <w:pPr>
      <w:numPr>
        <w:ilvl w:val="3"/>
        <w:numId w:val="21"/>
      </w:numPr>
      <w:spacing w:after="240"/>
      <w:jc w:val="both"/>
    </w:pPr>
    <w:rPr>
      <w:rFonts w:ascii="Times New Roman" w:eastAsia="Times New Roman" w:hAnsi="Times New Roman" w:cs="Times New Roman"/>
      <w:sz w:val="24"/>
      <w:szCs w:val="20"/>
      <w:lang w:eastAsia="en-US" w:bidi="ar-SA"/>
    </w:rPr>
  </w:style>
  <w:style w:type="paragraph" w:customStyle="1" w:styleId="ListNumber3Level4">
    <w:name w:val="List Number 3 (Level 4)"/>
    <w:basedOn w:val="Normal"/>
    <w:pPr>
      <w:numPr>
        <w:ilvl w:val="3"/>
        <w:numId w:val="22"/>
      </w:numPr>
      <w:spacing w:after="240"/>
      <w:jc w:val="both"/>
    </w:pPr>
    <w:rPr>
      <w:rFonts w:ascii="Times New Roman" w:eastAsia="Times New Roman" w:hAnsi="Times New Roman" w:cs="Times New Roman"/>
      <w:sz w:val="24"/>
      <w:szCs w:val="20"/>
      <w:lang w:eastAsia="en-US" w:bidi="ar-SA"/>
    </w:rPr>
  </w:style>
  <w:style w:type="paragraph" w:customStyle="1" w:styleId="ListNumber4Level4">
    <w:name w:val="List Number 4 (Level 4)"/>
    <w:basedOn w:val="Normal"/>
    <w:pPr>
      <w:numPr>
        <w:ilvl w:val="3"/>
        <w:numId w:val="23"/>
      </w:numPr>
      <w:spacing w:after="240"/>
      <w:jc w:val="both"/>
    </w:pPr>
    <w:rPr>
      <w:rFonts w:ascii="Times New Roman" w:eastAsia="Times New Roman" w:hAnsi="Times New Roman" w:cs="Times New Roman"/>
      <w:sz w:val="24"/>
      <w:szCs w:val="20"/>
      <w:lang w:eastAsia="en-US" w:bidi="ar-SA"/>
    </w:rPr>
  </w:style>
  <w:style w:type="paragraph" w:styleId="TOC5">
    <w:name w:val="toc 5"/>
    <w:basedOn w:val="Normal"/>
    <w:next w:val="Normal"/>
    <w:semiHidden/>
    <w:pPr>
      <w:tabs>
        <w:tab w:val="right" w:leader="dot" w:pos="8641"/>
      </w:tabs>
      <w:spacing w:before="240" w:after="120"/>
      <w:ind w:right="720"/>
      <w:jc w:val="both"/>
    </w:pPr>
    <w:rPr>
      <w:rFonts w:ascii="Times New Roman" w:eastAsia="Times New Roman" w:hAnsi="Times New Roman" w:cs="Times New Roman"/>
      <w:caps/>
      <w:sz w:val="24"/>
      <w:szCs w:val="20"/>
      <w:lang w:eastAsia="en-US" w:bidi="ar-SA"/>
    </w:rPr>
  </w:style>
  <w:style w:type="paragraph" w:styleId="TOC4">
    <w:name w:val="toc 4"/>
    <w:basedOn w:val="Normal"/>
    <w:next w:val="Normal"/>
    <w:semiHidden/>
    <w:pPr>
      <w:tabs>
        <w:tab w:val="right" w:leader="dot" w:pos="8641"/>
      </w:tabs>
      <w:spacing w:before="60" w:after="60"/>
      <w:ind w:left="2880" w:right="720" w:hanging="964"/>
      <w:jc w:val="both"/>
    </w:pPr>
    <w:rPr>
      <w:rFonts w:ascii="Times New Roman" w:eastAsia="Times New Roman" w:hAnsi="Times New Roman" w:cs="Times New Roman"/>
      <w:sz w:val="24"/>
      <w:szCs w:val="20"/>
    </w:rPr>
  </w:style>
  <w:style w:type="character" w:styleId="Strong">
    <w:name w:val="Strong"/>
    <w:basedOn w:val="DefaultParagraphFont"/>
    <w:uiPriority w:val="22"/>
    <w:qFormat/>
    <w:rPr>
      <w:b/>
      <w:bCs/>
    </w:rPr>
  </w:style>
  <w:style w:type="paragraph" w:styleId="PlainText">
    <w:name w:val="Plain Text"/>
    <w:basedOn w:val="Normal"/>
    <w:link w:val="PlainTextChar"/>
    <w:uiPriority w:val="99"/>
    <w:semiHidden/>
    <w:unhideWhenUsed/>
    <w:rPr>
      <w:rFonts w:ascii="Calibri" w:hAnsi="Calibri" w:cs="Consolas"/>
      <w:szCs w:val="21"/>
    </w:rPr>
  </w:style>
  <w:style w:type="character" w:customStyle="1" w:styleId="PlainTextChar">
    <w:name w:val="Plain Text Char"/>
    <w:basedOn w:val="DefaultParagraphFont"/>
    <w:link w:val="PlainText"/>
    <w:uiPriority w:val="99"/>
    <w:semiHidden/>
    <w:rPr>
      <w:rFonts w:ascii="Calibri" w:hAnsi="Calibri" w:cs="Consolas"/>
      <w:szCs w:val="21"/>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lt-LT" w:bidi="lt-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lsdException w:name="toc 5" w:uiPriority="0"/>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pPr>
      <w:keepNext/>
      <w:keepLines/>
      <w:spacing w:after="34"/>
      <w:ind w:left="10" w:hanging="10"/>
      <w:outlineLvl w:val="2"/>
    </w:pPr>
    <w:rPr>
      <w:rFonts w:ascii="Cambria" w:eastAsia="Cambria" w:hAnsi="Cambria" w:cs="Cambria"/>
      <w:b/>
      <w:color w:val="4F81BD"/>
    </w:rPr>
  </w:style>
  <w:style w:type="paragraph" w:styleId="Heading4">
    <w:name w:val="heading 4"/>
    <w:next w:val="Normal"/>
    <w:link w:val="Heading4Char"/>
    <w:uiPriority w:val="9"/>
    <w:unhideWhenUsed/>
    <w:qFormat/>
    <w:pPr>
      <w:keepNext/>
      <w:keepLines/>
      <w:ind w:left="10" w:hanging="10"/>
      <w:outlineLvl w:val="3"/>
    </w:pPr>
    <w:rPr>
      <w:rFonts w:ascii="Cambria" w:eastAsia="Cambria" w:hAnsi="Cambria" w:cs="Cambria"/>
      <w:b/>
      <w:i/>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rPr>
      <w:rFonts w:ascii="Cambria" w:eastAsia="Cambria" w:hAnsi="Cambria" w:cs="Cambria"/>
      <w:b/>
      <w:color w:val="4F81BD"/>
    </w:rPr>
  </w:style>
  <w:style w:type="character" w:customStyle="1" w:styleId="Heading4Char">
    <w:name w:val="Heading 4 Char"/>
    <w:basedOn w:val="DefaultParagraphFont"/>
    <w:link w:val="Heading4"/>
    <w:uiPriority w:val="9"/>
    <w:rPr>
      <w:rFonts w:ascii="Cambria" w:eastAsia="Cambria" w:hAnsi="Cambria" w:cs="Cambria"/>
      <w:b/>
      <w:i/>
      <w:color w:val="4F81BD"/>
    </w:rPr>
  </w:style>
  <w:style w:type="paragraph" w:customStyle="1" w:styleId="footnotedescription">
    <w:name w:val="footnote description"/>
    <w:next w:val="Normal"/>
    <w:link w:val="footnotedescriptionChar"/>
    <w:hidden/>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Arial" w:eastAsia="Arial" w:hAnsi="Arial" w:cs="Arial"/>
      <w:color w:val="000000"/>
      <w:sz w:val="18"/>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TOCHeading">
    <w:name w:val="TOC Heading"/>
    <w:basedOn w:val="Normal"/>
    <w:next w:val="Normal"/>
    <w:qFormat/>
    <w:pPr>
      <w:keepNext/>
      <w:spacing w:before="240" w:after="240"/>
      <w:jc w:val="center"/>
    </w:pPr>
    <w:rPr>
      <w:rFonts w:ascii="Times New Roman" w:eastAsia="Times New Roman" w:hAnsi="Times New Roman" w:cs="Times New Roman"/>
      <w:b/>
      <w:sz w:val="24"/>
      <w:szCs w:val="20"/>
      <w:lang w:eastAsia="en-US" w:bidi="ar-SA"/>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pPr>
      <w:tabs>
        <w:tab w:val="right" w:leader="dot" w:pos="8640"/>
      </w:tabs>
      <w:spacing w:before="120" w:after="120"/>
      <w:ind w:left="482" w:right="720" w:hanging="482"/>
      <w:jc w:val="both"/>
    </w:pPr>
    <w:rPr>
      <w:rFonts w:ascii="Times New Roman" w:eastAsia="Times New Roman" w:hAnsi="Times New Roman" w:cs="Times New Roman"/>
      <w:caps/>
      <w:sz w:val="24"/>
      <w:szCs w:val="20"/>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beforeAutospacing="1" w:afterAutospacing="1"/>
      <w:ind w:left="-850" w:right="-850"/>
    </w:pPr>
    <w:rPr>
      <w:rFonts w:ascii="Times New Roman" w:eastAsia="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beforeAutospacing="1" w:after="120" w:afterAutospacing="1"/>
      <w:jc w:val="both"/>
    </w:pPr>
    <w:rPr>
      <w:rFonts w:ascii="Times New Roman" w:eastAsia="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TOC2">
    <w:name w:val="toc 2"/>
    <w:basedOn w:val="Normal"/>
    <w:next w:val="Normal"/>
    <w:pPr>
      <w:tabs>
        <w:tab w:val="right" w:leader="dot" w:pos="8640"/>
      </w:tabs>
      <w:spacing w:before="60" w:after="60"/>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pPr>
      <w:tabs>
        <w:tab w:val="right" w:leader="dot" w:pos="8640"/>
      </w:tabs>
      <w:spacing w:before="60" w:after="60"/>
      <w:ind w:left="1916" w:right="720" w:hanging="839"/>
      <w:jc w:val="both"/>
    </w:pPr>
    <w:rPr>
      <w:rFonts w:ascii="Times New Roman" w:eastAsia="Times New Roman" w:hAnsi="Times New Roman" w:cs="Times New Roman"/>
      <w:sz w:val="24"/>
      <w:szCs w:val="20"/>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styleId="Revision">
    <w:name w:val="Revision"/>
    <w:hidden/>
    <w:uiPriority w:val="99"/>
    <w:semiHidden/>
  </w:style>
  <w:style w:type="paragraph" w:customStyle="1" w:styleId="Contact">
    <w:name w:val="Contact"/>
    <w:basedOn w:val="Normal"/>
    <w:next w:val="Normal"/>
    <w:pPr>
      <w:spacing w:before="480"/>
      <w:ind w:left="567" w:hanging="567"/>
    </w:pPr>
    <w:rPr>
      <w:rFonts w:ascii="Times New Roman" w:eastAsia="Times New Roman" w:hAnsi="Times New Roman" w:cs="Times New Roman"/>
      <w:sz w:val="24"/>
      <w:szCs w:val="20"/>
      <w:lang w:eastAsia="en-US" w:bidi="ar-SA"/>
    </w:rPr>
  </w:style>
  <w:style w:type="paragraph" w:styleId="ListBullet">
    <w:name w:val="List Bullet"/>
    <w:basedOn w:val="Normal"/>
    <w:pPr>
      <w:numPr>
        <w:numId w:val="9"/>
      </w:numPr>
      <w:spacing w:after="240"/>
      <w:jc w:val="both"/>
    </w:pPr>
    <w:rPr>
      <w:rFonts w:ascii="Times New Roman" w:eastAsia="Times New Roman" w:hAnsi="Times New Roman" w:cs="Times New Roman"/>
      <w:sz w:val="24"/>
      <w:szCs w:val="20"/>
      <w:lang w:eastAsia="en-US" w:bidi="ar-SA"/>
    </w:rPr>
  </w:style>
  <w:style w:type="paragraph" w:customStyle="1" w:styleId="ListBullet1">
    <w:name w:val="List Bullet 1"/>
    <w:basedOn w:val="Normal"/>
    <w:pPr>
      <w:numPr>
        <w:numId w:val="10"/>
      </w:numPr>
      <w:spacing w:after="240"/>
      <w:jc w:val="both"/>
    </w:pPr>
    <w:rPr>
      <w:rFonts w:ascii="Times New Roman" w:eastAsia="Times New Roman" w:hAnsi="Times New Roman" w:cs="Times New Roman"/>
      <w:sz w:val="24"/>
      <w:szCs w:val="20"/>
      <w:lang w:eastAsia="en-US" w:bidi="ar-SA"/>
    </w:rPr>
  </w:style>
  <w:style w:type="paragraph" w:styleId="ListBullet2">
    <w:name w:val="List Bullet 2"/>
    <w:basedOn w:val="Normal"/>
    <w:pPr>
      <w:numPr>
        <w:numId w:val="11"/>
      </w:numPr>
      <w:spacing w:after="240"/>
      <w:jc w:val="both"/>
    </w:pPr>
    <w:rPr>
      <w:rFonts w:ascii="Times New Roman" w:eastAsia="Times New Roman" w:hAnsi="Times New Roman" w:cs="Times New Roman"/>
      <w:sz w:val="24"/>
      <w:szCs w:val="20"/>
      <w:lang w:eastAsia="en-US" w:bidi="ar-SA"/>
    </w:rPr>
  </w:style>
  <w:style w:type="paragraph" w:styleId="ListBullet3">
    <w:name w:val="List Bullet 3"/>
    <w:basedOn w:val="Normal"/>
    <w:pPr>
      <w:numPr>
        <w:numId w:val="12"/>
      </w:numPr>
      <w:spacing w:after="240"/>
      <w:jc w:val="both"/>
    </w:pPr>
    <w:rPr>
      <w:rFonts w:ascii="Times New Roman" w:eastAsia="Times New Roman" w:hAnsi="Times New Roman" w:cs="Times New Roman"/>
      <w:sz w:val="24"/>
      <w:szCs w:val="20"/>
      <w:lang w:eastAsia="en-US" w:bidi="ar-SA"/>
    </w:rPr>
  </w:style>
  <w:style w:type="paragraph" w:styleId="ListBullet4">
    <w:name w:val="List Bullet 4"/>
    <w:basedOn w:val="Normal"/>
    <w:pPr>
      <w:numPr>
        <w:numId w:val="13"/>
      </w:numPr>
      <w:spacing w:after="240"/>
      <w:jc w:val="both"/>
    </w:pPr>
    <w:rPr>
      <w:rFonts w:ascii="Times New Roman" w:eastAsia="Times New Roman" w:hAnsi="Times New Roman" w:cs="Times New Roman"/>
      <w:sz w:val="24"/>
      <w:szCs w:val="20"/>
      <w:lang w:eastAsia="en-US" w:bidi="ar-SA"/>
    </w:rPr>
  </w:style>
  <w:style w:type="paragraph" w:customStyle="1" w:styleId="ListDash">
    <w:name w:val="List Dash"/>
    <w:basedOn w:val="Normal"/>
    <w:pPr>
      <w:numPr>
        <w:numId w:val="14"/>
      </w:numPr>
      <w:spacing w:after="240"/>
      <w:jc w:val="both"/>
    </w:pPr>
    <w:rPr>
      <w:rFonts w:ascii="Times New Roman" w:eastAsia="Times New Roman" w:hAnsi="Times New Roman" w:cs="Times New Roman"/>
      <w:sz w:val="24"/>
      <w:szCs w:val="20"/>
      <w:lang w:eastAsia="en-US" w:bidi="ar-SA"/>
    </w:rPr>
  </w:style>
  <w:style w:type="paragraph" w:customStyle="1" w:styleId="ListDash1">
    <w:name w:val="List Dash 1"/>
    <w:basedOn w:val="Normal"/>
    <w:pPr>
      <w:numPr>
        <w:numId w:val="15"/>
      </w:numPr>
      <w:spacing w:after="240"/>
      <w:jc w:val="both"/>
    </w:pPr>
    <w:rPr>
      <w:rFonts w:ascii="Times New Roman" w:eastAsia="Times New Roman" w:hAnsi="Times New Roman" w:cs="Times New Roman"/>
      <w:sz w:val="24"/>
      <w:szCs w:val="20"/>
      <w:lang w:eastAsia="en-US" w:bidi="ar-SA"/>
    </w:rPr>
  </w:style>
  <w:style w:type="paragraph" w:customStyle="1" w:styleId="ListDash2">
    <w:name w:val="List Dash 2"/>
    <w:basedOn w:val="Normal"/>
    <w:pPr>
      <w:numPr>
        <w:numId w:val="16"/>
      </w:numPr>
      <w:spacing w:after="240"/>
      <w:jc w:val="both"/>
    </w:pPr>
    <w:rPr>
      <w:rFonts w:ascii="Times New Roman" w:eastAsia="Times New Roman" w:hAnsi="Times New Roman" w:cs="Times New Roman"/>
      <w:sz w:val="24"/>
      <w:szCs w:val="20"/>
      <w:lang w:eastAsia="en-US" w:bidi="ar-SA"/>
    </w:rPr>
  </w:style>
  <w:style w:type="paragraph" w:customStyle="1" w:styleId="ListDash3">
    <w:name w:val="List Dash 3"/>
    <w:basedOn w:val="Normal"/>
    <w:pPr>
      <w:numPr>
        <w:numId w:val="17"/>
      </w:numPr>
      <w:spacing w:after="240"/>
      <w:jc w:val="both"/>
    </w:pPr>
    <w:rPr>
      <w:rFonts w:ascii="Times New Roman" w:eastAsia="Times New Roman" w:hAnsi="Times New Roman" w:cs="Times New Roman"/>
      <w:sz w:val="24"/>
      <w:szCs w:val="20"/>
      <w:lang w:eastAsia="en-US" w:bidi="ar-SA"/>
    </w:rPr>
  </w:style>
  <w:style w:type="paragraph" w:customStyle="1" w:styleId="ListDash4">
    <w:name w:val="List Dash 4"/>
    <w:basedOn w:val="Normal"/>
    <w:pPr>
      <w:numPr>
        <w:numId w:val="18"/>
      </w:numPr>
      <w:spacing w:after="240"/>
      <w:jc w:val="both"/>
    </w:pPr>
    <w:rPr>
      <w:rFonts w:ascii="Times New Roman" w:eastAsia="Times New Roman" w:hAnsi="Times New Roman" w:cs="Times New Roman"/>
      <w:sz w:val="24"/>
      <w:szCs w:val="20"/>
      <w:lang w:eastAsia="en-US" w:bidi="ar-SA"/>
    </w:rPr>
  </w:style>
  <w:style w:type="paragraph" w:styleId="ListNumber">
    <w:name w:val="List Number"/>
    <w:basedOn w:val="Normal"/>
    <w:pPr>
      <w:numPr>
        <w:numId w:val="19"/>
      </w:numPr>
      <w:spacing w:after="240"/>
      <w:jc w:val="both"/>
    </w:pPr>
    <w:rPr>
      <w:rFonts w:ascii="Times New Roman" w:eastAsia="Times New Roman" w:hAnsi="Times New Roman" w:cs="Times New Roman"/>
      <w:sz w:val="24"/>
      <w:szCs w:val="20"/>
      <w:lang w:eastAsia="en-US" w:bidi="ar-SA"/>
    </w:rPr>
  </w:style>
  <w:style w:type="paragraph" w:customStyle="1" w:styleId="ListNumber1">
    <w:name w:val="List Number 1"/>
    <w:basedOn w:val="Normal"/>
    <w:pPr>
      <w:numPr>
        <w:numId w:val="20"/>
      </w:numPr>
      <w:spacing w:after="240"/>
      <w:jc w:val="both"/>
    </w:pPr>
    <w:rPr>
      <w:rFonts w:ascii="Times New Roman" w:eastAsia="Times New Roman" w:hAnsi="Times New Roman" w:cs="Times New Roman"/>
      <w:sz w:val="24"/>
      <w:szCs w:val="20"/>
      <w:lang w:eastAsia="en-US" w:bidi="ar-SA"/>
    </w:rPr>
  </w:style>
  <w:style w:type="paragraph" w:styleId="ListNumber2">
    <w:name w:val="List Number 2"/>
    <w:basedOn w:val="Normal"/>
    <w:pPr>
      <w:numPr>
        <w:numId w:val="21"/>
      </w:numPr>
      <w:spacing w:after="240"/>
      <w:jc w:val="both"/>
    </w:pPr>
    <w:rPr>
      <w:rFonts w:ascii="Times New Roman" w:eastAsia="Times New Roman" w:hAnsi="Times New Roman" w:cs="Times New Roman"/>
      <w:sz w:val="24"/>
      <w:szCs w:val="20"/>
      <w:lang w:eastAsia="en-US" w:bidi="ar-SA"/>
    </w:rPr>
  </w:style>
  <w:style w:type="paragraph" w:styleId="ListNumber3">
    <w:name w:val="List Number 3"/>
    <w:basedOn w:val="Normal"/>
    <w:pPr>
      <w:numPr>
        <w:numId w:val="22"/>
      </w:numPr>
      <w:spacing w:after="240"/>
      <w:jc w:val="both"/>
    </w:pPr>
    <w:rPr>
      <w:rFonts w:ascii="Times New Roman" w:eastAsia="Times New Roman" w:hAnsi="Times New Roman" w:cs="Times New Roman"/>
      <w:sz w:val="24"/>
      <w:szCs w:val="20"/>
      <w:lang w:eastAsia="en-US" w:bidi="ar-SA"/>
    </w:rPr>
  </w:style>
  <w:style w:type="paragraph" w:styleId="ListNumber4">
    <w:name w:val="List Number 4"/>
    <w:basedOn w:val="Normal"/>
    <w:pPr>
      <w:numPr>
        <w:numId w:val="23"/>
      </w:numPr>
      <w:spacing w:after="240"/>
      <w:jc w:val="both"/>
    </w:pPr>
    <w:rPr>
      <w:rFonts w:ascii="Times New Roman" w:eastAsia="Times New Roman" w:hAnsi="Times New Roman" w:cs="Times New Roman"/>
      <w:sz w:val="24"/>
      <w:szCs w:val="20"/>
      <w:lang w:eastAsia="en-US" w:bidi="ar-SA"/>
    </w:rPr>
  </w:style>
  <w:style w:type="paragraph" w:customStyle="1" w:styleId="ListNumberLevel2">
    <w:name w:val="List Number (Level 2)"/>
    <w:basedOn w:val="Normal"/>
    <w:pPr>
      <w:numPr>
        <w:ilvl w:val="1"/>
        <w:numId w:val="19"/>
      </w:numPr>
      <w:spacing w:after="240"/>
      <w:jc w:val="both"/>
    </w:pPr>
    <w:rPr>
      <w:rFonts w:ascii="Times New Roman" w:eastAsia="Times New Roman" w:hAnsi="Times New Roman" w:cs="Times New Roman"/>
      <w:sz w:val="24"/>
      <w:szCs w:val="20"/>
      <w:lang w:eastAsia="en-US" w:bidi="ar-SA"/>
    </w:rPr>
  </w:style>
  <w:style w:type="paragraph" w:customStyle="1" w:styleId="ListNumber1Level2">
    <w:name w:val="List Number 1 (Level 2)"/>
    <w:basedOn w:val="Normal"/>
    <w:pPr>
      <w:numPr>
        <w:ilvl w:val="1"/>
        <w:numId w:val="20"/>
      </w:numPr>
      <w:spacing w:after="240"/>
      <w:jc w:val="both"/>
    </w:pPr>
    <w:rPr>
      <w:rFonts w:ascii="Times New Roman" w:eastAsia="Times New Roman" w:hAnsi="Times New Roman" w:cs="Times New Roman"/>
      <w:sz w:val="24"/>
      <w:szCs w:val="20"/>
      <w:lang w:eastAsia="en-US" w:bidi="ar-SA"/>
    </w:rPr>
  </w:style>
  <w:style w:type="paragraph" w:customStyle="1" w:styleId="ListNumber2Level2">
    <w:name w:val="List Number 2 (Level 2)"/>
    <w:basedOn w:val="Normal"/>
    <w:pPr>
      <w:numPr>
        <w:ilvl w:val="1"/>
        <w:numId w:val="21"/>
      </w:numPr>
      <w:spacing w:after="240"/>
      <w:jc w:val="both"/>
    </w:pPr>
    <w:rPr>
      <w:rFonts w:ascii="Times New Roman" w:eastAsia="Times New Roman" w:hAnsi="Times New Roman" w:cs="Times New Roman"/>
      <w:sz w:val="24"/>
      <w:szCs w:val="20"/>
      <w:lang w:eastAsia="en-US" w:bidi="ar-SA"/>
    </w:rPr>
  </w:style>
  <w:style w:type="paragraph" w:customStyle="1" w:styleId="ListNumber3Level2">
    <w:name w:val="List Number 3 (Level 2)"/>
    <w:basedOn w:val="Normal"/>
    <w:pPr>
      <w:numPr>
        <w:ilvl w:val="1"/>
        <w:numId w:val="22"/>
      </w:numPr>
      <w:spacing w:after="240"/>
      <w:jc w:val="both"/>
    </w:pPr>
    <w:rPr>
      <w:rFonts w:ascii="Times New Roman" w:eastAsia="Times New Roman" w:hAnsi="Times New Roman" w:cs="Times New Roman"/>
      <w:sz w:val="24"/>
      <w:szCs w:val="20"/>
      <w:lang w:eastAsia="en-US" w:bidi="ar-SA"/>
    </w:rPr>
  </w:style>
  <w:style w:type="paragraph" w:customStyle="1" w:styleId="ListNumber4Level2">
    <w:name w:val="List Number 4 (Level 2)"/>
    <w:basedOn w:val="Normal"/>
    <w:pPr>
      <w:numPr>
        <w:ilvl w:val="1"/>
        <w:numId w:val="23"/>
      </w:numPr>
      <w:spacing w:after="240"/>
      <w:jc w:val="both"/>
    </w:pPr>
    <w:rPr>
      <w:rFonts w:ascii="Times New Roman" w:eastAsia="Times New Roman" w:hAnsi="Times New Roman" w:cs="Times New Roman"/>
      <w:sz w:val="24"/>
      <w:szCs w:val="20"/>
      <w:lang w:eastAsia="en-US" w:bidi="ar-SA"/>
    </w:rPr>
  </w:style>
  <w:style w:type="paragraph" w:customStyle="1" w:styleId="ListNumberLevel3">
    <w:name w:val="List Number (Level 3)"/>
    <w:basedOn w:val="Normal"/>
    <w:pPr>
      <w:numPr>
        <w:ilvl w:val="2"/>
        <w:numId w:val="19"/>
      </w:numPr>
      <w:spacing w:after="240"/>
      <w:jc w:val="both"/>
    </w:pPr>
    <w:rPr>
      <w:rFonts w:ascii="Times New Roman" w:eastAsia="Times New Roman" w:hAnsi="Times New Roman" w:cs="Times New Roman"/>
      <w:sz w:val="24"/>
      <w:szCs w:val="20"/>
      <w:lang w:eastAsia="en-US" w:bidi="ar-SA"/>
    </w:rPr>
  </w:style>
  <w:style w:type="paragraph" w:customStyle="1" w:styleId="ListNumber1Level3">
    <w:name w:val="List Number 1 (Level 3)"/>
    <w:basedOn w:val="Normal"/>
    <w:pPr>
      <w:numPr>
        <w:ilvl w:val="2"/>
        <w:numId w:val="20"/>
      </w:numPr>
      <w:spacing w:after="240"/>
      <w:jc w:val="both"/>
    </w:pPr>
    <w:rPr>
      <w:rFonts w:ascii="Times New Roman" w:eastAsia="Times New Roman" w:hAnsi="Times New Roman" w:cs="Times New Roman"/>
      <w:sz w:val="24"/>
      <w:szCs w:val="20"/>
      <w:lang w:eastAsia="en-US" w:bidi="ar-SA"/>
    </w:rPr>
  </w:style>
  <w:style w:type="paragraph" w:customStyle="1" w:styleId="ListNumber2Level3">
    <w:name w:val="List Number 2 (Level 3)"/>
    <w:basedOn w:val="Normal"/>
    <w:pPr>
      <w:numPr>
        <w:ilvl w:val="2"/>
        <w:numId w:val="21"/>
      </w:numPr>
      <w:spacing w:after="240"/>
      <w:jc w:val="both"/>
    </w:pPr>
    <w:rPr>
      <w:rFonts w:ascii="Times New Roman" w:eastAsia="Times New Roman" w:hAnsi="Times New Roman" w:cs="Times New Roman"/>
      <w:sz w:val="24"/>
      <w:szCs w:val="20"/>
      <w:lang w:eastAsia="en-US" w:bidi="ar-SA"/>
    </w:rPr>
  </w:style>
  <w:style w:type="paragraph" w:customStyle="1" w:styleId="ListNumber3Level3">
    <w:name w:val="List Number 3 (Level 3)"/>
    <w:basedOn w:val="Normal"/>
    <w:pPr>
      <w:numPr>
        <w:ilvl w:val="2"/>
        <w:numId w:val="22"/>
      </w:numPr>
      <w:spacing w:after="240"/>
      <w:jc w:val="both"/>
    </w:pPr>
    <w:rPr>
      <w:rFonts w:ascii="Times New Roman" w:eastAsia="Times New Roman" w:hAnsi="Times New Roman" w:cs="Times New Roman"/>
      <w:sz w:val="24"/>
      <w:szCs w:val="20"/>
      <w:lang w:eastAsia="en-US" w:bidi="ar-SA"/>
    </w:rPr>
  </w:style>
  <w:style w:type="paragraph" w:customStyle="1" w:styleId="ListNumber4Level3">
    <w:name w:val="List Number 4 (Level 3)"/>
    <w:basedOn w:val="Normal"/>
    <w:pPr>
      <w:numPr>
        <w:ilvl w:val="2"/>
        <w:numId w:val="23"/>
      </w:numPr>
      <w:spacing w:after="240"/>
      <w:jc w:val="both"/>
    </w:pPr>
    <w:rPr>
      <w:rFonts w:ascii="Times New Roman" w:eastAsia="Times New Roman" w:hAnsi="Times New Roman" w:cs="Times New Roman"/>
      <w:sz w:val="24"/>
      <w:szCs w:val="20"/>
      <w:lang w:eastAsia="en-US" w:bidi="ar-SA"/>
    </w:rPr>
  </w:style>
  <w:style w:type="paragraph" w:customStyle="1" w:styleId="ListNumberLevel4">
    <w:name w:val="List Number (Level 4)"/>
    <w:basedOn w:val="Normal"/>
    <w:pPr>
      <w:numPr>
        <w:ilvl w:val="3"/>
        <w:numId w:val="19"/>
      </w:numPr>
      <w:spacing w:after="240"/>
      <w:jc w:val="both"/>
    </w:pPr>
    <w:rPr>
      <w:rFonts w:ascii="Times New Roman" w:eastAsia="Times New Roman" w:hAnsi="Times New Roman" w:cs="Times New Roman"/>
      <w:sz w:val="24"/>
      <w:szCs w:val="20"/>
      <w:lang w:eastAsia="en-US" w:bidi="ar-SA"/>
    </w:rPr>
  </w:style>
  <w:style w:type="paragraph" w:customStyle="1" w:styleId="ListNumber1Level4">
    <w:name w:val="List Number 1 (Level 4)"/>
    <w:basedOn w:val="Normal"/>
    <w:pPr>
      <w:numPr>
        <w:ilvl w:val="3"/>
        <w:numId w:val="20"/>
      </w:numPr>
      <w:spacing w:after="240"/>
      <w:jc w:val="both"/>
    </w:pPr>
    <w:rPr>
      <w:rFonts w:ascii="Times New Roman" w:eastAsia="Times New Roman" w:hAnsi="Times New Roman" w:cs="Times New Roman"/>
      <w:sz w:val="24"/>
      <w:szCs w:val="20"/>
      <w:lang w:eastAsia="en-US" w:bidi="ar-SA"/>
    </w:rPr>
  </w:style>
  <w:style w:type="paragraph" w:customStyle="1" w:styleId="ListNumber2Level4">
    <w:name w:val="List Number 2 (Level 4)"/>
    <w:basedOn w:val="Normal"/>
    <w:pPr>
      <w:numPr>
        <w:ilvl w:val="3"/>
        <w:numId w:val="21"/>
      </w:numPr>
      <w:spacing w:after="240"/>
      <w:jc w:val="both"/>
    </w:pPr>
    <w:rPr>
      <w:rFonts w:ascii="Times New Roman" w:eastAsia="Times New Roman" w:hAnsi="Times New Roman" w:cs="Times New Roman"/>
      <w:sz w:val="24"/>
      <w:szCs w:val="20"/>
      <w:lang w:eastAsia="en-US" w:bidi="ar-SA"/>
    </w:rPr>
  </w:style>
  <w:style w:type="paragraph" w:customStyle="1" w:styleId="ListNumber3Level4">
    <w:name w:val="List Number 3 (Level 4)"/>
    <w:basedOn w:val="Normal"/>
    <w:pPr>
      <w:numPr>
        <w:ilvl w:val="3"/>
        <w:numId w:val="22"/>
      </w:numPr>
      <w:spacing w:after="240"/>
      <w:jc w:val="both"/>
    </w:pPr>
    <w:rPr>
      <w:rFonts w:ascii="Times New Roman" w:eastAsia="Times New Roman" w:hAnsi="Times New Roman" w:cs="Times New Roman"/>
      <w:sz w:val="24"/>
      <w:szCs w:val="20"/>
      <w:lang w:eastAsia="en-US" w:bidi="ar-SA"/>
    </w:rPr>
  </w:style>
  <w:style w:type="paragraph" w:customStyle="1" w:styleId="ListNumber4Level4">
    <w:name w:val="List Number 4 (Level 4)"/>
    <w:basedOn w:val="Normal"/>
    <w:pPr>
      <w:numPr>
        <w:ilvl w:val="3"/>
        <w:numId w:val="23"/>
      </w:numPr>
      <w:spacing w:after="240"/>
      <w:jc w:val="both"/>
    </w:pPr>
    <w:rPr>
      <w:rFonts w:ascii="Times New Roman" w:eastAsia="Times New Roman" w:hAnsi="Times New Roman" w:cs="Times New Roman"/>
      <w:sz w:val="24"/>
      <w:szCs w:val="20"/>
      <w:lang w:eastAsia="en-US" w:bidi="ar-SA"/>
    </w:rPr>
  </w:style>
  <w:style w:type="paragraph" w:styleId="TOC5">
    <w:name w:val="toc 5"/>
    <w:basedOn w:val="Normal"/>
    <w:next w:val="Normal"/>
    <w:semiHidden/>
    <w:pPr>
      <w:tabs>
        <w:tab w:val="right" w:leader="dot" w:pos="8641"/>
      </w:tabs>
      <w:spacing w:before="240" w:after="120"/>
      <w:ind w:right="720"/>
      <w:jc w:val="both"/>
    </w:pPr>
    <w:rPr>
      <w:rFonts w:ascii="Times New Roman" w:eastAsia="Times New Roman" w:hAnsi="Times New Roman" w:cs="Times New Roman"/>
      <w:caps/>
      <w:sz w:val="24"/>
      <w:szCs w:val="20"/>
      <w:lang w:eastAsia="en-US" w:bidi="ar-SA"/>
    </w:rPr>
  </w:style>
  <w:style w:type="paragraph" w:styleId="TOC4">
    <w:name w:val="toc 4"/>
    <w:basedOn w:val="Normal"/>
    <w:next w:val="Normal"/>
    <w:semiHidden/>
    <w:pPr>
      <w:tabs>
        <w:tab w:val="right" w:leader="dot" w:pos="8641"/>
      </w:tabs>
      <w:spacing w:before="60" w:after="60"/>
      <w:ind w:left="2880" w:right="720" w:hanging="964"/>
      <w:jc w:val="both"/>
    </w:pPr>
    <w:rPr>
      <w:rFonts w:ascii="Times New Roman" w:eastAsia="Times New Roman" w:hAnsi="Times New Roman" w:cs="Times New Roman"/>
      <w:sz w:val="24"/>
      <w:szCs w:val="20"/>
    </w:rPr>
  </w:style>
  <w:style w:type="character" w:styleId="Strong">
    <w:name w:val="Strong"/>
    <w:basedOn w:val="DefaultParagraphFont"/>
    <w:uiPriority w:val="22"/>
    <w:qFormat/>
    <w:rPr>
      <w:b/>
      <w:bCs/>
    </w:rPr>
  </w:style>
  <w:style w:type="paragraph" w:styleId="PlainText">
    <w:name w:val="Plain Text"/>
    <w:basedOn w:val="Normal"/>
    <w:link w:val="PlainTextChar"/>
    <w:uiPriority w:val="99"/>
    <w:semiHidden/>
    <w:unhideWhenUsed/>
    <w:rPr>
      <w:rFonts w:ascii="Calibri" w:hAnsi="Calibri" w:cs="Consolas"/>
      <w:szCs w:val="21"/>
    </w:rPr>
  </w:style>
  <w:style w:type="character" w:customStyle="1" w:styleId="PlainTextChar">
    <w:name w:val="Plain Text Char"/>
    <w:basedOn w:val="DefaultParagraphFont"/>
    <w:link w:val="PlainText"/>
    <w:uiPriority w:val="99"/>
    <w:semiHidden/>
    <w:rPr>
      <w:rFonts w:ascii="Calibri" w:hAnsi="Calibri" w:cs="Consolas"/>
      <w:szCs w:val="21"/>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29499">
      <w:bodyDiv w:val="1"/>
      <w:marLeft w:val="120"/>
      <w:marRight w:val="120"/>
      <w:marTop w:val="120"/>
      <w:marBottom w:val="120"/>
      <w:divBdr>
        <w:top w:val="none" w:sz="0" w:space="0" w:color="auto"/>
        <w:left w:val="none" w:sz="0" w:space="0" w:color="auto"/>
        <w:bottom w:val="none" w:sz="0" w:space="0" w:color="auto"/>
        <w:right w:val="none" w:sz="0" w:space="0" w:color="auto"/>
      </w:divBdr>
    </w:div>
    <w:div w:id="204948176">
      <w:bodyDiv w:val="1"/>
      <w:marLeft w:val="0"/>
      <w:marRight w:val="0"/>
      <w:marTop w:val="0"/>
      <w:marBottom w:val="0"/>
      <w:divBdr>
        <w:top w:val="none" w:sz="0" w:space="0" w:color="auto"/>
        <w:left w:val="none" w:sz="0" w:space="0" w:color="auto"/>
        <w:bottom w:val="none" w:sz="0" w:space="0" w:color="auto"/>
        <w:right w:val="none" w:sz="0" w:space="0" w:color="auto"/>
      </w:divBdr>
    </w:div>
    <w:div w:id="325716036">
      <w:bodyDiv w:val="1"/>
      <w:marLeft w:val="0"/>
      <w:marRight w:val="0"/>
      <w:marTop w:val="0"/>
      <w:marBottom w:val="0"/>
      <w:divBdr>
        <w:top w:val="none" w:sz="0" w:space="0" w:color="auto"/>
        <w:left w:val="none" w:sz="0" w:space="0" w:color="auto"/>
        <w:bottom w:val="none" w:sz="0" w:space="0" w:color="auto"/>
        <w:right w:val="none" w:sz="0" w:space="0" w:color="auto"/>
      </w:divBdr>
    </w:div>
    <w:div w:id="57246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789DA-E6A9-40A2-AF29-786AA1D64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56</TotalTime>
  <Pages>13</Pages>
  <Words>3622</Words>
  <Characters>24378</Characters>
  <Application>Microsoft Office Word</Application>
  <DocSecurity>0</DocSecurity>
  <Lines>406</Lines>
  <Paragraphs>186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23</cp:revision>
  <cp:lastPrinted>2016-01-21T15:05:00Z</cp:lastPrinted>
  <dcterms:created xsi:type="dcterms:W3CDTF">2016-01-21T10:30:00Z</dcterms:created>
  <dcterms:modified xsi:type="dcterms:W3CDTF">2016-02-22T16:13:00Z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ELDocType">
    <vt:lpwstr>NOT.DOT</vt:lpwstr>
  </property>
  <property fmtid="{D5CDD505-2E9C-101B-9397-08002B2CF9AE}" pid="6" name="Created using">
    <vt:lpwstr>3.0</vt:lpwstr>
  </property>
  <property fmtid="{D5CDD505-2E9C-101B-9397-08002B2CF9AE}" pid="7" name="Last edited using">
    <vt:lpwstr>EL </vt:lpwstr>
  </property>
  <property fmtid="{D5CDD505-2E9C-101B-9397-08002B2CF9AE}" pid="8" name="Formatting">
    <vt:lpwstr>4.1</vt:lpwstr>
  </property>
  <property fmtid="{D5CDD505-2E9C-101B-9397-08002B2CF9AE}" pid="9" name="DocStatus">
    <vt:lpwstr>Green</vt:lpwstr>
  </property>
</Properties>
</file>