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DEF197C7E6604317A9ED7490372D4153" style="width:450.5pt;height:366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DÔVODOVÁ SPRÁVA</w:t>
      </w:r>
    </w:p>
    <w:p>
      <w:pPr>
        <w:tabs>
          <w:tab w:val="left" w:pos="360"/>
        </w:tabs>
        <w:rPr>
          <w:b/>
          <w:bCs/>
          <w:noProof/>
        </w:rPr>
      </w:pPr>
      <w:r>
        <w:rPr>
          <w:b/>
          <w:noProof/>
        </w:rPr>
        <w:t>1. Súvislosti</w:t>
      </w:r>
    </w:p>
    <w:p>
      <w:pPr>
        <w:rPr>
          <w:noProof/>
        </w:rPr>
      </w:pPr>
      <w:r>
        <w:rPr>
          <w:noProof/>
        </w:rPr>
        <w:t>Agentúra Európskej únie pre základné práva (ďalej len „agentúra“) bola zriadená nariadením Rady (ES) č. 168/2007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(ďalej len „nariadenie“).</w:t>
      </w:r>
    </w:p>
    <w:p>
      <w:pPr>
        <w:rPr>
          <w:noProof/>
        </w:rPr>
      </w:pPr>
      <w:r>
        <w:rPr>
          <w:noProof/>
        </w:rPr>
        <w:t>Podľa článku 2 nariadenia cieľom agentúry je poskytovať pomoc a odborné poznatky v oblasti základných práv príslušným inštitúciám, orgánom, úradom a agentúram Únie a jeho členských štátov pri vykonávaní práva Únie.</w:t>
      </w:r>
    </w:p>
    <w:p>
      <w:pPr>
        <w:rPr>
          <w:noProof/>
        </w:rPr>
      </w:pPr>
      <w:r>
        <w:rPr>
          <w:noProof/>
        </w:rPr>
        <w:t>Podľa článku 28 ods. 1 nariadenia je agentúra prístupná účasti kandidátskych krajín ako pozorovateľov. Článok 28 ods. 2 nariadenia stanovuje, že účasť a príslušné podmienky sa určia rozhodnutím príslušnej Asociačnej rady. V rozhodnutí sa uvedie najmä povaha, rozsah a spôsob účasti týchto krajín na činnosti agentúry v rámci stanovenom v článkoch 4 a 5 nariadenia. Na základe rozhodnutia Asociačnej rady sa agentúra bude môcť zaoberať otázkami základných práv v príslušnej kandidátskej krajine v rozsahu pôsobnosti článku 3 ods. 1 nariadenia v miere potrebnej na postupné zosúladenie krajiny s právom Únie.</w:t>
      </w:r>
    </w:p>
    <w:p>
      <w:pPr>
        <w:spacing w:before="240"/>
        <w:jc w:val="left"/>
        <w:rPr>
          <w:b/>
          <w:bCs/>
          <w:noProof/>
        </w:rPr>
      </w:pPr>
      <w:r>
        <w:rPr>
          <w:b/>
          <w:noProof/>
        </w:rPr>
        <w:t>2. Navrhované rozhodnutie</w:t>
      </w:r>
    </w:p>
    <w:p>
      <w:pPr>
        <w:rPr>
          <w:noProof/>
        </w:rPr>
      </w:pPr>
      <w:r>
        <w:rPr>
          <w:noProof/>
        </w:rPr>
        <w:t>Komisia navrhuje Rade, aby prijala rozhodnutie o pozícii Únie v Rade pre stabilizáciu a pridruženie EÚ – Srbská republika, pokiaľ ide o účasť Srbskej republiky ako pozorovateľa na činnosti agentúry a príslušné podmienky. Navrhovaný jediný článok rozhodnutia stanovuje, že pozícia Únie je stanovená v návrhu rozhodnutia Rady pre stabilizáciu a pridruženie EÚ – Srbská republika (ďalej len „návrh rozhodnutia“), ktorý je pripojený k rozhodnutiu Rady. Návrh takéhoto návrhu rozhodnutia je tiež pripojený k návrhu Komisie. Spĺňa požiadavky článku 28 nariadenia.</w:t>
      </w:r>
    </w:p>
    <w:p>
      <w:pPr>
        <w:rPr>
          <w:noProof/>
        </w:rPr>
      </w:pPr>
      <w:r>
        <w:rPr>
          <w:noProof/>
        </w:rPr>
        <w:t>V súlade s jednou z hlavných zásad, na ktorej je nariadenie založené (t. j. zásadou, že činnosť agentúry vychádza z tematického prístupu na rozdiel od prístupu zameraného na jednotlivé krajiny), sa prostredníctvom návrhu rozhodnutia umožňuje, aby agentúra v Srbskej republike plnila úlohy stanovené v rámci článkov 4 a 5 nariadenia.</w:t>
      </w:r>
    </w:p>
    <w:p>
      <w:pPr>
        <w:rPr>
          <w:noProof/>
        </w:rPr>
      </w:pPr>
      <w:r>
        <w:rPr>
          <w:noProof/>
        </w:rPr>
        <w:t>V návrhu rozhodnutia sa takisto stanovuje, že Srbská republika do správnej rady agentúry vymenuje pozorovateľa a jeho náhradníka. Tieto osoby by mali spĺňať kritériá stanovené v článku 12 ods. 1 nariadenia. Zúčastnia sa na práci správnej rady rovnako ako členovia a ich náhradníci, ktorí boli vymenovaní členskými štátmi, avšak bez hlasovacieho práva.</w:t>
      </w:r>
    </w:p>
    <w:p>
      <w:pPr>
        <w:rPr>
          <w:noProof/>
        </w:rPr>
      </w:pPr>
      <w:r>
        <w:rPr>
          <w:noProof/>
        </w:rPr>
        <w:t>Návrh rozhodnutia obsahuje ustanovenia týkajúce sa finančného príspevku Srbskej republiky a zamestnancov (príloha I). K návrhu rozhodnutia je priložený finančný výkaz.</w:t>
      </w:r>
    </w:p>
    <w:p>
      <w:pPr>
        <w:rPr>
          <w:noProof/>
        </w:rPr>
      </w:pPr>
      <w:r>
        <w:rPr>
          <w:noProof/>
        </w:rPr>
        <w:t>Návrh rozhodnutia je v súlade so Služobným poriadkom úradníkov Európskej únie (ďalej len „služobný poriadok“) a Podmienkami zamestnávania ostatných zamestnancov Európskej únie (ďalej len „PZOZ“), stanovenými nariadením Rady (EHS, Euratom, ESUO) č. 259/68</w:t>
      </w:r>
      <w:r>
        <w:rPr>
          <w:rStyle w:val="FootnoteReference"/>
          <w:noProof/>
        </w:rPr>
        <w:footnoteReference w:id="2"/>
      </w:r>
      <w:r>
        <w:rPr>
          <w:noProof/>
        </w:rPr>
        <w:t>.</w:t>
      </w:r>
    </w:p>
    <w:p>
      <w:pPr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2016/0066 (NLE)</w:t>
      </w:r>
    </w:p>
    <w:p>
      <w:pPr>
        <w:pStyle w:val="Statut"/>
        <w:rPr>
          <w:noProof/>
        </w:rPr>
      </w:pPr>
      <w:r>
        <w:rPr>
          <w:noProof/>
        </w:rPr>
        <w:t>Návrh</w:t>
      </w:r>
    </w:p>
    <w:p>
      <w:pPr>
        <w:pStyle w:val="Typedudocument"/>
        <w:rPr>
          <w:noProof/>
        </w:rPr>
      </w:pPr>
      <w:r>
        <w:rPr>
          <w:noProof/>
        </w:rPr>
        <w:t>ROZHODNUTIE RADY</w:t>
      </w:r>
    </w:p>
    <w:p>
      <w:pPr>
        <w:pStyle w:val="Titreobjet"/>
        <w:rPr>
          <w:noProof/>
        </w:rPr>
      </w:pPr>
      <w:r>
        <w:rPr>
          <w:noProof/>
        </w:rPr>
        <w:t>o pozícii Únie v Rade pre stabilizáciu a pridruženie EÚ – Srbská republika, pokiaľ ide o účasť Srbskej republiky ako pozorovateľa na činnosti Agentúry Európskej únie pre základné práva, a o príslušných podmienkach v rámci nariadenia Rady (ES) č. 168/2007</w:t>
      </w:r>
    </w:p>
    <w:p>
      <w:pPr>
        <w:pStyle w:val="Institutionquiagit"/>
        <w:rPr>
          <w:noProof/>
        </w:rPr>
      </w:pPr>
      <w:r>
        <w:rPr>
          <w:noProof/>
        </w:rPr>
        <w:t>RADA EURÓPSKEJ ÚNIE,</w:t>
      </w:r>
    </w:p>
    <w:p>
      <w:pPr>
        <w:rPr>
          <w:noProof/>
        </w:rPr>
      </w:pPr>
      <w:r>
        <w:rPr>
          <w:noProof/>
        </w:rPr>
        <w:t>so zreteľom na Zmluvu o fungovaní Európskej únie, a najmä na jej článok 352 v spojení s článkom 218 ods. 9,</w:t>
      </w:r>
    </w:p>
    <w:p>
      <w:pPr>
        <w:rPr>
          <w:noProof/>
        </w:rPr>
      </w:pPr>
      <w:r>
        <w:rPr>
          <w:noProof/>
        </w:rPr>
        <w:t>so zreteľom na návrh Komisie,</w:t>
      </w:r>
    </w:p>
    <w:p>
      <w:pPr>
        <w:rPr>
          <w:noProof/>
        </w:rPr>
      </w:pPr>
      <w:r>
        <w:rPr>
          <w:noProof/>
        </w:rPr>
        <w:t>keďže:</w:t>
      </w:r>
    </w:p>
    <w:p>
      <w:pPr>
        <w:pStyle w:val="ManualConsidrant"/>
        <w:rPr>
          <w:noProof/>
        </w:rPr>
      </w:pPr>
      <w:bookmarkStart w:id="1" w:name="DQPStarAt1DQPStarAt5FDA66DAB6DA412CB702C"/>
      <w:bookmarkEnd w:id="1"/>
      <w:r>
        <w:t>(1)</w:t>
      </w:r>
      <w:r>
        <w:tab/>
      </w:r>
      <w:r>
        <w:rPr>
          <w:noProof/>
        </w:rPr>
        <w:t>Európska rada na svojom zasadnutí v Luxemburgu v decembri 1997 stanovila, že účasť v agentúrach Únie je prostriedkom na urýchlenie predvstupovej stratégie. V záveroch Európskej rady sa stanovuje, že „agentúry Únie, na činnosti ktorých sa budú môcť podieľať kandidátske krajiny, sa stanovia prípad od prípadu“.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V nariadení Rady (ES) č. 168/2007, ktorým sa zriaďuje Agentúra Európskej únie pre základné práva (ďalej len „nariadenie“), sa stanovuje, že agentúra je prístupná účasti kandidátskych krajín ako pozorovateľov.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Srbská republika súhlasí so zámermi a cieľmi vytýčenými pre agentúru v nariadení a s rozsahom jej úloh a oblasťami jej činnosti v zmysle článkov 4 a 5 uvedeného nariadenia.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Konečným cieľom Srbskej republiky je stať sa členom Európskej únie a jej účasť na činnosti Agentúry Európskej únie pre základné práva pomôže Srbskej republike dosiahnuť tento cieľ,</w:t>
      </w:r>
    </w:p>
    <w:p>
      <w:pPr>
        <w:pStyle w:val="Formuledadoption"/>
        <w:spacing w:before="100" w:beforeAutospacing="1" w:after="100" w:afterAutospacing="1"/>
        <w:outlineLvl w:val="0"/>
        <w:rPr>
          <w:noProof/>
        </w:rPr>
      </w:pPr>
      <w:r>
        <w:rPr>
          <w:noProof/>
        </w:rPr>
        <w:t>ROZHODLA TAKTO:</w:t>
      </w:r>
    </w:p>
    <w:p>
      <w:pPr>
        <w:pStyle w:val="Titrearticle"/>
        <w:rPr>
          <w:noProof/>
        </w:rPr>
      </w:pPr>
      <w:r>
        <w:rPr>
          <w:noProof/>
        </w:rPr>
        <w:t>Jediný článok</w:t>
      </w:r>
    </w:p>
    <w:p>
      <w:pPr>
        <w:rPr>
          <w:noProof/>
        </w:rPr>
      </w:pPr>
      <w:r>
        <w:rPr>
          <w:noProof/>
        </w:rPr>
        <w:t>Pozícia, ktorú má Európska únia prijať v Rade pre stabilizáciu a pridruženie EÚ – Srbská republika, pokiaľ ide o účasť Srbskej republiky ako pozorovateľa na činnosti Agentúry Európskej únie pre základné práva a príslušné podmienky, je stanovená v návrhu rozhodnutia Rady pre stabilizáciu a pridruženie EÚ – Srbská republika, ktorý je priložený k tomuto rozhodnutiu.</w:t>
      </w:r>
    </w:p>
    <w:p>
      <w:pPr>
        <w:pStyle w:val="Fait"/>
        <w:rPr>
          <w:noProof/>
        </w:rPr>
      </w:pPr>
      <w:r>
        <w:rPr>
          <w:noProof/>
        </w:rPr>
        <w:t>V Bruseli</w:t>
      </w:r>
    </w:p>
    <w:p>
      <w:pPr>
        <w:pStyle w:val="Institutionquisigne"/>
        <w:rPr>
          <w:noProof/>
        </w:rPr>
      </w:pPr>
      <w:r>
        <w:rPr>
          <w:noProof/>
        </w:rPr>
        <w:tab/>
        <w:t>Za Radu</w:t>
      </w:r>
    </w:p>
    <w:p>
      <w:pPr>
        <w:pStyle w:val="Personnequisigne"/>
        <w:rPr>
          <w:noProof/>
        </w:rPr>
      </w:pPr>
      <w:r>
        <w:rPr>
          <w:noProof/>
        </w:rPr>
        <w:tab/>
        <w:t>predseda</w:t>
      </w:r>
      <w:bookmarkStart w:id="2" w:name="_CopyToNewDocument_"/>
      <w:bookmarkEnd w:id="2"/>
    </w:p>
    <w:sectPr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SK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SK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SK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SK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Nariadenie Rady (ES) č. 168/2007 z 15. februára 2007, ktorým sa zriaďuje Agentúra Európskej únie pre základné práva, Ú. v. EÚ L 53, 22.2.2007, s. 1.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Ú. v. ES L 56, 4.3.1968, s. 1, naposledy zmenené nariadením Európskeho parlamentu a Rady (EÚ, Euratom) č. 1023/2013 z 22. októbra 2013, Ú. v. EÚ L 287, 29.10.2013, s. 15.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FB1"/>
    <w:multiLevelType w:val="multilevel"/>
    <w:tmpl w:val="30847FD6"/>
    <w:lvl w:ilvl="0">
      <w:start w:val="1"/>
      <w:numFmt w:val="decimal"/>
      <w:lvlRestart w:val="0"/>
      <w:pStyle w:val="ListNumber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5E43525"/>
    <w:multiLevelType w:val="multilevel"/>
    <w:tmpl w:val="76202BFE"/>
    <w:lvl w:ilvl="0">
      <w:start w:val="1"/>
      <w:numFmt w:val="decimal"/>
      <w:lvlRestart w:val="0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2DD5905"/>
    <w:multiLevelType w:val="singleLevel"/>
    <w:tmpl w:val="6CB4B73E"/>
    <w:name w:val="7.919872E-02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4E930D7"/>
    <w:multiLevelType w:val="multilevel"/>
    <w:tmpl w:val="EFD2E05E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>
    <w:nsid w:val="3E191884"/>
    <w:multiLevelType w:val="singleLevel"/>
    <w:tmpl w:val="3020C764"/>
    <w:name w:val="List Bullet 3"/>
    <w:lvl w:ilvl="0">
      <w:start w:val="1"/>
      <w:numFmt w:val="bullet"/>
      <w:lvlRestart w:val="0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9">
    <w:nsid w:val="40315490"/>
    <w:multiLevelType w:val="singleLevel"/>
    <w:tmpl w:val="1F86C700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2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3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4">
    <w:nsid w:val="596D67A1"/>
    <w:multiLevelType w:val="singleLevel"/>
    <w:tmpl w:val="9AC8831A"/>
    <w:name w:val="0.682686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5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6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>
    <w:nsid w:val="5F8C3B69"/>
    <w:multiLevelType w:val="multilevel"/>
    <w:tmpl w:val="9B14DAA8"/>
    <w:name w:val="0.9171412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2A8042C"/>
    <w:multiLevelType w:val="singleLevel"/>
    <w:tmpl w:val="CCF20C06"/>
    <w:name w:val="0.4071012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>
    <w:nsid w:val="6A6901C1"/>
    <w:multiLevelType w:val="singleLevel"/>
    <w:tmpl w:val="208841AE"/>
    <w:name w:val="0.8913494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3">
    <w:nsid w:val="6D2B5511"/>
    <w:multiLevelType w:val="singleLevel"/>
    <w:tmpl w:val="74A09970"/>
    <w:name w:val="List Bullet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4">
    <w:nsid w:val="78A241BD"/>
    <w:multiLevelType w:val="singleLevel"/>
    <w:tmpl w:val="53C4DF3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5">
    <w:nsid w:val="79C96D36"/>
    <w:multiLevelType w:val="multilevel"/>
    <w:tmpl w:val="BE983CE4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7">
    <w:nsid w:val="7D8820A0"/>
    <w:multiLevelType w:val="singleLevel"/>
    <w:tmpl w:val="54F6C7B4"/>
    <w:name w:val="List Dash 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8">
    <w:nsid w:val="7F7154E1"/>
    <w:multiLevelType w:val="singleLevel"/>
    <w:tmpl w:val="E3F6D2C6"/>
    <w:name w:val="List Bullet 4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>
    <w:abstractNumId w:val="26"/>
  </w:num>
  <w:num w:numId="2">
    <w:abstractNumId w:val="18"/>
  </w:num>
  <w:num w:numId="3">
    <w:abstractNumId w:val="25"/>
  </w:num>
  <w:num w:numId="4">
    <w:abstractNumId w:val="5"/>
  </w:num>
  <w:num w:numId="5">
    <w:abstractNumId w:val="1"/>
  </w:num>
  <w:num w:numId="6">
    <w:abstractNumId w:val="0"/>
  </w:num>
  <w:num w:numId="7">
    <w:abstractNumId w:val="23"/>
  </w:num>
  <w:num w:numId="8">
    <w:abstractNumId w:val="22"/>
  </w:num>
  <w:num w:numId="9">
    <w:abstractNumId w:val="2"/>
  </w:num>
  <w:num w:numId="10">
    <w:abstractNumId w:val="8"/>
  </w:num>
  <w:num w:numId="11">
    <w:abstractNumId w:val="28"/>
  </w:num>
  <w:num w:numId="12">
    <w:abstractNumId w:val="9"/>
  </w:num>
  <w:num w:numId="13">
    <w:abstractNumId w:val="19"/>
  </w:num>
  <w:num w:numId="14">
    <w:abstractNumId w:val="14"/>
  </w:num>
  <w:num w:numId="15">
    <w:abstractNumId w:val="24"/>
  </w:num>
  <w:num w:numId="16">
    <w:abstractNumId w:val="27"/>
  </w:num>
  <w:num w:numId="17">
    <w:abstractNumId w:val="26"/>
    <w:lvlOverride w:ilvl="0">
      <w:startOverride w:val="1"/>
    </w:lvlOverride>
  </w:num>
  <w:num w:numId="18">
    <w:abstractNumId w:val="17"/>
  </w:num>
  <w:num w:numId="19">
    <w:abstractNumId w:val="10"/>
  </w:num>
  <w:num w:numId="20">
    <w:abstractNumId w:val="21"/>
  </w:num>
  <w:num w:numId="21">
    <w:abstractNumId w:val="7"/>
  </w:num>
  <w:num w:numId="22">
    <w:abstractNumId w:val="11"/>
  </w:num>
  <w:num w:numId="23">
    <w:abstractNumId w:val="4"/>
  </w:num>
  <w:num w:numId="24">
    <w:abstractNumId w:val="20"/>
  </w:num>
  <w:num w:numId="25">
    <w:abstractNumId w:val="3"/>
  </w:num>
  <w:num w:numId="26">
    <w:abstractNumId w:val="12"/>
  </w:num>
  <w:num w:numId="27">
    <w:abstractNumId w:val="15"/>
  </w:num>
  <w:num w:numId="28">
    <w:abstractNumId w:val="16"/>
  </w:num>
  <w:num w:numId="29">
    <w:abstractNumId w:val="6"/>
  </w:num>
  <w:num w:numId="30">
    <w:abstractNumId w:val="13"/>
  </w:num>
  <w:num w:numId="31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hideSpellingErrors/>
  <w:hideGrammaticalErrors/>
  <w:attachedTemplate r:id="rId1"/>
  <w:revisionView w:markup="0"/>
  <w:doNotTrackMoves/>
  <w:defaultTabStop w:val="720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</w:compat>
  <w:docVars>
    <w:docVar w:name="COVERPAGE_EXISTS" w:val="True"/>
    <w:docVar w:name="DQCDateTime" w:val="2016-03-07 09:24:3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1"/>
    <w:docVar w:name="List Number" w:val="List Number__2"/>
    <w:docVar w:name="LW_CONFIDENCE" w:val=" "/>
    <w:docVar w:name="LW_CONST_RESTREINT_UE" w:val="RESTREINT UE"/>
    <w:docVar w:name="LW_CORRIGENDUM" w:val="&lt;UNUSED&gt;"/>
    <w:docVar w:name="LW_COVERPAGE_GUID" w:val="DEF197C7E6604317A9ED7490372D4153"/>
    <w:docVar w:name="LW_CROSSREFERENCE" w:val="&lt;UNUSED&gt;"/>
    <w:docVar w:name="LW_DocType" w:val="COM"/>
    <w:docVar w:name="LW_EMISSION" w:val="7. 3. 2016"/>
    <w:docVar w:name="LW_EMISSION_ISODATE" w:val="2016-03-07"/>
    <w:docVar w:name="LW_EMISSION_LOCATION" w:val="BRX"/>
    <w:docVar w:name="LW_EMISSION_PREFIX" w:val="V Bruseli"/>
    <w:docVar w:name="LW_EMISSION_SUFFIX" w:val=" "/>
    <w:docVar w:name="LW_FAITA" w:val="Done at Brussels, "/>
    <w:docVar w:name="LW_ID_DOCMODEL" w:val="SJ-019"/>
    <w:docVar w:name="LW_ID_DOCSIGNATURE" w:val="SJ-019"/>
    <w:docVar w:name="LW_ID_DOCSTRUCTURE" w:val="COM/PL/ORG"/>
    <w:docVar w:name="LW_ID_DOCTYPE" w:val="SJ-019"/>
    <w:docVar w:name="LW_ID_STATUT" w:val="SJ-019"/>
    <w:docVar w:name="LW_INST.SIGNE" w:val="_x0009_For the Council"/>
    <w:docVar w:name="LW_INTERETEEE.CP" w:val="&lt;UNUSED&gt;"/>
    <w:docVar w:name="LW_LANGUE" w:val="SK"/>
    <w:docVar w:name="LW_MARKING" w:val="&lt;UNUSED&gt;"/>
    <w:docVar w:name="LW_NOM.INST" w:val="EURÓPSKA KOMISIA"/>
    <w:docVar w:name="LW_NOM.INST_JOINTDOC" w:val="&lt;EMPTY&gt;"/>
    <w:docVar w:name="LW_PART_NBR" w:val="1"/>
    <w:docVar w:name="LW_PART_NBR_TOTAL" w:val="1"/>
    <w:docVar w:name="LW_PERS.SIGNE" w:val="_x0009_The President_x000b__x0009_"/>
    <w:docVar w:name="LW_REF.II.NEW.CP" w:val="NLE"/>
    <w:docVar w:name="LW_REF.II.NEW.CP_NUMBER" w:val="0066"/>
    <w:docVar w:name="LW_REF.II.NEW.CP_YEAR" w:val="2016"/>
    <w:docVar w:name="LW_REF.INST.NEW" w:val="COM"/>
    <w:docVar w:name="LW_REF.INST.NEW_ADOPTED" w:val="final"/>
    <w:docVar w:name="LW_REF.INST.NEW_TEXT" w:val="(2016) 119"/>
    <w:docVar w:name="LW_REF.INTERNE" w:val="&lt;UNUSED&gt;"/>
    <w:docVar w:name="LW_SOUS.TITRE.OBJ.CP" w:val="&lt;UNUSED&gt;"/>
    <w:docVar w:name="LW_STATUT.CP" w:val="Návrh"/>
    <w:docVar w:name="LW_SUPERTITRE" w:val="&lt;UNUSED&gt;"/>
    <w:docVar w:name="LW_TITRE.OBJ.CP" w:val="o pozícii Únie v Rade pre stabilizáciu a pridru\u382?enie EÚ \u8211? Srbská republika, pokia\u318? ide o ú\u269?as\u357? Srbskej republiky ako pozorovate\u318?a na \u269?innosti Agentúry Európskej únie pre základné práva, a o príslu\u353?ných podmienkach v rámci nariadenia Rady (ES) \u269?. 168/2007"/>
    <w:docVar w:name="LW_TYPE.DOC.CP" w:val="ROZHODNUTIE RADY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sk-S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4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pPr>
      <w:numPr>
        <w:numId w:val="9"/>
      </w:numPr>
    </w:pPr>
    <w:rPr>
      <w:rFonts w:eastAsia="Times New Roman"/>
      <w:szCs w:val="24"/>
    </w:rPr>
  </w:style>
  <w:style w:type="paragraph" w:styleId="ListNumber">
    <w:name w:val="List Number"/>
    <w:basedOn w:val="Normal"/>
    <w:pPr>
      <w:numPr>
        <w:numId w:val="2"/>
      </w:numPr>
    </w:pPr>
    <w:rPr>
      <w:rFonts w:eastAsia="Times New Roman"/>
      <w:szCs w:val="24"/>
    </w:rPr>
  </w:style>
  <w:style w:type="paragraph" w:customStyle="1" w:styleId="ListBullet1">
    <w:name w:val="List Bullet 1"/>
    <w:basedOn w:val="Normal"/>
    <w:pPr>
      <w:numPr>
        <w:numId w:val="8"/>
      </w:numPr>
    </w:pPr>
    <w:rPr>
      <w:rFonts w:eastAsia="Times New Roman"/>
      <w:szCs w:val="24"/>
    </w:rPr>
  </w:style>
  <w:style w:type="paragraph" w:customStyle="1" w:styleId="ListDash1">
    <w:name w:val="List Dash 1"/>
    <w:basedOn w:val="Normal"/>
    <w:pPr>
      <w:numPr>
        <w:numId w:val="13"/>
      </w:numPr>
    </w:pPr>
    <w:rPr>
      <w:rFonts w:eastAsia="Times New Roman"/>
      <w:szCs w:val="24"/>
    </w:rPr>
  </w:style>
  <w:style w:type="paragraph" w:customStyle="1" w:styleId="ListDash2">
    <w:name w:val="List Dash 2"/>
    <w:basedOn w:val="Normal"/>
    <w:pPr>
      <w:numPr>
        <w:numId w:val="14"/>
      </w:numPr>
    </w:pPr>
    <w:rPr>
      <w:rFonts w:eastAsia="Times New Roman"/>
      <w:szCs w:val="24"/>
    </w:rPr>
  </w:style>
  <w:style w:type="paragraph" w:customStyle="1" w:styleId="ListNumberLevel2">
    <w:name w:val="List Number (Level 2)"/>
    <w:basedOn w:val="Normal"/>
    <w:pPr>
      <w:numPr>
        <w:ilvl w:val="1"/>
        <w:numId w:val="2"/>
      </w:numPr>
    </w:pPr>
    <w:rPr>
      <w:rFonts w:eastAsia="Times New Roman"/>
      <w:szCs w:val="24"/>
    </w:rPr>
  </w:style>
  <w:style w:type="paragraph" w:customStyle="1" w:styleId="ListNumberLevel3">
    <w:name w:val="List Number (Level 3)"/>
    <w:basedOn w:val="Normal"/>
    <w:pPr>
      <w:numPr>
        <w:ilvl w:val="2"/>
        <w:numId w:val="2"/>
      </w:numPr>
    </w:pPr>
    <w:rPr>
      <w:rFonts w:eastAsia="Times New Roman"/>
      <w:szCs w:val="24"/>
    </w:rPr>
  </w:style>
  <w:style w:type="paragraph" w:customStyle="1" w:styleId="ListNumberLevel4">
    <w:name w:val="List Number (Level 4)"/>
    <w:basedOn w:val="Normal"/>
    <w:pPr>
      <w:numPr>
        <w:ilvl w:val="3"/>
        <w:numId w:val="2"/>
      </w:numPr>
    </w:pPr>
    <w:rPr>
      <w:rFonts w:eastAsia="Times New Roman"/>
      <w:szCs w:val="24"/>
    </w:rPr>
  </w:style>
  <w:style w:type="paragraph" w:customStyle="1" w:styleId="Annexetitreacte">
    <w:name w:val="Annexe titre (acte)"/>
    <w:basedOn w:val="Normal"/>
    <w:next w:val="Normal"/>
    <w:pPr>
      <w:jc w:val="center"/>
    </w:pPr>
    <w:rPr>
      <w:rFonts w:eastAsia="Times New Roman"/>
      <w:b/>
      <w:szCs w:val="24"/>
      <w:u w:val="single"/>
    </w:rPr>
  </w:style>
  <w:style w:type="paragraph" w:customStyle="1" w:styleId="Rfrenceinstitutionelle">
    <w:name w:val="Référence institutionelle"/>
    <w:basedOn w:val="Normal"/>
    <w:next w:val="Statut"/>
    <w:pPr>
      <w:spacing w:before="0" w:after="240"/>
      <w:ind w:left="5103"/>
      <w:jc w:val="left"/>
    </w:pPr>
    <w:rPr>
      <w:rFonts w:eastAsia="Times New Roman"/>
      <w:szCs w:val="24"/>
    </w:rPr>
  </w:style>
  <w:style w:type="paragraph" w:customStyle="1" w:styleId="Rfrenceinterinstitutionelle">
    <w:name w:val="Référence interinstitutionelle"/>
    <w:basedOn w:val="Normal"/>
    <w:next w:val="Statut"/>
    <w:pPr>
      <w:spacing w:before="0" w:after="0"/>
      <w:ind w:left="5103"/>
      <w:jc w:val="left"/>
    </w:pPr>
    <w:rPr>
      <w:rFonts w:eastAsia="Times New Roman"/>
      <w:szCs w:val="24"/>
    </w:rPr>
  </w:style>
  <w:style w:type="paragraph" w:customStyle="1" w:styleId="Fichefinancirestandardtitre">
    <w:name w:val="Fiche financière (standard) titre"/>
    <w:basedOn w:val="Normal"/>
    <w:next w:val="Normal"/>
    <w:pPr>
      <w:jc w:val="center"/>
    </w:pPr>
    <w:rPr>
      <w:rFonts w:eastAsia="Times New Roman"/>
      <w:b/>
      <w:szCs w:val="24"/>
      <w:u w:val="single"/>
    </w:rPr>
  </w:style>
  <w:style w:type="table" w:styleId="TableGrid">
    <w:name w:val="Table Grid"/>
    <w:basedOn w:val="TableNormal"/>
    <w:pPr>
      <w:spacing w:before="120" w:after="1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ListNumber1">
    <w:name w:val="List Number 1"/>
    <w:basedOn w:val="Text1"/>
    <w:pPr>
      <w:numPr>
        <w:numId w:val="3"/>
      </w:numPr>
    </w:pPr>
    <w:rPr>
      <w:rFonts w:eastAsia="Times New Roman"/>
      <w:szCs w:val="24"/>
    </w:rPr>
  </w:style>
  <w:style w:type="paragraph" w:styleId="ListNumber2">
    <w:name w:val="List Number 2"/>
    <w:basedOn w:val="Normal"/>
    <w:pPr>
      <w:numPr>
        <w:numId w:val="4"/>
      </w:numPr>
    </w:pPr>
    <w:rPr>
      <w:rFonts w:eastAsia="Times New Roman"/>
      <w:szCs w:val="24"/>
    </w:rPr>
  </w:style>
  <w:style w:type="paragraph" w:styleId="ListNumber3">
    <w:name w:val="List Number 3"/>
    <w:basedOn w:val="Normal"/>
    <w:pPr>
      <w:numPr>
        <w:numId w:val="5"/>
      </w:numPr>
    </w:pPr>
    <w:rPr>
      <w:rFonts w:eastAsia="Times New Roman"/>
      <w:szCs w:val="24"/>
    </w:rPr>
  </w:style>
  <w:style w:type="paragraph" w:styleId="ListNumber4">
    <w:name w:val="List Number 4"/>
    <w:basedOn w:val="Normal"/>
    <w:pPr>
      <w:numPr>
        <w:numId w:val="6"/>
      </w:numPr>
    </w:pPr>
    <w:rPr>
      <w:rFonts w:eastAsia="Times New Roman"/>
      <w:szCs w:val="24"/>
    </w:rPr>
  </w:style>
  <w:style w:type="paragraph" w:customStyle="1" w:styleId="ListNumber1Level2">
    <w:name w:val="List Number 1 (Level 2)"/>
    <w:basedOn w:val="Text1"/>
    <w:pPr>
      <w:numPr>
        <w:ilvl w:val="1"/>
        <w:numId w:val="3"/>
      </w:numPr>
    </w:pPr>
    <w:rPr>
      <w:rFonts w:eastAsia="Times New Roman"/>
      <w:szCs w:val="24"/>
    </w:rPr>
  </w:style>
  <w:style w:type="paragraph" w:customStyle="1" w:styleId="ListNumber2Level2">
    <w:name w:val="List Number 2 (Level 2)"/>
    <w:basedOn w:val="Text2"/>
    <w:pPr>
      <w:numPr>
        <w:ilvl w:val="1"/>
        <w:numId w:val="4"/>
      </w:numPr>
    </w:pPr>
    <w:rPr>
      <w:rFonts w:eastAsia="Times New Roman"/>
      <w:szCs w:val="24"/>
    </w:rPr>
  </w:style>
  <w:style w:type="paragraph" w:customStyle="1" w:styleId="ListNumber3Level2">
    <w:name w:val="List Number 3 (Level 2)"/>
    <w:basedOn w:val="Text3"/>
    <w:pPr>
      <w:numPr>
        <w:ilvl w:val="1"/>
        <w:numId w:val="5"/>
      </w:numPr>
    </w:pPr>
    <w:rPr>
      <w:rFonts w:eastAsia="Times New Roman"/>
      <w:szCs w:val="24"/>
    </w:rPr>
  </w:style>
  <w:style w:type="paragraph" w:customStyle="1" w:styleId="ListNumber4Level2">
    <w:name w:val="List Number 4 (Level 2)"/>
    <w:basedOn w:val="Text4"/>
    <w:pPr>
      <w:numPr>
        <w:ilvl w:val="1"/>
        <w:numId w:val="6"/>
      </w:numPr>
    </w:pPr>
    <w:rPr>
      <w:rFonts w:eastAsia="Times New Roman"/>
      <w:szCs w:val="24"/>
    </w:rPr>
  </w:style>
  <w:style w:type="paragraph" w:customStyle="1" w:styleId="ListNumber1Level3">
    <w:name w:val="List Number 1 (Level 3)"/>
    <w:basedOn w:val="Text1"/>
    <w:pPr>
      <w:numPr>
        <w:ilvl w:val="2"/>
        <w:numId w:val="3"/>
      </w:numPr>
    </w:pPr>
    <w:rPr>
      <w:rFonts w:eastAsia="Times New Roman"/>
      <w:szCs w:val="24"/>
    </w:rPr>
  </w:style>
  <w:style w:type="paragraph" w:customStyle="1" w:styleId="ListNumber2Level3">
    <w:name w:val="List Number 2 (Level 3)"/>
    <w:basedOn w:val="Text2"/>
    <w:pPr>
      <w:numPr>
        <w:ilvl w:val="2"/>
        <w:numId w:val="4"/>
      </w:numPr>
    </w:pPr>
    <w:rPr>
      <w:rFonts w:eastAsia="Times New Roman"/>
      <w:szCs w:val="24"/>
    </w:rPr>
  </w:style>
  <w:style w:type="paragraph" w:customStyle="1" w:styleId="ListNumber3Level3">
    <w:name w:val="List Number 3 (Level 3)"/>
    <w:basedOn w:val="Text3"/>
    <w:pPr>
      <w:numPr>
        <w:ilvl w:val="2"/>
        <w:numId w:val="5"/>
      </w:numPr>
    </w:pPr>
    <w:rPr>
      <w:rFonts w:eastAsia="Times New Roman"/>
      <w:szCs w:val="24"/>
    </w:rPr>
  </w:style>
  <w:style w:type="paragraph" w:customStyle="1" w:styleId="ListNumber4Level3">
    <w:name w:val="List Number 4 (Level 3)"/>
    <w:basedOn w:val="Text4"/>
    <w:pPr>
      <w:numPr>
        <w:ilvl w:val="2"/>
        <w:numId w:val="6"/>
      </w:numPr>
    </w:pPr>
    <w:rPr>
      <w:rFonts w:eastAsia="Times New Roman"/>
      <w:szCs w:val="24"/>
    </w:rPr>
  </w:style>
  <w:style w:type="paragraph" w:customStyle="1" w:styleId="ListNumber1Level4">
    <w:name w:val="List Number 1 (Level 4)"/>
    <w:basedOn w:val="Text1"/>
    <w:pPr>
      <w:numPr>
        <w:ilvl w:val="3"/>
        <w:numId w:val="3"/>
      </w:numPr>
    </w:pPr>
    <w:rPr>
      <w:rFonts w:eastAsia="Times New Roman"/>
      <w:szCs w:val="24"/>
    </w:rPr>
  </w:style>
  <w:style w:type="paragraph" w:customStyle="1" w:styleId="ListNumber2Level4">
    <w:name w:val="List Number 2 (Level 4)"/>
    <w:basedOn w:val="Text2"/>
    <w:pPr>
      <w:numPr>
        <w:ilvl w:val="3"/>
        <w:numId w:val="4"/>
      </w:numPr>
    </w:pPr>
    <w:rPr>
      <w:rFonts w:eastAsia="Times New Roman"/>
      <w:szCs w:val="24"/>
    </w:rPr>
  </w:style>
  <w:style w:type="paragraph" w:customStyle="1" w:styleId="ListNumber3Level4">
    <w:name w:val="List Number 3 (Level 4)"/>
    <w:basedOn w:val="Text3"/>
    <w:pPr>
      <w:numPr>
        <w:ilvl w:val="3"/>
        <w:numId w:val="5"/>
      </w:numPr>
    </w:pPr>
    <w:rPr>
      <w:rFonts w:eastAsia="Times New Roman"/>
      <w:szCs w:val="24"/>
    </w:rPr>
  </w:style>
  <w:style w:type="paragraph" w:customStyle="1" w:styleId="ListNumber4Level4">
    <w:name w:val="List Number 4 (Level 4)"/>
    <w:basedOn w:val="Text4"/>
    <w:pPr>
      <w:numPr>
        <w:ilvl w:val="3"/>
        <w:numId w:val="6"/>
      </w:numPr>
    </w:pPr>
    <w:rPr>
      <w:rFonts w:eastAsia="Times New Roman"/>
      <w:szCs w:val="24"/>
    </w:rPr>
  </w:style>
  <w:style w:type="paragraph" w:styleId="ListBullet">
    <w:name w:val="List Bullet"/>
    <w:basedOn w:val="Normal"/>
    <w:pPr>
      <w:numPr>
        <w:numId w:val="7"/>
      </w:numPr>
    </w:pPr>
    <w:rPr>
      <w:rFonts w:eastAsia="Times New Roman"/>
      <w:szCs w:val="24"/>
    </w:rPr>
  </w:style>
  <w:style w:type="paragraph" w:styleId="ListBullet3">
    <w:name w:val="List Bullet 3"/>
    <w:basedOn w:val="Normal"/>
    <w:pPr>
      <w:numPr>
        <w:numId w:val="10"/>
      </w:numPr>
    </w:pPr>
    <w:rPr>
      <w:rFonts w:eastAsia="Times New Roman"/>
      <w:szCs w:val="24"/>
    </w:rPr>
  </w:style>
  <w:style w:type="paragraph" w:styleId="ListBullet4">
    <w:name w:val="List Bullet 4"/>
    <w:basedOn w:val="Normal"/>
    <w:pPr>
      <w:numPr>
        <w:numId w:val="11"/>
      </w:numPr>
    </w:pPr>
    <w:rPr>
      <w:rFonts w:eastAsia="Times New Roman"/>
      <w:szCs w:val="24"/>
    </w:rPr>
  </w:style>
  <w:style w:type="paragraph" w:customStyle="1" w:styleId="ListDash">
    <w:name w:val="List Dash"/>
    <w:basedOn w:val="Normal"/>
    <w:pPr>
      <w:numPr>
        <w:numId w:val="12"/>
      </w:numPr>
    </w:pPr>
    <w:rPr>
      <w:rFonts w:eastAsia="Times New Roman"/>
      <w:szCs w:val="24"/>
    </w:rPr>
  </w:style>
  <w:style w:type="paragraph" w:customStyle="1" w:styleId="ListDash3">
    <w:name w:val="List Dash 3"/>
    <w:basedOn w:val="Normal"/>
    <w:pPr>
      <w:numPr>
        <w:numId w:val="15"/>
      </w:numPr>
    </w:pPr>
    <w:rPr>
      <w:rFonts w:eastAsia="Times New Roman"/>
      <w:szCs w:val="24"/>
    </w:rPr>
  </w:style>
  <w:style w:type="paragraph" w:customStyle="1" w:styleId="ListDash4">
    <w:name w:val="List Dash 4"/>
    <w:basedOn w:val="Normal"/>
    <w:pPr>
      <w:numPr>
        <w:numId w:val="16"/>
      </w:numPr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8"/>
      </w:numPr>
    </w:pPr>
  </w:style>
  <w:style w:type="paragraph" w:customStyle="1" w:styleId="Tiret1">
    <w:name w:val="Tiret 1"/>
    <w:basedOn w:val="Point1"/>
    <w:pPr>
      <w:numPr>
        <w:numId w:val="19"/>
      </w:numPr>
    </w:pPr>
  </w:style>
  <w:style w:type="paragraph" w:customStyle="1" w:styleId="Tiret2">
    <w:name w:val="Tiret 2"/>
    <w:basedOn w:val="Point2"/>
    <w:pPr>
      <w:numPr>
        <w:numId w:val="20"/>
      </w:numPr>
    </w:pPr>
  </w:style>
  <w:style w:type="paragraph" w:customStyle="1" w:styleId="Tiret3">
    <w:name w:val="Tiret 3"/>
    <w:basedOn w:val="Point3"/>
    <w:pPr>
      <w:numPr>
        <w:numId w:val="21"/>
      </w:numPr>
    </w:pPr>
  </w:style>
  <w:style w:type="paragraph" w:customStyle="1" w:styleId="Tiret4">
    <w:name w:val="Tiret 4"/>
    <w:basedOn w:val="Point4"/>
    <w:pPr>
      <w:numPr>
        <w:numId w:val="2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5"/>
      </w:numPr>
    </w:pPr>
  </w:style>
  <w:style w:type="paragraph" w:customStyle="1" w:styleId="Point1number">
    <w:name w:val="Point 1 (number)"/>
    <w:basedOn w:val="Normal"/>
    <w:pPr>
      <w:numPr>
        <w:ilvl w:val="2"/>
        <w:numId w:val="25"/>
      </w:numPr>
    </w:pPr>
  </w:style>
  <w:style w:type="paragraph" w:customStyle="1" w:styleId="Point2number">
    <w:name w:val="Point 2 (number)"/>
    <w:basedOn w:val="Normal"/>
    <w:pPr>
      <w:numPr>
        <w:ilvl w:val="4"/>
        <w:numId w:val="25"/>
      </w:numPr>
    </w:pPr>
  </w:style>
  <w:style w:type="paragraph" w:customStyle="1" w:styleId="Point3number">
    <w:name w:val="Point 3 (number)"/>
    <w:basedOn w:val="Normal"/>
    <w:pPr>
      <w:numPr>
        <w:ilvl w:val="6"/>
        <w:numId w:val="25"/>
      </w:numPr>
    </w:pPr>
  </w:style>
  <w:style w:type="paragraph" w:customStyle="1" w:styleId="Point0letter">
    <w:name w:val="Point 0 (letter)"/>
    <w:basedOn w:val="Normal"/>
    <w:pPr>
      <w:numPr>
        <w:ilvl w:val="1"/>
        <w:numId w:val="25"/>
      </w:numPr>
    </w:pPr>
  </w:style>
  <w:style w:type="paragraph" w:customStyle="1" w:styleId="Point1letter">
    <w:name w:val="Point 1 (letter)"/>
    <w:basedOn w:val="Normal"/>
    <w:pPr>
      <w:numPr>
        <w:ilvl w:val="3"/>
        <w:numId w:val="25"/>
      </w:numPr>
    </w:pPr>
  </w:style>
  <w:style w:type="paragraph" w:customStyle="1" w:styleId="Point2letter">
    <w:name w:val="Point 2 (letter)"/>
    <w:basedOn w:val="Normal"/>
    <w:pPr>
      <w:numPr>
        <w:ilvl w:val="5"/>
        <w:numId w:val="25"/>
      </w:numPr>
    </w:pPr>
  </w:style>
  <w:style w:type="paragraph" w:customStyle="1" w:styleId="Point3letter">
    <w:name w:val="Point 3 (letter)"/>
    <w:basedOn w:val="Normal"/>
    <w:pPr>
      <w:numPr>
        <w:ilvl w:val="7"/>
        <w:numId w:val="25"/>
      </w:numPr>
    </w:pPr>
  </w:style>
  <w:style w:type="paragraph" w:customStyle="1" w:styleId="Point4letter">
    <w:name w:val="Point 4 (letter)"/>
    <w:basedOn w:val="Normal"/>
    <w:pPr>
      <w:numPr>
        <w:ilvl w:val="8"/>
        <w:numId w:val="25"/>
      </w:numPr>
    </w:pPr>
  </w:style>
  <w:style w:type="paragraph" w:customStyle="1" w:styleId="Bullet0">
    <w:name w:val="Bullet 0"/>
    <w:basedOn w:val="Normal"/>
    <w:pPr>
      <w:numPr>
        <w:numId w:val="26"/>
      </w:numPr>
    </w:pPr>
  </w:style>
  <w:style w:type="paragraph" w:customStyle="1" w:styleId="Bullet1">
    <w:name w:val="Bullet 1"/>
    <w:basedOn w:val="Normal"/>
    <w:pPr>
      <w:numPr>
        <w:numId w:val="27"/>
      </w:numPr>
    </w:pPr>
  </w:style>
  <w:style w:type="paragraph" w:customStyle="1" w:styleId="Bullet2">
    <w:name w:val="Bullet 2"/>
    <w:basedOn w:val="Normal"/>
    <w:pPr>
      <w:numPr>
        <w:numId w:val="28"/>
      </w:numPr>
    </w:pPr>
  </w:style>
  <w:style w:type="paragraph" w:customStyle="1" w:styleId="Bullet3">
    <w:name w:val="Bullet 3"/>
    <w:basedOn w:val="Normal"/>
    <w:pPr>
      <w:numPr>
        <w:numId w:val="29"/>
      </w:numPr>
    </w:pPr>
  </w:style>
  <w:style w:type="paragraph" w:customStyle="1" w:styleId="Bullet4">
    <w:name w:val="Bullet 4"/>
    <w:basedOn w:val="Normal"/>
    <w:pPr>
      <w:numPr>
        <w:numId w:val="30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46B5-A51F-436C-81DF-28E95411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3</Pages>
  <Words>653</Words>
  <Characters>3811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DIGIT/A3</cp:lastModifiedBy>
  <cp:revision>18</cp:revision>
  <cp:lastPrinted>2015-11-13T13:25:00Z</cp:lastPrinted>
  <dcterms:created xsi:type="dcterms:W3CDTF">2016-03-04T13:52:00Z</dcterms:created>
  <dcterms:modified xsi:type="dcterms:W3CDTF">2016-03-07T08:24:00Z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_NewReviewCycle">
    <vt:lpwstr/>
  </property>
  <property fmtid="{D5CDD505-2E9C-101B-9397-08002B2CF9AE}" pid="8" name="Part">
    <vt:lpwstr>1</vt:lpwstr>
  </property>
  <property fmtid="{D5CDD505-2E9C-101B-9397-08002B2CF9AE}" pid="9" name="Total parts">
    <vt:lpwstr>1</vt:lpwstr>
  </property>
  <property fmtid="{D5CDD505-2E9C-101B-9397-08002B2CF9AE}" pid="10" name="LWTemplateID">
    <vt:lpwstr>SJ-019</vt:lpwstr>
  </property>
  <property fmtid="{D5CDD505-2E9C-101B-9397-08002B2CF9AE}" pid="11" name="DQCStatus">
    <vt:lpwstr>Green (DQC version 03)</vt:lpwstr>
  </property>
</Properties>
</file>