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ED6D2C178E14CEF90D06A9C3ACD8C4F"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ANHANG</w:t>
      </w:r>
    </w:p>
    <w:p>
      <w:pPr>
        <w:pStyle w:val="Accompagnant"/>
        <w:rPr>
          <w:noProof/>
        </w:rPr>
      </w:pPr>
      <w:r>
        <w:rPr>
          <w:noProof/>
        </w:rPr>
        <w:t>des</w:t>
      </w:r>
    </w:p>
    <w:p>
      <w:pPr>
        <w:pStyle w:val="Typeacteprincipal"/>
        <w:rPr>
          <w:noProof/>
        </w:rPr>
      </w:pPr>
      <w:r>
        <w:rPr>
          <w:noProof/>
        </w:rPr>
        <w:t>Vorschlags der Kommission für eine Verordnung des Rates</w:t>
      </w:r>
    </w:p>
    <w:p>
      <w:pPr>
        <w:pStyle w:val="Objetacteprincipal"/>
        <w:rPr>
          <w:noProof/>
        </w:rPr>
      </w:pPr>
      <w:r>
        <w:rPr>
          <w:noProof/>
        </w:rPr>
        <w:t>zur Änderung der Verordnung (EU) 2016/72 hinsichtlich bestimmter Fangmöglichkeiten</w:t>
      </w:r>
    </w:p>
    <w:p>
      <w:pPr>
        <w:pStyle w:val="Point0"/>
        <w:rPr>
          <w:noProof/>
        </w:rPr>
      </w:pPr>
      <w:r>
        <w:rPr>
          <w:noProof/>
        </w:rPr>
        <w:t>1.</w:t>
      </w:r>
      <w:r>
        <w:rPr>
          <w:noProof/>
        </w:rPr>
        <w:tab/>
        <w:t>Anhang IA der Verordnung (EU) 2016/72 wird wie folgt geändert:</w:t>
      </w:r>
    </w:p>
    <w:p>
      <w:pPr>
        <w:pStyle w:val="Point1"/>
        <w:rPr>
          <w:noProof/>
        </w:rPr>
      </w:pPr>
      <w:r>
        <w:rPr>
          <w:noProof/>
        </w:rPr>
        <w:t xml:space="preserve">a) </w:t>
      </w:r>
      <w:r>
        <w:rPr>
          <w:noProof/>
        </w:rPr>
        <w:tab/>
        <w:t>Die Tabelle mit den Fangmöglichkeiten für Sandaal in den Unionsgewässern der Gebiete IIa, IIIa und IV erhält folgende Fassung:</w:t>
      </w:r>
    </w:p>
    <w:tbl>
      <w:tblPr>
        <w:tblW w:w="9181" w:type="dxa"/>
        <w:tblInd w:w="108" w:type="dxa"/>
        <w:tblLook w:val="04A0" w:firstRow="1" w:lastRow="0" w:firstColumn="1" w:lastColumn="0" w:noHBand="0" w:noVBand="1"/>
      </w:tblPr>
      <w:tblGrid>
        <w:gridCol w:w="1089"/>
        <w:gridCol w:w="111"/>
        <w:gridCol w:w="1022"/>
        <w:gridCol w:w="1133"/>
        <w:gridCol w:w="1134"/>
        <w:gridCol w:w="1173"/>
        <w:gridCol w:w="1173"/>
        <w:gridCol w:w="1173"/>
        <w:gridCol w:w="1173"/>
      </w:tblGrid>
      <w:tr>
        <w:trPr>
          <w:trHeight w:val="255"/>
        </w:trPr>
        <w:tc>
          <w:tcPr>
            <w:tcW w:w="1089"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Art:</w:t>
            </w:r>
          </w:p>
        </w:tc>
        <w:tc>
          <w:tcPr>
            <w:tcW w:w="1133" w:type="dxa"/>
            <w:gridSpan w:val="2"/>
            <w:tcBorders>
              <w:top w:val="single" w:sz="8" w:space="0" w:color="000000"/>
              <w:left w:val="nil"/>
              <w:bottom w:val="nil"/>
              <w:right w:val="nil"/>
            </w:tcBorders>
            <w:noWrap/>
            <w:hideMark/>
          </w:tcPr>
          <w:p>
            <w:pPr>
              <w:spacing w:after="0"/>
              <w:rPr>
                <w:rFonts w:eastAsia="Times New Roman"/>
                <w:noProof/>
                <w:sz w:val="18"/>
                <w:szCs w:val="18"/>
              </w:rPr>
            </w:pPr>
            <w:r>
              <w:rPr>
                <w:noProof/>
                <w:sz w:val="18"/>
              </w:rPr>
              <w:t>Sandaal</w:t>
            </w:r>
          </w:p>
        </w:tc>
        <w:tc>
          <w:tcPr>
            <w:tcW w:w="1133" w:type="dxa"/>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1134"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Gebiet:</w:t>
            </w:r>
          </w:p>
        </w:tc>
        <w:tc>
          <w:tcPr>
            <w:tcW w:w="351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Unionsgewässer von IIa, IIIa und IV(1)</w:t>
            </w:r>
          </w:p>
        </w:tc>
      </w:tr>
      <w:tr>
        <w:trPr>
          <w:trHeight w:val="270"/>
        </w:trPr>
        <w:tc>
          <w:tcPr>
            <w:tcW w:w="108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266" w:type="dxa"/>
            <w:gridSpan w:val="3"/>
            <w:tcBorders>
              <w:top w:val="nil"/>
              <w:left w:val="nil"/>
              <w:bottom w:val="single" w:sz="8" w:space="0" w:color="000000"/>
              <w:right w:val="nil"/>
            </w:tcBorders>
            <w:noWrap/>
            <w:hideMark/>
          </w:tcPr>
          <w:p>
            <w:pPr>
              <w:spacing w:after="0"/>
              <w:rPr>
                <w:rFonts w:eastAsia="Times New Roman"/>
                <w:i/>
                <w:iCs/>
                <w:noProof/>
                <w:sz w:val="18"/>
                <w:szCs w:val="18"/>
              </w:rPr>
            </w:pPr>
            <w:r>
              <w:rPr>
                <w:i/>
                <w:noProof/>
                <w:sz w:val="18"/>
              </w:rPr>
              <w:t>Ammodytes spp.</w:t>
            </w:r>
          </w:p>
        </w:tc>
        <w:tc>
          <w:tcPr>
            <w:tcW w:w="1134" w:type="dxa"/>
            <w:noWrap/>
            <w:hideMark/>
          </w:tcPr>
          <w:p>
            <w:pPr>
              <w:spacing w:after="0" w:line="276" w:lineRule="auto"/>
              <w:rPr>
                <w:noProof/>
                <w:sz w:val="22"/>
              </w:rPr>
            </w:pPr>
          </w:p>
        </w:tc>
        <w:tc>
          <w:tcPr>
            <w:tcW w:w="1173"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089" w:type="dxa"/>
            <w:noWrap/>
            <w:hideMark/>
          </w:tcPr>
          <w:p>
            <w:pPr>
              <w:spacing w:after="0"/>
              <w:rPr>
                <w:rFonts w:eastAsia="Times New Roman"/>
                <w:noProof/>
                <w:color w:val="000000"/>
                <w:sz w:val="18"/>
                <w:szCs w:val="18"/>
              </w:rPr>
            </w:pPr>
            <w:r>
              <w:rPr>
                <w:noProof/>
                <w:color w:val="000000"/>
                <w:sz w:val="18"/>
              </w:rPr>
              <w:t>Dänemark</w:t>
            </w:r>
          </w:p>
        </w:tc>
        <w:tc>
          <w:tcPr>
            <w:tcW w:w="1133" w:type="dxa"/>
            <w:gridSpan w:val="2"/>
            <w:noWrap/>
            <w:hideMark/>
          </w:tcPr>
          <w:p>
            <w:pPr>
              <w:spacing w:after="0"/>
              <w:rPr>
                <w:rFonts w:eastAsia="Times New Roman"/>
                <w:noProof/>
                <w:sz w:val="18"/>
                <w:szCs w:val="18"/>
              </w:rPr>
            </w:pPr>
            <w:r>
              <w:rPr>
                <w:noProof/>
                <w:sz w:val="18"/>
              </w:rPr>
              <w:t> </w:t>
            </w:r>
          </w:p>
        </w:tc>
        <w:tc>
          <w:tcPr>
            <w:tcW w:w="1133" w:type="dxa"/>
            <w:noWrap/>
            <w:hideMark/>
          </w:tcPr>
          <w:p>
            <w:pPr>
              <w:spacing w:after="0"/>
              <w:jc w:val="right"/>
              <w:rPr>
                <w:rFonts w:eastAsia="Times New Roman"/>
                <w:noProof/>
                <w:color w:val="000000"/>
                <w:sz w:val="18"/>
                <w:szCs w:val="18"/>
              </w:rPr>
            </w:pPr>
            <w:r>
              <w:rPr>
                <w:noProof/>
                <w:color w:val="000000"/>
                <w:sz w:val="18"/>
              </w:rPr>
              <w:t>74 727</w:t>
            </w:r>
          </w:p>
        </w:tc>
        <w:tc>
          <w:tcPr>
            <w:tcW w:w="1134"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2346"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Analytische TAC</w:t>
            </w:r>
          </w:p>
        </w:tc>
        <w:tc>
          <w:tcPr>
            <w:tcW w:w="1173" w:type="dxa"/>
            <w:noWrap/>
            <w:hideMark/>
          </w:tcPr>
          <w:p>
            <w:pPr>
              <w:spacing w:after="0"/>
              <w:rPr>
                <w:rFonts w:eastAsia="Times New Roman"/>
                <w:noProof/>
                <w:color w:val="000000"/>
                <w:sz w:val="18"/>
                <w:szCs w:val="18"/>
              </w:rPr>
            </w:pPr>
            <w:r>
              <w:rPr>
                <w:noProof/>
                <w:color w:val="000000"/>
                <w:sz w:val="18"/>
              </w:rPr>
              <w:t> </w:t>
            </w:r>
          </w:p>
        </w:tc>
        <w:tc>
          <w:tcPr>
            <w:tcW w:w="1173"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2222" w:type="dxa"/>
            <w:gridSpan w:val="3"/>
            <w:noWrap/>
            <w:hideMark/>
          </w:tcPr>
          <w:p>
            <w:pPr>
              <w:spacing w:after="0"/>
              <w:rPr>
                <w:rFonts w:eastAsia="Times New Roman"/>
                <w:noProof/>
                <w:color w:val="000000"/>
                <w:sz w:val="18"/>
                <w:szCs w:val="18"/>
              </w:rPr>
            </w:pPr>
            <w:r>
              <w:rPr>
                <w:noProof/>
                <w:color w:val="000000"/>
                <w:sz w:val="18"/>
              </w:rPr>
              <w:t>Vereinigtes Königreich</w:t>
            </w:r>
          </w:p>
        </w:tc>
        <w:tc>
          <w:tcPr>
            <w:tcW w:w="1133" w:type="dxa"/>
            <w:noWrap/>
          </w:tcPr>
          <w:p>
            <w:pPr>
              <w:spacing w:after="0"/>
              <w:jc w:val="right"/>
              <w:rPr>
                <w:rFonts w:eastAsia="Times New Roman"/>
                <w:noProof/>
                <w:color w:val="000000"/>
                <w:sz w:val="18"/>
                <w:szCs w:val="18"/>
              </w:rPr>
            </w:pPr>
            <w:r>
              <w:rPr>
                <w:noProof/>
                <w:color w:val="000000"/>
                <w:sz w:val="18"/>
              </w:rPr>
              <w:t>1 634</w:t>
            </w:r>
          </w:p>
        </w:tc>
        <w:tc>
          <w:tcPr>
            <w:tcW w:w="1134" w:type="dxa"/>
            <w:noWrap/>
          </w:tcPr>
          <w:p>
            <w:pPr>
              <w:spacing w:after="0"/>
              <w:jc w:val="left"/>
              <w:rPr>
                <w:rFonts w:eastAsia="Times New Roman"/>
                <w:noProof/>
                <w:color w:val="000000"/>
                <w:sz w:val="18"/>
                <w:szCs w:val="18"/>
              </w:rPr>
            </w:pPr>
            <w:r>
              <w:rPr>
                <w:noProof/>
                <w:color w:val="000000"/>
                <w:sz w:val="18"/>
                <w:vertAlign w:val="superscript"/>
              </w:rPr>
              <w:t>(2)</w:t>
            </w:r>
          </w:p>
        </w:tc>
        <w:tc>
          <w:tcPr>
            <w:tcW w:w="4692" w:type="dxa"/>
            <w:gridSpan w:val="4"/>
            <w:noWrap/>
            <w:hideMark/>
          </w:tcPr>
          <w:p>
            <w:pPr>
              <w:spacing w:after="0"/>
              <w:rPr>
                <w:rFonts w:eastAsia="Times New Roman"/>
                <w:noProof/>
                <w:color w:val="000000"/>
                <w:sz w:val="18"/>
                <w:szCs w:val="18"/>
              </w:rPr>
            </w:pPr>
            <w:r>
              <w:rPr>
                <w:noProof/>
                <w:color w:val="000000"/>
                <w:sz w:val="18"/>
              </w:rPr>
              <w:t>Artikel 3 der Verordnung (EG) Nr. 847/96 gilt nicht.</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Deutschland</w:t>
            </w: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r>
              <w:rPr>
                <w:noProof/>
                <w:color w:val="000000"/>
                <w:sz w:val="18"/>
              </w:rPr>
              <w:t xml:space="preserve"> 114</w:t>
            </w:r>
          </w:p>
        </w:tc>
        <w:tc>
          <w:tcPr>
            <w:tcW w:w="1134" w:type="dxa"/>
            <w:noWrap/>
            <w:hideMark/>
          </w:tcPr>
          <w:p>
            <w:pPr>
              <w:spacing w:after="0"/>
              <w:rPr>
                <w:rFonts w:eastAsia="Times New Roman"/>
                <w:noProof/>
                <w:color w:val="000000"/>
                <w:sz w:val="18"/>
                <w:szCs w:val="18"/>
              </w:rPr>
            </w:pPr>
            <w:r>
              <w:rPr>
                <w:noProof/>
                <w:color w:val="000000"/>
                <w:sz w:val="18"/>
                <w:vertAlign w:val="superscript"/>
              </w:rPr>
              <w:t>(2)</w:t>
            </w:r>
          </w:p>
        </w:tc>
        <w:tc>
          <w:tcPr>
            <w:tcW w:w="4692" w:type="dxa"/>
            <w:gridSpan w:val="4"/>
            <w:noWrap/>
            <w:hideMark/>
          </w:tcPr>
          <w:p>
            <w:pPr>
              <w:spacing w:after="0"/>
              <w:rPr>
                <w:rFonts w:eastAsia="Times New Roman"/>
                <w:noProof/>
                <w:color w:val="000000"/>
                <w:sz w:val="18"/>
                <w:szCs w:val="18"/>
              </w:rPr>
            </w:pPr>
            <w:r>
              <w:rPr>
                <w:noProof/>
                <w:color w:val="000000"/>
                <w:sz w:val="18"/>
              </w:rPr>
              <w:t>Artikel 4 der Verordnung (EG) Nr. 847/96 gilt nicht.</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Schweden</w:t>
            </w: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r>
              <w:rPr>
                <w:noProof/>
                <w:color w:val="000000"/>
                <w:sz w:val="18"/>
              </w:rPr>
              <w:t>2 744</w:t>
            </w:r>
          </w:p>
        </w:tc>
        <w:tc>
          <w:tcPr>
            <w:tcW w:w="1134" w:type="dxa"/>
            <w:noWrap/>
            <w:hideMark/>
          </w:tcPr>
          <w:p>
            <w:pPr>
              <w:spacing w:after="0"/>
              <w:rPr>
                <w:rFonts w:eastAsia="Times New Roman"/>
                <w:noProof/>
                <w:color w:val="000000"/>
                <w:sz w:val="18"/>
                <w:szCs w:val="18"/>
              </w:rPr>
            </w:pPr>
            <w:r>
              <w:rPr>
                <w:noProof/>
                <w:color w:val="000000"/>
                <w:sz w:val="18"/>
                <w:vertAlign w:val="superscript"/>
              </w:rPr>
              <w:t>(2)</w:t>
            </w: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55"/>
        </w:trPr>
        <w:tc>
          <w:tcPr>
            <w:tcW w:w="1200" w:type="dxa"/>
            <w:gridSpan w:val="2"/>
            <w:noWrap/>
            <w:hideMark/>
          </w:tcPr>
          <w:p>
            <w:pPr>
              <w:spacing w:after="0"/>
              <w:rPr>
                <w:rFonts w:eastAsia="Times New Roman"/>
                <w:noProof/>
                <w:color w:val="000000"/>
                <w:sz w:val="18"/>
                <w:szCs w:val="18"/>
              </w:rPr>
            </w:pPr>
            <w:r>
              <w:rPr>
                <w:noProof/>
                <w:color w:val="000000"/>
                <w:sz w:val="18"/>
              </w:rPr>
              <w:t>Union</w:t>
            </w: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r>
              <w:rPr>
                <w:noProof/>
                <w:color w:val="000000"/>
                <w:sz w:val="18"/>
              </w:rPr>
              <w:t>79 219</w:t>
            </w:r>
          </w:p>
        </w:tc>
        <w:tc>
          <w:tcPr>
            <w:tcW w:w="1134"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55"/>
        </w:trPr>
        <w:tc>
          <w:tcPr>
            <w:tcW w:w="1200" w:type="dxa"/>
            <w:gridSpan w:val="2"/>
            <w:noWrap/>
            <w:hideMark/>
          </w:tcPr>
          <w:p>
            <w:pPr>
              <w:spacing w:after="0" w:line="276" w:lineRule="auto"/>
              <w:rPr>
                <w:noProof/>
                <w:sz w:val="22"/>
              </w:rPr>
            </w:pP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p>
        </w:tc>
        <w:tc>
          <w:tcPr>
            <w:tcW w:w="1134"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55"/>
        </w:trPr>
        <w:tc>
          <w:tcPr>
            <w:tcW w:w="1200" w:type="dxa"/>
            <w:gridSpan w:val="2"/>
            <w:noWrap/>
            <w:hideMark/>
          </w:tcPr>
          <w:p>
            <w:pPr>
              <w:spacing w:after="0" w:line="276" w:lineRule="auto"/>
              <w:rPr>
                <w:noProof/>
                <w:sz w:val="22"/>
              </w:rPr>
            </w:pP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p>
        </w:tc>
        <w:tc>
          <w:tcPr>
            <w:tcW w:w="1134"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55"/>
        </w:trPr>
        <w:tc>
          <w:tcPr>
            <w:tcW w:w="1200" w:type="dxa"/>
            <w:gridSpan w:val="2"/>
            <w:noWrap/>
            <w:hideMark/>
          </w:tcPr>
          <w:p>
            <w:pPr>
              <w:spacing w:after="0"/>
              <w:rPr>
                <w:rFonts w:eastAsia="Times New Roman"/>
                <w:noProof/>
                <w:color w:val="000000"/>
                <w:sz w:val="18"/>
                <w:szCs w:val="18"/>
              </w:rPr>
            </w:pPr>
            <w:r>
              <w:rPr>
                <w:noProof/>
                <w:color w:val="000000"/>
                <w:sz w:val="18"/>
              </w:rPr>
              <w:t>TAC</w:t>
            </w:r>
          </w:p>
        </w:tc>
        <w:tc>
          <w:tcPr>
            <w:tcW w:w="1022" w:type="dxa"/>
            <w:noWrap/>
            <w:hideMark/>
          </w:tcPr>
          <w:p>
            <w:pPr>
              <w:spacing w:after="0" w:line="276" w:lineRule="auto"/>
              <w:rPr>
                <w:noProof/>
                <w:sz w:val="22"/>
              </w:rPr>
            </w:pPr>
          </w:p>
        </w:tc>
        <w:tc>
          <w:tcPr>
            <w:tcW w:w="1133" w:type="dxa"/>
            <w:noWrap/>
            <w:hideMark/>
          </w:tcPr>
          <w:p>
            <w:pPr>
              <w:spacing w:after="0"/>
              <w:jc w:val="right"/>
              <w:rPr>
                <w:rFonts w:eastAsia="Times New Roman"/>
                <w:noProof/>
                <w:color w:val="000000"/>
                <w:sz w:val="18"/>
                <w:szCs w:val="18"/>
              </w:rPr>
            </w:pPr>
            <w:r>
              <w:rPr>
                <w:noProof/>
                <w:color w:val="000000"/>
                <w:sz w:val="18"/>
              </w:rPr>
              <w:t>79 219</w:t>
            </w:r>
          </w:p>
        </w:tc>
        <w:tc>
          <w:tcPr>
            <w:tcW w:w="1134"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5635" w:type="dxa"/>
            <w:gridSpan w:val="5"/>
            <w:noWrap/>
            <w:hideMark/>
          </w:tcPr>
          <w:p>
            <w:pPr>
              <w:spacing w:after="0"/>
              <w:rPr>
                <w:rFonts w:eastAsia="Times New Roman"/>
                <w:noProof/>
                <w:sz w:val="18"/>
                <w:szCs w:val="18"/>
              </w:rPr>
            </w:pPr>
            <w:r>
              <w:rPr>
                <w:noProof/>
                <w:sz w:val="18"/>
                <w:vertAlign w:val="superscript"/>
              </w:rPr>
              <w:t>Mit Ausnahme der Gewässer innerhalb von sechs Seemeilen von den Basislinien des Vereinigten Königreichs bei Shetland, Fair Isle und Foula.</w:t>
            </w: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7981" w:type="dxa"/>
            <w:gridSpan w:val="7"/>
            <w:noWrap/>
            <w:hideMark/>
          </w:tcPr>
          <w:p>
            <w:pPr>
              <w:spacing w:after="0"/>
              <w:rPr>
                <w:rFonts w:eastAsia="Times New Roman"/>
                <w:noProof/>
                <w:sz w:val="18"/>
                <w:szCs w:val="18"/>
              </w:rPr>
            </w:pPr>
            <w:r>
              <w:rPr>
                <w:noProof/>
                <w:sz w:val="18"/>
                <w:vertAlign w:val="superscript"/>
              </w:rPr>
              <w:t>Unbeschadet der Pflicht zur Anlandung können die Fänge von Kliesche, Wittling und Makrele auf bis zu 2 % der Quote angerechnet werden (OT1/*2A3A4), sofern nicht mehr als insgesamt 9 % dieser Quote für Sandaal auf diese Fänge und Beifänge der Arten angerechnet werden, die gemäß Artikel 15 Absatz 8 der Verordnung (EU) Nr. 1380/2013 angerechnet werden.</w:t>
            </w:r>
          </w:p>
        </w:tc>
      </w:tr>
      <w:tr>
        <w:trPr>
          <w:trHeight w:val="255"/>
        </w:trPr>
        <w:tc>
          <w:tcPr>
            <w:tcW w:w="9181" w:type="dxa"/>
            <w:gridSpan w:val="9"/>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Besondere Bedingung: Im Rahmen der obengenannten Quoten dürfen in den nachstehend aufgeführten Sandaal-Bewirtschaftungsgebieten nach Anhang IID nicht mehr als die unten aufgeführten Mengen gefangen werden:</w:t>
            </w:r>
          </w:p>
        </w:tc>
      </w:tr>
      <w:tr>
        <w:trPr>
          <w:trHeight w:val="255"/>
        </w:trPr>
        <w:tc>
          <w:tcPr>
            <w:tcW w:w="1089" w:type="dxa"/>
            <w:noWrap/>
            <w:hideMark/>
          </w:tcPr>
          <w:p>
            <w:pPr>
              <w:spacing w:after="0" w:line="276" w:lineRule="auto"/>
              <w:rPr>
                <w:noProof/>
                <w:sz w:val="22"/>
              </w:rPr>
            </w:pPr>
          </w:p>
        </w:tc>
        <w:tc>
          <w:tcPr>
            <w:tcW w:w="5746" w:type="dxa"/>
            <w:gridSpan w:val="6"/>
            <w:noWrap/>
            <w:hideMark/>
          </w:tcPr>
          <w:p>
            <w:pPr>
              <w:spacing w:after="0"/>
              <w:rPr>
                <w:rFonts w:eastAsia="Times New Roman"/>
                <w:b/>
                <w:bCs/>
                <w:noProof/>
                <w:sz w:val="18"/>
                <w:szCs w:val="18"/>
              </w:rPr>
            </w:pPr>
            <w:r>
              <w:rPr>
                <w:b/>
                <w:noProof/>
                <w:sz w:val="18"/>
              </w:rPr>
              <w:t>Gebiet: Unionsgewässer in Sandaal-Bewirtschaftungsgebieten</w:t>
            </w: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r>
        <w:trPr>
          <w:trHeight w:val="255"/>
        </w:trPr>
        <w:tc>
          <w:tcPr>
            <w:tcW w:w="1089" w:type="dxa"/>
            <w:tcBorders>
              <w:top w:val="single" w:sz="4" w:space="0" w:color="auto"/>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133" w:type="dxa"/>
            <w:gridSpan w:val="2"/>
            <w:tcBorders>
              <w:top w:val="single" w:sz="4" w:space="0" w:color="auto"/>
              <w:left w:val="nil"/>
              <w:bottom w:val="single" w:sz="4" w:space="0" w:color="auto"/>
              <w:right w:val="single" w:sz="4" w:space="0" w:color="auto"/>
            </w:tcBorders>
            <w:noWrap/>
            <w:hideMark/>
          </w:tcPr>
          <w:p>
            <w:pPr>
              <w:spacing w:after="0"/>
              <w:rPr>
                <w:rFonts w:eastAsia="Times New Roman"/>
                <w:b/>
                <w:bCs/>
                <w:noProof/>
                <w:sz w:val="14"/>
                <w:szCs w:val="14"/>
              </w:rPr>
            </w:pPr>
            <w:r>
              <w:rPr>
                <w:b/>
                <w:noProof/>
                <w:sz w:val="14"/>
              </w:rPr>
              <w:t>1</w:t>
            </w:r>
          </w:p>
        </w:tc>
        <w:tc>
          <w:tcPr>
            <w:tcW w:w="1133"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 xml:space="preserve"> 2</w:t>
            </w:r>
          </w:p>
        </w:tc>
        <w:tc>
          <w:tcPr>
            <w:tcW w:w="1134"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3</w:t>
            </w:r>
          </w:p>
        </w:tc>
        <w:tc>
          <w:tcPr>
            <w:tcW w:w="1173"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4</w:t>
            </w:r>
          </w:p>
        </w:tc>
        <w:tc>
          <w:tcPr>
            <w:tcW w:w="1173"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5</w:t>
            </w:r>
          </w:p>
        </w:tc>
        <w:tc>
          <w:tcPr>
            <w:tcW w:w="1173"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6</w:t>
            </w:r>
          </w:p>
        </w:tc>
        <w:tc>
          <w:tcPr>
            <w:tcW w:w="1173" w:type="dxa"/>
            <w:tcBorders>
              <w:top w:val="single" w:sz="4" w:space="0" w:color="auto"/>
              <w:left w:val="nil"/>
              <w:bottom w:val="single" w:sz="4" w:space="0" w:color="auto"/>
              <w:right w:val="single" w:sz="4" w:space="0" w:color="auto"/>
            </w:tcBorders>
            <w:noWrap/>
            <w:hideMark/>
          </w:tcPr>
          <w:p>
            <w:pPr>
              <w:spacing w:after="0"/>
              <w:rPr>
                <w:rFonts w:eastAsia="Times New Roman"/>
                <w:b/>
                <w:bCs/>
                <w:noProof/>
                <w:color w:val="000000"/>
                <w:sz w:val="14"/>
                <w:szCs w:val="14"/>
              </w:rPr>
            </w:pPr>
            <w:r>
              <w:rPr>
                <w:b/>
                <w:noProof/>
                <w:color w:val="000000"/>
                <w:sz w:val="14"/>
              </w:rPr>
              <w:t>7</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w:t>
            </w:r>
          </w:p>
        </w:tc>
        <w:tc>
          <w:tcPr>
            <w:tcW w:w="1133" w:type="dxa"/>
            <w:gridSpan w:val="2"/>
            <w:tcBorders>
              <w:top w:val="nil"/>
              <w:left w:val="nil"/>
              <w:bottom w:val="single" w:sz="4" w:space="0" w:color="auto"/>
              <w:right w:val="single" w:sz="4" w:space="0" w:color="auto"/>
            </w:tcBorders>
            <w:noWrap/>
            <w:hideMark/>
          </w:tcPr>
          <w:p>
            <w:pPr>
              <w:spacing w:after="0"/>
              <w:jc w:val="center"/>
              <w:rPr>
                <w:rFonts w:eastAsia="Times New Roman"/>
                <w:noProof/>
                <w:sz w:val="14"/>
                <w:szCs w:val="14"/>
              </w:rPr>
            </w:pPr>
            <w:r>
              <w:rPr>
                <w:noProof/>
                <w:sz w:val="14"/>
              </w:rPr>
              <w:t>(SAN/234_1)</w:t>
            </w:r>
          </w:p>
        </w:tc>
        <w:tc>
          <w:tcPr>
            <w:tcW w:w="1133"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xml:space="preserve">(SAN/234_2) </w:t>
            </w:r>
          </w:p>
        </w:tc>
        <w:tc>
          <w:tcPr>
            <w:tcW w:w="1134"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xml:space="preserve">(SAN/234_3) </w:t>
            </w:r>
          </w:p>
        </w:tc>
        <w:tc>
          <w:tcPr>
            <w:tcW w:w="1173"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xml:space="preserve">(SAN/234_4) </w:t>
            </w:r>
          </w:p>
        </w:tc>
        <w:tc>
          <w:tcPr>
            <w:tcW w:w="1173"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xml:space="preserve">(SAN/234_5) </w:t>
            </w:r>
          </w:p>
        </w:tc>
        <w:tc>
          <w:tcPr>
            <w:tcW w:w="1173"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 xml:space="preserve">(SAN/234_6) </w:t>
            </w:r>
          </w:p>
        </w:tc>
        <w:tc>
          <w:tcPr>
            <w:tcW w:w="1173" w:type="dxa"/>
            <w:tcBorders>
              <w:top w:val="nil"/>
              <w:left w:val="nil"/>
              <w:bottom w:val="single" w:sz="4" w:space="0" w:color="auto"/>
              <w:right w:val="single" w:sz="4" w:space="0" w:color="auto"/>
            </w:tcBorders>
            <w:noWrap/>
            <w:hideMark/>
          </w:tcPr>
          <w:p>
            <w:pPr>
              <w:spacing w:after="0"/>
              <w:jc w:val="center"/>
              <w:rPr>
                <w:rFonts w:eastAsia="Times New Roman"/>
                <w:noProof/>
                <w:color w:val="000000"/>
                <w:sz w:val="14"/>
                <w:szCs w:val="14"/>
              </w:rPr>
            </w:pPr>
            <w:r>
              <w:rPr>
                <w:noProof/>
                <w:color w:val="000000"/>
                <w:sz w:val="14"/>
              </w:rPr>
              <w:t>(SAN/234_7)</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Dänemark</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4 717</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4 717</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59 428</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5 659</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206</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Vereinigtes Königreich</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xml:space="preserve"> 103</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103</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1 299</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124</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5</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Deutschland</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xml:space="preserve"> 7</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7</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91</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9</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Schweden</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xml:space="preserve"> 173</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173</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2 182</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208</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8</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Union</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5 000</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5 000</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63 000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6 000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219</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1089"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Insgesamt</w:t>
            </w:r>
          </w:p>
        </w:tc>
        <w:tc>
          <w:tcPr>
            <w:tcW w:w="1133" w:type="dxa"/>
            <w:gridSpan w:val="2"/>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5 000</w:t>
            </w:r>
          </w:p>
        </w:tc>
        <w:tc>
          <w:tcPr>
            <w:tcW w:w="113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5 000</w:t>
            </w:r>
          </w:p>
        </w:tc>
        <w:tc>
          <w:tcPr>
            <w:tcW w:w="1134"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63 000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6 000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219</w:t>
            </w:r>
          </w:p>
        </w:tc>
        <w:tc>
          <w:tcPr>
            <w:tcW w:w="117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70"/>
        </w:trPr>
        <w:tc>
          <w:tcPr>
            <w:tcW w:w="108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33" w:type="dxa"/>
            <w:gridSpan w:val="2"/>
            <w:tcBorders>
              <w:top w:val="nil"/>
              <w:left w:val="nil"/>
              <w:bottom w:val="single" w:sz="8" w:space="0" w:color="000000"/>
              <w:right w:val="nil"/>
            </w:tcBorders>
            <w:noWrap/>
            <w:hideMark/>
          </w:tcPr>
          <w:p>
            <w:pPr>
              <w:spacing w:after="0"/>
              <w:rPr>
                <w:rFonts w:eastAsia="Times New Roman"/>
                <w:noProof/>
                <w:sz w:val="18"/>
                <w:szCs w:val="18"/>
              </w:rPr>
            </w:pPr>
            <w:r>
              <w:rPr>
                <w:noProof/>
                <w:sz w:val="18"/>
              </w:rPr>
              <w:t> </w:t>
            </w:r>
          </w:p>
        </w:tc>
        <w:tc>
          <w:tcPr>
            <w:tcW w:w="1133" w:type="dxa"/>
            <w:tcBorders>
              <w:top w:val="nil"/>
              <w:left w:val="nil"/>
              <w:bottom w:val="single" w:sz="8" w:space="0" w:color="000000"/>
              <w:right w:val="nil"/>
            </w:tcBorders>
            <w:noWrap/>
            <w:hideMark/>
          </w:tcPr>
          <w:p>
            <w:pPr>
              <w:spacing w:after="0"/>
              <w:jc w:val="right"/>
              <w:rPr>
                <w:rFonts w:eastAsia="Times New Roman"/>
                <w:noProof/>
                <w:color w:val="000000"/>
                <w:sz w:val="18"/>
                <w:szCs w:val="18"/>
              </w:rPr>
            </w:pPr>
            <w:r>
              <w:rPr>
                <w:noProof/>
                <w:color w:val="000000"/>
                <w:sz w:val="18"/>
              </w:rPr>
              <w:t> </w:t>
            </w:r>
          </w:p>
        </w:tc>
        <w:tc>
          <w:tcPr>
            <w:tcW w:w="1134"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7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55"/>
        </w:trPr>
        <w:tc>
          <w:tcPr>
            <w:tcW w:w="1089" w:type="dxa"/>
            <w:noWrap/>
            <w:hideMark/>
          </w:tcPr>
          <w:p>
            <w:pPr>
              <w:spacing w:after="0" w:line="276" w:lineRule="auto"/>
              <w:rPr>
                <w:noProof/>
                <w:sz w:val="22"/>
              </w:rPr>
            </w:pPr>
          </w:p>
        </w:tc>
        <w:tc>
          <w:tcPr>
            <w:tcW w:w="1133" w:type="dxa"/>
            <w:gridSpan w:val="2"/>
            <w:noWrap/>
            <w:hideMark/>
          </w:tcPr>
          <w:p>
            <w:pPr>
              <w:spacing w:after="0" w:line="276" w:lineRule="auto"/>
              <w:rPr>
                <w:noProof/>
                <w:sz w:val="22"/>
              </w:rPr>
            </w:pPr>
          </w:p>
        </w:tc>
        <w:tc>
          <w:tcPr>
            <w:tcW w:w="1133" w:type="dxa"/>
            <w:noWrap/>
            <w:hideMark/>
          </w:tcPr>
          <w:p>
            <w:pPr>
              <w:spacing w:after="0" w:line="276" w:lineRule="auto"/>
              <w:rPr>
                <w:noProof/>
                <w:sz w:val="22"/>
              </w:rPr>
            </w:pPr>
          </w:p>
        </w:tc>
        <w:tc>
          <w:tcPr>
            <w:tcW w:w="1134"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c>
          <w:tcPr>
            <w:tcW w:w="1173" w:type="dxa"/>
            <w:noWrap/>
            <w:hideMark/>
          </w:tcPr>
          <w:p>
            <w:pPr>
              <w:spacing w:after="0" w:line="276" w:lineRule="auto"/>
              <w:rPr>
                <w:noProof/>
                <w:sz w:val="22"/>
              </w:rPr>
            </w:pPr>
          </w:p>
        </w:tc>
      </w:tr>
    </w:tbl>
    <w:p>
      <w:pPr>
        <w:pStyle w:val="Point1"/>
        <w:rPr>
          <w:noProof/>
        </w:rPr>
      </w:pPr>
      <w:r>
        <w:rPr>
          <w:noProof/>
        </w:rPr>
        <w:t>b)</w:t>
      </w:r>
      <w:r>
        <w:rPr>
          <w:noProof/>
        </w:rPr>
        <w:tab/>
        <w:t>Die Tabelle mit den Fangmöglichkeiten für Blauen Wittling in den Unionsgewässern und den internationalen Gewässern der Gebiete I, II, III, IV, V, VI, VII, VIIIa, VIIIb, VIIId, VIIIe, XII und XIV erhält folgende Fassung:</w:t>
      </w:r>
    </w:p>
    <w:tbl>
      <w:tblPr>
        <w:tblW w:w="9181" w:type="dxa"/>
        <w:tblInd w:w="108" w:type="dxa"/>
        <w:tblLook w:val="04A0" w:firstRow="1" w:lastRow="0" w:firstColumn="1" w:lastColumn="0" w:noHBand="0" w:noVBand="1"/>
      </w:tblPr>
      <w:tblGrid>
        <w:gridCol w:w="1088"/>
        <w:gridCol w:w="111"/>
        <w:gridCol w:w="1812"/>
        <w:gridCol w:w="930"/>
        <w:gridCol w:w="1015"/>
        <w:gridCol w:w="1015"/>
        <w:gridCol w:w="2688"/>
        <w:gridCol w:w="261"/>
        <w:gridCol w:w="261"/>
      </w:tblGrid>
      <w:tr>
        <w:trPr>
          <w:trHeight w:val="255"/>
        </w:trPr>
        <w:tc>
          <w:tcPr>
            <w:tcW w:w="1200"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Art:</w:t>
            </w:r>
          </w:p>
        </w:tc>
        <w:tc>
          <w:tcPr>
            <w:tcW w:w="2742" w:type="dxa"/>
            <w:gridSpan w:val="2"/>
            <w:tcBorders>
              <w:top w:val="single" w:sz="8" w:space="0" w:color="000000"/>
              <w:left w:val="nil"/>
              <w:bottom w:val="nil"/>
              <w:right w:val="nil"/>
            </w:tcBorders>
            <w:noWrap/>
            <w:hideMark/>
          </w:tcPr>
          <w:p>
            <w:pPr>
              <w:spacing w:after="0"/>
              <w:rPr>
                <w:rFonts w:eastAsia="Times New Roman"/>
                <w:noProof/>
                <w:sz w:val="18"/>
                <w:szCs w:val="18"/>
              </w:rPr>
            </w:pPr>
            <w:r>
              <w:rPr>
                <w:noProof/>
                <w:sz w:val="18"/>
              </w:rPr>
              <w:t>Blauer Wittling</w:t>
            </w:r>
          </w:p>
        </w:tc>
        <w:tc>
          <w:tcPr>
            <w:tcW w:w="1015"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015"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Gebiet:</w:t>
            </w:r>
          </w:p>
        </w:tc>
        <w:tc>
          <w:tcPr>
            <w:tcW w:w="320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xml:space="preserve">Unionsgewässer und internationale Gewässer von I, II, III, IV, V, VI, VII, VIIIa, VIIIb, VIIId, VIIIe, XII und XIV </w:t>
            </w:r>
          </w:p>
        </w:tc>
      </w:tr>
      <w:tr>
        <w:trPr>
          <w:trHeight w:val="270"/>
        </w:trPr>
        <w:tc>
          <w:tcPr>
            <w:tcW w:w="1200"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812" w:type="dxa"/>
            <w:noWrap/>
            <w:hideMark/>
          </w:tcPr>
          <w:p>
            <w:pPr>
              <w:spacing w:after="0"/>
              <w:rPr>
                <w:rFonts w:eastAsia="Times New Roman"/>
                <w:i/>
                <w:iCs/>
                <w:noProof/>
                <w:sz w:val="18"/>
                <w:szCs w:val="18"/>
              </w:rPr>
            </w:pPr>
            <w:r>
              <w:rPr>
                <w:i/>
                <w:noProof/>
                <w:sz w:val="18"/>
              </w:rPr>
              <w:t>Micromesistius poutassou</w:t>
            </w:r>
          </w:p>
        </w:tc>
        <w:tc>
          <w:tcPr>
            <w:tcW w:w="930"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1015"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1015"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949"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(WHB/1X14)</w:t>
            </w:r>
          </w:p>
        </w:tc>
        <w:tc>
          <w:tcPr>
            <w:tcW w:w="26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Dänemark</w:t>
            </w:r>
          </w:p>
        </w:tc>
        <w:tc>
          <w:tcPr>
            <w:tcW w:w="1812"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930" w:type="dxa"/>
            <w:noWrap/>
            <w:hideMark/>
          </w:tcPr>
          <w:p>
            <w:pPr>
              <w:spacing w:after="0"/>
              <w:jc w:val="right"/>
              <w:rPr>
                <w:rFonts w:eastAsia="Times New Roman"/>
                <w:noProof/>
                <w:color w:val="000000"/>
                <w:sz w:val="18"/>
                <w:szCs w:val="18"/>
              </w:rPr>
            </w:pPr>
            <w:r>
              <w:rPr>
                <w:noProof/>
                <w:color w:val="000000"/>
                <w:sz w:val="18"/>
              </w:rPr>
              <w:t>31 704</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3704"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Analytische TAC</w:t>
            </w:r>
          </w:p>
        </w:tc>
        <w:tc>
          <w:tcPr>
            <w:tcW w:w="260" w:type="dxa"/>
            <w:noWrap/>
            <w:hideMark/>
          </w:tcPr>
          <w:p>
            <w:pPr>
              <w:spacing w:after="0"/>
              <w:rPr>
                <w:rFonts w:eastAsia="Times New Roman"/>
                <w:noProof/>
                <w:color w:val="000000"/>
                <w:sz w:val="18"/>
                <w:szCs w:val="18"/>
              </w:rPr>
            </w:pPr>
            <w:r>
              <w:rPr>
                <w:noProof/>
                <w:color w:val="000000"/>
                <w:sz w:val="18"/>
              </w:rPr>
              <w:t> </w:t>
            </w:r>
          </w:p>
        </w:tc>
        <w:tc>
          <w:tcPr>
            <w:tcW w:w="260"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Deutschland</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12 327</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Spanien</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26 878</w:t>
            </w:r>
          </w:p>
        </w:tc>
        <w:tc>
          <w:tcPr>
            <w:tcW w:w="1015" w:type="dxa"/>
            <w:noWrap/>
            <w:hideMark/>
          </w:tcPr>
          <w:p>
            <w:pPr>
              <w:spacing w:after="0"/>
              <w:rPr>
                <w:rFonts w:eastAsia="Times New Roman"/>
                <w:noProof/>
                <w:color w:val="000000"/>
                <w:sz w:val="18"/>
                <w:szCs w:val="18"/>
              </w:rPr>
            </w:pPr>
            <w:r>
              <w:rPr>
                <w:noProof/>
                <w:color w:val="000000"/>
                <w:sz w:val="18"/>
                <w:vertAlign w:val="superscript"/>
              </w:rPr>
              <w:t>(2) (3)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Frankreich</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22 063</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Irland</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24 550</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Niederlande</w:t>
            </w:r>
          </w:p>
        </w:tc>
        <w:tc>
          <w:tcPr>
            <w:tcW w:w="930" w:type="dxa"/>
            <w:noWrap/>
            <w:hideMark/>
          </w:tcPr>
          <w:p>
            <w:pPr>
              <w:spacing w:after="0"/>
              <w:jc w:val="right"/>
              <w:rPr>
                <w:rFonts w:eastAsia="Times New Roman"/>
                <w:noProof/>
                <w:color w:val="000000"/>
                <w:sz w:val="18"/>
                <w:szCs w:val="18"/>
              </w:rPr>
            </w:pPr>
            <w:r>
              <w:rPr>
                <w:noProof/>
                <w:color w:val="000000"/>
                <w:sz w:val="18"/>
              </w:rPr>
              <w:t>38 659</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Portugal</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2 497</w:t>
            </w:r>
          </w:p>
        </w:tc>
        <w:tc>
          <w:tcPr>
            <w:tcW w:w="1015" w:type="dxa"/>
            <w:noWrap/>
            <w:hideMark/>
          </w:tcPr>
          <w:p>
            <w:pPr>
              <w:spacing w:after="0"/>
              <w:rPr>
                <w:rFonts w:eastAsia="Times New Roman"/>
                <w:noProof/>
                <w:color w:val="000000"/>
                <w:sz w:val="18"/>
                <w:szCs w:val="18"/>
              </w:rPr>
            </w:pPr>
            <w:r>
              <w:rPr>
                <w:noProof/>
                <w:color w:val="000000"/>
                <w:sz w:val="18"/>
                <w:vertAlign w:val="superscript"/>
              </w:rPr>
              <w:t>(2) (3)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Schweden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7 842</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Vereinigtes Königreich</w:t>
            </w:r>
          </w:p>
        </w:tc>
        <w:tc>
          <w:tcPr>
            <w:tcW w:w="930" w:type="dxa"/>
            <w:noWrap/>
            <w:hideMark/>
          </w:tcPr>
          <w:p>
            <w:pPr>
              <w:spacing w:after="0"/>
              <w:jc w:val="right"/>
              <w:rPr>
                <w:rFonts w:eastAsia="Times New Roman"/>
                <w:noProof/>
                <w:color w:val="000000"/>
                <w:sz w:val="18"/>
                <w:szCs w:val="18"/>
              </w:rPr>
            </w:pPr>
            <w:r>
              <w:rPr>
                <w:noProof/>
                <w:color w:val="000000"/>
                <w:sz w:val="18"/>
              </w:rPr>
              <w:t>41 137</w:t>
            </w:r>
          </w:p>
        </w:tc>
        <w:tc>
          <w:tcPr>
            <w:tcW w:w="1015" w:type="dxa"/>
            <w:noWrap/>
            <w:hideMark/>
          </w:tcPr>
          <w:p>
            <w:pPr>
              <w:spacing w:after="0"/>
              <w:rPr>
                <w:rFonts w:eastAsia="Times New Roman"/>
                <w:noProof/>
                <w:color w:val="000000"/>
                <w:sz w:val="18"/>
                <w:szCs w:val="18"/>
              </w:rPr>
            </w:pPr>
            <w:r>
              <w:rPr>
                <w:noProof/>
                <w:color w:val="000000"/>
                <w:sz w:val="18"/>
                <w:vertAlign w:val="superscript"/>
              </w:rPr>
              <w:t>(3)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Union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207 657</w:t>
            </w:r>
          </w:p>
        </w:tc>
        <w:tc>
          <w:tcPr>
            <w:tcW w:w="1015" w:type="dxa"/>
            <w:noWrap/>
            <w:hideMark/>
          </w:tcPr>
          <w:p>
            <w:pPr>
              <w:spacing w:after="0"/>
              <w:rPr>
                <w:rFonts w:eastAsia="Times New Roman"/>
                <w:noProof/>
                <w:color w:val="000000"/>
                <w:sz w:val="18"/>
                <w:szCs w:val="18"/>
              </w:rPr>
            </w:pPr>
            <w:r>
              <w:rPr>
                <w:noProof/>
                <w:color w:val="000000"/>
                <w:sz w:val="18"/>
                <w:vertAlign w:val="superscript"/>
              </w:rPr>
              <w:t>(1) (3)</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Norwegen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75 000</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Färöer</w:t>
            </w:r>
          </w:p>
        </w:tc>
        <w:tc>
          <w:tcPr>
            <w:tcW w:w="930" w:type="dxa"/>
            <w:noWrap/>
            <w:hideMark/>
          </w:tcPr>
          <w:p>
            <w:pPr>
              <w:spacing w:after="0"/>
              <w:jc w:val="right"/>
              <w:rPr>
                <w:rFonts w:eastAsia="Times New Roman"/>
                <w:noProof/>
                <w:color w:val="000000"/>
                <w:sz w:val="18"/>
                <w:szCs w:val="18"/>
              </w:rPr>
            </w:pPr>
            <w:r>
              <w:rPr>
                <w:noProof/>
                <w:color w:val="000000"/>
                <w:sz w:val="18"/>
              </w:rPr>
              <w:t>9 000</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TAC</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Entfällt</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vertAlign w:val="superscript"/>
              </w:rPr>
              <w:t>(1)</w:t>
            </w:r>
          </w:p>
        </w:tc>
        <w:tc>
          <w:tcPr>
            <w:tcW w:w="8092" w:type="dxa"/>
            <w:gridSpan w:val="8"/>
            <w:noWrap/>
            <w:hideMark/>
          </w:tcPr>
          <w:p>
            <w:pPr>
              <w:spacing w:after="0"/>
              <w:rPr>
                <w:rFonts w:eastAsia="Times New Roman"/>
                <w:noProof/>
                <w:sz w:val="18"/>
                <w:szCs w:val="18"/>
              </w:rPr>
            </w:pPr>
            <w:r>
              <w:rPr>
                <w:noProof/>
                <w:sz w:val="18"/>
                <w:vertAlign w:val="superscript"/>
              </w:rPr>
              <w:t>Besondere Bedingung: Von den EU-Quoten in den Unionsgewässern und den internationalen Gewässern von I, II, III, IV, V, VI, VII, VIIIa, VIIIb, VIIId, VIIIe, XII und XIV (WHB/*NZJM1) und in VIIIc, IX und X sowie in den Unionsgewässern von CECAF 34.1.1 (WHB/*NZJM2) darf die folgende Menge in der AWZ Norwegens oder in der Fischereizone um Jan Mayen gefischt werden:</w:t>
            </w:r>
          </w:p>
        </w:tc>
      </w:tr>
      <w:tr>
        <w:trPr>
          <w:trHeight w:val="255"/>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149 506</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vertAlign w:val="superscript"/>
              </w:rPr>
              <w:t>(2)</w:t>
            </w:r>
          </w:p>
        </w:tc>
        <w:tc>
          <w:tcPr>
            <w:tcW w:w="8092" w:type="dxa"/>
            <w:gridSpan w:val="8"/>
            <w:noWrap/>
            <w:hideMark/>
          </w:tcPr>
          <w:p>
            <w:pPr>
              <w:spacing w:after="0"/>
              <w:rPr>
                <w:rFonts w:eastAsia="Times New Roman"/>
                <w:noProof/>
                <w:sz w:val="18"/>
                <w:szCs w:val="18"/>
              </w:rPr>
            </w:pPr>
            <w:r>
              <w:rPr>
                <w:noProof/>
                <w:sz w:val="18"/>
                <w:vertAlign w:val="superscript"/>
              </w:rPr>
              <w:t>Übertragungen dieser Quote auf die Gebiete VIIIc, IX und X sowie die Unionsgewässer von CECAF 34.1.1 sind möglich, müssen der Kommission jedoch zuvor gemeldet werden.</w:t>
            </w:r>
          </w:p>
        </w:tc>
      </w:tr>
      <w:tr>
        <w:trPr>
          <w:trHeight w:val="300"/>
        </w:trPr>
        <w:tc>
          <w:tcPr>
            <w:tcW w:w="1089" w:type="dxa"/>
            <w:noWrap/>
            <w:hideMark/>
          </w:tcPr>
          <w:p>
            <w:pPr>
              <w:spacing w:after="0"/>
              <w:rPr>
                <w:rFonts w:eastAsia="Times New Roman"/>
                <w:noProof/>
                <w:sz w:val="18"/>
                <w:szCs w:val="18"/>
              </w:rPr>
            </w:pPr>
            <w:r>
              <w:rPr>
                <w:noProof/>
                <w:sz w:val="18"/>
                <w:vertAlign w:val="superscript"/>
              </w:rPr>
              <w:t>(3)</w:t>
            </w:r>
          </w:p>
        </w:tc>
        <w:tc>
          <w:tcPr>
            <w:tcW w:w="8092" w:type="dxa"/>
            <w:gridSpan w:val="8"/>
            <w:noWrap/>
            <w:hideMark/>
          </w:tcPr>
          <w:p>
            <w:pPr>
              <w:spacing w:after="0"/>
              <w:rPr>
                <w:rFonts w:eastAsia="Times New Roman"/>
                <w:noProof/>
                <w:sz w:val="18"/>
                <w:szCs w:val="18"/>
              </w:rPr>
            </w:pPr>
            <w:r>
              <w:rPr>
                <w:noProof/>
                <w:sz w:val="18"/>
                <w:vertAlign w:val="superscript"/>
              </w:rPr>
              <w:t>Besondere Bedingung: Im Rahmen einer Gesamtzugangsmenge von 21 500  Tonnen für die Union können die Mitgliedstaaten bis zu folgendem Prozentsatz ihrer Quoten in färöischen Gewässern (WHB/*05-F.) fischen: 9,2 %</w:t>
            </w:r>
          </w:p>
        </w:tc>
      </w:tr>
      <w:tr>
        <w:trPr>
          <w:trHeight w:val="270"/>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tcBorders>
              <w:top w:val="nil"/>
              <w:left w:val="nil"/>
              <w:bottom w:val="single" w:sz="8" w:space="0" w:color="auto"/>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5"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15"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89"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0"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0"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bl>
    <w:p>
      <w:pPr>
        <w:pStyle w:val="Point1"/>
        <w:rPr>
          <w:noProof/>
        </w:rPr>
      </w:pPr>
      <w:r>
        <w:rPr>
          <w:noProof/>
        </w:rPr>
        <w:t>c)</w:t>
      </w:r>
      <w:r>
        <w:rPr>
          <w:noProof/>
        </w:rPr>
        <w:tab/>
        <w:t>Die Tabelle mit den Fangmöglichkeiten für Leng in den norwegischen Gewässern von IV erhält folgende Fassung:</w:t>
      </w:r>
    </w:p>
    <w:tbl>
      <w:tblPr>
        <w:tblW w:w="9181" w:type="dxa"/>
        <w:tblInd w:w="108" w:type="dxa"/>
        <w:tblLook w:val="04A0" w:firstRow="1" w:lastRow="0" w:firstColumn="1" w:lastColumn="0" w:noHBand="0" w:noVBand="1"/>
      </w:tblPr>
      <w:tblGrid>
        <w:gridCol w:w="1088"/>
        <w:gridCol w:w="111"/>
        <w:gridCol w:w="1812"/>
        <w:gridCol w:w="930"/>
        <w:gridCol w:w="1015"/>
        <w:gridCol w:w="1015"/>
        <w:gridCol w:w="2688"/>
        <w:gridCol w:w="261"/>
        <w:gridCol w:w="261"/>
      </w:tblGrid>
      <w:tr>
        <w:trPr>
          <w:trHeight w:val="255"/>
        </w:trPr>
        <w:tc>
          <w:tcPr>
            <w:tcW w:w="1200" w:type="dxa"/>
            <w:gridSpan w:val="2"/>
            <w:noWrap/>
            <w:hideMark/>
          </w:tcPr>
          <w:p>
            <w:pPr>
              <w:spacing w:after="0"/>
              <w:rPr>
                <w:rFonts w:eastAsia="Times New Roman"/>
                <w:noProof/>
                <w:color w:val="000000"/>
                <w:sz w:val="18"/>
                <w:szCs w:val="18"/>
              </w:rPr>
            </w:pPr>
            <w:r>
              <w:rPr>
                <w:noProof/>
                <w:color w:val="000000"/>
                <w:sz w:val="18"/>
              </w:rPr>
              <w:t>Art:</w:t>
            </w:r>
          </w:p>
        </w:tc>
        <w:tc>
          <w:tcPr>
            <w:tcW w:w="1812" w:type="dxa"/>
            <w:noWrap/>
            <w:hideMark/>
          </w:tcPr>
          <w:p>
            <w:pPr>
              <w:spacing w:after="0"/>
              <w:rPr>
                <w:rFonts w:eastAsia="Times New Roman"/>
                <w:noProof/>
                <w:sz w:val="18"/>
                <w:szCs w:val="18"/>
              </w:rPr>
            </w:pPr>
            <w:r>
              <w:rPr>
                <w:noProof/>
                <w:sz w:val="18"/>
              </w:rPr>
              <w:t>Leng</w:t>
            </w:r>
          </w:p>
        </w:tc>
        <w:tc>
          <w:tcPr>
            <w:tcW w:w="930" w:type="dxa"/>
            <w:noWrap/>
            <w:hideMark/>
          </w:tcPr>
          <w:p>
            <w:pPr>
              <w:spacing w:after="0"/>
              <w:jc w:val="right"/>
              <w:rPr>
                <w:rFonts w:eastAsia="Times New Roman"/>
                <w:noProof/>
                <w:color w:val="000000"/>
                <w:sz w:val="18"/>
                <w:szCs w:val="18"/>
              </w:rPr>
            </w:pPr>
            <w:r>
              <w:rPr>
                <w:noProof/>
                <w:color w:val="000000"/>
                <w:sz w:val="18"/>
              </w:rPr>
              <w:t> </w:t>
            </w:r>
          </w:p>
        </w:tc>
        <w:tc>
          <w:tcPr>
            <w:tcW w:w="1015" w:type="dxa"/>
            <w:noWrap/>
            <w:hideMark/>
          </w:tcPr>
          <w:p>
            <w:pPr>
              <w:spacing w:after="0"/>
              <w:rPr>
                <w:rFonts w:eastAsia="Times New Roman"/>
                <w:noProof/>
                <w:color w:val="000000"/>
                <w:sz w:val="18"/>
                <w:szCs w:val="18"/>
              </w:rPr>
            </w:pPr>
            <w:r>
              <w:rPr>
                <w:noProof/>
                <w:color w:val="000000"/>
                <w:sz w:val="18"/>
              </w:rPr>
              <w:t> </w:t>
            </w:r>
          </w:p>
        </w:tc>
        <w:tc>
          <w:tcPr>
            <w:tcW w:w="1015"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Gebiet:</w:t>
            </w:r>
          </w:p>
        </w:tc>
        <w:tc>
          <w:tcPr>
            <w:tcW w:w="2949"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Norwegische Gewässer von IV</w:t>
            </w:r>
          </w:p>
        </w:tc>
        <w:tc>
          <w:tcPr>
            <w:tcW w:w="260"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812" w:type="dxa"/>
            <w:noWrap/>
            <w:hideMark/>
          </w:tcPr>
          <w:p>
            <w:pPr>
              <w:spacing w:after="0"/>
              <w:rPr>
                <w:rFonts w:eastAsia="Times New Roman"/>
                <w:i/>
                <w:iCs/>
                <w:noProof/>
                <w:sz w:val="18"/>
                <w:szCs w:val="18"/>
              </w:rPr>
            </w:pPr>
            <w:r>
              <w:rPr>
                <w:i/>
                <w:noProof/>
                <w:sz w:val="18"/>
              </w:rPr>
              <w:t>Molva molva</w:t>
            </w:r>
          </w:p>
        </w:tc>
        <w:tc>
          <w:tcPr>
            <w:tcW w:w="930"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1015"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1015"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689" w:type="dxa"/>
            <w:noWrap/>
            <w:hideMark/>
          </w:tcPr>
          <w:p>
            <w:pPr>
              <w:spacing w:after="0"/>
              <w:rPr>
                <w:rFonts w:eastAsia="Times New Roman"/>
                <w:noProof/>
                <w:color w:val="000000"/>
                <w:sz w:val="18"/>
                <w:szCs w:val="18"/>
              </w:rPr>
            </w:pPr>
            <w:r>
              <w:rPr>
                <w:noProof/>
                <w:color w:val="000000"/>
                <w:sz w:val="18"/>
              </w:rPr>
              <w:t>(LIN/04-N.)</w:t>
            </w: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Belgien</w:t>
            </w:r>
          </w:p>
        </w:tc>
        <w:tc>
          <w:tcPr>
            <w:tcW w:w="1812"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930" w:type="dxa"/>
            <w:noWrap/>
            <w:hideMark/>
          </w:tcPr>
          <w:p>
            <w:pPr>
              <w:spacing w:after="0"/>
              <w:jc w:val="right"/>
              <w:rPr>
                <w:rFonts w:eastAsia="Times New Roman"/>
                <w:noProof/>
                <w:color w:val="000000"/>
                <w:sz w:val="18"/>
                <w:szCs w:val="18"/>
              </w:rPr>
            </w:pPr>
            <w:r>
              <w:rPr>
                <w:noProof/>
                <w:color w:val="000000"/>
                <w:sz w:val="18"/>
              </w:rPr>
              <w:t xml:space="preserve"> 9</w:t>
            </w:r>
          </w:p>
        </w:tc>
        <w:tc>
          <w:tcPr>
            <w:tcW w:w="1015" w:type="dxa"/>
            <w:noWrap/>
            <w:hideMark/>
          </w:tcPr>
          <w:p>
            <w:pPr>
              <w:spacing w:after="0" w:line="276" w:lineRule="auto"/>
              <w:rPr>
                <w:noProof/>
                <w:sz w:val="22"/>
              </w:rPr>
            </w:pPr>
          </w:p>
        </w:tc>
        <w:tc>
          <w:tcPr>
            <w:tcW w:w="3704"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Analytische TAC</w:t>
            </w:r>
          </w:p>
        </w:tc>
        <w:tc>
          <w:tcPr>
            <w:tcW w:w="260"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260"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Dänemark</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1 164</w:t>
            </w:r>
          </w:p>
        </w:tc>
        <w:tc>
          <w:tcPr>
            <w:tcW w:w="1015" w:type="dxa"/>
            <w:noWrap/>
            <w:hideMark/>
          </w:tcPr>
          <w:p>
            <w:pPr>
              <w:spacing w:after="0" w:line="276" w:lineRule="auto"/>
              <w:rPr>
                <w:noProof/>
                <w:sz w:val="22"/>
              </w:rPr>
            </w:pPr>
          </w:p>
        </w:tc>
        <w:tc>
          <w:tcPr>
            <w:tcW w:w="4224" w:type="dxa"/>
            <w:gridSpan w:val="4"/>
            <w:noWrap/>
            <w:hideMark/>
          </w:tcPr>
          <w:p>
            <w:pPr>
              <w:spacing w:after="0"/>
              <w:rPr>
                <w:rFonts w:eastAsia="Times New Roman"/>
                <w:noProof/>
                <w:color w:val="000000"/>
                <w:sz w:val="18"/>
                <w:szCs w:val="18"/>
              </w:rPr>
            </w:pPr>
            <w:r>
              <w:rPr>
                <w:noProof/>
                <w:color w:val="000000"/>
                <w:sz w:val="18"/>
              </w:rPr>
              <w:t>Artikel 3 der Verordnung (EG) Nr. 847/96 gilt nicht.</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Deutschland</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 xml:space="preserve"> 33</w:t>
            </w:r>
          </w:p>
        </w:tc>
        <w:tc>
          <w:tcPr>
            <w:tcW w:w="1015" w:type="dxa"/>
            <w:noWrap/>
            <w:hideMark/>
          </w:tcPr>
          <w:p>
            <w:pPr>
              <w:spacing w:after="0" w:line="276" w:lineRule="auto"/>
              <w:rPr>
                <w:noProof/>
                <w:sz w:val="22"/>
              </w:rPr>
            </w:pPr>
          </w:p>
        </w:tc>
        <w:tc>
          <w:tcPr>
            <w:tcW w:w="4224" w:type="dxa"/>
            <w:gridSpan w:val="4"/>
            <w:noWrap/>
            <w:hideMark/>
          </w:tcPr>
          <w:p>
            <w:pPr>
              <w:spacing w:after="0"/>
              <w:rPr>
                <w:rFonts w:eastAsia="Times New Roman"/>
                <w:noProof/>
                <w:color w:val="000000"/>
                <w:sz w:val="18"/>
                <w:szCs w:val="18"/>
              </w:rPr>
            </w:pPr>
            <w:r>
              <w:rPr>
                <w:noProof/>
                <w:color w:val="000000"/>
                <w:sz w:val="18"/>
              </w:rPr>
              <w:t>Artikel 4 der Verordnung (EG) Nr. 847/96 gilt nicht.</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Frankreich</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 xml:space="preserve"> 13</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Niederlande</w:t>
            </w:r>
          </w:p>
        </w:tc>
        <w:tc>
          <w:tcPr>
            <w:tcW w:w="930" w:type="dxa"/>
            <w:noWrap/>
            <w:hideMark/>
          </w:tcPr>
          <w:p>
            <w:pPr>
              <w:spacing w:after="0"/>
              <w:jc w:val="right"/>
              <w:rPr>
                <w:rFonts w:eastAsia="Times New Roman"/>
                <w:noProof/>
                <w:color w:val="000000"/>
                <w:sz w:val="18"/>
                <w:szCs w:val="18"/>
              </w:rPr>
            </w:pPr>
            <w:r>
              <w:rPr>
                <w:noProof/>
                <w:color w:val="000000"/>
                <w:sz w:val="18"/>
              </w:rPr>
              <w:t xml:space="preserve"> 2</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Vereinigtes Königreich</w:t>
            </w:r>
          </w:p>
        </w:tc>
        <w:tc>
          <w:tcPr>
            <w:tcW w:w="930" w:type="dxa"/>
            <w:noWrap/>
            <w:hideMark/>
          </w:tcPr>
          <w:p>
            <w:pPr>
              <w:spacing w:after="0"/>
              <w:jc w:val="right"/>
              <w:rPr>
                <w:rFonts w:eastAsia="Times New Roman"/>
                <w:noProof/>
                <w:color w:val="000000"/>
                <w:sz w:val="18"/>
                <w:szCs w:val="18"/>
              </w:rPr>
            </w:pPr>
            <w:r>
              <w:rPr>
                <w:noProof/>
                <w:color w:val="000000"/>
                <w:sz w:val="18"/>
              </w:rPr>
              <w:t xml:space="preserve"> 104</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Union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1 325</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TAC</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color w:val="000000"/>
                <w:sz w:val="18"/>
                <w:szCs w:val="18"/>
              </w:rPr>
            </w:pPr>
            <w:r>
              <w:rPr>
                <w:noProof/>
                <w:color w:val="000000"/>
                <w:sz w:val="18"/>
              </w:rPr>
              <w:t>Entfällt</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bl>
    <w:p>
      <w:pPr>
        <w:pStyle w:val="Point1"/>
        <w:rPr>
          <w:noProof/>
        </w:rPr>
      </w:pPr>
      <w:r>
        <w:rPr>
          <w:noProof/>
        </w:rPr>
        <w:t>d)</w:t>
      </w:r>
      <w:r>
        <w:rPr>
          <w:noProof/>
        </w:rPr>
        <w:tab/>
        <w:t>Die Tabelle mit den Fangmöglichkeiten für andere Arten in den norwegischen Gewässern von IV erhält folgende Fassung:</w:t>
      </w:r>
    </w:p>
    <w:tbl>
      <w:tblPr>
        <w:tblW w:w="9181" w:type="dxa"/>
        <w:tblInd w:w="108" w:type="dxa"/>
        <w:tblLook w:val="04A0" w:firstRow="1" w:lastRow="0" w:firstColumn="1" w:lastColumn="0" w:noHBand="0" w:noVBand="1"/>
      </w:tblPr>
      <w:tblGrid>
        <w:gridCol w:w="1088"/>
        <w:gridCol w:w="111"/>
        <w:gridCol w:w="1812"/>
        <w:gridCol w:w="930"/>
        <w:gridCol w:w="1015"/>
        <w:gridCol w:w="1015"/>
        <w:gridCol w:w="2688"/>
        <w:gridCol w:w="261"/>
        <w:gridCol w:w="261"/>
      </w:tblGrid>
      <w:tr>
        <w:trPr>
          <w:trHeight w:val="270"/>
        </w:trPr>
        <w:tc>
          <w:tcPr>
            <w:tcW w:w="1200"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812"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930"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5"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15"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89"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6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200" w:type="dxa"/>
            <w:gridSpan w:val="2"/>
            <w:noWrap/>
            <w:hideMark/>
          </w:tcPr>
          <w:p>
            <w:pPr>
              <w:spacing w:after="0"/>
              <w:rPr>
                <w:rFonts w:eastAsia="Times New Roman"/>
                <w:noProof/>
                <w:color w:val="000000"/>
                <w:sz w:val="18"/>
                <w:szCs w:val="18"/>
              </w:rPr>
            </w:pPr>
            <w:r>
              <w:rPr>
                <w:noProof/>
                <w:color w:val="000000"/>
                <w:sz w:val="18"/>
              </w:rPr>
              <w:t>Art:</w:t>
            </w:r>
          </w:p>
        </w:tc>
        <w:tc>
          <w:tcPr>
            <w:tcW w:w="2742" w:type="dxa"/>
            <w:gridSpan w:val="2"/>
            <w:tcBorders>
              <w:top w:val="single" w:sz="8" w:space="0" w:color="000000"/>
              <w:left w:val="nil"/>
              <w:bottom w:val="nil"/>
              <w:right w:val="nil"/>
            </w:tcBorders>
            <w:noWrap/>
            <w:hideMark/>
          </w:tcPr>
          <w:p>
            <w:pPr>
              <w:spacing w:after="0"/>
              <w:rPr>
                <w:rFonts w:eastAsia="Times New Roman"/>
                <w:noProof/>
                <w:sz w:val="18"/>
                <w:szCs w:val="18"/>
              </w:rPr>
            </w:pPr>
            <w:r>
              <w:rPr>
                <w:noProof/>
                <w:sz w:val="18"/>
              </w:rPr>
              <w:t>Andere Arten</w:t>
            </w:r>
          </w:p>
        </w:tc>
        <w:tc>
          <w:tcPr>
            <w:tcW w:w="1015" w:type="dxa"/>
            <w:noWrap/>
            <w:hideMark/>
          </w:tcPr>
          <w:p>
            <w:pPr>
              <w:spacing w:after="0"/>
              <w:rPr>
                <w:rFonts w:eastAsia="Times New Roman"/>
                <w:noProof/>
                <w:color w:val="000000"/>
                <w:sz w:val="18"/>
                <w:szCs w:val="18"/>
              </w:rPr>
            </w:pPr>
            <w:r>
              <w:rPr>
                <w:noProof/>
                <w:color w:val="000000"/>
                <w:sz w:val="18"/>
              </w:rPr>
              <w:t> </w:t>
            </w:r>
          </w:p>
        </w:tc>
        <w:tc>
          <w:tcPr>
            <w:tcW w:w="1015"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Gebiet:</w:t>
            </w:r>
          </w:p>
        </w:tc>
        <w:tc>
          <w:tcPr>
            <w:tcW w:w="2949"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Norwegische Gewässer von IV</w:t>
            </w:r>
          </w:p>
        </w:tc>
        <w:tc>
          <w:tcPr>
            <w:tcW w:w="260"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812" w:type="dxa"/>
            <w:tcBorders>
              <w:top w:val="nil"/>
              <w:left w:val="nil"/>
              <w:bottom w:val="single" w:sz="8" w:space="0" w:color="auto"/>
              <w:right w:val="nil"/>
            </w:tcBorders>
            <w:noWrap/>
            <w:hideMark/>
          </w:tcPr>
          <w:p>
            <w:pPr>
              <w:spacing w:after="0"/>
              <w:rPr>
                <w:rFonts w:eastAsia="Times New Roman"/>
                <w:i/>
                <w:iCs/>
                <w:noProof/>
                <w:sz w:val="18"/>
                <w:szCs w:val="18"/>
              </w:rPr>
            </w:pPr>
            <w:r>
              <w:rPr>
                <w:i/>
                <w:noProof/>
                <w:sz w:val="18"/>
              </w:rPr>
              <w:t> </w:t>
            </w:r>
          </w:p>
        </w:tc>
        <w:tc>
          <w:tcPr>
            <w:tcW w:w="930"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color w:val="000000"/>
                <w:sz w:val="18"/>
              </w:rPr>
              <w:t> </w:t>
            </w:r>
          </w:p>
        </w:tc>
        <w:tc>
          <w:tcPr>
            <w:tcW w:w="1015"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015" w:type="dxa"/>
            <w:tcBorders>
              <w:top w:val="nil"/>
              <w:left w:val="single" w:sz="8" w:space="0" w:color="000000"/>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2949"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(OTH/04-N.)</w:t>
            </w:r>
          </w:p>
        </w:tc>
        <w:tc>
          <w:tcPr>
            <w:tcW w:w="2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Belgien</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 xml:space="preserve"> 46</w:t>
            </w:r>
          </w:p>
        </w:tc>
        <w:tc>
          <w:tcPr>
            <w:tcW w:w="1015" w:type="dxa"/>
            <w:noWrap/>
            <w:hideMark/>
          </w:tcPr>
          <w:p>
            <w:pPr>
              <w:spacing w:after="0" w:line="276" w:lineRule="auto"/>
              <w:rPr>
                <w:noProof/>
                <w:sz w:val="22"/>
              </w:rPr>
            </w:pPr>
          </w:p>
        </w:tc>
        <w:tc>
          <w:tcPr>
            <w:tcW w:w="3704" w:type="dxa"/>
            <w:gridSpan w:val="2"/>
            <w:noWrap/>
            <w:hideMark/>
          </w:tcPr>
          <w:p>
            <w:pPr>
              <w:spacing w:after="0"/>
              <w:rPr>
                <w:rFonts w:eastAsia="Times New Roman"/>
                <w:noProof/>
                <w:color w:val="000000"/>
                <w:sz w:val="18"/>
                <w:szCs w:val="18"/>
              </w:rPr>
            </w:pPr>
            <w:r>
              <w:rPr>
                <w:noProof/>
                <w:color w:val="000000"/>
                <w:sz w:val="18"/>
              </w:rPr>
              <w:t>Vorsorgliche TAC</w:t>
            </w: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Dänemark</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4 250</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Deutschland</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 xml:space="preserve"> 479</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200" w:type="dxa"/>
            <w:gridSpan w:val="2"/>
            <w:noWrap/>
            <w:hideMark/>
          </w:tcPr>
          <w:p>
            <w:pPr>
              <w:spacing w:after="0"/>
              <w:rPr>
                <w:rFonts w:eastAsia="Times New Roman"/>
                <w:noProof/>
                <w:color w:val="000000"/>
                <w:sz w:val="18"/>
                <w:szCs w:val="18"/>
              </w:rPr>
            </w:pPr>
            <w:r>
              <w:rPr>
                <w:noProof/>
                <w:color w:val="000000"/>
                <w:sz w:val="18"/>
              </w:rPr>
              <w:t>Frankreich</w:t>
            </w:r>
          </w:p>
        </w:tc>
        <w:tc>
          <w:tcPr>
            <w:tcW w:w="1812" w:type="dxa"/>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 xml:space="preserve"> 197</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Niederlande</w:t>
            </w:r>
          </w:p>
        </w:tc>
        <w:tc>
          <w:tcPr>
            <w:tcW w:w="930" w:type="dxa"/>
            <w:noWrap/>
            <w:hideMark/>
          </w:tcPr>
          <w:p>
            <w:pPr>
              <w:spacing w:after="0"/>
              <w:jc w:val="right"/>
              <w:rPr>
                <w:rFonts w:eastAsia="Times New Roman"/>
                <w:noProof/>
                <w:sz w:val="18"/>
                <w:szCs w:val="18"/>
              </w:rPr>
            </w:pPr>
            <w:r>
              <w:rPr>
                <w:noProof/>
                <w:sz w:val="18"/>
              </w:rPr>
              <w:t xml:space="preserve"> 340</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Schweden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Entfällt</w:t>
            </w:r>
          </w:p>
        </w:tc>
        <w:tc>
          <w:tcPr>
            <w:tcW w:w="1015" w:type="dxa"/>
            <w:noWrap/>
            <w:hideMark/>
          </w:tcPr>
          <w:p>
            <w:pPr>
              <w:spacing w:after="0"/>
              <w:rPr>
                <w:rFonts w:eastAsia="Times New Roman"/>
                <w:noProof/>
                <w:color w:val="000000"/>
                <w:sz w:val="18"/>
                <w:szCs w:val="18"/>
              </w:rPr>
            </w:pPr>
            <w:r>
              <w:rPr>
                <w:noProof/>
                <w:color w:val="000000"/>
                <w:sz w:val="18"/>
                <w:vertAlign w:val="superscript"/>
              </w:rPr>
              <w:t>(1)</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3012" w:type="dxa"/>
            <w:gridSpan w:val="3"/>
            <w:noWrap/>
            <w:hideMark/>
          </w:tcPr>
          <w:p>
            <w:pPr>
              <w:spacing w:after="0"/>
              <w:rPr>
                <w:rFonts w:eastAsia="Times New Roman"/>
                <w:noProof/>
                <w:color w:val="000000"/>
                <w:sz w:val="18"/>
                <w:szCs w:val="18"/>
              </w:rPr>
            </w:pPr>
            <w:r>
              <w:rPr>
                <w:noProof/>
                <w:color w:val="000000"/>
                <w:sz w:val="18"/>
              </w:rPr>
              <w:t>Vereinigtes Königreich</w:t>
            </w:r>
          </w:p>
        </w:tc>
        <w:tc>
          <w:tcPr>
            <w:tcW w:w="930" w:type="dxa"/>
            <w:noWrap/>
            <w:hideMark/>
          </w:tcPr>
          <w:p>
            <w:pPr>
              <w:spacing w:after="0"/>
              <w:jc w:val="right"/>
              <w:rPr>
                <w:rFonts w:eastAsia="Times New Roman"/>
                <w:noProof/>
                <w:sz w:val="18"/>
                <w:szCs w:val="18"/>
              </w:rPr>
            </w:pPr>
            <w:r>
              <w:rPr>
                <w:noProof/>
                <w:sz w:val="18"/>
              </w:rPr>
              <w:t>3 188</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Union</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8 500</w:t>
            </w:r>
          </w:p>
        </w:tc>
        <w:tc>
          <w:tcPr>
            <w:tcW w:w="1015" w:type="dxa"/>
            <w:noWrap/>
            <w:hideMark/>
          </w:tcPr>
          <w:p>
            <w:pPr>
              <w:spacing w:after="0"/>
              <w:rPr>
                <w:rFonts w:eastAsia="Times New Roman"/>
                <w:noProof/>
                <w:color w:val="000000"/>
                <w:sz w:val="18"/>
                <w:szCs w:val="18"/>
              </w:rPr>
            </w:pPr>
            <w:r>
              <w:rPr>
                <w:noProof/>
                <w:color w:val="000000"/>
                <w:sz w:val="18"/>
                <w:vertAlign w:val="superscript"/>
              </w:rPr>
              <w:t>(2)</w:t>
            </w: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line="276" w:lineRule="auto"/>
              <w:rPr>
                <w:noProof/>
                <w:sz w:val="22"/>
              </w:rPr>
            </w:pPr>
          </w:p>
        </w:tc>
        <w:tc>
          <w:tcPr>
            <w:tcW w:w="1923" w:type="dxa"/>
            <w:gridSpan w:val="2"/>
            <w:noWrap/>
            <w:hideMark/>
          </w:tcPr>
          <w:p>
            <w:pPr>
              <w:spacing w:after="0" w:line="276" w:lineRule="auto"/>
              <w:rPr>
                <w:noProof/>
                <w:sz w:val="22"/>
              </w:rPr>
            </w:pPr>
          </w:p>
        </w:tc>
        <w:tc>
          <w:tcPr>
            <w:tcW w:w="930"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rPr>
              <w:t>TAC</w:t>
            </w:r>
          </w:p>
        </w:tc>
        <w:tc>
          <w:tcPr>
            <w:tcW w:w="1923" w:type="dxa"/>
            <w:gridSpan w:val="2"/>
            <w:noWrap/>
            <w:hideMark/>
          </w:tcPr>
          <w:p>
            <w:pPr>
              <w:spacing w:after="0" w:line="276" w:lineRule="auto"/>
              <w:rPr>
                <w:noProof/>
                <w:sz w:val="22"/>
              </w:rPr>
            </w:pPr>
          </w:p>
        </w:tc>
        <w:tc>
          <w:tcPr>
            <w:tcW w:w="930" w:type="dxa"/>
            <w:noWrap/>
            <w:hideMark/>
          </w:tcPr>
          <w:p>
            <w:pPr>
              <w:spacing w:after="0"/>
              <w:jc w:val="right"/>
              <w:rPr>
                <w:rFonts w:eastAsia="Times New Roman"/>
                <w:noProof/>
                <w:sz w:val="18"/>
                <w:szCs w:val="18"/>
              </w:rPr>
            </w:pPr>
            <w:r>
              <w:rPr>
                <w:noProof/>
                <w:sz w:val="18"/>
              </w:rPr>
              <w:t>Entfällt</w:t>
            </w:r>
          </w:p>
        </w:tc>
        <w:tc>
          <w:tcPr>
            <w:tcW w:w="1015" w:type="dxa"/>
            <w:noWrap/>
            <w:hideMark/>
          </w:tcPr>
          <w:p>
            <w:pPr>
              <w:spacing w:after="0" w:line="276" w:lineRule="auto"/>
              <w:rPr>
                <w:noProof/>
                <w:sz w:val="22"/>
              </w:rPr>
            </w:pPr>
          </w:p>
        </w:tc>
        <w:tc>
          <w:tcPr>
            <w:tcW w:w="1015" w:type="dxa"/>
            <w:noWrap/>
            <w:hideMark/>
          </w:tcPr>
          <w:p>
            <w:pPr>
              <w:spacing w:after="0" w:line="276" w:lineRule="auto"/>
              <w:rPr>
                <w:noProof/>
                <w:sz w:val="22"/>
              </w:rPr>
            </w:pPr>
          </w:p>
        </w:tc>
        <w:tc>
          <w:tcPr>
            <w:tcW w:w="2689" w:type="dxa"/>
            <w:noWrap/>
            <w:hideMark/>
          </w:tcPr>
          <w:p>
            <w:pPr>
              <w:spacing w:after="0" w:line="276" w:lineRule="auto"/>
              <w:rPr>
                <w:noProof/>
                <w:sz w:val="22"/>
              </w:rPr>
            </w:pP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vertAlign w:val="superscript"/>
              </w:rPr>
              <w:t>(1)</w:t>
            </w:r>
          </w:p>
        </w:tc>
        <w:tc>
          <w:tcPr>
            <w:tcW w:w="7572" w:type="dxa"/>
            <w:gridSpan w:val="6"/>
            <w:noWrap/>
            <w:hideMark/>
          </w:tcPr>
          <w:p>
            <w:pPr>
              <w:spacing w:after="0"/>
              <w:rPr>
                <w:rFonts w:eastAsia="Times New Roman"/>
                <w:noProof/>
                <w:sz w:val="18"/>
                <w:szCs w:val="18"/>
              </w:rPr>
            </w:pPr>
            <w:r>
              <w:rPr>
                <w:noProof/>
                <w:sz w:val="18"/>
                <w:vertAlign w:val="superscript"/>
              </w:rPr>
              <w:t>Quote für „andere Arten“, die Norwegen traditionell Schweden einräumt.</w:t>
            </w:r>
          </w:p>
        </w:tc>
        <w:tc>
          <w:tcPr>
            <w:tcW w:w="260" w:type="dxa"/>
            <w:noWrap/>
            <w:hideMark/>
          </w:tcPr>
          <w:p>
            <w:pPr>
              <w:spacing w:after="0" w:line="276" w:lineRule="auto"/>
              <w:rPr>
                <w:noProof/>
                <w:sz w:val="22"/>
              </w:rPr>
            </w:pPr>
          </w:p>
        </w:tc>
        <w:tc>
          <w:tcPr>
            <w:tcW w:w="260" w:type="dxa"/>
            <w:noWrap/>
            <w:hideMark/>
          </w:tcPr>
          <w:p>
            <w:pPr>
              <w:spacing w:after="0" w:line="276" w:lineRule="auto"/>
              <w:rPr>
                <w:noProof/>
                <w:sz w:val="22"/>
              </w:rPr>
            </w:pPr>
          </w:p>
        </w:tc>
      </w:tr>
      <w:tr>
        <w:trPr>
          <w:trHeight w:val="270"/>
        </w:trPr>
        <w:tc>
          <w:tcPr>
            <w:tcW w:w="1089" w:type="dxa"/>
            <w:noWrap/>
            <w:hideMark/>
          </w:tcPr>
          <w:p>
            <w:pPr>
              <w:spacing w:after="0"/>
              <w:rPr>
                <w:rFonts w:eastAsia="Times New Roman"/>
                <w:noProof/>
                <w:color w:val="000000"/>
                <w:sz w:val="18"/>
                <w:szCs w:val="18"/>
              </w:rPr>
            </w:pPr>
            <w:r>
              <w:rPr>
                <w:noProof/>
                <w:color w:val="000000"/>
                <w:sz w:val="18"/>
                <w:vertAlign w:val="superscript"/>
              </w:rPr>
              <w:t>(2)</w:t>
            </w:r>
          </w:p>
        </w:tc>
        <w:tc>
          <w:tcPr>
            <w:tcW w:w="7832" w:type="dxa"/>
            <w:gridSpan w:val="7"/>
            <w:noWrap/>
            <w:hideMark/>
          </w:tcPr>
          <w:p>
            <w:pPr>
              <w:spacing w:after="0"/>
              <w:rPr>
                <w:rFonts w:eastAsia="Times New Roman"/>
                <w:noProof/>
                <w:sz w:val="18"/>
                <w:szCs w:val="18"/>
              </w:rPr>
            </w:pPr>
            <w:r>
              <w:rPr>
                <w:noProof/>
                <w:sz w:val="18"/>
                <w:vertAlign w:val="superscript"/>
              </w:rPr>
              <w:t>Einschließlich nicht besonders erwähnter Fischereien. Ausnahmen sind nach Konsultationen möglich.</w:t>
            </w:r>
          </w:p>
        </w:tc>
        <w:tc>
          <w:tcPr>
            <w:tcW w:w="260" w:type="dxa"/>
            <w:noWrap/>
            <w:hideMark/>
          </w:tcPr>
          <w:p>
            <w:pPr>
              <w:spacing w:after="0" w:line="276" w:lineRule="auto"/>
              <w:rPr>
                <w:noProof/>
                <w:sz w:val="22"/>
              </w:rPr>
            </w:pPr>
          </w:p>
        </w:tc>
      </w:tr>
      <w:tr>
        <w:trPr>
          <w:trHeight w:val="285"/>
        </w:trPr>
        <w:tc>
          <w:tcPr>
            <w:tcW w:w="1089"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923" w:type="dxa"/>
            <w:gridSpan w:val="2"/>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 </w:t>
            </w:r>
          </w:p>
        </w:tc>
        <w:tc>
          <w:tcPr>
            <w:tcW w:w="930" w:type="dxa"/>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color w:val="000000"/>
                <w:sz w:val="18"/>
              </w:rPr>
              <w:t> </w:t>
            </w:r>
          </w:p>
        </w:tc>
        <w:tc>
          <w:tcPr>
            <w:tcW w:w="1015"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015"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2689"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2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2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r>
    </w:tbl>
    <w:p>
      <w:pPr>
        <w:pStyle w:val="Point1"/>
        <w:rPr>
          <w:noProof/>
        </w:rPr>
      </w:pPr>
      <w:r>
        <w:rPr>
          <w:noProof/>
        </w:rPr>
        <w:t>e)</w:t>
      </w:r>
      <w:r>
        <w:rPr>
          <w:noProof/>
        </w:rPr>
        <w:tab/>
        <w:t>Die Tabelle mit den Fangmöglichkeiten für Rochen in den Unionsgewässern von VIa, VIb, VIIa-c und VIIe-k erhält folgende Fassung:</w:t>
      </w:r>
    </w:p>
    <w:tbl>
      <w:tblPr>
        <w:tblW w:w="10206" w:type="dxa"/>
        <w:tblInd w:w="108" w:type="dxa"/>
        <w:tblLook w:val="04A0" w:firstRow="1" w:lastRow="0" w:firstColumn="1" w:lastColumn="0" w:noHBand="0" w:noVBand="1"/>
      </w:tblPr>
      <w:tblGrid>
        <w:gridCol w:w="1560"/>
        <w:gridCol w:w="2362"/>
        <w:gridCol w:w="1030"/>
        <w:gridCol w:w="979"/>
        <w:gridCol w:w="1216"/>
        <w:gridCol w:w="1451"/>
        <w:gridCol w:w="1055"/>
        <w:gridCol w:w="553"/>
      </w:tblGrid>
      <w:tr>
        <w:trPr>
          <w:trHeight w:val="255"/>
        </w:trPr>
        <w:tc>
          <w:tcPr>
            <w:tcW w:w="1560" w:type="dxa"/>
            <w:tcBorders>
              <w:top w:val="single" w:sz="4" w:space="0" w:color="auto"/>
              <w:left w:val="nil"/>
              <w:bottom w:val="single" w:sz="4" w:space="0" w:color="auto"/>
              <w:right w:val="nil"/>
            </w:tcBorders>
            <w:shd w:val="clear" w:color="auto" w:fill="auto"/>
            <w:noWrap/>
            <w:hideMark/>
          </w:tcPr>
          <w:p>
            <w:pPr>
              <w:pageBreakBefore/>
              <w:spacing w:after="0"/>
              <w:rPr>
                <w:noProof/>
                <w:color w:val="000000"/>
                <w:sz w:val="18"/>
                <w:szCs w:val="18"/>
              </w:rPr>
            </w:pPr>
            <w:r>
              <w:rPr>
                <w:noProof/>
                <w:color w:val="000000"/>
                <w:sz w:val="18"/>
              </w:rPr>
              <w:t>Art:</w:t>
            </w:r>
          </w:p>
        </w:tc>
        <w:tc>
          <w:tcPr>
            <w:tcW w:w="3392" w:type="dxa"/>
            <w:gridSpan w:val="2"/>
            <w:tcBorders>
              <w:top w:val="single" w:sz="4" w:space="0" w:color="auto"/>
              <w:left w:val="nil"/>
              <w:bottom w:val="single" w:sz="4" w:space="0" w:color="auto"/>
              <w:right w:val="nil"/>
            </w:tcBorders>
            <w:shd w:val="clear" w:color="auto" w:fill="auto"/>
            <w:noWrap/>
            <w:hideMark/>
          </w:tcPr>
          <w:p>
            <w:pPr>
              <w:spacing w:after="0"/>
              <w:rPr>
                <w:noProof/>
                <w:sz w:val="18"/>
                <w:szCs w:val="18"/>
              </w:rPr>
            </w:pPr>
            <w:r>
              <w:rPr>
                <w:noProof/>
                <w:sz w:val="18"/>
              </w:rPr>
              <w:t>Rochen</w:t>
            </w:r>
          </w:p>
        </w:tc>
        <w:tc>
          <w:tcPr>
            <w:tcW w:w="979" w:type="dxa"/>
            <w:tcBorders>
              <w:top w:val="single" w:sz="4" w:space="0" w:color="auto"/>
              <w:left w:val="nil"/>
              <w:bottom w:val="single" w:sz="4" w:space="0" w:color="auto"/>
              <w:right w:val="nil"/>
            </w:tcBorders>
            <w:shd w:val="clear" w:color="auto" w:fill="auto"/>
            <w:noWrap/>
            <w:hideMark/>
          </w:tcPr>
          <w:p>
            <w:pPr>
              <w:spacing w:after="0"/>
              <w:rPr>
                <w:noProof/>
                <w:color w:val="000000"/>
                <w:sz w:val="18"/>
                <w:szCs w:val="18"/>
              </w:rPr>
            </w:pPr>
            <w:r>
              <w:rPr>
                <w:noProof/>
                <w:color w:val="000000"/>
                <w:sz w:val="18"/>
              </w:rPr>
              <w:t> </w:t>
            </w:r>
          </w:p>
        </w:tc>
        <w:tc>
          <w:tcPr>
            <w:tcW w:w="1216" w:type="dxa"/>
            <w:tcBorders>
              <w:top w:val="single" w:sz="4" w:space="0" w:color="auto"/>
              <w:left w:val="single" w:sz="8" w:space="0" w:color="000000"/>
              <w:bottom w:val="single" w:sz="4" w:space="0" w:color="auto"/>
              <w:right w:val="nil"/>
            </w:tcBorders>
            <w:shd w:val="clear" w:color="auto" w:fill="auto"/>
            <w:noWrap/>
            <w:hideMark/>
          </w:tcPr>
          <w:p>
            <w:pPr>
              <w:spacing w:after="0"/>
              <w:rPr>
                <w:noProof/>
                <w:color w:val="000000"/>
                <w:sz w:val="18"/>
                <w:szCs w:val="18"/>
              </w:rPr>
            </w:pPr>
            <w:r>
              <w:rPr>
                <w:noProof/>
                <w:color w:val="000000"/>
                <w:sz w:val="18"/>
              </w:rPr>
              <w:t>Gebiet:</w:t>
            </w:r>
          </w:p>
        </w:tc>
        <w:tc>
          <w:tcPr>
            <w:tcW w:w="3059" w:type="dxa"/>
            <w:gridSpan w:val="3"/>
            <w:tcBorders>
              <w:top w:val="single" w:sz="4" w:space="0" w:color="auto"/>
              <w:left w:val="nil"/>
              <w:bottom w:val="single" w:sz="4" w:space="0" w:color="auto"/>
              <w:right w:val="nil"/>
            </w:tcBorders>
            <w:shd w:val="clear" w:color="auto" w:fill="auto"/>
            <w:noWrap/>
            <w:hideMark/>
          </w:tcPr>
          <w:p>
            <w:pPr>
              <w:spacing w:after="0"/>
              <w:rPr>
                <w:noProof/>
                <w:color w:val="000000"/>
                <w:sz w:val="18"/>
                <w:szCs w:val="18"/>
              </w:rPr>
            </w:pPr>
            <w:r>
              <w:rPr>
                <w:noProof/>
                <w:color w:val="000000"/>
                <w:sz w:val="18"/>
              </w:rPr>
              <w:t>Unionsgewässer von VIa, VIb, VIIa-c und VIIe-k</w:t>
            </w:r>
          </w:p>
        </w:tc>
      </w:tr>
      <w:tr>
        <w:trPr>
          <w:trHeight w:val="270"/>
        </w:trPr>
        <w:tc>
          <w:tcPr>
            <w:tcW w:w="1560" w:type="dxa"/>
            <w:tcBorders>
              <w:top w:val="single" w:sz="4" w:space="0" w:color="auto"/>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2362" w:type="dxa"/>
            <w:tcBorders>
              <w:top w:val="single" w:sz="4" w:space="0" w:color="auto"/>
              <w:left w:val="nil"/>
              <w:bottom w:val="single" w:sz="8" w:space="0" w:color="000000"/>
              <w:right w:val="nil"/>
            </w:tcBorders>
            <w:shd w:val="clear" w:color="auto" w:fill="auto"/>
            <w:noWrap/>
            <w:hideMark/>
          </w:tcPr>
          <w:p>
            <w:pPr>
              <w:spacing w:after="0"/>
              <w:rPr>
                <w:i/>
                <w:iCs/>
                <w:noProof/>
                <w:sz w:val="18"/>
                <w:szCs w:val="18"/>
              </w:rPr>
            </w:pPr>
            <w:r>
              <w:rPr>
                <w:i/>
                <w:noProof/>
                <w:sz w:val="18"/>
              </w:rPr>
              <w:t>Rajiformes</w:t>
            </w:r>
          </w:p>
        </w:tc>
        <w:tc>
          <w:tcPr>
            <w:tcW w:w="1030" w:type="dxa"/>
            <w:tcBorders>
              <w:top w:val="single" w:sz="4" w:space="0" w:color="auto"/>
              <w:left w:val="nil"/>
              <w:bottom w:val="single" w:sz="8" w:space="0" w:color="000000"/>
              <w:right w:val="nil"/>
            </w:tcBorders>
            <w:shd w:val="clear" w:color="auto" w:fill="auto"/>
            <w:noWrap/>
            <w:hideMark/>
          </w:tcPr>
          <w:p>
            <w:pPr>
              <w:spacing w:after="0"/>
              <w:jc w:val="right"/>
              <w:rPr>
                <w:i/>
                <w:iCs/>
                <w:noProof/>
                <w:color w:val="000000"/>
                <w:sz w:val="18"/>
                <w:szCs w:val="18"/>
              </w:rPr>
            </w:pPr>
            <w:r>
              <w:rPr>
                <w:i/>
                <w:noProof/>
                <w:color w:val="000000"/>
                <w:sz w:val="18"/>
              </w:rPr>
              <w:t> </w:t>
            </w:r>
          </w:p>
        </w:tc>
        <w:tc>
          <w:tcPr>
            <w:tcW w:w="979" w:type="dxa"/>
            <w:tcBorders>
              <w:top w:val="single" w:sz="4" w:space="0" w:color="auto"/>
              <w:left w:val="nil"/>
              <w:bottom w:val="single" w:sz="8" w:space="0" w:color="000000"/>
              <w:right w:val="nil"/>
            </w:tcBorders>
            <w:shd w:val="clear" w:color="auto" w:fill="auto"/>
            <w:noWrap/>
            <w:hideMark/>
          </w:tcPr>
          <w:p>
            <w:pPr>
              <w:spacing w:after="0"/>
              <w:rPr>
                <w:i/>
                <w:iCs/>
                <w:noProof/>
                <w:color w:val="000000"/>
                <w:sz w:val="18"/>
                <w:szCs w:val="18"/>
              </w:rPr>
            </w:pPr>
            <w:r>
              <w:rPr>
                <w:i/>
                <w:noProof/>
                <w:color w:val="000000"/>
                <w:sz w:val="18"/>
              </w:rPr>
              <w:t> </w:t>
            </w:r>
          </w:p>
        </w:tc>
        <w:tc>
          <w:tcPr>
            <w:tcW w:w="1216" w:type="dxa"/>
            <w:tcBorders>
              <w:top w:val="single" w:sz="4" w:space="0" w:color="auto"/>
              <w:left w:val="single" w:sz="8" w:space="0" w:color="000000"/>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2506" w:type="dxa"/>
            <w:gridSpan w:val="2"/>
            <w:tcBorders>
              <w:top w:val="single" w:sz="4" w:space="0" w:color="auto"/>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(SRX/67AKXD)</w:t>
            </w:r>
          </w:p>
        </w:tc>
        <w:tc>
          <w:tcPr>
            <w:tcW w:w="553" w:type="dxa"/>
            <w:tcBorders>
              <w:top w:val="single" w:sz="4" w:space="0" w:color="auto"/>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Belgien</w:t>
            </w:r>
          </w:p>
        </w:tc>
        <w:tc>
          <w:tcPr>
            <w:tcW w:w="2362" w:type="dxa"/>
            <w:tcBorders>
              <w:top w:val="nil"/>
              <w:left w:val="nil"/>
              <w:bottom w:val="nil"/>
              <w:right w:val="nil"/>
            </w:tcBorders>
            <w:shd w:val="clear" w:color="auto" w:fill="auto"/>
            <w:noWrap/>
            <w:hideMark/>
          </w:tcPr>
          <w:p>
            <w:pPr>
              <w:spacing w:after="0"/>
              <w:rPr>
                <w:noProof/>
                <w:sz w:val="18"/>
                <w:szCs w:val="18"/>
              </w:rPr>
            </w:pPr>
            <w:r>
              <w:rPr>
                <w:noProof/>
                <w:sz w:val="18"/>
              </w:rPr>
              <w:t> </w:t>
            </w: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725</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2667" w:type="dxa"/>
            <w:gridSpan w:val="2"/>
            <w:tcBorders>
              <w:top w:val="single" w:sz="8" w:space="0" w:color="000000"/>
              <w:left w:val="nil"/>
              <w:bottom w:val="nil"/>
              <w:right w:val="nil"/>
            </w:tcBorders>
            <w:shd w:val="clear" w:color="auto" w:fill="auto"/>
            <w:noWrap/>
            <w:hideMark/>
          </w:tcPr>
          <w:p>
            <w:pPr>
              <w:spacing w:after="0"/>
              <w:rPr>
                <w:noProof/>
                <w:color w:val="000000"/>
                <w:sz w:val="18"/>
                <w:szCs w:val="18"/>
              </w:rPr>
            </w:pPr>
            <w:r>
              <w:rPr>
                <w:noProof/>
                <w:color w:val="000000"/>
                <w:sz w:val="18"/>
              </w:rPr>
              <w:t>Vorsorgliche TAC</w:t>
            </w:r>
          </w:p>
        </w:tc>
        <w:tc>
          <w:tcPr>
            <w:tcW w:w="105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 </w:t>
            </w:r>
          </w:p>
        </w:tc>
        <w:tc>
          <w:tcPr>
            <w:tcW w:w="55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 </w:t>
            </w: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Estland</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4</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4275" w:type="dxa"/>
            <w:gridSpan w:val="4"/>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Artikel 12 Absatz 1 dieser Verordnung gilt.</w:t>
            </w: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Frankreich</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3 255</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Deutschland</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10</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Irland</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1 048</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Litauen</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17</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3922"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Niederlande</w:t>
            </w: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3</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Portugal</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18</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Spanien</w:t>
            </w:r>
          </w:p>
        </w:tc>
        <w:tc>
          <w:tcPr>
            <w:tcW w:w="2362" w:type="dxa"/>
            <w:tcBorders>
              <w:top w:val="nil"/>
              <w:left w:val="nil"/>
              <w:bottom w:val="nil"/>
              <w:right w:val="nil"/>
            </w:tcBorders>
            <w:shd w:val="clear" w:color="auto" w:fill="auto"/>
            <w:noWrap/>
            <w:hideMark/>
          </w:tcPr>
          <w:p>
            <w:pPr>
              <w:spacing w:after="0"/>
              <w:rPr>
                <w:rFonts w:ascii="Calibri" w:hAnsi="Calibri" w:cs="Arial"/>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876</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3922"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Vereinigtes Königreich</w:t>
            </w: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2 076</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Union</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8 032</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rFonts w:ascii="Calibri" w:hAnsi="Calibri" w:cs="Arial"/>
                <w:noProof/>
                <w:color w:val="000000"/>
                <w:sz w:val="18"/>
                <w:szCs w:val="18"/>
              </w:rPr>
            </w:pP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p>
        </w:tc>
        <w:tc>
          <w:tcPr>
            <w:tcW w:w="979" w:type="dxa"/>
            <w:tcBorders>
              <w:top w:val="nil"/>
              <w:left w:val="nil"/>
              <w:bottom w:val="nil"/>
              <w:right w:val="nil"/>
            </w:tcBorders>
            <w:shd w:val="clear" w:color="auto" w:fill="auto"/>
            <w:noWrap/>
            <w:hideMark/>
          </w:tcPr>
          <w:p>
            <w:pPr>
              <w:spacing w:after="0"/>
              <w:rPr>
                <w:noProof/>
                <w:color w:val="000000"/>
                <w:sz w:val="18"/>
                <w:szCs w:val="18"/>
              </w:rPr>
            </w:pP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TAC</w:t>
            </w:r>
          </w:p>
        </w:tc>
        <w:tc>
          <w:tcPr>
            <w:tcW w:w="2362" w:type="dxa"/>
            <w:tcBorders>
              <w:top w:val="nil"/>
              <w:left w:val="nil"/>
              <w:bottom w:val="nil"/>
              <w:right w:val="nil"/>
            </w:tcBorders>
            <w:shd w:val="clear" w:color="auto" w:fill="auto"/>
            <w:noWrap/>
            <w:hideMark/>
          </w:tcPr>
          <w:p>
            <w:pPr>
              <w:spacing w:after="0"/>
              <w:rPr>
                <w:noProof/>
                <w:sz w:val="18"/>
                <w:szCs w:val="18"/>
              </w:rPr>
            </w:pPr>
          </w:p>
        </w:tc>
        <w:tc>
          <w:tcPr>
            <w:tcW w:w="1030"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8 032</w:t>
            </w:r>
          </w:p>
        </w:tc>
        <w:tc>
          <w:tcPr>
            <w:tcW w:w="9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(3)(4)</w:t>
            </w:r>
          </w:p>
        </w:tc>
        <w:tc>
          <w:tcPr>
            <w:tcW w:w="1216" w:type="dxa"/>
            <w:tcBorders>
              <w:top w:val="nil"/>
              <w:left w:val="nil"/>
              <w:bottom w:val="nil"/>
              <w:right w:val="nil"/>
            </w:tcBorders>
            <w:shd w:val="clear" w:color="auto" w:fill="auto"/>
            <w:noWrap/>
            <w:hideMark/>
          </w:tcPr>
          <w:p>
            <w:pPr>
              <w:spacing w:after="0"/>
              <w:rPr>
                <w:noProof/>
                <w:color w:val="000000"/>
                <w:sz w:val="18"/>
                <w:szCs w:val="18"/>
              </w:rPr>
            </w:pPr>
          </w:p>
        </w:tc>
        <w:tc>
          <w:tcPr>
            <w:tcW w:w="1451" w:type="dxa"/>
            <w:tcBorders>
              <w:top w:val="nil"/>
              <w:left w:val="nil"/>
              <w:bottom w:val="nil"/>
              <w:right w:val="nil"/>
            </w:tcBorders>
            <w:shd w:val="clear" w:color="auto" w:fill="auto"/>
            <w:noWrap/>
            <w:hideMark/>
          </w:tcPr>
          <w:p>
            <w:pPr>
              <w:spacing w:after="0"/>
              <w:rPr>
                <w:noProof/>
                <w:color w:val="000000"/>
                <w:sz w:val="18"/>
                <w:szCs w:val="18"/>
              </w:rPr>
            </w:pPr>
          </w:p>
        </w:tc>
        <w:tc>
          <w:tcPr>
            <w:tcW w:w="1055" w:type="dxa"/>
            <w:tcBorders>
              <w:top w:val="nil"/>
              <w:left w:val="nil"/>
              <w:bottom w:val="nil"/>
              <w:right w:val="nil"/>
            </w:tcBorders>
            <w:shd w:val="clear" w:color="auto" w:fill="auto"/>
            <w:noWrap/>
            <w:hideMark/>
          </w:tcPr>
          <w:p>
            <w:pPr>
              <w:spacing w:after="0"/>
              <w:rPr>
                <w:noProof/>
                <w:color w:val="000000"/>
                <w:sz w:val="18"/>
                <w:szCs w:val="18"/>
              </w:rPr>
            </w:pPr>
          </w:p>
        </w:tc>
        <w:tc>
          <w:tcPr>
            <w:tcW w:w="553"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w:t>
            </w:r>
          </w:p>
        </w:tc>
        <w:tc>
          <w:tcPr>
            <w:tcW w:w="8646"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Fänge von Kuckucksrochen (</w:t>
            </w:r>
            <w:r>
              <w:rPr>
                <w:i/>
                <w:noProof/>
                <w:sz w:val="18"/>
                <w:vertAlign w:val="superscript"/>
              </w:rPr>
              <w:t>Leucoraja naevus</w:t>
            </w:r>
            <w:r>
              <w:rPr>
                <w:noProof/>
                <w:sz w:val="18"/>
                <w:vertAlign w:val="superscript"/>
              </w:rPr>
              <w:t>) (RJN/67AKXD), Nagelrochen (</w:t>
            </w:r>
            <w:r>
              <w:rPr>
                <w:i/>
                <w:noProof/>
                <w:sz w:val="18"/>
                <w:vertAlign w:val="superscript"/>
              </w:rPr>
              <w:t>Raja clavata</w:t>
            </w:r>
            <w:r>
              <w:rPr>
                <w:noProof/>
                <w:sz w:val="18"/>
                <w:vertAlign w:val="superscript"/>
              </w:rPr>
              <w:t>) (RJC/67AKXD), Blondrochen (</w:t>
            </w:r>
            <w:r>
              <w:rPr>
                <w:i/>
                <w:noProof/>
                <w:sz w:val="18"/>
                <w:vertAlign w:val="superscript"/>
              </w:rPr>
              <w:t>Raja brachyura</w:t>
            </w:r>
            <w:r>
              <w:rPr>
                <w:noProof/>
                <w:sz w:val="18"/>
                <w:vertAlign w:val="superscript"/>
              </w:rPr>
              <w:t>) (RJH/67AKXD), Fleckrochen (</w:t>
            </w:r>
            <w:r>
              <w:rPr>
                <w:i/>
                <w:noProof/>
                <w:sz w:val="18"/>
                <w:vertAlign w:val="superscript"/>
              </w:rPr>
              <w:t>Raja montagui</w:t>
            </w:r>
            <w:r>
              <w:rPr>
                <w:noProof/>
                <w:sz w:val="18"/>
                <w:vertAlign w:val="superscript"/>
              </w:rPr>
              <w:t>) (RJM/67AKXD), Sandrochen (</w:t>
            </w:r>
            <w:r>
              <w:rPr>
                <w:i/>
                <w:noProof/>
                <w:sz w:val="18"/>
                <w:vertAlign w:val="superscript"/>
              </w:rPr>
              <w:t>Raja circularis</w:t>
            </w:r>
            <w:r>
              <w:rPr>
                <w:noProof/>
                <w:sz w:val="18"/>
                <w:vertAlign w:val="superscript"/>
              </w:rPr>
              <w:t>) (RJI/67AKXD) und Chagrinrochen (</w:t>
            </w:r>
            <w:r>
              <w:rPr>
                <w:i/>
                <w:noProof/>
                <w:sz w:val="18"/>
                <w:vertAlign w:val="superscript"/>
              </w:rPr>
              <w:t>Raja fullonica</w:t>
            </w:r>
            <w:r>
              <w:rPr>
                <w:noProof/>
                <w:sz w:val="18"/>
                <w:vertAlign w:val="superscript"/>
              </w:rPr>
              <w:t>) (RJF/67AKXD) sind getrennt zu melden.</w:t>
            </w: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(2)</w:t>
            </w:r>
          </w:p>
        </w:tc>
        <w:tc>
          <w:tcPr>
            <w:tcW w:w="8646"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Besondere Bedingung: Davon dürfen unbeschadet der Verbote gemäß den Artikeln 13 und 46 dieser Verordnung für die darin genannten Gebiete bis zu 5 % in den Unionsgewässern von VIId (SRX/*07D.) gefangen werden. Fänge von Kuckucksrochen (</w:t>
            </w:r>
            <w:r>
              <w:rPr>
                <w:i/>
                <w:noProof/>
                <w:sz w:val="18"/>
                <w:vertAlign w:val="superscript"/>
              </w:rPr>
              <w:t>Leucoraja naevus</w:t>
            </w:r>
            <w:r>
              <w:rPr>
                <w:noProof/>
                <w:sz w:val="18"/>
                <w:vertAlign w:val="superscript"/>
              </w:rPr>
              <w:t>) (RJN/*07D.), Nagelrochen (</w:t>
            </w:r>
            <w:r>
              <w:rPr>
                <w:i/>
                <w:noProof/>
                <w:sz w:val="18"/>
                <w:vertAlign w:val="superscript"/>
              </w:rPr>
              <w:t>Raja clavata</w:t>
            </w:r>
            <w:r>
              <w:rPr>
                <w:noProof/>
                <w:sz w:val="18"/>
                <w:vertAlign w:val="superscript"/>
              </w:rPr>
              <w:t>) (RJC/*07D.), Fleckrochen (</w:t>
            </w:r>
            <w:r>
              <w:rPr>
                <w:i/>
                <w:noProof/>
                <w:sz w:val="18"/>
                <w:vertAlign w:val="superscript"/>
              </w:rPr>
              <w:t>Raja montagui</w:t>
            </w:r>
            <w:r>
              <w:rPr>
                <w:noProof/>
                <w:sz w:val="18"/>
                <w:vertAlign w:val="superscript"/>
              </w:rPr>
              <w:t>) (RJM/*07D.), Sandrochen (</w:t>
            </w:r>
            <w:r>
              <w:rPr>
                <w:i/>
                <w:noProof/>
                <w:sz w:val="18"/>
                <w:vertAlign w:val="superscript"/>
              </w:rPr>
              <w:t>Raja circularis</w:t>
            </w:r>
            <w:r>
              <w:rPr>
                <w:noProof/>
                <w:sz w:val="18"/>
                <w:vertAlign w:val="superscript"/>
              </w:rPr>
              <w:t>) (RJI/*07D.) und Chagrinrochen (</w:t>
            </w:r>
            <w:r>
              <w:rPr>
                <w:i/>
                <w:noProof/>
                <w:sz w:val="18"/>
                <w:vertAlign w:val="superscript"/>
              </w:rPr>
              <w:t>Raja fullonica</w:t>
            </w:r>
            <w:r>
              <w:rPr>
                <w:noProof/>
                <w:sz w:val="18"/>
                <w:vertAlign w:val="superscript"/>
              </w:rPr>
              <w:t>) (RJF/*07D.) sind getrennt zu melden. Diese besondere Bedingung gilt nicht für Perlrochen (</w:t>
            </w:r>
            <w:r>
              <w:rPr>
                <w:i/>
                <w:noProof/>
                <w:sz w:val="18"/>
                <w:vertAlign w:val="superscript"/>
              </w:rPr>
              <w:t>Raja undulata</w:t>
            </w:r>
            <w:r>
              <w:rPr>
                <w:noProof/>
                <w:sz w:val="18"/>
                <w:vertAlign w:val="superscript"/>
              </w:rPr>
              <w:t>).</w:t>
            </w:r>
          </w:p>
        </w:tc>
      </w:tr>
      <w:tr>
        <w:trPr>
          <w:trHeight w:val="270"/>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(3)</w:t>
            </w:r>
          </w:p>
        </w:tc>
        <w:tc>
          <w:tcPr>
            <w:tcW w:w="8646"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Gilt nicht für Kleinäugigen Rochen (</w:t>
            </w:r>
            <w:r>
              <w:rPr>
                <w:i/>
                <w:noProof/>
                <w:sz w:val="18"/>
                <w:vertAlign w:val="superscript"/>
              </w:rPr>
              <w:t>Raja microocellata</w:t>
            </w:r>
            <w:r>
              <w:rPr>
                <w:noProof/>
                <w:sz w:val="18"/>
                <w:vertAlign w:val="superscript"/>
              </w:rPr>
              <w:t>). Ungewollt gefangenen Exemplaren dieser Art wird kein Leid zugefügt. Die Fische werden umgehend freigesetzt. Die Fischer werden angehalten, Techniken und Ausrüstungen zu entwickeln und anzuwenden, die das rasche und sichere Aussetzen von Tieren dieser Art erleichtern.</w:t>
            </w:r>
          </w:p>
        </w:tc>
      </w:tr>
      <w:tr>
        <w:trPr>
          <w:trHeight w:val="285"/>
        </w:trPr>
        <w:tc>
          <w:tcPr>
            <w:tcW w:w="1560"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(4)</w:t>
            </w:r>
          </w:p>
        </w:tc>
        <w:tc>
          <w:tcPr>
            <w:tcW w:w="8646"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Gilt nicht für Perlrochen (</w:t>
            </w:r>
            <w:r>
              <w:rPr>
                <w:i/>
                <w:noProof/>
                <w:sz w:val="18"/>
                <w:vertAlign w:val="superscript"/>
              </w:rPr>
              <w:t>Raja undulata</w:t>
            </w:r>
            <w:r>
              <w:rPr>
                <w:noProof/>
                <w:sz w:val="18"/>
                <w:vertAlign w:val="superscript"/>
              </w:rPr>
              <w:t>). Diese Art darf in den durch diese TAC regulierten Gebieten nicht gezielt befischt werden. Wenn sie nicht der Pflicht zur Anlandung unterliegen, dürfen Beifänge von Perlrochen im Gebiet VIIe nur ganz oder ausgenommen und nur unter der Voraussetzung, dass sie je Fangreise nicht mehr als 20 kg Lebendgewicht ausmachen, angelandet werden. Die Fänge dürfen die Quoten gemäß der nachstehenden Tabelle nicht übersteigen. Die vorstehenden Bestimmungen gelten unbeschadet der Verbote gemäß den Artikeln 13 und 46 dieser Verordnung für die darin genannten Gebiete. Beifänge von Perlrochen sind unter folgendem Code getrennt zu melden: (RJU/67AKXD). Innerhalb der obengenannten Quoten dürfen nur die nachstehenden Mengen Perlrochen gefangen werden:</w:t>
            </w:r>
          </w:p>
        </w:tc>
      </w:tr>
    </w:tbl>
    <w:p>
      <w:pPr>
        <w:pStyle w:val="Point1"/>
        <w:rPr>
          <w:noProof/>
        </w:rPr>
      </w:pPr>
      <w:r>
        <w:rPr>
          <w:noProof/>
        </w:rPr>
        <w:t>f)</w:t>
      </w:r>
      <w:r>
        <w:rPr>
          <w:noProof/>
        </w:rPr>
        <w:tab/>
        <w:t>Die Tabelle mit den Fangmöglichkeiten für Rochen in den Unionsgewässern von VIId erhält folgende Fassung:</w:t>
      </w:r>
    </w:p>
    <w:tbl>
      <w:tblPr>
        <w:tblW w:w="10684" w:type="dxa"/>
        <w:tblInd w:w="108" w:type="dxa"/>
        <w:tblLook w:val="04A0" w:firstRow="1" w:lastRow="0" w:firstColumn="1" w:lastColumn="0" w:noHBand="0" w:noVBand="1"/>
      </w:tblPr>
      <w:tblGrid>
        <w:gridCol w:w="1633"/>
        <w:gridCol w:w="2473"/>
        <w:gridCol w:w="1078"/>
        <w:gridCol w:w="1025"/>
        <w:gridCol w:w="1273"/>
        <w:gridCol w:w="1519"/>
        <w:gridCol w:w="1104"/>
        <w:gridCol w:w="579"/>
      </w:tblGrid>
      <w:tr>
        <w:trPr>
          <w:trHeight w:val="255"/>
        </w:trPr>
        <w:tc>
          <w:tcPr>
            <w:tcW w:w="1633" w:type="dxa"/>
            <w:tcBorders>
              <w:top w:val="single" w:sz="4" w:space="0" w:color="auto"/>
              <w:left w:val="nil"/>
              <w:bottom w:val="nil"/>
              <w:right w:val="nil"/>
            </w:tcBorders>
            <w:shd w:val="clear" w:color="auto" w:fill="auto"/>
            <w:noWrap/>
            <w:hideMark/>
          </w:tcPr>
          <w:p>
            <w:pPr>
              <w:pageBreakBefore/>
              <w:spacing w:after="0"/>
              <w:rPr>
                <w:noProof/>
                <w:color w:val="000000"/>
                <w:sz w:val="18"/>
                <w:szCs w:val="18"/>
              </w:rPr>
            </w:pPr>
            <w:r>
              <w:rPr>
                <w:noProof/>
                <w:color w:val="000000"/>
                <w:sz w:val="18"/>
              </w:rPr>
              <w:t>Art:</w:t>
            </w:r>
          </w:p>
        </w:tc>
        <w:tc>
          <w:tcPr>
            <w:tcW w:w="3551" w:type="dxa"/>
            <w:gridSpan w:val="2"/>
            <w:tcBorders>
              <w:top w:val="single" w:sz="4" w:space="0" w:color="auto"/>
              <w:left w:val="nil"/>
              <w:bottom w:val="nil"/>
              <w:right w:val="nil"/>
            </w:tcBorders>
            <w:shd w:val="clear" w:color="auto" w:fill="auto"/>
            <w:noWrap/>
            <w:hideMark/>
          </w:tcPr>
          <w:p>
            <w:pPr>
              <w:pageBreakBefore/>
              <w:spacing w:after="0"/>
              <w:rPr>
                <w:noProof/>
                <w:sz w:val="18"/>
                <w:szCs w:val="18"/>
              </w:rPr>
            </w:pPr>
            <w:r>
              <w:rPr>
                <w:noProof/>
                <w:sz w:val="18"/>
              </w:rPr>
              <w:t>Rochen</w:t>
            </w:r>
          </w:p>
        </w:tc>
        <w:tc>
          <w:tcPr>
            <w:tcW w:w="1025" w:type="dxa"/>
            <w:tcBorders>
              <w:top w:val="single" w:sz="4" w:space="0" w:color="auto"/>
              <w:left w:val="nil"/>
              <w:bottom w:val="nil"/>
              <w:right w:val="nil"/>
            </w:tcBorders>
            <w:shd w:val="clear" w:color="auto" w:fill="auto"/>
            <w:noWrap/>
            <w:hideMark/>
          </w:tcPr>
          <w:p>
            <w:pPr>
              <w:pageBreakBefore/>
              <w:spacing w:after="0"/>
              <w:rPr>
                <w:noProof/>
                <w:color w:val="000000"/>
                <w:sz w:val="18"/>
                <w:szCs w:val="18"/>
              </w:rPr>
            </w:pPr>
            <w:r>
              <w:rPr>
                <w:noProof/>
                <w:color w:val="000000"/>
                <w:sz w:val="18"/>
              </w:rPr>
              <w:t> </w:t>
            </w:r>
          </w:p>
        </w:tc>
        <w:tc>
          <w:tcPr>
            <w:tcW w:w="1273" w:type="dxa"/>
            <w:tcBorders>
              <w:top w:val="single" w:sz="4" w:space="0" w:color="auto"/>
              <w:left w:val="single" w:sz="8" w:space="0" w:color="000000"/>
              <w:bottom w:val="nil"/>
              <w:right w:val="nil"/>
            </w:tcBorders>
            <w:shd w:val="clear" w:color="auto" w:fill="auto"/>
            <w:noWrap/>
            <w:hideMark/>
          </w:tcPr>
          <w:p>
            <w:pPr>
              <w:pageBreakBefore/>
              <w:spacing w:after="0"/>
              <w:rPr>
                <w:noProof/>
                <w:color w:val="000000"/>
                <w:sz w:val="18"/>
                <w:szCs w:val="18"/>
              </w:rPr>
            </w:pPr>
            <w:r>
              <w:rPr>
                <w:noProof/>
                <w:color w:val="000000"/>
                <w:sz w:val="18"/>
              </w:rPr>
              <w:t>Gebiet:</w:t>
            </w:r>
          </w:p>
        </w:tc>
        <w:tc>
          <w:tcPr>
            <w:tcW w:w="2623" w:type="dxa"/>
            <w:gridSpan w:val="2"/>
            <w:tcBorders>
              <w:top w:val="single" w:sz="4" w:space="0" w:color="auto"/>
              <w:left w:val="nil"/>
              <w:bottom w:val="nil"/>
              <w:right w:val="nil"/>
            </w:tcBorders>
            <w:shd w:val="clear" w:color="auto" w:fill="auto"/>
            <w:noWrap/>
            <w:hideMark/>
          </w:tcPr>
          <w:p>
            <w:pPr>
              <w:pageBreakBefore/>
              <w:spacing w:after="0"/>
              <w:rPr>
                <w:noProof/>
                <w:color w:val="000000"/>
                <w:sz w:val="18"/>
                <w:szCs w:val="18"/>
              </w:rPr>
            </w:pPr>
            <w:r>
              <w:rPr>
                <w:noProof/>
                <w:color w:val="000000"/>
                <w:sz w:val="18"/>
              </w:rPr>
              <w:t>Unionsgewässer von VIId</w:t>
            </w:r>
          </w:p>
        </w:tc>
        <w:tc>
          <w:tcPr>
            <w:tcW w:w="579" w:type="dxa"/>
            <w:tcBorders>
              <w:top w:val="single" w:sz="4" w:space="0" w:color="auto"/>
              <w:left w:val="nil"/>
              <w:bottom w:val="nil"/>
              <w:right w:val="nil"/>
            </w:tcBorders>
            <w:shd w:val="clear" w:color="auto" w:fill="auto"/>
            <w:noWrap/>
            <w:hideMark/>
          </w:tcPr>
          <w:p>
            <w:pPr>
              <w:pageBreakBefore/>
              <w:spacing w:after="0"/>
              <w:rPr>
                <w:noProof/>
                <w:color w:val="000000"/>
                <w:sz w:val="18"/>
                <w:szCs w:val="18"/>
              </w:rPr>
            </w:pPr>
            <w:r>
              <w:rPr>
                <w:noProof/>
                <w:color w:val="000000"/>
                <w:sz w:val="18"/>
              </w:rPr>
              <w:t> </w:t>
            </w:r>
          </w:p>
        </w:tc>
      </w:tr>
      <w:tr>
        <w:trPr>
          <w:trHeight w:val="270"/>
        </w:trPr>
        <w:tc>
          <w:tcPr>
            <w:tcW w:w="1633"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2473" w:type="dxa"/>
            <w:tcBorders>
              <w:top w:val="nil"/>
              <w:left w:val="nil"/>
              <w:bottom w:val="single" w:sz="8" w:space="0" w:color="000000"/>
              <w:right w:val="nil"/>
            </w:tcBorders>
            <w:shd w:val="clear" w:color="auto" w:fill="auto"/>
            <w:noWrap/>
            <w:hideMark/>
          </w:tcPr>
          <w:p>
            <w:pPr>
              <w:spacing w:after="0"/>
              <w:rPr>
                <w:i/>
                <w:iCs/>
                <w:noProof/>
                <w:sz w:val="18"/>
                <w:szCs w:val="18"/>
              </w:rPr>
            </w:pPr>
            <w:r>
              <w:rPr>
                <w:i/>
                <w:noProof/>
                <w:sz w:val="18"/>
              </w:rPr>
              <w:t>Rajiformes</w:t>
            </w:r>
          </w:p>
        </w:tc>
        <w:tc>
          <w:tcPr>
            <w:tcW w:w="1078" w:type="dxa"/>
            <w:tcBorders>
              <w:top w:val="nil"/>
              <w:left w:val="nil"/>
              <w:bottom w:val="single" w:sz="8" w:space="0" w:color="000000"/>
              <w:right w:val="nil"/>
            </w:tcBorders>
            <w:shd w:val="clear" w:color="auto" w:fill="auto"/>
            <w:noWrap/>
            <w:hideMark/>
          </w:tcPr>
          <w:p>
            <w:pPr>
              <w:spacing w:after="0"/>
              <w:jc w:val="right"/>
              <w:rPr>
                <w:i/>
                <w:iCs/>
                <w:noProof/>
                <w:color w:val="000000"/>
                <w:sz w:val="18"/>
                <w:szCs w:val="18"/>
              </w:rPr>
            </w:pPr>
            <w:r>
              <w:rPr>
                <w:i/>
                <w:noProof/>
                <w:color w:val="000000"/>
                <w:sz w:val="18"/>
              </w:rPr>
              <w:t> </w:t>
            </w:r>
          </w:p>
        </w:tc>
        <w:tc>
          <w:tcPr>
            <w:tcW w:w="1025" w:type="dxa"/>
            <w:tcBorders>
              <w:top w:val="nil"/>
              <w:left w:val="nil"/>
              <w:bottom w:val="single" w:sz="8" w:space="0" w:color="000000"/>
              <w:right w:val="nil"/>
            </w:tcBorders>
            <w:shd w:val="clear" w:color="auto" w:fill="auto"/>
            <w:noWrap/>
            <w:hideMark/>
          </w:tcPr>
          <w:p>
            <w:pPr>
              <w:spacing w:after="0"/>
              <w:rPr>
                <w:i/>
                <w:iCs/>
                <w:noProof/>
                <w:color w:val="000000"/>
                <w:sz w:val="18"/>
                <w:szCs w:val="18"/>
              </w:rPr>
            </w:pPr>
            <w:r>
              <w:rPr>
                <w:i/>
                <w:noProof/>
                <w:color w:val="000000"/>
                <w:sz w:val="18"/>
              </w:rPr>
              <w:t> </w:t>
            </w:r>
          </w:p>
        </w:tc>
        <w:tc>
          <w:tcPr>
            <w:tcW w:w="1273" w:type="dxa"/>
            <w:tcBorders>
              <w:top w:val="nil"/>
              <w:left w:val="single" w:sz="8" w:space="0" w:color="000000"/>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1519"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(SRX/07D.)</w:t>
            </w:r>
          </w:p>
        </w:tc>
        <w:tc>
          <w:tcPr>
            <w:tcW w:w="1104"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579"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Belgien</w:t>
            </w:r>
          </w:p>
        </w:tc>
        <w:tc>
          <w:tcPr>
            <w:tcW w:w="2473" w:type="dxa"/>
            <w:tcBorders>
              <w:top w:val="nil"/>
              <w:left w:val="nil"/>
              <w:bottom w:val="nil"/>
              <w:right w:val="nil"/>
            </w:tcBorders>
            <w:shd w:val="clear" w:color="auto" w:fill="auto"/>
            <w:noWrap/>
            <w:hideMark/>
          </w:tcPr>
          <w:p>
            <w:pPr>
              <w:spacing w:after="0"/>
              <w:rPr>
                <w:noProof/>
                <w:sz w:val="18"/>
                <w:szCs w:val="18"/>
              </w:rPr>
            </w:pPr>
            <w:r>
              <w:rPr>
                <w:noProof/>
                <w:sz w:val="18"/>
              </w:rPr>
              <w:t> </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87</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2792" w:type="dxa"/>
            <w:gridSpan w:val="2"/>
            <w:tcBorders>
              <w:top w:val="single" w:sz="8" w:space="0" w:color="000000"/>
              <w:left w:val="nil"/>
              <w:bottom w:val="nil"/>
              <w:right w:val="nil"/>
            </w:tcBorders>
            <w:shd w:val="clear" w:color="auto" w:fill="auto"/>
            <w:noWrap/>
            <w:hideMark/>
          </w:tcPr>
          <w:p>
            <w:pPr>
              <w:spacing w:after="0"/>
              <w:rPr>
                <w:noProof/>
                <w:color w:val="000000"/>
                <w:sz w:val="18"/>
                <w:szCs w:val="18"/>
              </w:rPr>
            </w:pPr>
            <w:r>
              <w:rPr>
                <w:noProof/>
                <w:color w:val="000000"/>
                <w:sz w:val="18"/>
              </w:rPr>
              <w:t>Vorsorgliche TAC</w:t>
            </w:r>
          </w:p>
        </w:tc>
        <w:tc>
          <w:tcPr>
            <w:tcW w:w="1104"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 </w:t>
            </w:r>
          </w:p>
        </w:tc>
        <w:tc>
          <w:tcPr>
            <w:tcW w:w="579"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 </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Frankreich</w:t>
            </w:r>
          </w:p>
        </w:tc>
        <w:tc>
          <w:tcPr>
            <w:tcW w:w="2473" w:type="dxa"/>
            <w:tcBorders>
              <w:top w:val="nil"/>
              <w:left w:val="nil"/>
              <w:bottom w:val="nil"/>
              <w:right w:val="nil"/>
            </w:tcBorders>
            <w:shd w:val="clear" w:color="auto" w:fill="auto"/>
            <w:noWrap/>
            <w:hideMark/>
          </w:tcPr>
          <w:p>
            <w:pPr>
              <w:spacing w:after="0"/>
              <w:rPr>
                <w:noProof/>
                <w:sz w:val="18"/>
                <w:szCs w:val="18"/>
              </w:rPr>
            </w:pP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729</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4106"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Niederlande</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5</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4106"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Vereinigtes Königreich</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145</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Union</w:t>
            </w:r>
          </w:p>
        </w:tc>
        <w:tc>
          <w:tcPr>
            <w:tcW w:w="2473" w:type="dxa"/>
            <w:tcBorders>
              <w:top w:val="nil"/>
              <w:left w:val="nil"/>
              <w:bottom w:val="nil"/>
              <w:right w:val="nil"/>
            </w:tcBorders>
            <w:shd w:val="clear" w:color="auto" w:fill="auto"/>
            <w:noWrap/>
            <w:hideMark/>
          </w:tcPr>
          <w:p>
            <w:pPr>
              <w:spacing w:after="0"/>
              <w:rPr>
                <w:noProof/>
                <w:sz w:val="18"/>
                <w:szCs w:val="18"/>
              </w:rPr>
            </w:pP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966</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 (2) (3) (4)</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rFonts w:ascii="Calibri" w:hAnsi="Calibri" w:cs="Arial"/>
                <w:noProof/>
                <w:color w:val="000000"/>
                <w:sz w:val="18"/>
                <w:szCs w:val="18"/>
              </w:rPr>
            </w:pPr>
          </w:p>
        </w:tc>
        <w:tc>
          <w:tcPr>
            <w:tcW w:w="2473" w:type="dxa"/>
            <w:tcBorders>
              <w:top w:val="nil"/>
              <w:left w:val="nil"/>
              <w:bottom w:val="nil"/>
              <w:right w:val="nil"/>
            </w:tcBorders>
            <w:shd w:val="clear" w:color="auto" w:fill="auto"/>
            <w:noWrap/>
            <w:hideMark/>
          </w:tcPr>
          <w:p>
            <w:pPr>
              <w:spacing w:after="0"/>
              <w:rPr>
                <w:noProof/>
                <w:sz w:val="18"/>
                <w:szCs w:val="18"/>
              </w:rPr>
            </w:pP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p>
        </w:tc>
        <w:tc>
          <w:tcPr>
            <w:tcW w:w="1025" w:type="dxa"/>
            <w:tcBorders>
              <w:top w:val="nil"/>
              <w:left w:val="nil"/>
              <w:bottom w:val="nil"/>
              <w:right w:val="nil"/>
            </w:tcBorders>
            <w:shd w:val="clear" w:color="auto" w:fill="auto"/>
            <w:noWrap/>
            <w:hideMark/>
          </w:tcPr>
          <w:p>
            <w:pPr>
              <w:spacing w:after="0"/>
              <w:rPr>
                <w:noProof/>
                <w:color w:val="000000"/>
                <w:sz w:val="18"/>
                <w:szCs w:val="18"/>
              </w:rPr>
            </w:pP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TAC</w:t>
            </w:r>
          </w:p>
        </w:tc>
        <w:tc>
          <w:tcPr>
            <w:tcW w:w="2473" w:type="dxa"/>
            <w:tcBorders>
              <w:top w:val="nil"/>
              <w:left w:val="nil"/>
              <w:bottom w:val="nil"/>
              <w:right w:val="nil"/>
            </w:tcBorders>
            <w:shd w:val="clear" w:color="auto" w:fill="auto"/>
            <w:noWrap/>
            <w:hideMark/>
          </w:tcPr>
          <w:p>
            <w:pPr>
              <w:spacing w:after="0"/>
              <w:rPr>
                <w:noProof/>
                <w:sz w:val="18"/>
                <w:szCs w:val="18"/>
              </w:rPr>
            </w:pP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966</w:t>
            </w:r>
          </w:p>
        </w:tc>
        <w:tc>
          <w:tcPr>
            <w:tcW w:w="1025"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(3)(4)</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(1)</w:t>
            </w:r>
          </w:p>
        </w:tc>
        <w:tc>
          <w:tcPr>
            <w:tcW w:w="9051"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Fänge von Kuckucksrochen (</w:t>
            </w:r>
            <w:r>
              <w:rPr>
                <w:i/>
                <w:noProof/>
                <w:sz w:val="18"/>
                <w:vertAlign w:val="superscript"/>
              </w:rPr>
              <w:t>Leucoraja naevus</w:t>
            </w:r>
            <w:r>
              <w:rPr>
                <w:noProof/>
                <w:sz w:val="18"/>
                <w:vertAlign w:val="superscript"/>
              </w:rPr>
              <w:t>) (RJN/07D.), Nagelrochen (</w:t>
            </w:r>
            <w:r>
              <w:rPr>
                <w:i/>
                <w:noProof/>
                <w:sz w:val="18"/>
                <w:vertAlign w:val="superscript"/>
              </w:rPr>
              <w:t>Raja clavata</w:t>
            </w:r>
            <w:r>
              <w:rPr>
                <w:noProof/>
                <w:sz w:val="18"/>
                <w:vertAlign w:val="superscript"/>
              </w:rPr>
              <w:t>) (RJC/07D.), Blondrochen (</w:t>
            </w:r>
            <w:r>
              <w:rPr>
                <w:i/>
                <w:noProof/>
                <w:sz w:val="18"/>
                <w:vertAlign w:val="superscript"/>
              </w:rPr>
              <w:t>Raja brachyura</w:t>
            </w:r>
            <w:r>
              <w:rPr>
                <w:noProof/>
                <w:sz w:val="18"/>
                <w:vertAlign w:val="superscript"/>
              </w:rPr>
              <w:t>) (RJH/07D.), Fleckrochen (</w:t>
            </w:r>
            <w:r>
              <w:rPr>
                <w:i/>
                <w:noProof/>
                <w:sz w:val="18"/>
                <w:vertAlign w:val="superscript"/>
              </w:rPr>
              <w:t>Raja montagui</w:t>
            </w:r>
            <w:r>
              <w:rPr>
                <w:noProof/>
                <w:sz w:val="18"/>
                <w:vertAlign w:val="superscript"/>
              </w:rPr>
              <w:t>) (RJM/07D.) und Perlrochen (</w:t>
            </w:r>
            <w:r>
              <w:rPr>
                <w:i/>
                <w:noProof/>
                <w:sz w:val="18"/>
                <w:vertAlign w:val="superscript"/>
              </w:rPr>
              <w:t>Raja undulata</w:t>
            </w:r>
            <w:r>
              <w:rPr>
                <w:noProof/>
                <w:sz w:val="18"/>
                <w:vertAlign w:val="superscript"/>
              </w:rPr>
              <w:t>) (RJU/07D.) sind getrennt zu melden.</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(2)</w:t>
            </w:r>
          </w:p>
        </w:tc>
        <w:tc>
          <w:tcPr>
            <w:tcW w:w="9051"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Besondere Bedingung: Davon dürfen bis zu 5 % in den Unionsgewässern von VIa, VIb, VIIa-c und VIIe-k (SRX/*67AKD) gefangen werden. Fänge von Kuckucksrochen (</w:t>
            </w:r>
            <w:r>
              <w:rPr>
                <w:i/>
                <w:noProof/>
                <w:sz w:val="18"/>
                <w:vertAlign w:val="superscript"/>
              </w:rPr>
              <w:t>Leucoraja naevus</w:t>
            </w:r>
            <w:r>
              <w:rPr>
                <w:noProof/>
                <w:sz w:val="18"/>
                <w:vertAlign w:val="superscript"/>
              </w:rPr>
              <w:t>) (RJN/*67AKD), Nagelrochen (</w:t>
            </w:r>
            <w:r>
              <w:rPr>
                <w:i/>
                <w:noProof/>
                <w:sz w:val="18"/>
                <w:vertAlign w:val="superscript"/>
              </w:rPr>
              <w:t>Raja clavata</w:t>
            </w:r>
            <w:r>
              <w:rPr>
                <w:noProof/>
                <w:sz w:val="18"/>
                <w:vertAlign w:val="superscript"/>
              </w:rPr>
              <w:t>) (RJC/*67AKD), Blondrochen (</w:t>
            </w:r>
            <w:r>
              <w:rPr>
                <w:i/>
                <w:noProof/>
                <w:sz w:val="18"/>
                <w:vertAlign w:val="superscript"/>
              </w:rPr>
              <w:t>Raja brachyura</w:t>
            </w:r>
            <w:r>
              <w:rPr>
                <w:noProof/>
                <w:sz w:val="18"/>
                <w:vertAlign w:val="superscript"/>
              </w:rPr>
              <w:t>) (RJH/*67AKD), Fleckrochen (</w:t>
            </w:r>
            <w:r>
              <w:rPr>
                <w:i/>
                <w:noProof/>
                <w:sz w:val="18"/>
                <w:vertAlign w:val="superscript"/>
              </w:rPr>
              <w:t>Raja montagui</w:t>
            </w:r>
            <w:r>
              <w:rPr>
                <w:noProof/>
                <w:sz w:val="18"/>
                <w:vertAlign w:val="superscript"/>
              </w:rPr>
              <w:t>) (RJM/*67AKD) sind getrennt zu melden. Diese besondere Bedingung gilt nicht für Perlrochen (</w:t>
            </w:r>
            <w:r>
              <w:rPr>
                <w:i/>
                <w:noProof/>
                <w:sz w:val="18"/>
                <w:vertAlign w:val="superscript"/>
              </w:rPr>
              <w:t>Raja undulata</w:t>
            </w:r>
            <w:r>
              <w:rPr>
                <w:noProof/>
                <w:sz w:val="18"/>
                <w:vertAlign w:val="superscript"/>
              </w:rPr>
              <w:t>).</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(3)</w:t>
            </w:r>
          </w:p>
        </w:tc>
        <w:tc>
          <w:tcPr>
            <w:tcW w:w="9051"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Gilt nicht für Kleinäugigen Rochen (</w:t>
            </w:r>
            <w:r>
              <w:rPr>
                <w:i/>
                <w:noProof/>
                <w:sz w:val="18"/>
                <w:vertAlign w:val="superscript"/>
              </w:rPr>
              <w:t>Raja microocellata</w:t>
            </w:r>
            <w:r>
              <w:rPr>
                <w:noProof/>
                <w:sz w:val="18"/>
                <w:vertAlign w:val="superscript"/>
              </w:rPr>
              <w:t>). Ungewollt gefangenen Exemplaren dieser Arten wird kein Leid zugefügt. Die Fische werden umgehend freigesetzt. Die Fischer werden angehalten, Techniken und Ausrüstungen zu entwickeln und anzuwenden, die das rasche und sichere Aussetzen von Tieren dieser Art erleichtern.</w:t>
            </w:r>
          </w:p>
        </w:tc>
      </w:tr>
      <w:tr>
        <w:trPr>
          <w:trHeight w:val="285"/>
        </w:trPr>
        <w:tc>
          <w:tcPr>
            <w:tcW w:w="163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vertAlign w:val="superscript"/>
              </w:rPr>
              <w:t>(4)</w:t>
            </w:r>
          </w:p>
        </w:tc>
        <w:tc>
          <w:tcPr>
            <w:tcW w:w="9051" w:type="dxa"/>
            <w:gridSpan w:val="7"/>
            <w:tcBorders>
              <w:top w:val="nil"/>
              <w:left w:val="nil"/>
              <w:bottom w:val="nil"/>
              <w:right w:val="nil"/>
            </w:tcBorders>
            <w:shd w:val="clear" w:color="auto" w:fill="auto"/>
            <w:noWrap/>
            <w:hideMark/>
          </w:tcPr>
          <w:p>
            <w:pPr>
              <w:spacing w:after="0"/>
              <w:rPr>
                <w:noProof/>
                <w:sz w:val="18"/>
                <w:szCs w:val="18"/>
              </w:rPr>
            </w:pPr>
            <w:r>
              <w:rPr>
                <w:noProof/>
                <w:sz w:val="18"/>
                <w:vertAlign w:val="superscript"/>
              </w:rPr>
              <w:t>Gilt nicht für Perlrochen (</w:t>
            </w:r>
            <w:r>
              <w:rPr>
                <w:i/>
                <w:noProof/>
                <w:sz w:val="18"/>
                <w:vertAlign w:val="superscript"/>
              </w:rPr>
              <w:t>Raja undulata</w:t>
            </w:r>
            <w:r>
              <w:rPr>
                <w:noProof/>
                <w:sz w:val="18"/>
                <w:vertAlign w:val="superscript"/>
              </w:rPr>
              <w:t>). Diese Art darf in den durch diese TAC regulierten Gebieten nicht gezielt befischt werden. Wenn sie nicht der Pflicht zur Anlandung unterliegen, dürfen Beifänge von Perlrochen in dem durch diese TAC regulierten Gebiet nur ganz oder ausgenommen und nur unter der Voraussetzung, dass sie je Fangreise nicht mehr als 40 Kilogramm Lebendgewicht ausmachen, angelandet werden. Die Fänge dürfen die Quoten gemäß der nachstehenden Tabelle nicht übersteigen. Die vorstehenden Bestimmungen gelten unbeschadet der Verbote gemäß den Artikeln 13 und 46 dieser Verordnung für die darin genannten Gebiete. Beifänge von Perlrochen sind unter folgendem Code getrennt zu melden: (RJU/07D.). Innerhalb der obengenannten Quoten dürfen nur die nachstehenden Mengen Perlrochen gefangen werden:</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single" w:sz="8" w:space="0" w:color="000000"/>
              <w:left w:val="nil"/>
              <w:bottom w:val="nil"/>
              <w:right w:val="nil"/>
            </w:tcBorders>
            <w:shd w:val="clear" w:color="auto" w:fill="auto"/>
            <w:noWrap/>
            <w:hideMark/>
          </w:tcPr>
          <w:p>
            <w:pPr>
              <w:spacing w:after="0"/>
              <w:rPr>
                <w:noProof/>
                <w:color w:val="000000"/>
                <w:sz w:val="18"/>
                <w:szCs w:val="18"/>
              </w:rPr>
            </w:pPr>
            <w:r>
              <w:rPr>
                <w:noProof/>
                <w:color w:val="000000"/>
                <w:sz w:val="18"/>
              </w:rPr>
              <w:t>Art:</w:t>
            </w:r>
          </w:p>
        </w:tc>
        <w:tc>
          <w:tcPr>
            <w:tcW w:w="2103" w:type="dxa"/>
            <w:gridSpan w:val="2"/>
            <w:tcBorders>
              <w:top w:val="single" w:sz="8" w:space="0" w:color="000000"/>
              <w:left w:val="nil"/>
              <w:bottom w:val="nil"/>
              <w:right w:val="nil"/>
            </w:tcBorders>
            <w:shd w:val="clear" w:color="auto" w:fill="auto"/>
            <w:noWrap/>
            <w:hideMark/>
          </w:tcPr>
          <w:p>
            <w:pPr>
              <w:spacing w:after="0"/>
              <w:rPr>
                <w:noProof/>
                <w:sz w:val="18"/>
                <w:szCs w:val="18"/>
              </w:rPr>
            </w:pPr>
            <w:r>
              <w:rPr>
                <w:noProof/>
                <w:sz w:val="18"/>
              </w:rPr>
              <w:t>Perlrochen</w:t>
            </w:r>
          </w:p>
        </w:tc>
        <w:tc>
          <w:tcPr>
            <w:tcW w:w="1273" w:type="dxa"/>
            <w:tcBorders>
              <w:top w:val="single" w:sz="8" w:space="0" w:color="000000"/>
              <w:left w:val="single" w:sz="8" w:space="0" w:color="000000"/>
              <w:bottom w:val="nil"/>
              <w:right w:val="nil"/>
            </w:tcBorders>
            <w:shd w:val="clear" w:color="auto" w:fill="auto"/>
            <w:noWrap/>
            <w:hideMark/>
          </w:tcPr>
          <w:p>
            <w:pPr>
              <w:spacing w:after="0"/>
              <w:rPr>
                <w:noProof/>
                <w:color w:val="000000"/>
                <w:sz w:val="18"/>
                <w:szCs w:val="18"/>
              </w:rPr>
            </w:pPr>
            <w:r>
              <w:rPr>
                <w:noProof/>
                <w:color w:val="000000"/>
                <w:sz w:val="18"/>
              </w:rPr>
              <w:t>Gebiet:</w:t>
            </w:r>
          </w:p>
        </w:tc>
        <w:tc>
          <w:tcPr>
            <w:tcW w:w="2623" w:type="dxa"/>
            <w:gridSpan w:val="2"/>
            <w:tcBorders>
              <w:top w:val="single" w:sz="8" w:space="0" w:color="000000"/>
              <w:left w:val="nil"/>
              <w:bottom w:val="nil"/>
              <w:right w:val="nil"/>
            </w:tcBorders>
            <w:shd w:val="clear" w:color="auto" w:fill="auto"/>
            <w:noWrap/>
            <w:hideMark/>
          </w:tcPr>
          <w:p>
            <w:pPr>
              <w:spacing w:after="0"/>
              <w:rPr>
                <w:noProof/>
                <w:color w:val="000000"/>
                <w:sz w:val="18"/>
                <w:szCs w:val="18"/>
              </w:rPr>
            </w:pPr>
            <w:r>
              <w:rPr>
                <w:noProof/>
                <w:color w:val="000000"/>
                <w:sz w:val="18"/>
              </w:rPr>
              <w:t>Unionsgewässer von VIId</w:t>
            </w:r>
          </w:p>
        </w:tc>
        <w:tc>
          <w:tcPr>
            <w:tcW w:w="579" w:type="dxa"/>
            <w:tcBorders>
              <w:top w:val="single" w:sz="8" w:space="0" w:color="000000"/>
              <w:left w:val="nil"/>
              <w:bottom w:val="nil"/>
              <w:right w:val="nil"/>
            </w:tcBorders>
            <w:shd w:val="clear" w:color="auto" w:fill="auto"/>
            <w:noWrap/>
            <w:hideMark/>
          </w:tcPr>
          <w:p>
            <w:pPr>
              <w:spacing w:after="0"/>
              <w:rPr>
                <w:noProof/>
                <w:color w:val="000000"/>
                <w:sz w:val="18"/>
                <w:szCs w:val="18"/>
              </w:rPr>
            </w:pPr>
            <w:r>
              <w:rPr>
                <w:noProof/>
                <w:color w:val="000000"/>
                <w:sz w:val="18"/>
              </w:rPr>
              <w:t> </w:t>
            </w:r>
          </w:p>
        </w:tc>
      </w:tr>
      <w:tr>
        <w:trPr>
          <w:trHeight w:val="285"/>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2103" w:type="dxa"/>
            <w:gridSpan w:val="2"/>
            <w:tcBorders>
              <w:top w:val="nil"/>
              <w:left w:val="nil"/>
              <w:bottom w:val="single" w:sz="8" w:space="0" w:color="000000"/>
              <w:right w:val="nil"/>
            </w:tcBorders>
            <w:shd w:val="clear" w:color="auto" w:fill="auto"/>
            <w:noWrap/>
            <w:hideMark/>
          </w:tcPr>
          <w:p>
            <w:pPr>
              <w:spacing w:after="0"/>
              <w:rPr>
                <w:i/>
                <w:iCs/>
                <w:noProof/>
                <w:sz w:val="18"/>
                <w:szCs w:val="18"/>
              </w:rPr>
            </w:pPr>
            <w:r>
              <w:rPr>
                <w:i/>
                <w:noProof/>
                <w:sz w:val="18"/>
              </w:rPr>
              <w:t>Raja undulata</w:t>
            </w:r>
          </w:p>
        </w:tc>
        <w:tc>
          <w:tcPr>
            <w:tcW w:w="1273" w:type="dxa"/>
            <w:tcBorders>
              <w:top w:val="nil"/>
              <w:left w:val="single" w:sz="8" w:space="0" w:color="000000"/>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1519"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(RJU/07D.)</w:t>
            </w:r>
          </w:p>
        </w:tc>
        <w:tc>
          <w:tcPr>
            <w:tcW w:w="1104"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c>
          <w:tcPr>
            <w:tcW w:w="579" w:type="dxa"/>
            <w:tcBorders>
              <w:top w:val="nil"/>
              <w:left w:val="nil"/>
              <w:bottom w:val="single" w:sz="8" w:space="0" w:color="000000"/>
              <w:right w:val="nil"/>
            </w:tcBorders>
            <w:shd w:val="clear" w:color="auto" w:fill="auto"/>
            <w:noWrap/>
            <w:hideMark/>
          </w:tcPr>
          <w:p>
            <w:pPr>
              <w:spacing w:after="0"/>
              <w:rPr>
                <w:noProof/>
                <w:color w:val="000000"/>
                <w:sz w:val="18"/>
                <w:szCs w:val="18"/>
              </w:rPr>
            </w:pPr>
            <w:r>
              <w:rPr>
                <w:noProof/>
                <w:color w:val="000000"/>
                <w:sz w:val="18"/>
              </w:rPr>
              <w:t> </w:t>
            </w: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Belgien</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w:t>
            </w:r>
          </w:p>
        </w:tc>
        <w:tc>
          <w:tcPr>
            <w:tcW w:w="127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Vorsorgliche TAC</w:t>
            </w: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Frankreich</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9</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3551"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Niederlande</w:t>
            </w: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0</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3551" w:type="dxa"/>
            <w:gridSpan w:val="2"/>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Vereinigtes Königreich</w:t>
            </w: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2</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Union</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12</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70"/>
        </w:trPr>
        <w:tc>
          <w:tcPr>
            <w:tcW w:w="1633" w:type="dxa"/>
            <w:tcBorders>
              <w:top w:val="nil"/>
              <w:left w:val="nil"/>
              <w:bottom w:val="nil"/>
              <w:right w:val="nil"/>
            </w:tcBorders>
            <w:shd w:val="clear" w:color="auto" w:fill="auto"/>
            <w:noWrap/>
            <w:hideMark/>
          </w:tcPr>
          <w:p>
            <w:pPr>
              <w:spacing w:after="0"/>
              <w:rPr>
                <w:noProof/>
                <w:color w:val="000000"/>
                <w:sz w:val="18"/>
                <w:szCs w:val="18"/>
              </w:rPr>
            </w:pPr>
          </w:p>
        </w:tc>
        <w:tc>
          <w:tcPr>
            <w:tcW w:w="2473" w:type="dxa"/>
            <w:tcBorders>
              <w:top w:val="nil"/>
              <w:left w:val="nil"/>
              <w:bottom w:val="nil"/>
              <w:right w:val="nil"/>
            </w:tcBorders>
            <w:shd w:val="clear" w:color="auto" w:fill="auto"/>
            <w:noWrap/>
            <w:hideMark/>
          </w:tcPr>
          <w:p>
            <w:pPr>
              <w:spacing w:after="0"/>
              <w:rPr>
                <w:noProof/>
                <w:color w:val="000000"/>
                <w:sz w:val="18"/>
                <w:szCs w:val="18"/>
              </w:rPr>
            </w:pPr>
            <w:r>
              <w:rPr>
                <w:noProof/>
                <w:color w:val="000000"/>
                <w:sz w:val="18"/>
              </w:rPr>
              <w:t>TAC</w:t>
            </w:r>
          </w:p>
        </w:tc>
        <w:tc>
          <w:tcPr>
            <w:tcW w:w="1078" w:type="dxa"/>
            <w:tcBorders>
              <w:top w:val="nil"/>
              <w:left w:val="nil"/>
              <w:bottom w:val="nil"/>
              <w:right w:val="nil"/>
            </w:tcBorders>
            <w:shd w:val="clear" w:color="auto" w:fill="auto"/>
            <w:noWrap/>
            <w:hideMark/>
          </w:tcPr>
          <w:p>
            <w:pPr>
              <w:spacing w:after="0"/>
              <w:jc w:val="right"/>
              <w:rPr>
                <w:noProof/>
                <w:color w:val="000000"/>
                <w:sz w:val="18"/>
                <w:szCs w:val="18"/>
              </w:rPr>
            </w:pPr>
          </w:p>
        </w:tc>
        <w:tc>
          <w:tcPr>
            <w:tcW w:w="1025" w:type="dxa"/>
            <w:tcBorders>
              <w:top w:val="nil"/>
              <w:left w:val="nil"/>
              <w:bottom w:val="nil"/>
              <w:right w:val="nil"/>
            </w:tcBorders>
            <w:shd w:val="clear" w:color="auto" w:fill="auto"/>
            <w:noWrap/>
            <w:hideMark/>
          </w:tcPr>
          <w:p>
            <w:pPr>
              <w:spacing w:after="0"/>
              <w:jc w:val="right"/>
              <w:rPr>
                <w:noProof/>
                <w:color w:val="000000"/>
                <w:sz w:val="18"/>
                <w:szCs w:val="18"/>
              </w:rPr>
            </w:pPr>
            <w:r>
              <w:rPr>
                <w:noProof/>
                <w:color w:val="000000"/>
                <w:sz w:val="18"/>
              </w:rPr>
              <w:t>12</w:t>
            </w:r>
          </w:p>
        </w:tc>
        <w:tc>
          <w:tcPr>
            <w:tcW w:w="1273" w:type="dxa"/>
            <w:tcBorders>
              <w:top w:val="nil"/>
              <w:left w:val="nil"/>
              <w:bottom w:val="nil"/>
              <w:right w:val="nil"/>
            </w:tcBorders>
            <w:shd w:val="clear" w:color="auto" w:fill="auto"/>
            <w:noWrap/>
            <w:hideMark/>
          </w:tcPr>
          <w:p>
            <w:pPr>
              <w:spacing w:after="0"/>
              <w:rPr>
                <w:noProof/>
                <w:color w:val="000000"/>
                <w:sz w:val="18"/>
                <w:szCs w:val="18"/>
              </w:rPr>
            </w:pPr>
          </w:p>
        </w:tc>
        <w:tc>
          <w:tcPr>
            <w:tcW w:w="1519" w:type="dxa"/>
            <w:tcBorders>
              <w:top w:val="nil"/>
              <w:left w:val="nil"/>
              <w:bottom w:val="nil"/>
              <w:right w:val="nil"/>
            </w:tcBorders>
            <w:shd w:val="clear" w:color="auto" w:fill="auto"/>
            <w:noWrap/>
            <w:hideMark/>
          </w:tcPr>
          <w:p>
            <w:pPr>
              <w:spacing w:after="0"/>
              <w:rPr>
                <w:noProof/>
                <w:color w:val="000000"/>
                <w:sz w:val="18"/>
                <w:szCs w:val="18"/>
              </w:rPr>
            </w:pPr>
          </w:p>
        </w:tc>
        <w:tc>
          <w:tcPr>
            <w:tcW w:w="1104" w:type="dxa"/>
            <w:tcBorders>
              <w:top w:val="nil"/>
              <w:left w:val="nil"/>
              <w:bottom w:val="nil"/>
              <w:right w:val="nil"/>
            </w:tcBorders>
            <w:shd w:val="clear" w:color="auto" w:fill="auto"/>
            <w:noWrap/>
            <w:hideMark/>
          </w:tcPr>
          <w:p>
            <w:pPr>
              <w:spacing w:after="0"/>
              <w:rPr>
                <w:noProof/>
                <w:color w:val="000000"/>
                <w:sz w:val="18"/>
                <w:szCs w:val="18"/>
              </w:rPr>
            </w:pPr>
          </w:p>
        </w:tc>
        <w:tc>
          <w:tcPr>
            <w:tcW w:w="579" w:type="dxa"/>
            <w:tcBorders>
              <w:top w:val="nil"/>
              <w:left w:val="nil"/>
              <w:bottom w:val="nil"/>
              <w:right w:val="nil"/>
            </w:tcBorders>
            <w:shd w:val="clear" w:color="auto" w:fill="auto"/>
            <w:noWrap/>
            <w:hideMark/>
          </w:tcPr>
          <w:p>
            <w:pPr>
              <w:spacing w:after="0"/>
              <w:rPr>
                <w:noProof/>
                <w:color w:val="000000"/>
                <w:sz w:val="18"/>
                <w:szCs w:val="18"/>
              </w:rPr>
            </w:pPr>
          </w:p>
        </w:tc>
      </w:tr>
      <w:tr>
        <w:trPr>
          <w:trHeight w:val="285"/>
        </w:trPr>
        <w:tc>
          <w:tcPr>
            <w:tcW w:w="1633" w:type="dxa"/>
            <w:tcBorders>
              <w:top w:val="nil"/>
              <w:left w:val="nil"/>
              <w:bottom w:val="single" w:sz="4" w:space="0" w:color="auto"/>
              <w:right w:val="nil"/>
            </w:tcBorders>
            <w:shd w:val="clear" w:color="auto" w:fill="auto"/>
            <w:noWrap/>
            <w:hideMark/>
          </w:tcPr>
          <w:p>
            <w:pPr>
              <w:spacing w:after="0"/>
              <w:rPr>
                <w:noProof/>
                <w:color w:val="000000"/>
                <w:sz w:val="18"/>
                <w:szCs w:val="18"/>
              </w:rPr>
            </w:pPr>
            <w:r>
              <w:rPr>
                <w:noProof/>
                <w:color w:val="000000"/>
                <w:sz w:val="18"/>
                <w:vertAlign w:val="superscript"/>
              </w:rPr>
              <w:t> </w:t>
            </w:r>
          </w:p>
        </w:tc>
        <w:tc>
          <w:tcPr>
            <w:tcW w:w="9051" w:type="dxa"/>
            <w:gridSpan w:val="7"/>
            <w:tcBorders>
              <w:top w:val="nil"/>
              <w:left w:val="nil"/>
              <w:bottom w:val="single" w:sz="4" w:space="0" w:color="auto"/>
              <w:right w:val="nil"/>
            </w:tcBorders>
            <w:shd w:val="clear" w:color="auto" w:fill="auto"/>
            <w:noWrap/>
            <w:hideMark/>
          </w:tcPr>
          <w:p>
            <w:pPr>
              <w:spacing w:after="0"/>
              <w:rPr>
                <w:noProof/>
                <w:color w:val="000000"/>
                <w:sz w:val="16"/>
                <w:szCs w:val="16"/>
              </w:rPr>
            </w:pPr>
            <w:r>
              <w:rPr>
                <w:noProof/>
                <w:color w:val="000000"/>
                <w:sz w:val="16"/>
              </w:rPr>
              <w:t>Besondere Bedingung: Davon dürfen bis zu 5 % in den Unionsgewässern von VIIe gefangen werden. Sie sind unter folgendem Code zu melden: (RJU/*67AKD). Diese besondere Bedingung gilt unbeschadet der Verbote gemäß den Artikeln 13 und 46 dieser Verordnung für die darin genannten Gebiete.</w:t>
            </w:r>
          </w:p>
        </w:tc>
      </w:tr>
      <w:tr>
        <w:trPr>
          <w:trHeight w:val="270"/>
        </w:trPr>
        <w:tc>
          <w:tcPr>
            <w:tcW w:w="1633"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c>
          <w:tcPr>
            <w:tcW w:w="2473"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sz w:val="18"/>
                <w:szCs w:val="18"/>
              </w:rPr>
            </w:pPr>
          </w:p>
        </w:tc>
        <w:tc>
          <w:tcPr>
            <w:tcW w:w="1078" w:type="dxa"/>
            <w:tcBorders>
              <w:top w:val="single" w:sz="4" w:space="0" w:color="auto"/>
              <w:left w:val="nil"/>
              <w:bottom w:val="single" w:sz="4" w:space="0" w:color="auto"/>
              <w:right w:val="nil"/>
            </w:tcBorders>
            <w:shd w:val="clear" w:color="auto" w:fill="auto"/>
            <w:noWrap/>
            <w:hideMark/>
          </w:tcPr>
          <w:p>
            <w:pPr>
              <w:spacing w:after="0"/>
              <w:jc w:val="right"/>
              <w:rPr>
                <w:rFonts w:ascii="Calibri" w:hAnsi="Calibri" w:cs="Arial"/>
                <w:noProof/>
                <w:color w:val="000000"/>
                <w:sz w:val="18"/>
                <w:szCs w:val="18"/>
              </w:rPr>
            </w:pPr>
          </w:p>
        </w:tc>
        <w:tc>
          <w:tcPr>
            <w:tcW w:w="1025"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c>
          <w:tcPr>
            <w:tcW w:w="1273"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c>
          <w:tcPr>
            <w:tcW w:w="1519"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c>
          <w:tcPr>
            <w:tcW w:w="1104"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c>
          <w:tcPr>
            <w:tcW w:w="579" w:type="dxa"/>
            <w:tcBorders>
              <w:top w:val="single" w:sz="4" w:space="0" w:color="auto"/>
              <w:left w:val="nil"/>
              <w:bottom w:val="single" w:sz="4" w:space="0" w:color="auto"/>
              <w:right w:val="nil"/>
            </w:tcBorders>
            <w:shd w:val="clear" w:color="auto" w:fill="auto"/>
            <w:noWrap/>
            <w:hideMark/>
          </w:tcPr>
          <w:p>
            <w:pPr>
              <w:spacing w:after="0"/>
              <w:rPr>
                <w:rFonts w:ascii="Calibri" w:hAnsi="Calibri" w:cs="Arial"/>
                <w:noProof/>
                <w:color w:val="000000"/>
                <w:sz w:val="18"/>
                <w:szCs w:val="18"/>
              </w:rPr>
            </w:pPr>
          </w:p>
        </w:tc>
      </w:tr>
    </w:tbl>
    <w:p>
      <w:pPr>
        <w:pStyle w:val="Point0"/>
        <w:rPr>
          <w:noProof/>
        </w:rPr>
      </w:pPr>
      <w:r>
        <w:rPr>
          <w:noProof/>
        </w:rPr>
        <w:t>2.</w:t>
      </w:r>
      <w:r>
        <w:rPr>
          <w:noProof/>
        </w:rPr>
        <w:tab/>
        <w:t>Anhang IB der Verordnung (EU) 2016/72 wird wie folgt geändert:</w:t>
      </w:r>
    </w:p>
    <w:p>
      <w:pPr>
        <w:pStyle w:val="Point1"/>
        <w:ind w:left="1440" w:hanging="590"/>
        <w:rPr>
          <w:noProof/>
        </w:rPr>
      </w:pPr>
      <w:r>
        <w:rPr>
          <w:noProof/>
        </w:rPr>
        <w:t>a)</w:t>
      </w:r>
      <w:r>
        <w:rPr>
          <w:noProof/>
        </w:rPr>
        <w:tab/>
        <w:t>Die Tabelle mit den Fangmöglichkeiten für Kabeljau in den norwegischen Gewässern von I und II erhält folgende Fassung:</w:t>
      </w:r>
    </w:p>
    <w:tbl>
      <w:tblPr>
        <w:tblW w:w="9781" w:type="dxa"/>
        <w:tblInd w:w="108" w:type="dxa"/>
        <w:tblLook w:val="04A0" w:firstRow="1" w:lastRow="0" w:firstColumn="1" w:lastColumn="0" w:noHBand="0" w:noVBand="1"/>
      </w:tblPr>
      <w:tblGrid>
        <w:gridCol w:w="1866"/>
        <w:gridCol w:w="1008"/>
        <w:gridCol w:w="1008"/>
        <w:gridCol w:w="1267"/>
        <w:gridCol w:w="4632"/>
      </w:tblGrid>
      <w:tr>
        <w:trPr>
          <w:trHeight w:val="270"/>
        </w:trPr>
        <w:tc>
          <w:tcPr>
            <w:tcW w:w="1866" w:type="dxa"/>
            <w:tcBorders>
              <w:top w:val="single" w:sz="8" w:space="0" w:color="auto"/>
              <w:left w:val="nil"/>
              <w:bottom w:val="nil"/>
              <w:right w:val="nil"/>
            </w:tcBorders>
            <w:noWrap/>
            <w:vAlign w:val="bottom"/>
            <w:hideMark/>
          </w:tcPr>
          <w:p>
            <w:pPr>
              <w:spacing w:after="0"/>
              <w:rPr>
                <w:noProof/>
              </w:rPr>
            </w:pPr>
            <w:r>
              <w:rPr>
                <w:noProof/>
                <w:color w:val="000000"/>
                <w:sz w:val="18"/>
              </w:rPr>
              <w:t>Art:</w:t>
            </w:r>
          </w:p>
        </w:tc>
        <w:tc>
          <w:tcPr>
            <w:tcW w:w="100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Kabeljau</w:t>
            </w:r>
          </w:p>
        </w:tc>
        <w:tc>
          <w:tcPr>
            <w:tcW w:w="100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267"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Gebiet:</w:t>
            </w:r>
          </w:p>
        </w:tc>
        <w:tc>
          <w:tcPr>
            <w:tcW w:w="4632"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Norwegische Gewässer von I und II</w:t>
            </w:r>
          </w:p>
        </w:tc>
      </w:tr>
      <w:tr>
        <w:trPr>
          <w:trHeight w:val="285"/>
        </w:trPr>
        <w:tc>
          <w:tcPr>
            <w:tcW w:w="186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1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1267"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632"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(COD/1N2AB.)</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Deutschland</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2 405</w:t>
            </w:r>
          </w:p>
        </w:tc>
        <w:tc>
          <w:tcPr>
            <w:tcW w:w="1008" w:type="dxa"/>
            <w:noWrap/>
            <w:vAlign w:val="bottom"/>
            <w:hideMark/>
          </w:tcPr>
          <w:p>
            <w:pPr>
              <w:spacing w:after="0" w:line="276" w:lineRule="auto"/>
              <w:rPr>
                <w:noProof/>
                <w:sz w:val="22"/>
              </w:rPr>
            </w:pPr>
          </w:p>
        </w:tc>
        <w:tc>
          <w:tcPr>
            <w:tcW w:w="5899" w:type="dxa"/>
            <w:gridSpan w:val="2"/>
            <w:noWrap/>
            <w:vAlign w:val="center"/>
            <w:hideMark/>
          </w:tcPr>
          <w:p>
            <w:pPr>
              <w:spacing w:after="0"/>
              <w:rPr>
                <w:rFonts w:eastAsia="Times New Roman"/>
                <w:noProof/>
                <w:color w:val="000000"/>
                <w:sz w:val="18"/>
                <w:szCs w:val="18"/>
              </w:rPr>
            </w:pPr>
            <w:r>
              <w:rPr>
                <w:noProof/>
                <w:color w:val="000000"/>
                <w:sz w:val="18"/>
              </w:rPr>
              <w:t>Analytische TAC</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Griechenland</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298</w:t>
            </w:r>
          </w:p>
        </w:tc>
        <w:tc>
          <w:tcPr>
            <w:tcW w:w="1008" w:type="dxa"/>
            <w:noWrap/>
            <w:vAlign w:val="bottom"/>
            <w:hideMark/>
          </w:tcPr>
          <w:p>
            <w:pPr>
              <w:spacing w:after="0" w:line="276" w:lineRule="auto"/>
              <w:rPr>
                <w:noProof/>
                <w:sz w:val="22"/>
              </w:rPr>
            </w:pPr>
          </w:p>
        </w:tc>
        <w:tc>
          <w:tcPr>
            <w:tcW w:w="5899" w:type="dxa"/>
            <w:gridSpan w:val="2"/>
            <w:noWrap/>
            <w:vAlign w:val="center"/>
            <w:hideMark/>
          </w:tcPr>
          <w:p>
            <w:pPr>
              <w:spacing w:after="0"/>
              <w:rPr>
                <w:rFonts w:eastAsia="Times New Roman"/>
                <w:noProof/>
                <w:color w:val="000000"/>
                <w:sz w:val="18"/>
                <w:szCs w:val="18"/>
              </w:rPr>
            </w:pPr>
            <w:r>
              <w:rPr>
                <w:noProof/>
                <w:color w:val="000000"/>
                <w:sz w:val="18"/>
              </w:rPr>
              <w:t>Artikel 3 der Verordnung (EG) Nr. 847/96 gilt nicht.</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Spanien</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2 682</w:t>
            </w:r>
          </w:p>
        </w:tc>
        <w:tc>
          <w:tcPr>
            <w:tcW w:w="1008" w:type="dxa"/>
            <w:noWrap/>
            <w:vAlign w:val="bottom"/>
            <w:hideMark/>
          </w:tcPr>
          <w:p>
            <w:pPr>
              <w:spacing w:after="0" w:line="276" w:lineRule="auto"/>
              <w:rPr>
                <w:noProof/>
                <w:sz w:val="22"/>
              </w:rPr>
            </w:pPr>
          </w:p>
        </w:tc>
        <w:tc>
          <w:tcPr>
            <w:tcW w:w="5899" w:type="dxa"/>
            <w:gridSpan w:val="2"/>
            <w:noWrap/>
            <w:vAlign w:val="center"/>
            <w:hideMark/>
          </w:tcPr>
          <w:p>
            <w:pPr>
              <w:spacing w:after="0"/>
              <w:rPr>
                <w:rFonts w:eastAsia="Times New Roman"/>
                <w:noProof/>
                <w:color w:val="000000"/>
                <w:sz w:val="18"/>
                <w:szCs w:val="18"/>
              </w:rPr>
            </w:pPr>
            <w:r>
              <w:rPr>
                <w:noProof/>
                <w:color w:val="000000"/>
                <w:sz w:val="18"/>
              </w:rPr>
              <w:t>Artikel 4 der Verordnung (EG) Nr. 847/96 gilt nicht.</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Irland</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298</w:t>
            </w: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Frankreich</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2 207</w:t>
            </w: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Portugal</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2 682</w:t>
            </w: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Vereinigtes Königreich</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9 328</w:t>
            </w: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Union</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19 900</w:t>
            </w: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70"/>
        </w:trPr>
        <w:tc>
          <w:tcPr>
            <w:tcW w:w="1866"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r>
        <w:trPr>
          <w:trHeight w:val="285"/>
        </w:trPr>
        <w:tc>
          <w:tcPr>
            <w:tcW w:w="186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TAC</w:t>
            </w:r>
          </w:p>
        </w:tc>
        <w:tc>
          <w:tcPr>
            <w:tcW w:w="1008"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rPr>
            </w:pPr>
            <w:r>
              <w:rPr>
                <w:noProof/>
                <w:color w:val="000000"/>
                <w:sz w:val="18"/>
              </w:rPr>
              <w:t>Entfällt</w:t>
            </w:r>
          </w:p>
        </w:tc>
        <w:tc>
          <w:tcPr>
            <w:tcW w:w="100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267"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632"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866"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4632" w:type="dxa"/>
            <w:noWrap/>
            <w:vAlign w:val="bottom"/>
            <w:hideMark/>
          </w:tcPr>
          <w:p>
            <w:pPr>
              <w:spacing w:after="0" w:line="276" w:lineRule="auto"/>
              <w:rPr>
                <w:noProof/>
                <w:sz w:val="22"/>
              </w:rPr>
            </w:pPr>
          </w:p>
        </w:tc>
      </w:tr>
    </w:tbl>
    <w:p>
      <w:pPr>
        <w:pStyle w:val="Point1"/>
        <w:ind w:left="1440" w:hanging="590"/>
        <w:rPr>
          <w:noProof/>
        </w:rPr>
      </w:pPr>
      <w:r>
        <w:rPr>
          <w:noProof/>
        </w:rPr>
        <w:t xml:space="preserve"> b)</w:t>
      </w:r>
      <w:r>
        <w:rPr>
          <w:noProof/>
        </w:rPr>
        <w:tab/>
        <w:t>Die Tabelle mit den Fangmöglichkeiten für Kabeljau in den Gebieten I und IIb erhält folgende Fassung:</w:t>
      </w:r>
    </w:p>
    <w:tbl>
      <w:tblPr>
        <w:tblW w:w="9760" w:type="dxa"/>
        <w:tblInd w:w="108" w:type="dxa"/>
        <w:tblLook w:val="04A0" w:firstRow="1" w:lastRow="0" w:firstColumn="1" w:lastColumn="0" w:noHBand="0" w:noVBand="1"/>
      </w:tblPr>
      <w:tblGrid>
        <w:gridCol w:w="2036"/>
        <w:gridCol w:w="2036"/>
        <w:gridCol w:w="876"/>
        <w:gridCol w:w="976"/>
        <w:gridCol w:w="3836"/>
      </w:tblGrid>
      <w:tr>
        <w:trPr>
          <w:trHeight w:val="330"/>
        </w:trPr>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Art:</w:t>
            </w:r>
          </w:p>
        </w:tc>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Kabeljau</w:t>
            </w:r>
          </w:p>
        </w:tc>
        <w:tc>
          <w:tcPr>
            <w:tcW w:w="87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Gebiet:</w:t>
            </w:r>
          </w:p>
        </w:tc>
        <w:tc>
          <w:tcPr>
            <w:tcW w:w="38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I und IIb</w:t>
            </w:r>
          </w:p>
        </w:tc>
      </w:tr>
      <w:tr>
        <w:trPr>
          <w:trHeight w:val="330"/>
        </w:trPr>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i/>
                <w:iCs/>
                <w:noProof/>
                <w:color w:val="000000"/>
                <w:sz w:val="18"/>
                <w:szCs w:val="18"/>
              </w:rPr>
            </w:pPr>
            <w:r>
              <w:rPr>
                <w:i/>
                <w:noProof/>
                <w:color w:val="000000"/>
                <w:sz w:val="18"/>
              </w:rPr>
              <w:t>Gadus morhua</w:t>
            </w:r>
          </w:p>
        </w:tc>
        <w:tc>
          <w:tcPr>
            <w:tcW w:w="87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 </w:t>
            </w:r>
          </w:p>
        </w:tc>
        <w:tc>
          <w:tcPr>
            <w:tcW w:w="976"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 </w:t>
            </w:r>
          </w:p>
        </w:tc>
        <w:tc>
          <w:tcPr>
            <w:tcW w:w="38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(COD/1/2B.)</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Deutschland</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 xml:space="preserve"> 6 593</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4812"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Analytische TAC</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Spanien</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 xml:space="preserve"> 13 192</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4812"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Artikel 3 der Verordnung (EG) Nr. 847/96 gilt nicht.</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Frankreich</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 xml:space="preserve"> 3 122</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4812"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rPr>
            </w:pPr>
            <w:r>
              <w:rPr>
                <w:noProof/>
                <w:color w:val="000000"/>
                <w:sz w:val="18"/>
              </w:rPr>
              <w:t>Artikel 4 der Verordnung (EG) Nr. 847/96 gilt nicht.</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Polen</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 xml:space="preserve"> 2 728</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Portugal</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 xml:space="preserve"> 2 643</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Vereinigtes Königreich</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 xml:space="preserve"> 4 403</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(3)</w:t>
            </w: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Andere Mitgliedstaaten</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 xml:space="preserve">  495</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(1) (3)</w:t>
            </w: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Union</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 xml:space="preserve"> 33 176</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vertAlign w:val="superscript"/>
              </w:rPr>
              <w:t>(2)</w:t>
            </w: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036"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rPr>
            </w:pP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r>
              <w:rPr>
                <w:noProof/>
                <w:color w:val="000000"/>
                <w:sz w:val="18"/>
              </w:rPr>
              <w:t>TAC</w:t>
            </w:r>
          </w:p>
        </w:tc>
        <w:tc>
          <w:tcPr>
            <w:tcW w:w="2036" w:type="dxa"/>
            <w:tcBorders>
              <w:top w:val="nil"/>
              <w:left w:val="nil"/>
              <w:bottom w:val="nil"/>
              <w:right w:val="nil"/>
            </w:tcBorders>
            <w:shd w:val="clear" w:color="auto" w:fill="auto"/>
            <w:noWrap/>
            <w:vAlign w:val="bottom"/>
            <w:hideMark/>
          </w:tcPr>
          <w:p>
            <w:pPr>
              <w:spacing w:before="0" w:after="0"/>
              <w:jc w:val="right"/>
              <w:rPr>
                <w:rFonts w:eastAsia="Times New Roman"/>
                <w:noProof/>
                <w:color w:val="000000"/>
                <w:sz w:val="18"/>
                <w:szCs w:val="18"/>
              </w:rPr>
            </w:pPr>
            <w:r>
              <w:rPr>
                <w:noProof/>
                <w:color w:val="000000"/>
                <w:sz w:val="18"/>
              </w:rPr>
              <w:t>Entfällt</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(1)</w:t>
            </w:r>
          </w:p>
        </w:tc>
        <w:tc>
          <w:tcPr>
            <w:tcW w:w="388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Ausgenommen Deutschland, Spanien, Frankreich, Polen, Portugal und das Vereinigte Königreich.</w:t>
            </w: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r>
        <w:trPr>
          <w:trHeight w:val="330"/>
        </w:trPr>
        <w:tc>
          <w:tcPr>
            <w:tcW w:w="20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(2)</w:t>
            </w:r>
          </w:p>
        </w:tc>
        <w:tc>
          <w:tcPr>
            <w:tcW w:w="7724"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color w:val="000000"/>
                <w:sz w:val="18"/>
                <w:vertAlign w:val="superscript"/>
              </w:rPr>
              <w:t>Die Zuweisung des Anteils an dem der Union im Gebiet um Spitzbergen und die Bäreninsel zur Verfügung stehenden Kabeljaubestand und den zugehörigen Beifängen an Schellfisch berührt nicht die Rechte und Pflichten im Zusammenhang mit dem Pariser Vertrag von 1920.</w:t>
            </w:r>
          </w:p>
        </w:tc>
      </w:tr>
      <w:tr>
        <w:trPr>
          <w:trHeight w:val="330"/>
        </w:trPr>
        <w:tc>
          <w:tcPr>
            <w:tcW w:w="20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(3)</w:t>
            </w:r>
          </w:p>
        </w:tc>
        <w:tc>
          <w:tcPr>
            <w:tcW w:w="7724" w:type="dxa"/>
            <w:gridSpan w:val="4"/>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Die Beifänge an Schellfisch dürfen bis zu 14 % pro Hol ausmachen. Die Beifangmengen an Schellfisch kommen zu der Quote für Kabeljau hinzu.</w:t>
            </w:r>
          </w:p>
        </w:tc>
      </w:tr>
      <w:tr>
        <w:trPr>
          <w:trHeight w:val="330"/>
        </w:trPr>
        <w:tc>
          <w:tcPr>
            <w:tcW w:w="203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rPr>
            </w:pPr>
          </w:p>
        </w:tc>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c>
          <w:tcPr>
            <w:tcW w:w="38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rPr>
            </w:pPr>
          </w:p>
        </w:tc>
      </w:tr>
    </w:tbl>
    <w:p>
      <w:pPr>
        <w:pStyle w:val="Point1"/>
        <w:rPr>
          <w:noProof/>
        </w:rPr>
      </w:pPr>
      <w:r>
        <w:rPr>
          <w:noProof/>
        </w:rPr>
        <w:t>c)</w:t>
      </w:r>
      <w:r>
        <w:rPr>
          <w:noProof/>
        </w:rPr>
        <w:tab/>
        <w:t>Die Tabelle mit den Fangmöglichkeiten für Schellfisch in den norwegischen Gewässern von I und II erhält folgende Fassung:</w:t>
      </w:r>
    </w:p>
    <w:tbl>
      <w:tblPr>
        <w:tblW w:w="7857" w:type="dxa"/>
        <w:tblInd w:w="108" w:type="dxa"/>
        <w:tblLook w:val="04A0" w:firstRow="1" w:lastRow="0" w:firstColumn="1" w:lastColumn="0" w:noHBand="0" w:noVBand="1"/>
      </w:tblPr>
      <w:tblGrid>
        <w:gridCol w:w="1866"/>
        <w:gridCol w:w="1016"/>
        <w:gridCol w:w="1008"/>
        <w:gridCol w:w="1267"/>
        <w:gridCol w:w="2708"/>
      </w:tblGrid>
      <w:tr>
        <w:trPr>
          <w:trHeight w:val="270"/>
        </w:trPr>
        <w:tc>
          <w:tcPr>
            <w:tcW w:w="1866"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Art:</w:t>
            </w:r>
          </w:p>
        </w:tc>
        <w:tc>
          <w:tcPr>
            <w:tcW w:w="100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Schellfisch</w:t>
            </w:r>
          </w:p>
        </w:tc>
        <w:tc>
          <w:tcPr>
            <w:tcW w:w="100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267"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Gebiet:</w:t>
            </w:r>
          </w:p>
        </w:tc>
        <w:tc>
          <w:tcPr>
            <w:tcW w:w="270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Norwegische Gewässer von I und II</w:t>
            </w:r>
          </w:p>
        </w:tc>
      </w:tr>
      <w:tr>
        <w:trPr>
          <w:trHeight w:val="285"/>
        </w:trPr>
        <w:tc>
          <w:tcPr>
            <w:tcW w:w="186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1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Melanogrammus aeglefinus</w:t>
            </w:r>
          </w:p>
        </w:tc>
        <w:tc>
          <w:tcPr>
            <w:tcW w:w="1267"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70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(HAD/1N2AB.)</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Deutschland</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267</w:t>
            </w:r>
          </w:p>
        </w:tc>
        <w:tc>
          <w:tcPr>
            <w:tcW w:w="1008" w:type="dxa"/>
            <w:noWrap/>
            <w:vAlign w:val="bottom"/>
            <w:hideMark/>
          </w:tcPr>
          <w:p>
            <w:pPr>
              <w:spacing w:after="0" w:line="276" w:lineRule="auto"/>
              <w:rPr>
                <w:noProof/>
                <w:sz w:val="22"/>
              </w:rPr>
            </w:pPr>
          </w:p>
        </w:tc>
        <w:tc>
          <w:tcPr>
            <w:tcW w:w="3975" w:type="dxa"/>
            <w:gridSpan w:val="2"/>
            <w:noWrap/>
            <w:vAlign w:val="center"/>
            <w:hideMark/>
          </w:tcPr>
          <w:p>
            <w:pPr>
              <w:spacing w:after="0"/>
              <w:rPr>
                <w:rFonts w:eastAsia="Times New Roman"/>
                <w:noProof/>
                <w:color w:val="000000"/>
                <w:sz w:val="18"/>
                <w:szCs w:val="18"/>
              </w:rPr>
            </w:pPr>
            <w:r>
              <w:rPr>
                <w:noProof/>
                <w:color w:val="000000"/>
                <w:sz w:val="18"/>
              </w:rPr>
              <w:t>Analytische TAC</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Frankreich</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160</w:t>
            </w:r>
          </w:p>
        </w:tc>
        <w:tc>
          <w:tcPr>
            <w:tcW w:w="1008" w:type="dxa"/>
            <w:noWrap/>
            <w:vAlign w:val="bottom"/>
            <w:hideMark/>
          </w:tcPr>
          <w:p>
            <w:pPr>
              <w:spacing w:after="0" w:line="276" w:lineRule="auto"/>
              <w:rPr>
                <w:noProof/>
                <w:sz w:val="22"/>
              </w:rPr>
            </w:pPr>
          </w:p>
        </w:tc>
        <w:tc>
          <w:tcPr>
            <w:tcW w:w="3975" w:type="dxa"/>
            <w:gridSpan w:val="2"/>
            <w:noWrap/>
            <w:vAlign w:val="center"/>
            <w:hideMark/>
          </w:tcPr>
          <w:p>
            <w:pPr>
              <w:spacing w:after="0"/>
              <w:rPr>
                <w:rFonts w:eastAsia="Times New Roman"/>
                <w:noProof/>
                <w:color w:val="000000"/>
                <w:sz w:val="18"/>
                <w:szCs w:val="18"/>
              </w:rPr>
            </w:pPr>
            <w:r>
              <w:rPr>
                <w:noProof/>
                <w:color w:val="000000"/>
                <w:sz w:val="18"/>
              </w:rPr>
              <w:t>Artikel 3 der Verordnung (EG) Nr. 847/96 gilt nicht.</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Vereinigtes Königreich</w:t>
            </w:r>
          </w:p>
        </w:tc>
        <w:tc>
          <w:tcPr>
            <w:tcW w:w="1008" w:type="dxa"/>
            <w:noWrap/>
            <w:vAlign w:val="center"/>
            <w:hideMark/>
          </w:tcPr>
          <w:p>
            <w:pPr>
              <w:spacing w:after="0"/>
              <w:jc w:val="right"/>
              <w:rPr>
                <w:rFonts w:eastAsia="Times New Roman"/>
                <w:noProof/>
                <w:color w:val="000000"/>
                <w:sz w:val="18"/>
                <w:szCs w:val="18"/>
              </w:rPr>
            </w:pPr>
            <w:r>
              <w:rPr>
                <w:noProof/>
                <w:color w:val="000000"/>
                <w:sz w:val="18"/>
              </w:rPr>
              <w:t xml:space="preserve">  820</w:t>
            </w:r>
          </w:p>
        </w:tc>
        <w:tc>
          <w:tcPr>
            <w:tcW w:w="1008" w:type="dxa"/>
            <w:noWrap/>
            <w:vAlign w:val="bottom"/>
            <w:hideMark/>
          </w:tcPr>
          <w:p>
            <w:pPr>
              <w:spacing w:after="0" w:line="276" w:lineRule="auto"/>
              <w:rPr>
                <w:noProof/>
                <w:sz w:val="22"/>
              </w:rPr>
            </w:pPr>
          </w:p>
        </w:tc>
        <w:tc>
          <w:tcPr>
            <w:tcW w:w="3975" w:type="dxa"/>
            <w:gridSpan w:val="2"/>
            <w:noWrap/>
            <w:vAlign w:val="center"/>
            <w:hideMark/>
          </w:tcPr>
          <w:p>
            <w:pPr>
              <w:spacing w:after="0"/>
              <w:rPr>
                <w:rFonts w:eastAsia="Times New Roman"/>
                <w:noProof/>
                <w:color w:val="000000"/>
                <w:sz w:val="18"/>
                <w:szCs w:val="18"/>
              </w:rPr>
            </w:pPr>
            <w:r>
              <w:rPr>
                <w:noProof/>
                <w:color w:val="000000"/>
                <w:sz w:val="18"/>
              </w:rPr>
              <w:t>Artikel 4 der Verordnung (EG) Nr. 847/96 gilt nicht.</w:t>
            </w: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Union</w:t>
            </w:r>
          </w:p>
        </w:tc>
        <w:tc>
          <w:tcPr>
            <w:tcW w:w="1008" w:type="dxa"/>
            <w:noWrap/>
            <w:vAlign w:val="bottom"/>
            <w:hideMark/>
          </w:tcPr>
          <w:p>
            <w:pPr>
              <w:spacing w:after="0"/>
              <w:jc w:val="right"/>
              <w:rPr>
                <w:rFonts w:eastAsia="Times New Roman"/>
                <w:noProof/>
                <w:color w:val="000000"/>
                <w:sz w:val="18"/>
                <w:szCs w:val="18"/>
              </w:rPr>
            </w:pPr>
            <w:r>
              <w:rPr>
                <w:noProof/>
                <w:color w:val="000000"/>
                <w:sz w:val="18"/>
              </w:rPr>
              <w:t xml:space="preserve"> 1 247</w:t>
            </w:r>
          </w:p>
        </w:tc>
        <w:tc>
          <w:tcPr>
            <w:tcW w:w="1008" w:type="dxa"/>
            <w:noWrap/>
            <w:vAlign w:val="bottom"/>
            <w:hideMark/>
          </w:tcPr>
          <w:p>
            <w:pPr>
              <w:spacing w:after="0" w:line="276" w:lineRule="auto"/>
              <w:rPr>
                <w:noProof/>
                <w:sz w:val="22"/>
              </w:rPr>
            </w:pPr>
          </w:p>
        </w:tc>
        <w:tc>
          <w:tcPr>
            <w:tcW w:w="1267" w:type="dxa"/>
            <w:noWrap/>
            <w:vAlign w:val="center"/>
            <w:hideMark/>
          </w:tcPr>
          <w:p>
            <w:pPr>
              <w:spacing w:after="0" w:line="276" w:lineRule="auto"/>
              <w:rPr>
                <w:noProof/>
                <w:sz w:val="22"/>
              </w:rPr>
            </w:pPr>
          </w:p>
        </w:tc>
        <w:tc>
          <w:tcPr>
            <w:tcW w:w="2708" w:type="dxa"/>
            <w:noWrap/>
            <w:vAlign w:val="center"/>
            <w:hideMark/>
          </w:tcPr>
          <w:p>
            <w:pPr>
              <w:spacing w:after="0" w:line="276" w:lineRule="auto"/>
              <w:rPr>
                <w:noProof/>
                <w:sz w:val="22"/>
              </w:rPr>
            </w:pPr>
          </w:p>
        </w:tc>
      </w:tr>
      <w:tr>
        <w:trPr>
          <w:trHeight w:val="270"/>
        </w:trPr>
        <w:tc>
          <w:tcPr>
            <w:tcW w:w="1866"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267" w:type="dxa"/>
            <w:noWrap/>
            <w:vAlign w:val="center"/>
            <w:hideMark/>
          </w:tcPr>
          <w:p>
            <w:pPr>
              <w:spacing w:after="0" w:line="276" w:lineRule="auto"/>
              <w:rPr>
                <w:noProof/>
                <w:sz w:val="22"/>
              </w:rPr>
            </w:pPr>
          </w:p>
        </w:tc>
        <w:tc>
          <w:tcPr>
            <w:tcW w:w="2708" w:type="dxa"/>
            <w:noWrap/>
            <w:vAlign w:val="center"/>
            <w:hideMark/>
          </w:tcPr>
          <w:p>
            <w:pPr>
              <w:spacing w:after="0" w:line="276" w:lineRule="auto"/>
              <w:rPr>
                <w:noProof/>
                <w:sz w:val="22"/>
              </w:rPr>
            </w:pPr>
          </w:p>
        </w:tc>
      </w:tr>
      <w:tr>
        <w:trPr>
          <w:trHeight w:val="270"/>
        </w:trPr>
        <w:tc>
          <w:tcPr>
            <w:tcW w:w="1866" w:type="dxa"/>
            <w:noWrap/>
            <w:vAlign w:val="bottom"/>
            <w:hideMark/>
          </w:tcPr>
          <w:p>
            <w:pPr>
              <w:spacing w:after="0"/>
              <w:rPr>
                <w:rFonts w:eastAsia="Times New Roman"/>
                <w:noProof/>
                <w:color w:val="000000"/>
                <w:sz w:val="18"/>
                <w:szCs w:val="18"/>
              </w:rPr>
            </w:pPr>
            <w:r>
              <w:rPr>
                <w:noProof/>
                <w:color w:val="000000"/>
                <w:sz w:val="18"/>
              </w:rPr>
              <w:t>TAC</w:t>
            </w:r>
          </w:p>
        </w:tc>
        <w:tc>
          <w:tcPr>
            <w:tcW w:w="1008" w:type="dxa"/>
            <w:noWrap/>
            <w:vAlign w:val="bottom"/>
            <w:hideMark/>
          </w:tcPr>
          <w:p>
            <w:pPr>
              <w:spacing w:after="0"/>
              <w:jc w:val="right"/>
              <w:rPr>
                <w:rFonts w:eastAsia="Times New Roman"/>
                <w:noProof/>
                <w:color w:val="000000"/>
                <w:sz w:val="18"/>
                <w:szCs w:val="18"/>
              </w:rPr>
            </w:pPr>
            <w:r>
              <w:rPr>
                <w:noProof/>
                <w:color w:val="000000"/>
                <w:sz w:val="18"/>
              </w:rPr>
              <w:t>Entfällt</w:t>
            </w:r>
          </w:p>
        </w:tc>
        <w:tc>
          <w:tcPr>
            <w:tcW w:w="1008" w:type="dxa"/>
            <w:noWrap/>
            <w:vAlign w:val="bottom"/>
            <w:hideMark/>
          </w:tcPr>
          <w:p>
            <w:pPr>
              <w:spacing w:after="0" w:line="276" w:lineRule="auto"/>
              <w:rPr>
                <w:noProof/>
                <w:sz w:val="22"/>
              </w:rPr>
            </w:pPr>
          </w:p>
        </w:tc>
        <w:tc>
          <w:tcPr>
            <w:tcW w:w="1267" w:type="dxa"/>
            <w:noWrap/>
            <w:vAlign w:val="center"/>
            <w:hideMark/>
          </w:tcPr>
          <w:p>
            <w:pPr>
              <w:spacing w:after="0" w:line="276" w:lineRule="auto"/>
              <w:rPr>
                <w:noProof/>
                <w:sz w:val="22"/>
              </w:rPr>
            </w:pPr>
          </w:p>
        </w:tc>
        <w:tc>
          <w:tcPr>
            <w:tcW w:w="2708" w:type="dxa"/>
            <w:noWrap/>
            <w:vAlign w:val="center"/>
            <w:hideMark/>
          </w:tcPr>
          <w:p>
            <w:pPr>
              <w:spacing w:after="0" w:line="276" w:lineRule="auto"/>
              <w:rPr>
                <w:noProof/>
                <w:sz w:val="22"/>
              </w:rPr>
            </w:pPr>
          </w:p>
        </w:tc>
      </w:tr>
      <w:tr>
        <w:trPr>
          <w:trHeight w:val="285"/>
        </w:trPr>
        <w:tc>
          <w:tcPr>
            <w:tcW w:w="186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00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00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267"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70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866"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008" w:type="dxa"/>
            <w:noWrap/>
            <w:vAlign w:val="bottom"/>
            <w:hideMark/>
          </w:tcPr>
          <w:p>
            <w:pPr>
              <w:spacing w:after="0" w:line="276" w:lineRule="auto"/>
              <w:rPr>
                <w:noProof/>
                <w:sz w:val="22"/>
              </w:rPr>
            </w:pPr>
          </w:p>
        </w:tc>
        <w:tc>
          <w:tcPr>
            <w:tcW w:w="1267" w:type="dxa"/>
            <w:noWrap/>
            <w:vAlign w:val="bottom"/>
            <w:hideMark/>
          </w:tcPr>
          <w:p>
            <w:pPr>
              <w:spacing w:after="0" w:line="276" w:lineRule="auto"/>
              <w:rPr>
                <w:noProof/>
                <w:sz w:val="22"/>
              </w:rPr>
            </w:pPr>
          </w:p>
        </w:tc>
        <w:tc>
          <w:tcPr>
            <w:tcW w:w="2708" w:type="dxa"/>
            <w:noWrap/>
            <w:vAlign w:val="bottom"/>
            <w:hideMark/>
          </w:tcPr>
          <w:p>
            <w:pPr>
              <w:spacing w:after="0" w:line="276" w:lineRule="auto"/>
              <w:rPr>
                <w:noProof/>
                <w:sz w:val="22"/>
              </w:rPr>
            </w:pPr>
          </w:p>
        </w:tc>
      </w:tr>
    </w:tbl>
    <w:p>
      <w:pPr>
        <w:pStyle w:val="Point1"/>
        <w:rPr>
          <w:noProof/>
        </w:rPr>
      </w:pPr>
      <w:r>
        <w:rPr>
          <w:noProof/>
        </w:rPr>
        <w:t>d)</w:t>
      </w:r>
      <w:r>
        <w:rPr>
          <w:noProof/>
        </w:rPr>
        <w:tab/>
        <w:t>In Anhang IB erhält die Tabelle mit den Fangmöglichkeiten für andere Arten (Beifänge) in den grönländischen Gewässern folgende Fassung:</w:t>
      </w:r>
    </w:p>
    <w:tbl>
      <w:tblPr>
        <w:tblW w:w="9368" w:type="dxa"/>
        <w:tblInd w:w="108" w:type="dxa"/>
        <w:tblLook w:val="04A0" w:firstRow="1" w:lastRow="0" w:firstColumn="1" w:lastColumn="0" w:noHBand="0" w:noVBand="1"/>
      </w:tblPr>
      <w:tblGrid>
        <w:gridCol w:w="1560"/>
        <w:gridCol w:w="1016"/>
        <w:gridCol w:w="1136"/>
        <w:gridCol w:w="900"/>
        <w:gridCol w:w="4756"/>
      </w:tblGrid>
      <w:tr>
        <w:trPr>
          <w:trHeight w:val="285"/>
        </w:trPr>
        <w:tc>
          <w:tcPr>
            <w:tcW w:w="1560" w:type="dxa"/>
            <w:tcBorders>
              <w:top w:val="nil"/>
              <w:left w:val="nil"/>
              <w:bottom w:val="nil"/>
              <w:right w:val="nil"/>
            </w:tcBorders>
            <w:shd w:val="clear" w:color="auto" w:fill="auto"/>
            <w:noWrap/>
            <w:hideMark/>
          </w:tcPr>
          <w:p>
            <w:pPr>
              <w:spacing w:after="0"/>
              <w:rPr>
                <w:noProof/>
                <w:color w:val="000000"/>
                <w:sz w:val="18"/>
                <w:szCs w:val="18"/>
              </w:rPr>
            </w:pPr>
          </w:p>
        </w:tc>
        <w:tc>
          <w:tcPr>
            <w:tcW w:w="1016" w:type="dxa"/>
            <w:tcBorders>
              <w:top w:val="nil"/>
              <w:left w:val="nil"/>
              <w:bottom w:val="nil"/>
              <w:right w:val="nil"/>
            </w:tcBorders>
            <w:shd w:val="clear" w:color="auto" w:fill="auto"/>
            <w:noWrap/>
            <w:hideMark/>
          </w:tcPr>
          <w:p>
            <w:pPr>
              <w:spacing w:after="0"/>
              <w:rPr>
                <w:noProof/>
                <w:color w:val="000000"/>
                <w:sz w:val="18"/>
                <w:szCs w:val="18"/>
              </w:rPr>
            </w:pPr>
          </w:p>
        </w:tc>
        <w:tc>
          <w:tcPr>
            <w:tcW w:w="1136"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900"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4756" w:type="dxa"/>
            <w:tcBorders>
              <w:top w:val="nil"/>
              <w:left w:val="nil"/>
              <w:bottom w:val="nil"/>
              <w:right w:val="nil"/>
            </w:tcBorders>
            <w:shd w:val="clear" w:color="auto" w:fill="auto"/>
            <w:noWrap/>
            <w:vAlign w:val="bottom"/>
            <w:hideMark/>
          </w:tcPr>
          <w:p>
            <w:pPr>
              <w:spacing w:after="0"/>
              <w:rPr>
                <w:noProof/>
                <w:color w:val="000000"/>
                <w:sz w:val="18"/>
                <w:szCs w:val="18"/>
              </w:rPr>
            </w:pPr>
          </w:p>
        </w:tc>
      </w:tr>
      <w:tr>
        <w:trPr>
          <w:trHeight w:val="270"/>
        </w:trPr>
        <w:tc>
          <w:tcPr>
            <w:tcW w:w="1560" w:type="dxa"/>
            <w:tcBorders>
              <w:top w:val="single" w:sz="8" w:space="0" w:color="auto"/>
              <w:left w:val="nil"/>
              <w:bottom w:val="nil"/>
              <w:right w:val="nil"/>
            </w:tcBorders>
            <w:shd w:val="clear" w:color="auto" w:fill="auto"/>
            <w:noWrap/>
            <w:vAlign w:val="bottom"/>
            <w:hideMark/>
          </w:tcPr>
          <w:p>
            <w:pPr>
              <w:spacing w:after="0"/>
              <w:rPr>
                <w:noProof/>
                <w:color w:val="000000"/>
                <w:sz w:val="18"/>
                <w:szCs w:val="18"/>
              </w:rPr>
            </w:pPr>
            <w:r>
              <w:rPr>
                <w:noProof/>
                <w:color w:val="000000"/>
                <w:sz w:val="18"/>
              </w:rPr>
              <w:t>Art:</w:t>
            </w:r>
          </w:p>
        </w:tc>
        <w:tc>
          <w:tcPr>
            <w:tcW w:w="2152" w:type="dxa"/>
            <w:gridSpan w:val="2"/>
            <w:tcBorders>
              <w:top w:val="single" w:sz="8" w:space="0" w:color="auto"/>
              <w:left w:val="nil"/>
              <w:bottom w:val="nil"/>
              <w:right w:val="nil"/>
            </w:tcBorders>
            <w:shd w:val="clear" w:color="auto" w:fill="auto"/>
            <w:noWrap/>
            <w:vAlign w:val="bottom"/>
            <w:hideMark/>
          </w:tcPr>
          <w:p>
            <w:pPr>
              <w:spacing w:after="0"/>
              <w:rPr>
                <w:noProof/>
                <w:color w:val="000000"/>
                <w:sz w:val="18"/>
                <w:szCs w:val="18"/>
              </w:rPr>
            </w:pPr>
            <w:r>
              <w:rPr>
                <w:noProof/>
                <w:color w:val="000000"/>
                <w:sz w:val="18"/>
              </w:rPr>
              <w:t>Beifänge</w:t>
            </w:r>
            <w:r>
              <w:rPr>
                <w:noProof/>
                <w:color w:val="000000"/>
                <w:sz w:val="18"/>
                <w:vertAlign w:val="superscript"/>
              </w:rPr>
              <w:t>(1)</w:t>
            </w:r>
          </w:p>
        </w:tc>
        <w:tc>
          <w:tcPr>
            <w:tcW w:w="900" w:type="dxa"/>
            <w:tcBorders>
              <w:top w:val="single" w:sz="8" w:space="0" w:color="auto"/>
              <w:left w:val="single" w:sz="8" w:space="0" w:color="auto"/>
              <w:bottom w:val="nil"/>
              <w:right w:val="nil"/>
            </w:tcBorders>
            <w:shd w:val="clear" w:color="auto" w:fill="auto"/>
            <w:noWrap/>
            <w:vAlign w:val="bottom"/>
            <w:hideMark/>
          </w:tcPr>
          <w:p>
            <w:pPr>
              <w:spacing w:after="0"/>
              <w:rPr>
                <w:noProof/>
                <w:color w:val="000000"/>
                <w:sz w:val="18"/>
                <w:szCs w:val="18"/>
              </w:rPr>
            </w:pPr>
            <w:r>
              <w:rPr>
                <w:noProof/>
                <w:color w:val="000000"/>
                <w:sz w:val="18"/>
              </w:rPr>
              <w:t>Gebiet:</w:t>
            </w:r>
          </w:p>
        </w:tc>
        <w:tc>
          <w:tcPr>
            <w:tcW w:w="4756" w:type="dxa"/>
            <w:tcBorders>
              <w:top w:val="single" w:sz="8" w:space="0" w:color="auto"/>
              <w:left w:val="nil"/>
              <w:bottom w:val="nil"/>
              <w:right w:val="nil"/>
            </w:tcBorders>
            <w:shd w:val="clear" w:color="auto" w:fill="auto"/>
            <w:noWrap/>
            <w:vAlign w:val="bottom"/>
            <w:hideMark/>
          </w:tcPr>
          <w:p>
            <w:pPr>
              <w:spacing w:after="0"/>
              <w:rPr>
                <w:noProof/>
                <w:color w:val="000000"/>
                <w:sz w:val="18"/>
                <w:szCs w:val="18"/>
              </w:rPr>
            </w:pPr>
            <w:r>
              <w:rPr>
                <w:noProof/>
                <w:color w:val="000000"/>
                <w:sz w:val="18"/>
              </w:rPr>
              <w:t>Grönländische Gewässer</w:t>
            </w:r>
          </w:p>
        </w:tc>
      </w:tr>
      <w:tr>
        <w:trPr>
          <w:trHeight w:val="285"/>
        </w:trPr>
        <w:tc>
          <w:tcPr>
            <w:tcW w:w="1560" w:type="dxa"/>
            <w:tcBorders>
              <w:top w:val="nil"/>
              <w:left w:val="nil"/>
              <w:bottom w:val="single" w:sz="8" w:space="0" w:color="auto"/>
              <w:right w:val="nil"/>
            </w:tcBorders>
            <w:shd w:val="clear" w:color="auto" w:fill="auto"/>
            <w:noWrap/>
            <w:vAlign w:val="bottom"/>
            <w:hideMark/>
          </w:tcPr>
          <w:p>
            <w:pPr>
              <w:spacing w:after="0"/>
              <w:rPr>
                <w:noProof/>
                <w:color w:val="000000"/>
                <w:sz w:val="18"/>
                <w:szCs w:val="18"/>
              </w:rPr>
            </w:pPr>
            <w:r>
              <w:rPr>
                <w:noProof/>
                <w:color w:val="000000"/>
                <w:sz w:val="18"/>
              </w:rPr>
              <w:t> </w:t>
            </w:r>
          </w:p>
        </w:tc>
        <w:tc>
          <w:tcPr>
            <w:tcW w:w="1016" w:type="dxa"/>
            <w:tcBorders>
              <w:top w:val="nil"/>
              <w:left w:val="nil"/>
              <w:bottom w:val="single" w:sz="8" w:space="0" w:color="auto"/>
              <w:right w:val="nil"/>
            </w:tcBorders>
            <w:shd w:val="clear" w:color="auto" w:fill="auto"/>
            <w:noWrap/>
            <w:vAlign w:val="bottom"/>
            <w:hideMark/>
          </w:tcPr>
          <w:p>
            <w:pPr>
              <w:spacing w:after="0"/>
              <w:rPr>
                <w:i/>
                <w:iCs/>
                <w:noProof/>
                <w:color w:val="000000"/>
                <w:sz w:val="18"/>
                <w:szCs w:val="18"/>
              </w:rPr>
            </w:pPr>
            <w:r>
              <w:rPr>
                <w:i/>
                <w:noProof/>
                <w:color w:val="000000"/>
                <w:sz w:val="18"/>
              </w:rPr>
              <w:t> </w:t>
            </w:r>
          </w:p>
        </w:tc>
        <w:tc>
          <w:tcPr>
            <w:tcW w:w="1136" w:type="dxa"/>
            <w:tcBorders>
              <w:top w:val="nil"/>
              <w:left w:val="nil"/>
              <w:bottom w:val="single" w:sz="8" w:space="0" w:color="auto"/>
              <w:right w:val="nil"/>
            </w:tcBorders>
            <w:shd w:val="clear" w:color="auto" w:fill="auto"/>
            <w:noWrap/>
            <w:vAlign w:val="bottom"/>
            <w:hideMark/>
          </w:tcPr>
          <w:p>
            <w:pPr>
              <w:spacing w:after="0"/>
              <w:rPr>
                <w:noProof/>
                <w:color w:val="000000"/>
                <w:sz w:val="18"/>
                <w:szCs w:val="18"/>
              </w:rPr>
            </w:pPr>
            <w:r>
              <w:rPr>
                <w:noProof/>
                <w:color w:val="000000"/>
                <w:sz w:val="18"/>
                <w:vertAlign w:val="superscript"/>
              </w:rPr>
              <w:t> </w:t>
            </w:r>
          </w:p>
        </w:tc>
        <w:tc>
          <w:tcPr>
            <w:tcW w:w="900" w:type="dxa"/>
            <w:tcBorders>
              <w:top w:val="nil"/>
              <w:left w:val="single" w:sz="8" w:space="0" w:color="auto"/>
              <w:bottom w:val="single" w:sz="8" w:space="0" w:color="auto"/>
              <w:right w:val="nil"/>
            </w:tcBorders>
            <w:shd w:val="clear" w:color="auto" w:fill="auto"/>
            <w:noWrap/>
            <w:vAlign w:val="bottom"/>
            <w:hideMark/>
          </w:tcPr>
          <w:p>
            <w:pPr>
              <w:spacing w:after="0"/>
              <w:rPr>
                <w:noProof/>
                <w:color w:val="000000"/>
                <w:sz w:val="18"/>
                <w:szCs w:val="18"/>
              </w:rPr>
            </w:pPr>
            <w:r>
              <w:rPr>
                <w:noProof/>
                <w:color w:val="000000"/>
                <w:sz w:val="18"/>
              </w:rPr>
              <w:t> </w:t>
            </w:r>
          </w:p>
        </w:tc>
        <w:tc>
          <w:tcPr>
            <w:tcW w:w="4756" w:type="dxa"/>
            <w:tcBorders>
              <w:top w:val="nil"/>
              <w:left w:val="nil"/>
              <w:bottom w:val="single" w:sz="8" w:space="0" w:color="auto"/>
              <w:right w:val="nil"/>
            </w:tcBorders>
            <w:shd w:val="clear" w:color="auto" w:fill="auto"/>
            <w:noWrap/>
            <w:vAlign w:val="bottom"/>
            <w:hideMark/>
          </w:tcPr>
          <w:p>
            <w:pPr>
              <w:spacing w:after="0"/>
              <w:rPr>
                <w:noProof/>
                <w:color w:val="000000"/>
                <w:sz w:val="18"/>
                <w:szCs w:val="18"/>
              </w:rPr>
            </w:pPr>
            <w:r>
              <w:rPr>
                <w:noProof/>
                <w:color w:val="000000"/>
                <w:sz w:val="18"/>
              </w:rPr>
              <w:t>(B-C/GRL)</w:t>
            </w:r>
          </w:p>
        </w:tc>
      </w:tr>
      <w:tr>
        <w:trPr>
          <w:trHeight w:val="270"/>
        </w:trPr>
        <w:tc>
          <w:tcPr>
            <w:tcW w:w="1560" w:type="dxa"/>
            <w:tcBorders>
              <w:top w:val="nil"/>
              <w:left w:val="nil"/>
              <w:bottom w:val="nil"/>
              <w:right w:val="nil"/>
            </w:tcBorders>
            <w:shd w:val="clear" w:color="auto" w:fill="auto"/>
            <w:noWrap/>
            <w:vAlign w:val="bottom"/>
            <w:hideMark/>
          </w:tcPr>
          <w:p>
            <w:pPr>
              <w:spacing w:after="0"/>
              <w:rPr>
                <w:noProof/>
                <w:sz w:val="18"/>
                <w:szCs w:val="18"/>
              </w:rPr>
            </w:pPr>
            <w:r>
              <w:rPr>
                <w:noProof/>
                <w:sz w:val="18"/>
              </w:rPr>
              <w:t>Union</w:t>
            </w:r>
          </w:p>
        </w:tc>
        <w:tc>
          <w:tcPr>
            <w:tcW w:w="1016" w:type="dxa"/>
            <w:tcBorders>
              <w:top w:val="nil"/>
              <w:left w:val="nil"/>
              <w:bottom w:val="nil"/>
              <w:right w:val="nil"/>
            </w:tcBorders>
            <w:shd w:val="clear" w:color="auto" w:fill="auto"/>
            <w:noWrap/>
            <w:vAlign w:val="center"/>
            <w:hideMark/>
          </w:tcPr>
          <w:p>
            <w:pPr>
              <w:spacing w:after="0"/>
              <w:jc w:val="right"/>
              <w:rPr>
                <w:noProof/>
                <w:sz w:val="18"/>
                <w:szCs w:val="18"/>
              </w:rPr>
            </w:pPr>
            <w:r>
              <w:rPr>
                <w:noProof/>
                <w:sz w:val="18"/>
              </w:rPr>
              <w:t>1 126</w:t>
            </w:r>
          </w:p>
        </w:tc>
        <w:tc>
          <w:tcPr>
            <w:tcW w:w="1136"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5656" w:type="dxa"/>
            <w:gridSpan w:val="2"/>
            <w:tcBorders>
              <w:top w:val="nil"/>
              <w:left w:val="nil"/>
              <w:bottom w:val="nil"/>
              <w:right w:val="nil"/>
            </w:tcBorders>
            <w:shd w:val="clear" w:color="auto" w:fill="auto"/>
            <w:noWrap/>
            <w:vAlign w:val="center"/>
            <w:hideMark/>
          </w:tcPr>
          <w:p>
            <w:pPr>
              <w:spacing w:after="0"/>
              <w:rPr>
                <w:noProof/>
                <w:color w:val="000000"/>
                <w:sz w:val="18"/>
                <w:szCs w:val="18"/>
              </w:rPr>
            </w:pPr>
            <w:r>
              <w:rPr>
                <w:noProof/>
                <w:color w:val="000000"/>
                <w:sz w:val="18"/>
              </w:rPr>
              <w:t>Vorsorgliche TAC</w:t>
            </w:r>
          </w:p>
        </w:tc>
      </w:tr>
      <w:tr>
        <w:trPr>
          <w:trHeight w:val="270"/>
        </w:trPr>
        <w:tc>
          <w:tcPr>
            <w:tcW w:w="1560"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1016" w:type="dxa"/>
            <w:tcBorders>
              <w:top w:val="nil"/>
              <w:left w:val="nil"/>
              <w:bottom w:val="nil"/>
              <w:right w:val="nil"/>
            </w:tcBorders>
            <w:shd w:val="clear" w:color="auto" w:fill="auto"/>
            <w:noWrap/>
            <w:vAlign w:val="center"/>
            <w:hideMark/>
          </w:tcPr>
          <w:p>
            <w:pPr>
              <w:spacing w:after="0"/>
              <w:jc w:val="right"/>
              <w:rPr>
                <w:noProof/>
                <w:sz w:val="18"/>
                <w:szCs w:val="18"/>
              </w:rPr>
            </w:pPr>
          </w:p>
        </w:tc>
        <w:tc>
          <w:tcPr>
            <w:tcW w:w="1136"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5656" w:type="dxa"/>
            <w:gridSpan w:val="2"/>
            <w:tcBorders>
              <w:top w:val="nil"/>
              <w:left w:val="nil"/>
              <w:bottom w:val="nil"/>
              <w:right w:val="nil"/>
            </w:tcBorders>
            <w:shd w:val="clear" w:color="auto" w:fill="auto"/>
            <w:noWrap/>
            <w:vAlign w:val="center"/>
            <w:hideMark/>
          </w:tcPr>
          <w:p>
            <w:pPr>
              <w:spacing w:after="0"/>
              <w:rPr>
                <w:noProof/>
                <w:color w:val="000000"/>
                <w:sz w:val="18"/>
                <w:szCs w:val="18"/>
              </w:rPr>
            </w:pPr>
            <w:r>
              <w:rPr>
                <w:noProof/>
                <w:color w:val="000000"/>
                <w:sz w:val="18"/>
              </w:rPr>
              <w:t>Artikel 3 der Verordnung (EG) Nr. 847/96 gilt nicht.</w:t>
            </w:r>
          </w:p>
        </w:tc>
      </w:tr>
      <w:tr>
        <w:trPr>
          <w:trHeight w:val="270"/>
        </w:trPr>
        <w:tc>
          <w:tcPr>
            <w:tcW w:w="1560" w:type="dxa"/>
            <w:tcBorders>
              <w:top w:val="nil"/>
              <w:left w:val="nil"/>
              <w:bottom w:val="nil"/>
              <w:right w:val="nil"/>
            </w:tcBorders>
            <w:shd w:val="clear" w:color="auto" w:fill="auto"/>
            <w:noWrap/>
            <w:vAlign w:val="bottom"/>
            <w:hideMark/>
          </w:tcPr>
          <w:p>
            <w:pPr>
              <w:spacing w:after="0"/>
              <w:rPr>
                <w:noProof/>
                <w:color w:val="000000"/>
                <w:sz w:val="18"/>
                <w:szCs w:val="18"/>
              </w:rPr>
            </w:pPr>
            <w:r>
              <w:rPr>
                <w:noProof/>
                <w:color w:val="000000"/>
                <w:sz w:val="18"/>
              </w:rPr>
              <w:t>TAC</w:t>
            </w:r>
          </w:p>
        </w:tc>
        <w:tc>
          <w:tcPr>
            <w:tcW w:w="1016" w:type="dxa"/>
            <w:tcBorders>
              <w:top w:val="nil"/>
              <w:left w:val="nil"/>
              <w:bottom w:val="nil"/>
              <w:right w:val="nil"/>
            </w:tcBorders>
            <w:shd w:val="clear" w:color="auto" w:fill="auto"/>
            <w:noWrap/>
            <w:vAlign w:val="center"/>
            <w:hideMark/>
          </w:tcPr>
          <w:p>
            <w:pPr>
              <w:spacing w:after="0"/>
              <w:jc w:val="right"/>
              <w:rPr>
                <w:noProof/>
                <w:sz w:val="18"/>
                <w:szCs w:val="18"/>
              </w:rPr>
            </w:pPr>
            <w:r>
              <w:rPr>
                <w:noProof/>
                <w:sz w:val="18"/>
              </w:rPr>
              <w:t>Entfällt</w:t>
            </w:r>
          </w:p>
        </w:tc>
        <w:tc>
          <w:tcPr>
            <w:tcW w:w="1136" w:type="dxa"/>
            <w:tcBorders>
              <w:top w:val="nil"/>
              <w:left w:val="nil"/>
              <w:bottom w:val="nil"/>
              <w:right w:val="nil"/>
            </w:tcBorders>
            <w:shd w:val="clear" w:color="auto" w:fill="auto"/>
            <w:noWrap/>
            <w:vAlign w:val="bottom"/>
            <w:hideMark/>
          </w:tcPr>
          <w:p>
            <w:pPr>
              <w:spacing w:after="0"/>
              <w:rPr>
                <w:noProof/>
                <w:color w:val="000000"/>
                <w:sz w:val="18"/>
                <w:szCs w:val="18"/>
              </w:rPr>
            </w:pPr>
          </w:p>
        </w:tc>
        <w:tc>
          <w:tcPr>
            <w:tcW w:w="5656" w:type="dxa"/>
            <w:gridSpan w:val="2"/>
            <w:tcBorders>
              <w:top w:val="nil"/>
              <w:left w:val="nil"/>
              <w:bottom w:val="nil"/>
              <w:right w:val="nil"/>
            </w:tcBorders>
            <w:shd w:val="clear" w:color="auto" w:fill="auto"/>
            <w:noWrap/>
            <w:vAlign w:val="center"/>
            <w:hideMark/>
          </w:tcPr>
          <w:p>
            <w:pPr>
              <w:spacing w:after="0"/>
              <w:rPr>
                <w:noProof/>
                <w:color w:val="000000"/>
                <w:sz w:val="18"/>
                <w:szCs w:val="18"/>
              </w:rPr>
            </w:pPr>
            <w:r>
              <w:rPr>
                <w:noProof/>
                <w:color w:val="000000"/>
                <w:sz w:val="18"/>
              </w:rPr>
              <w:t>Artikel 4 der Verordnung (EG) Nr. 847/96 gilt nicht.</w:t>
            </w:r>
          </w:p>
        </w:tc>
      </w:tr>
      <w:tr>
        <w:trPr>
          <w:trHeight w:val="270"/>
        </w:trPr>
        <w:tc>
          <w:tcPr>
            <w:tcW w:w="1560" w:type="dxa"/>
            <w:tcBorders>
              <w:top w:val="nil"/>
              <w:left w:val="nil"/>
              <w:bottom w:val="nil"/>
              <w:right w:val="nil"/>
            </w:tcBorders>
            <w:shd w:val="clear" w:color="auto" w:fill="auto"/>
            <w:noWrap/>
          </w:tcPr>
          <w:p>
            <w:pPr>
              <w:spacing w:after="0"/>
              <w:rPr>
                <w:noProof/>
                <w:color w:val="000000"/>
                <w:sz w:val="18"/>
                <w:szCs w:val="18"/>
              </w:rPr>
            </w:pPr>
          </w:p>
        </w:tc>
        <w:tc>
          <w:tcPr>
            <w:tcW w:w="3052" w:type="dxa"/>
            <w:gridSpan w:val="3"/>
            <w:tcBorders>
              <w:top w:val="nil"/>
              <w:left w:val="nil"/>
              <w:bottom w:val="nil"/>
              <w:right w:val="nil"/>
            </w:tcBorders>
            <w:shd w:val="clear" w:color="auto" w:fill="auto"/>
            <w:noWrap/>
            <w:vAlign w:val="bottom"/>
          </w:tcPr>
          <w:p>
            <w:pPr>
              <w:spacing w:after="0"/>
              <w:rPr>
                <w:noProof/>
                <w:sz w:val="18"/>
                <w:szCs w:val="18"/>
              </w:rPr>
            </w:pPr>
          </w:p>
        </w:tc>
        <w:tc>
          <w:tcPr>
            <w:tcW w:w="4756" w:type="dxa"/>
            <w:tcBorders>
              <w:top w:val="nil"/>
              <w:left w:val="nil"/>
              <w:bottom w:val="nil"/>
              <w:right w:val="nil"/>
            </w:tcBorders>
            <w:shd w:val="clear" w:color="auto" w:fill="auto"/>
            <w:noWrap/>
            <w:vAlign w:val="center"/>
            <w:hideMark/>
          </w:tcPr>
          <w:p>
            <w:pPr>
              <w:spacing w:after="0"/>
              <w:rPr>
                <w:noProof/>
                <w:color w:val="000000"/>
                <w:sz w:val="18"/>
                <w:szCs w:val="18"/>
              </w:rPr>
            </w:pPr>
          </w:p>
        </w:tc>
      </w:tr>
      <w:tr>
        <w:trPr>
          <w:trHeight w:val="285"/>
        </w:trPr>
        <w:tc>
          <w:tcPr>
            <w:tcW w:w="1560" w:type="dxa"/>
            <w:tcBorders>
              <w:top w:val="nil"/>
              <w:left w:val="nil"/>
              <w:bottom w:val="single" w:sz="4" w:space="0" w:color="auto"/>
              <w:right w:val="nil"/>
            </w:tcBorders>
            <w:shd w:val="clear" w:color="auto" w:fill="auto"/>
            <w:noWrap/>
          </w:tcPr>
          <w:p>
            <w:pPr>
              <w:spacing w:after="0"/>
              <w:jc w:val="right"/>
              <w:rPr>
                <w:noProof/>
                <w:color w:val="000000"/>
                <w:sz w:val="18"/>
                <w:szCs w:val="18"/>
              </w:rPr>
            </w:pPr>
            <w:r>
              <w:rPr>
                <w:noProof/>
                <w:color w:val="000000"/>
                <w:sz w:val="18"/>
                <w:vertAlign w:val="superscript"/>
              </w:rPr>
              <w:t>(1)</w:t>
            </w:r>
          </w:p>
        </w:tc>
        <w:tc>
          <w:tcPr>
            <w:tcW w:w="7808" w:type="dxa"/>
            <w:gridSpan w:val="4"/>
            <w:tcBorders>
              <w:top w:val="nil"/>
              <w:left w:val="nil"/>
              <w:bottom w:val="single" w:sz="4" w:space="0" w:color="auto"/>
              <w:right w:val="nil"/>
            </w:tcBorders>
            <w:shd w:val="clear" w:color="auto" w:fill="auto"/>
            <w:noWrap/>
          </w:tcPr>
          <w:p>
            <w:pPr>
              <w:spacing w:after="0"/>
              <w:rPr>
                <w:noProof/>
                <w:color w:val="000000"/>
                <w:sz w:val="18"/>
                <w:szCs w:val="18"/>
              </w:rPr>
            </w:pPr>
            <w:r>
              <w:rPr>
                <w:noProof/>
                <w:color w:val="000000"/>
                <w:sz w:val="18"/>
              </w:rPr>
              <w:t>Beifänge von Grenadierfischen (</w:t>
            </w:r>
            <w:r>
              <w:rPr>
                <w:i/>
                <w:noProof/>
                <w:color w:val="000000"/>
                <w:sz w:val="18"/>
              </w:rPr>
              <w:t>Macrourus</w:t>
            </w:r>
            <w:r>
              <w:rPr>
                <w:noProof/>
                <w:color w:val="000000"/>
                <w:sz w:val="18"/>
              </w:rPr>
              <w:t xml:space="preserve"> spp.) sind entsprechend den nachstehenden Tabellen mit Fangmöglichkeiten zu melden: Grenadierfische in den grönländischen Gewässern von V und XIV (GRV/514GRN) und Grenadierfische in den grönländischen Gewässern von NAFO 1 (GRV/N1GRN.)</w:t>
            </w:r>
          </w:p>
        </w:tc>
      </w:tr>
      <w:tr>
        <w:trPr>
          <w:trHeight w:val="270"/>
        </w:trPr>
        <w:tc>
          <w:tcPr>
            <w:tcW w:w="1560" w:type="dxa"/>
            <w:tcBorders>
              <w:top w:val="single" w:sz="4" w:space="0" w:color="auto"/>
              <w:left w:val="nil"/>
              <w:bottom w:val="single" w:sz="4" w:space="0" w:color="auto"/>
              <w:right w:val="nil"/>
            </w:tcBorders>
            <w:shd w:val="clear" w:color="auto" w:fill="auto"/>
            <w:noWrap/>
            <w:vAlign w:val="bottom"/>
            <w:hideMark/>
          </w:tcPr>
          <w:p>
            <w:pPr>
              <w:spacing w:after="0"/>
              <w:rPr>
                <w:noProof/>
                <w:color w:val="000000"/>
                <w:sz w:val="18"/>
                <w:szCs w:val="18"/>
              </w:rPr>
            </w:pPr>
          </w:p>
        </w:tc>
        <w:tc>
          <w:tcPr>
            <w:tcW w:w="1016" w:type="dxa"/>
            <w:tcBorders>
              <w:top w:val="single" w:sz="4" w:space="0" w:color="auto"/>
              <w:left w:val="nil"/>
              <w:bottom w:val="single" w:sz="4" w:space="0" w:color="auto"/>
              <w:right w:val="nil"/>
            </w:tcBorders>
            <w:shd w:val="clear" w:color="auto" w:fill="auto"/>
            <w:noWrap/>
            <w:vAlign w:val="bottom"/>
            <w:hideMark/>
          </w:tcPr>
          <w:p>
            <w:pPr>
              <w:spacing w:after="0"/>
              <w:rPr>
                <w:noProof/>
                <w:color w:val="000000"/>
                <w:sz w:val="18"/>
                <w:szCs w:val="18"/>
              </w:rPr>
            </w:pPr>
          </w:p>
        </w:tc>
        <w:tc>
          <w:tcPr>
            <w:tcW w:w="1136" w:type="dxa"/>
            <w:tcBorders>
              <w:top w:val="single" w:sz="4" w:space="0" w:color="auto"/>
              <w:left w:val="nil"/>
              <w:bottom w:val="single" w:sz="4" w:space="0" w:color="auto"/>
              <w:right w:val="nil"/>
            </w:tcBorders>
            <w:shd w:val="clear" w:color="auto" w:fill="auto"/>
            <w:noWrap/>
            <w:vAlign w:val="bottom"/>
            <w:hideMark/>
          </w:tcPr>
          <w:p>
            <w:pPr>
              <w:spacing w:after="0"/>
              <w:rPr>
                <w:noProof/>
                <w:color w:val="000000"/>
                <w:sz w:val="18"/>
                <w:szCs w:val="18"/>
              </w:rPr>
            </w:pPr>
          </w:p>
        </w:tc>
        <w:tc>
          <w:tcPr>
            <w:tcW w:w="900" w:type="dxa"/>
            <w:tcBorders>
              <w:top w:val="single" w:sz="4" w:space="0" w:color="auto"/>
              <w:left w:val="nil"/>
              <w:bottom w:val="single" w:sz="4" w:space="0" w:color="auto"/>
              <w:right w:val="nil"/>
            </w:tcBorders>
            <w:shd w:val="clear" w:color="auto" w:fill="auto"/>
            <w:noWrap/>
            <w:vAlign w:val="bottom"/>
            <w:hideMark/>
          </w:tcPr>
          <w:p>
            <w:pPr>
              <w:spacing w:after="0"/>
              <w:rPr>
                <w:noProof/>
                <w:color w:val="000000"/>
                <w:sz w:val="18"/>
                <w:szCs w:val="18"/>
              </w:rPr>
            </w:pPr>
          </w:p>
        </w:tc>
        <w:tc>
          <w:tcPr>
            <w:tcW w:w="4756" w:type="dxa"/>
            <w:tcBorders>
              <w:top w:val="single" w:sz="4" w:space="0" w:color="auto"/>
              <w:left w:val="nil"/>
              <w:bottom w:val="single" w:sz="4" w:space="0" w:color="auto"/>
              <w:right w:val="nil"/>
            </w:tcBorders>
            <w:shd w:val="clear" w:color="auto" w:fill="auto"/>
            <w:noWrap/>
            <w:vAlign w:val="bottom"/>
            <w:hideMark/>
          </w:tcPr>
          <w:p>
            <w:pPr>
              <w:spacing w:after="0"/>
              <w:rPr>
                <w:noProof/>
                <w:color w:val="000000"/>
                <w:sz w:val="18"/>
                <w:szCs w:val="18"/>
              </w:rPr>
            </w:pPr>
          </w:p>
        </w:tc>
      </w:tr>
    </w:tbl>
    <w:p>
      <w:pPr>
        <w:pStyle w:val="Point0"/>
        <w:rPr>
          <w:noProof/>
        </w:rPr>
      </w:pPr>
      <w:r>
        <w:rPr>
          <w:noProof/>
        </w:rPr>
        <w:t>3.</w:t>
      </w:r>
      <w:r>
        <w:rPr>
          <w:noProof/>
        </w:rPr>
        <w:tab/>
        <w:t>In Anhang IF der Verordnung (EU) 2016/72 erhält die Tabelle mit den Fangmöglichkeiten für Granatbarsch in der SEAFO-Unterdivision B1 folgende Fassung:</w:t>
      </w:r>
    </w:p>
    <w:tbl>
      <w:tblPr>
        <w:tblW w:w="0" w:type="auto"/>
        <w:tblInd w:w="108" w:type="dxa"/>
        <w:tblLayout w:type="fixed"/>
        <w:tblLook w:val="0000" w:firstRow="0" w:lastRow="0" w:firstColumn="0" w:lastColumn="0" w:noHBand="0" w:noVBand="0"/>
      </w:tblPr>
      <w:tblGrid>
        <w:gridCol w:w="2124"/>
        <w:gridCol w:w="1431"/>
        <w:gridCol w:w="942"/>
        <w:gridCol w:w="712"/>
        <w:gridCol w:w="4170"/>
      </w:tblGrid>
      <w:tr>
        <w:tc>
          <w:tcPr>
            <w:tcW w:w="9379" w:type="dxa"/>
            <w:gridSpan w:val="5"/>
            <w:tcBorders>
              <w:top w:val="single" w:sz="4" w:space="0" w:color="000000"/>
              <w:bottom w:val="single" w:sz="4" w:space="0" w:color="000000"/>
            </w:tcBorders>
            <w:shd w:val="clear" w:color="auto" w:fill="auto"/>
          </w:tcPr>
          <w:p>
            <w:pPr>
              <w:rPr>
                <w:noProof/>
                <w:sz w:val="18"/>
                <w:szCs w:val="18"/>
              </w:rPr>
            </w:pPr>
          </w:p>
        </w:tc>
      </w:tr>
      <w:tr>
        <w:tc>
          <w:tcPr>
            <w:tcW w:w="2124" w:type="dxa"/>
            <w:tcBorders>
              <w:top w:val="single" w:sz="4" w:space="0" w:color="000000"/>
              <w:bottom w:val="single" w:sz="4" w:space="0" w:color="000000"/>
            </w:tcBorders>
            <w:shd w:val="clear" w:color="auto" w:fill="auto"/>
          </w:tcPr>
          <w:p>
            <w:pPr>
              <w:spacing w:before="60" w:after="60"/>
              <w:rPr>
                <w:noProof/>
                <w:sz w:val="18"/>
                <w:szCs w:val="18"/>
              </w:rPr>
            </w:pPr>
            <w:r>
              <w:rPr>
                <w:noProof/>
                <w:sz w:val="18"/>
              </w:rPr>
              <w:t>Art:</w:t>
            </w:r>
          </w:p>
        </w:tc>
        <w:tc>
          <w:tcPr>
            <w:tcW w:w="2373" w:type="dxa"/>
            <w:gridSpan w:val="2"/>
            <w:tcBorders>
              <w:top w:val="single" w:sz="4" w:space="0" w:color="000000"/>
              <w:bottom w:val="single" w:sz="4" w:space="0" w:color="000000"/>
            </w:tcBorders>
            <w:shd w:val="clear" w:color="auto" w:fill="auto"/>
          </w:tcPr>
          <w:p>
            <w:pPr>
              <w:spacing w:before="60" w:after="60"/>
              <w:rPr>
                <w:i/>
                <w:iCs/>
                <w:noProof/>
                <w:sz w:val="18"/>
                <w:szCs w:val="18"/>
              </w:rPr>
            </w:pPr>
            <w:r>
              <w:rPr>
                <w:noProof/>
                <w:sz w:val="18"/>
              </w:rPr>
              <w:t>Granatbarsch</w:t>
            </w:r>
          </w:p>
          <w:p>
            <w:pPr>
              <w:spacing w:before="60" w:after="60"/>
              <w:rPr>
                <w:noProof/>
                <w:sz w:val="18"/>
                <w:szCs w:val="18"/>
              </w:rPr>
            </w:pPr>
            <w:r>
              <w:rPr>
                <w:i/>
                <w:noProof/>
                <w:sz w:val="18"/>
              </w:rPr>
              <w:t>Hoplostethus atlanticus</w:t>
            </w:r>
          </w:p>
        </w:tc>
        <w:tc>
          <w:tcPr>
            <w:tcW w:w="712" w:type="dxa"/>
            <w:tcBorders>
              <w:top w:val="single" w:sz="4" w:space="0" w:color="000000"/>
              <w:left w:val="single" w:sz="4" w:space="0" w:color="000000"/>
              <w:bottom w:val="single" w:sz="4" w:space="0" w:color="000000"/>
            </w:tcBorders>
            <w:shd w:val="clear" w:color="auto" w:fill="auto"/>
          </w:tcPr>
          <w:p>
            <w:pPr>
              <w:spacing w:before="60" w:after="60"/>
              <w:ind w:right="-144"/>
              <w:rPr>
                <w:noProof/>
                <w:sz w:val="18"/>
                <w:szCs w:val="18"/>
              </w:rPr>
            </w:pPr>
            <w:r>
              <w:rPr>
                <w:noProof/>
                <w:sz w:val="18"/>
              </w:rPr>
              <w:t>Gebiet:</w:t>
            </w:r>
          </w:p>
        </w:tc>
        <w:tc>
          <w:tcPr>
            <w:tcW w:w="4170" w:type="dxa"/>
            <w:tcBorders>
              <w:top w:val="single" w:sz="4" w:space="0" w:color="000000"/>
              <w:bottom w:val="single" w:sz="4" w:space="0" w:color="000000"/>
            </w:tcBorders>
            <w:shd w:val="clear" w:color="auto" w:fill="auto"/>
          </w:tcPr>
          <w:p>
            <w:pPr>
              <w:spacing w:before="60" w:after="60"/>
              <w:rPr>
                <w:noProof/>
                <w:sz w:val="18"/>
                <w:szCs w:val="18"/>
              </w:rPr>
            </w:pPr>
            <w:r>
              <w:rPr>
                <w:noProof/>
                <w:sz w:val="18"/>
              </w:rPr>
              <w:t>SEAFO-Unterdivision B1</w:t>
            </w:r>
            <w:r>
              <w:rPr>
                <w:noProof/>
                <w:sz w:val="18"/>
                <w:vertAlign w:val="superscript"/>
              </w:rPr>
              <w:t>(1)</w:t>
            </w:r>
          </w:p>
          <w:p>
            <w:pPr>
              <w:spacing w:before="60" w:after="60"/>
              <w:rPr>
                <w:noProof/>
                <w:sz w:val="18"/>
                <w:szCs w:val="18"/>
              </w:rPr>
            </w:pPr>
            <w:r>
              <w:rPr>
                <w:noProof/>
                <w:sz w:val="18"/>
              </w:rPr>
              <w:t>(ORY/F47NAM)</w:t>
            </w:r>
          </w:p>
        </w:tc>
      </w:tr>
      <w:tr>
        <w:tc>
          <w:tcPr>
            <w:tcW w:w="2124" w:type="dxa"/>
            <w:tcBorders>
              <w:top w:val="single" w:sz="4" w:space="0" w:color="000000"/>
              <w:bottom w:val="single" w:sz="4" w:space="0" w:color="000000"/>
            </w:tcBorders>
            <w:shd w:val="clear" w:color="auto" w:fill="auto"/>
            <w:vAlign w:val="center"/>
          </w:tcPr>
          <w:p>
            <w:pPr>
              <w:spacing w:before="60" w:after="60"/>
              <w:rPr>
                <w:noProof/>
                <w:sz w:val="18"/>
                <w:szCs w:val="18"/>
              </w:rPr>
            </w:pPr>
            <w:r>
              <w:rPr>
                <w:noProof/>
                <w:sz w:val="18"/>
              </w:rPr>
              <w:t>TAC</w:t>
            </w:r>
          </w:p>
        </w:tc>
        <w:tc>
          <w:tcPr>
            <w:tcW w:w="1431" w:type="dxa"/>
            <w:tcBorders>
              <w:top w:val="single" w:sz="4" w:space="0" w:color="000000"/>
              <w:bottom w:val="single" w:sz="4" w:space="0" w:color="000000"/>
            </w:tcBorders>
            <w:shd w:val="clear" w:color="auto" w:fill="auto"/>
            <w:vAlign w:val="center"/>
          </w:tcPr>
          <w:p>
            <w:pPr>
              <w:spacing w:before="60" w:after="60"/>
              <w:jc w:val="right"/>
              <w:rPr>
                <w:noProof/>
                <w:sz w:val="18"/>
                <w:szCs w:val="18"/>
              </w:rPr>
            </w:pPr>
            <w:r>
              <w:rPr>
                <w:noProof/>
                <w:color w:val="000000"/>
                <w:sz w:val="18"/>
              </w:rPr>
              <w:t>0</w:t>
            </w:r>
          </w:p>
        </w:tc>
        <w:tc>
          <w:tcPr>
            <w:tcW w:w="942" w:type="dxa"/>
            <w:tcBorders>
              <w:top w:val="single" w:sz="4" w:space="0" w:color="000000"/>
              <w:bottom w:val="single" w:sz="4" w:space="0" w:color="000000"/>
            </w:tcBorders>
            <w:shd w:val="clear" w:color="auto" w:fill="auto"/>
            <w:vAlign w:val="center"/>
          </w:tcPr>
          <w:p>
            <w:pPr>
              <w:snapToGrid w:val="0"/>
              <w:spacing w:before="60" w:after="60"/>
              <w:rPr>
                <w:noProof/>
                <w:sz w:val="18"/>
                <w:szCs w:val="18"/>
              </w:rPr>
            </w:pPr>
            <w:r>
              <w:rPr>
                <w:noProof/>
                <w:sz w:val="18"/>
                <w:vertAlign w:val="superscript"/>
              </w:rPr>
              <w:t>(2)</w:t>
            </w:r>
          </w:p>
        </w:tc>
        <w:tc>
          <w:tcPr>
            <w:tcW w:w="4882" w:type="dxa"/>
            <w:gridSpan w:val="2"/>
            <w:tcBorders>
              <w:top w:val="single" w:sz="4" w:space="0" w:color="000000"/>
              <w:bottom w:val="single" w:sz="4" w:space="0" w:color="000000"/>
            </w:tcBorders>
            <w:shd w:val="clear" w:color="auto" w:fill="auto"/>
          </w:tcPr>
          <w:p>
            <w:pPr>
              <w:spacing w:before="60" w:after="60"/>
              <w:rPr>
                <w:noProof/>
                <w:sz w:val="18"/>
                <w:szCs w:val="18"/>
              </w:rPr>
            </w:pPr>
            <w:r>
              <w:rPr>
                <w:noProof/>
                <w:sz w:val="18"/>
              </w:rPr>
              <w:t>Vorsorgliche TAC</w:t>
            </w:r>
          </w:p>
          <w:p>
            <w:pPr>
              <w:spacing w:before="60" w:after="60"/>
              <w:rPr>
                <w:noProof/>
                <w:sz w:val="18"/>
                <w:szCs w:val="18"/>
              </w:rPr>
            </w:pPr>
          </w:p>
        </w:tc>
      </w:tr>
      <w:tr>
        <w:tc>
          <w:tcPr>
            <w:tcW w:w="9379" w:type="dxa"/>
            <w:gridSpan w:val="5"/>
            <w:tcBorders>
              <w:top w:val="single" w:sz="4" w:space="0" w:color="000000"/>
              <w:bottom w:val="single" w:sz="8" w:space="0" w:color="000000"/>
            </w:tcBorders>
            <w:shd w:val="clear" w:color="auto" w:fill="auto"/>
            <w:vAlign w:val="center"/>
          </w:tcPr>
          <w:p>
            <w:pPr>
              <w:pStyle w:val="Point0"/>
              <w:spacing w:before="0" w:after="0"/>
              <w:ind w:left="601" w:hanging="601"/>
              <w:rPr>
                <w:noProof/>
                <w:sz w:val="18"/>
                <w:szCs w:val="18"/>
              </w:rPr>
            </w:pPr>
            <w:r>
              <w:rPr>
                <w:noProof/>
                <w:sz w:val="18"/>
                <w:vertAlign w:val="superscript"/>
              </w:rPr>
              <w:t>(1)</w:t>
            </w:r>
            <w:r>
              <w:rPr>
                <w:noProof/>
              </w:rPr>
              <w:tab/>
            </w:r>
            <w:r>
              <w:rPr>
                <w:noProof/>
                <w:sz w:val="18"/>
              </w:rPr>
              <w:t xml:space="preserve">Für die Zwecke dieses Anhangs darf in dem Gebiet mit folgenden Grenzen gefischt werden: </w:t>
            </w:r>
          </w:p>
          <w:p>
            <w:pPr>
              <w:pStyle w:val="Tiret1"/>
              <w:numPr>
                <w:ilvl w:val="0"/>
                <w:numId w:val="9"/>
              </w:numPr>
              <w:tabs>
                <w:tab w:val="clear" w:pos="1417"/>
                <w:tab w:val="left" w:pos="1092"/>
              </w:tabs>
              <w:ind w:left="1452" w:hanging="851"/>
              <w:rPr>
                <w:noProof/>
                <w:sz w:val="18"/>
                <w:szCs w:val="18"/>
              </w:rPr>
            </w:pPr>
            <w:r>
              <w:rPr>
                <w:noProof/>
                <w:sz w:val="18"/>
              </w:rPr>
              <w:t>im Westen der Längengrad 0° E,</w:t>
            </w:r>
          </w:p>
          <w:p>
            <w:pPr>
              <w:pStyle w:val="Tiret1"/>
              <w:tabs>
                <w:tab w:val="clear" w:pos="1417"/>
                <w:tab w:val="left" w:pos="1092"/>
              </w:tabs>
              <w:ind w:left="1452" w:hanging="851"/>
              <w:rPr>
                <w:noProof/>
                <w:sz w:val="18"/>
                <w:szCs w:val="18"/>
              </w:rPr>
            </w:pPr>
            <w:r>
              <w:rPr>
                <w:noProof/>
                <w:sz w:val="18"/>
              </w:rPr>
              <w:t>im Norden der Breitengrad 20° S,</w:t>
            </w:r>
          </w:p>
          <w:p>
            <w:pPr>
              <w:pStyle w:val="Tiret1"/>
              <w:tabs>
                <w:tab w:val="clear" w:pos="1417"/>
                <w:tab w:val="left" w:pos="1092"/>
              </w:tabs>
              <w:ind w:left="1452" w:hanging="851"/>
              <w:rPr>
                <w:noProof/>
                <w:sz w:val="18"/>
                <w:szCs w:val="18"/>
              </w:rPr>
            </w:pPr>
            <w:r>
              <w:rPr>
                <w:noProof/>
                <w:sz w:val="18"/>
              </w:rPr>
              <w:t>im Süden der Breitengrad 28° S und</w:t>
            </w:r>
          </w:p>
          <w:p>
            <w:pPr>
              <w:pStyle w:val="Tiret1"/>
              <w:tabs>
                <w:tab w:val="clear" w:pos="1417"/>
                <w:tab w:val="left" w:pos="1092"/>
              </w:tabs>
              <w:ind w:left="1452" w:hanging="851"/>
              <w:rPr>
                <w:noProof/>
                <w:sz w:val="18"/>
                <w:szCs w:val="18"/>
              </w:rPr>
            </w:pPr>
            <w:r>
              <w:rPr>
                <w:noProof/>
                <w:sz w:val="18"/>
              </w:rPr>
              <w:t>im Osten die Außengrenze der AWZ Namibias.</w:t>
            </w:r>
          </w:p>
          <w:p>
            <w:pPr>
              <w:pStyle w:val="Tiret1"/>
              <w:numPr>
                <w:ilvl w:val="0"/>
                <w:numId w:val="0"/>
              </w:numPr>
              <w:ind w:left="601" w:hanging="601"/>
              <w:rPr>
                <w:noProof/>
                <w:sz w:val="18"/>
                <w:szCs w:val="18"/>
              </w:rPr>
            </w:pPr>
            <w:r>
              <w:rPr>
                <w:noProof/>
                <w:sz w:val="18"/>
                <w:vertAlign w:val="superscript"/>
              </w:rPr>
              <w:t>(2)</w:t>
            </w:r>
            <w:r>
              <w:rPr>
                <w:noProof/>
              </w:rPr>
              <w:tab/>
            </w:r>
            <w:r>
              <w:rPr>
                <w:noProof/>
                <w:sz w:val="18"/>
              </w:rPr>
              <w:t xml:space="preserve">Ausgenommen einer zulässigen Beifangmenge von </w:t>
            </w:r>
            <w:r>
              <w:rPr>
                <w:noProof/>
                <w:color w:val="000000"/>
                <w:sz w:val="18"/>
              </w:rPr>
              <w:t>4</w:t>
            </w:r>
            <w:r>
              <w:rPr>
                <w:noProof/>
                <w:sz w:val="18"/>
              </w:rPr>
              <w:t> Tonnen (ORY/*F47NA).</w:t>
            </w:r>
          </w:p>
        </w:tc>
      </w:tr>
      <w:tr>
        <w:tc>
          <w:tcPr>
            <w:tcW w:w="9379" w:type="dxa"/>
            <w:gridSpan w:val="5"/>
            <w:tcBorders>
              <w:top w:val="single" w:sz="4" w:space="0" w:color="000000"/>
              <w:bottom w:val="single" w:sz="8" w:space="0" w:color="000000"/>
            </w:tcBorders>
            <w:shd w:val="clear" w:color="auto" w:fill="auto"/>
            <w:vAlign w:val="center"/>
          </w:tcPr>
          <w:p>
            <w:pPr>
              <w:rPr>
                <w:noProof/>
                <w:sz w:val="18"/>
                <w:szCs w:val="18"/>
              </w:rPr>
            </w:pPr>
          </w:p>
        </w:tc>
      </w:tr>
    </w:tbl>
    <w:p>
      <w:pPr>
        <w:pStyle w:val="Point0"/>
        <w:rPr>
          <w:b/>
          <w:noProof/>
          <w:sz w:val="19"/>
          <w:szCs w:val="19"/>
        </w:rPr>
      </w:pPr>
      <w:r>
        <w:rPr>
          <w:noProof/>
        </w:rPr>
        <w:t>4.</w:t>
      </w:r>
      <w:r>
        <w:rPr>
          <w:noProof/>
        </w:rPr>
        <w:tab/>
        <w:t>Im Anhang IJ der Verordnung (EU) 2016/72 erhält die Tabelle mit den Fangmöglichkeiten für Chilenische Bastardmakrele im SPRFMO-Übereinkommensbereich folgende Fassung:</w:t>
      </w:r>
    </w:p>
    <w:tbl>
      <w:tblPr>
        <w:tblW w:w="9620" w:type="dxa"/>
        <w:tblInd w:w="108" w:type="dxa"/>
        <w:tblLook w:val="04A0" w:firstRow="1" w:lastRow="0" w:firstColumn="1" w:lastColumn="0" w:noHBand="0" w:noVBand="1"/>
      </w:tblPr>
      <w:tblGrid>
        <w:gridCol w:w="1636"/>
        <w:gridCol w:w="1796"/>
        <w:gridCol w:w="976"/>
        <w:gridCol w:w="1936"/>
        <w:gridCol w:w="3276"/>
      </w:tblGrid>
      <w:tr>
        <w:trPr>
          <w:trHeight w:val="300"/>
        </w:trPr>
        <w:tc>
          <w:tcPr>
            <w:tcW w:w="1636"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Art:</w:t>
            </w:r>
          </w:p>
        </w:tc>
        <w:tc>
          <w:tcPr>
            <w:tcW w:w="1796"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Chilenische Bastardmakrele</w:t>
            </w:r>
          </w:p>
        </w:tc>
        <w:tc>
          <w:tcPr>
            <w:tcW w:w="976"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936" w:type="dxa"/>
            <w:tcBorders>
              <w:top w:val="single" w:sz="8" w:space="0" w:color="auto"/>
              <w:left w:val="single" w:sz="8" w:space="0" w:color="auto"/>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Gebiet:</w:t>
            </w:r>
          </w:p>
        </w:tc>
        <w:tc>
          <w:tcPr>
            <w:tcW w:w="3276" w:type="dxa"/>
            <w:tcBorders>
              <w:top w:val="single" w:sz="8" w:space="0" w:color="auto"/>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SPRFMO-Übereinkommensbereich</w:t>
            </w:r>
          </w:p>
        </w:tc>
      </w:tr>
      <w:tr>
        <w:trPr>
          <w:trHeight w:val="315"/>
        </w:trPr>
        <w:tc>
          <w:tcPr>
            <w:tcW w:w="1636"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c>
          <w:tcPr>
            <w:tcW w:w="1796" w:type="dxa"/>
            <w:tcBorders>
              <w:top w:val="nil"/>
              <w:left w:val="nil"/>
              <w:bottom w:val="single" w:sz="8" w:space="0" w:color="auto"/>
              <w:right w:val="nil"/>
            </w:tcBorders>
            <w:shd w:val="clear" w:color="auto" w:fill="auto"/>
            <w:noWrap/>
            <w:vAlign w:val="bottom"/>
            <w:hideMark/>
          </w:tcPr>
          <w:p>
            <w:pPr>
              <w:spacing w:after="0"/>
              <w:rPr>
                <w:rFonts w:eastAsia="Times New Roman"/>
                <w:i/>
                <w:iCs/>
                <w:noProof/>
                <w:color w:val="000000"/>
                <w:sz w:val="18"/>
                <w:szCs w:val="18"/>
              </w:rPr>
            </w:pPr>
            <w:r>
              <w:rPr>
                <w:i/>
                <w:noProof/>
                <w:color w:val="000000"/>
                <w:sz w:val="18"/>
              </w:rPr>
              <w:t>Trachurus murphyi</w:t>
            </w:r>
          </w:p>
        </w:tc>
        <w:tc>
          <w:tcPr>
            <w:tcW w:w="976"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936" w:type="dxa"/>
            <w:tcBorders>
              <w:top w:val="nil"/>
              <w:left w:val="single" w:sz="8" w:space="0" w:color="auto"/>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 </w:t>
            </w:r>
          </w:p>
        </w:tc>
        <w:tc>
          <w:tcPr>
            <w:tcW w:w="3276" w:type="dxa"/>
            <w:tcBorders>
              <w:top w:val="nil"/>
              <w:left w:val="nil"/>
              <w:bottom w:val="single" w:sz="8" w:space="0" w:color="auto"/>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(CJM/SPRFMO)</w:t>
            </w: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rPr>
              <w:t>Deutschland</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7 067,15</w:t>
            </w:r>
          </w:p>
        </w:tc>
        <w:tc>
          <w:tcPr>
            <w:tcW w:w="976" w:type="dxa"/>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193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Analytische TAC</w:t>
            </w:r>
          </w:p>
        </w:tc>
        <w:tc>
          <w:tcPr>
            <w:tcW w:w="327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Niederlande</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7 660,06</w:t>
            </w:r>
          </w:p>
        </w:tc>
        <w:tc>
          <w:tcPr>
            <w:tcW w:w="976" w:type="dxa"/>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5212"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Artikel 3 der Verordnung (EG) Nr. 847/96 gilt nicht.</w:t>
            </w: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Litauen</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4 917,5</w:t>
            </w:r>
          </w:p>
        </w:tc>
        <w:tc>
          <w:tcPr>
            <w:tcW w:w="976" w:type="dxa"/>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5212" w:type="dxa"/>
            <w:gridSpan w:val="2"/>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r>
              <w:rPr>
                <w:noProof/>
                <w:color w:val="000000"/>
                <w:sz w:val="18"/>
              </w:rPr>
              <w:t>Artikel 4 der Verordnung (EG) Nr. 847/96 gilt nicht.</w:t>
            </w: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Polen</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8 455,29</w:t>
            </w:r>
          </w:p>
        </w:tc>
        <w:tc>
          <w:tcPr>
            <w:tcW w:w="976" w:type="dxa"/>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193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27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Union</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 xml:space="preserve"> 28 100</w:t>
            </w:r>
          </w:p>
        </w:tc>
        <w:tc>
          <w:tcPr>
            <w:tcW w:w="976" w:type="dxa"/>
            <w:tcBorders>
              <w:top w:val="nil"/>
              <w:left w:val="nil"/>
              <w:bottom w:val="nil"/>
              <w:right w:val="nil"/>
            </w:tcBorders>
            <w:shd w:val="clear" w:color="auto" w:fill="auto"/>
            <w:noWrap/>
            <w:vAlign w:val="bottom"/>
          </w:tcPr>
          <w:p>
            <w:pPr>
              <w:spacing w:after="0"/>
              <w:rPr>
                <w:rFonts w:eastAsia="Times New Roman"/>
                <w:noProof/>
                <w:color w:val="000000"/>
                <w:sz w:val="18"/>
                <w:szCs w:val="18"/>
              </w:rPr>
            </w:pPr>
          </w:p>
        </w:tc>
        <w:tc>
          <w:tcPr>
            <w:tcW w:w="19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327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300"/>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p>
        </w:tc>
        <w:tc>
          <w:tcPr>
            <w:tcW w:w="97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193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27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351"/>
        </w:trPr>
        <w:tc>
          <w:tcPr>
            <w:tcW w:w="16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rPr>
              <w:t>TAC</w:t>
            </w:r>
          </w:p>
        </w:tc>
        <w:tc>
          <w:tcPr>
            <w:tcW w:w="1796" w:type="dxa"/>
            <w:tcBorders>
              <w:top w:val="nil"/>
              <w:left w:val="nil"/>
              <w:bottom w:val="nil"/>
              <w:right w:val="nil"/>
            </w:tcBorders>
            <w:shd w:val="clear" w:color="auto" w:fill="auto"/>
            <w:noWrap/>
            <w:vAlign w:val="center"/>
            <w:hideMark/>
          </w:tcPr>
          <w:p>
            <w:pPr>
              <w:spacing w:after="0"/>
              <w:jc w:val="right"/>
              <w:rPr>
                <w:rFonts w:eastAsia="Times New Roman"/>
                <w:noProof/>
                <w:sz w:val="18"/>
                <w:szCs w:val="18"/>
              </w:rPr>
            </w:pPr>
            <w:r>
              <w:rPr>
                <w:noProof/>
                <w:sz w:val="18"/>
              </w:rPr>
              <w:t>Entfällt</w:t>
            </w:r>
          </w:p>
        </w:tc>
        <w:tc>
          <w:tcPr>
            <w:tcW w:w="97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p>
        </w:tc>
        <w:tc>
          <w:tcPr>
            <w:tcW w:w="193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c>
          <w:tcPr>
            <w:tcW w:w="3276" w:type="dxa"/>
            <w:tcBorders>
              <w:top w:val="nil"/>
              <w:left w:val="nil"/>
              <w:bottom w:val="nil"/>
              <w:right w:val="nil"/>
            </w:tcBorders>
            <w:shd w:val="clear" w:color="auto" w:fill="auto"/>
            <w:noWrap/>
            <w:vAlign w:val="center"/>
            <w:hideMark/>
          </w:tcPr>
          <w:p>
            <w:pPr>
              <w:spacing w:after="0"/>
              <w:rPr>
                <w:rFonts w:eastAsia="Times New Roman"/>
                <w:noProof/>
                <w:color w:val="000000"/>
                <w:sz w:val="18"/>
                <w:szCs w:val="18"/>
              </w:rPr>
            </w:pPr>
          </w:p>
        </w:tc>
      </w:tr>
      <w:tr>
        <w:trPr>
          <w:trHeight w:val="315"/>
        </w:trPr>
        <w:tc>
          <w:tcPr>
            <w:tcW w:w="16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p>
        </w:tc>
        <w:tc>
          <w:tcPr>
            <w:tcW w:w="7984" w:type="dxa"/>
            <w:gridSpan w:val="4"/>
            <w:tcBorders>
              <w:top w:val="nil"/>
              <w:left w:val="nil"/>
              <w:bottom w:val="single" w:sz="8" w:space="0" w:color="auto"/>
              <w:right w:val="nil"/>
            </w:tcBorders>
            <w:shd w:val="clear" w:color="auto" w:fill="auto"/>
            <w:noWrap/>
            <w:vAlign w:val="bottom"/>
          </w:tcPr>
          <w:p>
            <w:pPr>
              <w:spacing w:after="0"/>
              <w:rPr>
                <w:rFonts w:eastAsia="Times New Roman"/>
                <w:noProof/>
                <w:sz w:val="18"/>
                <w:szCs w:val="18"/>
              </w:rPr>
            </w:pPr>
          </w:p>
        </w:tc>
      </w:tr>
    </w:tbl>
    <w:p>
      <w:pPr>
        <w:pStyle w:val="Point0"/>
        <w:rPr>
          <w:noProof/>
        </w:rPr>
      </w:pPr>
      <w:r>
        <w:rPr>
          <w:noProof/>
        </w:rPr>
        <w:t>5.</w:t>
      </w:r>
      <w:r>
        <w:rPr>
          <w:noProof/>
        </w:rPr>
        <w:tab/>
        <w:t>Anhang VIII der Verordnung (EU) 2016/72 erhält folgende Fassung:</w:t>
      </w:r>
    </w:p>
    <w:p>
      <w:pPr>
        <w:pStyle w:val="Text1"/>
        <w:jc w:val="center"/>
        <w:rPr>
          <w:noProof/>
        </w:rPr>
      </w:pPr>
      <w:r>
        <w:rPr>
          <w:noProof/>
        </w:rPr>
        <w:t>„ANHANG VIII</w:t>
      </w:r>
    </w:p>
    <w:p>
      <w:pPr>
        <w:pStyle w:val="NormalCentered"/>
        <w:rPr>
          <w:noProof/>
        </w:rPr>
      </w:pPr>
      <w:r>
        <w:rPr>
          <w:noProof/>
        </w:rPr>
        <w:t>MENGENMÄSSIGE BESCHRÄNKUNGEN DER FANGGENEHMIGUNGEN FÜR DRITTLANDSCHIFFE IN UNIONSGEWÄSSERN</w:t>
      </w:r>
    </w:p>
    <w:tbl>
      <w:tblPr>
        <w:tblW w:w="5000" w:type="pct"/>
        <w:tblLook w:val="0000" w:firstRow="0" w:lastRow="0" w:firstColumn="0" w:lastColumn="0" w:noHBand="0" w:noVBand="0"/>
      </w:tblPr>
      <w:tblGrid>
        <w:gridCol w:w="1433"/>
        <w:gridCol w:w="3596"/>
        <w:gridCol w:w="2229"/>
        <w:gridCol w:w="2031"/>
      </w:tblGrid>
      <w:tr>
        <w:trPr>
          <w:cantSplit/>
          <w:tblHeader/>
        </w:trPr>
        <w:tc>
          <w:tcPr>
            <w:tcW w:w="800" w:type="pct"/>
            <w:tcBorders>
              <w:top w:val="single" w:sz="4" w:space="0" w:color="000000"/>
              <w:left w:val="single" w:sz="4" w:space="0" w:color="000000"/>
              <w:bottom w:val="single" w:sz="4" w:space="0" w:color="000000"/>
            </w:tcBorders>
            <w:shd w:val="clear" w:color="auto" w:fill="auto"/>
            <w:vAlign w:val="center"/>
          </w:tcPr>
          <w:p>
            <w:pPr>
              <w:keepNext/>
              <w:keepLines/>
              <w:spacing w:before="60" w:after="60"/>
              <w:rPr>
                <w:noProof/>
              </w:rPr>
            </w:pPr>
            <w:r>
              <w:rPr>
                <w:noProof/>
              </w:rPr>
              <w:t>Flaggenstaat</w:t>
            </w:r>
          </w:p>
        </w:tc>
        <w:tc>
          <w:tcPr>
            <w:tcW w:w="1964" w:type="pct"/>
            <w:tcBorders>
              <w:top w:val="single" w:sz="4" w:space="0" w:color="000000"/>
              <w:left w:val="single" w:sz="4" w:space="0" w:color="000000"/>
              <w:bottom w:val="single" w:sz="4" w:space="0" w:color="000000"/>
            </w:tcBorders>
            <w:shd w:val="clear" w:color="auto" w:fill="auto"/>
            <w:vAlign w:val="center"/>
          </w:tcPr>
          <w:p>
            <w:pPr>
              <w:keepNext/>
              <w:keepLines/>
              <w:spacing w:before="60" w:after="60"/>
              <w:rPr>
                <w:noProof/>
              </w:rPr>
            </w:pPr>
            <w:r>
              <w:rPr>
                <w:noProof/>
              </w:rPr>
              <w:t>Fischerei</w:t>
            </w:r>
          </w:p>
        </w:tc>
        <w:tc>
          <w:tcPr>
            <w:tcW w:w="1115" w:type="pct"/>
            <w:tcBorders>
              <w:top w:val="single" w:sz="4" w:space="0" w:color="000000"/>
              <w:left w:val="single" w:sz="4" w:space="0" w:color="000000"/>
              <w:bottom w:val="single" w:sz="4" w:space="0" w:color="000000"/>
            </w:tcBorders>
            <w:shd w:val="clear" w:color="auto" w:fill="auto"/>
            <w:vAlign w:val="center"/>
          </w:tcPr>
          <w:p>
            <w:pPr>
              <w:keepNext/>
              <w:keepLines/>
              <w:spacing w:before="60" w:after="60"/>
              <w:rPr>
                <w:noProof/>
              </w:rPr>
            </w:pPr>
            <w:r>
              <w:rPr>
                <w:noProof/>
              </w:rPr>
              <w:t>Zahl der Fanggenehmigungen</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keepLines/>
              <w:spacing w:before="60" w:after="60"/>
              <w:rPr>
                <w:noProof/>
              </w:rPr>
            </w:pPr>
            <w:r>
              <w:rPr>
                <w:noProof/>
              </w:rPr>
              <w:t>Höchstanzahl gleichzeitig eingesetzter Schiffe</w:t>
            </w:r>
          </w:p>
        </w:tc>
      </w:tr>
      <w:tr>
        <w:trPr>
          <w:cantSplit/>
          <w:tblHeader/>
        </w:trPr>
        <w:tc>
          <w:tcPr>
            <w:tcW w:w="800"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Norwegen</w:t>
            </w: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Hering, nördlich von 62° 00' N</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Noch nicht festgelegt</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Noch nicht festgelegt</w:t>
            </w:r>
          </w:p>
        </w:tc>
      </w:tr>
      <w:tr>
        <w:trPr>
          <w:cantSplit/>
          <w:tblHeader/>
        </w:trPr>
        <w:tc>
          <w:tcPr>
            <w:tcW w:w="800" w:type="pct"/>
            <w:vMerge w:val="restar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Färöer</w:t>
            </w: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Makrele, VIa (nördlich von 56°30′ N) IIa, IVa (nördlich von 59°N)</w:t>
            </w:r>
          </w:p>
          <w:p>
            <w:pPr>
              <w:keepNext/>
              <w:keepLines/>
              <w:spacing w:before="60" w:after="60"/>
              <w:rPr>
                <w:noProof/>
              </w:rPr>
            </w:pPr>
            <w:r>
              <w:rPr>
                <w:noProof/>
              </w:rPr>
              <w:t>Bastardmakrele, IV, VIa (nördlich von 56° 30′ N), VIIe, VIIf, VIIh</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14</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14</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Hering, nördlich von 62° 00' N</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20</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Noch nicht festgelegt</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Hering, IIIa</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4</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4</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Industriefischerei auf Stintdorsch, IV, VIa (nördlich von 56°30′ N) (einschließlich unvermeidbarer Beifänge von Blauem Wittling)</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14</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14</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Leng und Lumb</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20</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10</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Blauer Wittling, II, IVa, V, VIa (nördlich von 56° 30′ N), VIb, VII (westlich von 12°00′ W)</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20</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20</w:t>
            </w:r>
          </w:p>
        </w:tc>
      </w:tr>
      <w:tr>
        <w:trPr>
          <w:cantSplit/>
          <w:tblHeader/>
        </w:trPr>
        <w:tc>
          <w:tcPr>
            <w:tcW w:w="800" w:type="pct"/>
            <w:vMerge/>
            <w:tcBorders>
              <w:top w:val="single" w:sz="4" w:space="0" w:color="000000"/>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Blauleng</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16</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16</w:t>
            </w:r>
          </w:p>
        </w:tc>
      </w:tr>
      <w:tr>
        <w:trPr>
          <w:cantSplit/>
          <w:tblHeader/>
        </w:trPr>
        <w:tc>
          <w:tcPr>
            <w:tcW w:w="800"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Venezuela</w:t>
            </w:r>
            <w:r>
              <w:rPr>
                <w:b/>
                <w:noProof/>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Schnapper (Gewässer von Französisch-Guayana)</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45</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rPr>
                <w:noProof/>
              </w:rPr>
            </w:pPr>
            <w:r>
              <w:rPr>
                <w:noProof/>
              </w:rPr>
              <w:t>45</w:t>
            </w:r>
          </w:p>
        </w:tc>
      </w:tr>
      <w:tr>
        <w:trPr>
          <w:cantSplit/>
          <w:tblHead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ind w:left="567" w:hanging="567"/>
              <w:rPr>
                <w:noProof/>
                <w:szCs w:val="24"/>
              </w:rPr>
            </w:pPr>
            <w:r>
              <w:rPr>
                <w:noProof/>
                <w:vertAlign w:val="superscript"/>
              </w:rPr>
              <w:t>(1)</w:t>
            </w:r>
            <w:r>
              <w:rPr>
                <w:noProof/>
              </w:rPr>
              <w:tab/>
              <w:t>Für die Erteilung dieser Fanggenehmigungen muss der Nachweis erbracht werden, dass ein gültiger Vertrag zwischen dem Schiffseigner, der die Fanggenehmigung beantragt, und einem im Departement Französisch-Guayana ansässigen Verarbeitungsunternehmen besteht, und dass dieser Vertrag die Verpflichtung beinhaltet, mindestens 75 % aller Fänge von Schnapper des betreffenden Fischereifahrzeugs in diesem Departement anzulanden, so dass sie in den Anlagen dieses Unternehmens verarbeitet werden können. Ein solcher Vertrag muss von den französischen Behörden gebilligt sein, die dafür Sorge tragen müssen, dass er sowohl mit der tatsächlichen Kapazität des betreffenden Verarbeitungsunternehmens als auch mit den Zielen für die Entwicklung der Wirtschaft von Französisch-Guayana in Einklang steht. Eine Kopie des ordnungsgemäß gebilligten Vertrags muss dem Antrag auf die Fanggenehmigung beigefügt werden. Wird eine solche Billigung verweigert, so müssen die französischen Behörden der betreffenden Partei und der Kommission dies zusammen mit einer Begründung mitteilen.</w:t>
            </w:r>
          </w:p>
        </w:tc>
      </w:tr>
    </w:tbl>
    <w:p>
      <w:pPr>
        <w:pStyle w:val="Lignefinal"/>
        <w:rPr>
          <w:b w:val="0"/>
          <w:noProof/>
        </w:rPr>
      </w:pPr>
      <w:r>
        <w:rPr>
          <w:b w:val="0"/>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EDF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4435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0B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8 09:55: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CP" w:val="des"/>
    <w:docVar w:name="LW_ANNEX_NBR_FIRST" w:val="1"/>
    <w:docVar w:name="LW_ANNEX_NBR_LAST" w:val="1"/>
    <w:docVar w:name="LW_CONFIDENCE" w:val=" "/>
    <w:docVar w:name="LW_CONST_RESTREINT_UE" w:val="RESTREINT UE"/>
    <w:docVar w:name="LW_CORRIGENDUM" w:val="&lt;UNUSED&gt;"/>
    <w:docVar w:name="LW_COVERPAGE_GUID" w:val="1ED6D2C178E14CEF90D06A9C3ACD8C4F"/>
    <w:docVar w:name="LW_CROSSREFERENCE" w:val="&lt;UNUSED&gt;"/>
    <w:docVar w:name="LW_DocType" w:val="ANNEX"/>
    <w:docVar w:name="LW_EMISSION" w:val="8.3.2016"/>
    <w:docVar w:name="LW_EMISSION_ISODATE" w:val="2016-03-08"/>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zur Änderung der Verordnung (EU) 2016/72 hinsichtlich bestimmter Fangmöglichkeiten"/>
    <w:docVar w:name="LW_PART_NBR" w:val="1"/>
    <w:docVar w:name="LW_PART_NBR_TOTAL" w:val="1"/>
    <w:docVar w:name="LW_REF.INST.NEW" w:val="COM"/>
    <w:docVar w:name="LW_REF.INST.NEW_ADOPTED" w:val="final"/>
    <w:docVar w:name="LW_REF.INST.NEW_TEXT" w:val="(2016) 123"/>
    <w:docVar w:name="LW_REF.INTERNE" w:val="&lt;UNUSED&gt;"/>
    <w:docVar w:name="LW_SUPERTITRE" w:val="&lt;UNUSED&gt;"/>
    <w:docVar w:name="LW_TITRE.OBJ.CP" w:val="&lt;UNUSED&gt;"/>
    <w:docVar w:name="LW_TYPE.DOC.CP" w:val="ANHANG"/>
    <w:docVar w:name="LW_TYPEACTEPRINCIPAL.CP" w:val="Vorschlags der Kommission für eine Verordn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4750-F704-41F5-AED9-5C98907D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2368</Words>
  <Characters>13646</Characters>
  <Application>Microsoft Office Word</Application>
  <DocSecurity>0</DocSecurity>
  <Lines>1364</Lines>
  <Paragraphs>615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2016-02-25T15:59:00Z</cp:lastPrinted>
  <dcterms:created xsi:type="dcterms:W3CDTF">2016-03-04T11:55:00Z</dcterms:created>
  <dcterms:modified xsi:type="dcterms:W3CDTF">2016-03-08T08:55:00Z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