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3DA483834DF46639520557F10E519B2"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FRÅN KOMMISSIONEN TILL EUROPAPARLAMENTET OCH RÅDET</w:t>
      </w:r>
    </w:p>
    <w:p>
      <w:pPr>
        <w:pStyle w:val="Titreobjet"/>
        <w:rPr>
          <w:noProof/>
        </w:rPr>
      </w:pPr>
      <w:r>
        <w:rPr>
          <w:noProof/>
        </w:rPr>
        <w:t>om kommissionens utövande av de delegerade befogenheter den ges enligt förordning (EU) nr 1169/2011 om tillhandahållande av livsmedelsinformation till konsumenterna</w:t>
      </w:r>
    </w:p>
    <w:p>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1.</w:t>
      </w:r>
      <w:r>
        <w:rPr>
          <w:noProof/>
        </w:rPr>
        <w:tab/>
      </w:r>
      <w:r>
        <w:rPr>
          <w:rFonts w:ascii="Times New Roman" w:hAnsi="Times New Roman"/>
          <w:b/>
          <w:noProof/>
          <w:sz w:val="24"/>
        </w:rPr>
        <w:t>Inledning och rättslig grund</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Denna rapport är ett svar på den skyldighet som kommissionen åläggs genom artikel 51.2 i Europaparlamentets och rådets förordning (EU) nr 1169/2011 av den 25 oktober 2011 om tillhandahållande av livsmedelsinformation till konsumenterna</w:t>
      </w:r>
      <w:r>
        <w:rPr>
          <w:rStyle w:val="FootnoteReference"/>
          <w:rFonts w:ascii="Times New Roman" w:hAnsi="Times New Roman"/>
          <w:noProof/>
          <w:sz w:val="24"/>
        </w:rPr>
        <w:footnoteReference w:id="1"/>
      </w:r>
      <w:r>
        <w:rPr>
          <w:rFonts w:ascii="Times New Roman" w:hAnsi="Times New Roman"/>
          <w:noProof/>
          <w:sz w:val="24"/>
        </w:rPr>
        <w:t xml:space="preserve"> (nedan kallad </w:t>
      </w:r>
      <w:r>
        <w:rPr>
          <w:rFonts w:ascii="Times New Roman" w:hAnsi="Times New Roman"/>
          <w:i/>
          <w:noProof/>
          <w:sz w:val="24"/>
        </w:rPr>
        <w:t>förordningen om livsmedelsinformation</w:t>
      </w:r>
      <w:r>
        <w:rPr>
          <w:rFonts w:ascii="Times New Roman" w:hAnsi="Times New Roman"/>
          <w:noProof/>
          <w:sz w:val="24"/>
        </w:rPr>
        <w:t>). I artikel 51.2 i förordningen om livsmedelsinformation anges att kommissionen ska lägga fram en rapport för Europaparlamentet och rådet om utövandet av de delegerade befogenheter som tilldelas kommissionen enligt den förordningen. Rapporten ska utarbetas senast nio månader före utgången av perioden av fem år, som inleddes den 12 december 2011. Delegeringen av befogenhet ska genom tyst medgivande förlängas med perioder av samma längd, såvida inte Europaparlamentet eller rådet motsätter sig en sådan förlängning senast tre månader före utgången av perioden i fråga.</w:t>
      </w:r>
    </w:p>
    <w:p>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2.</w:t>
      </w:r>
      <w:r>
        <w:rPr>
          <w:noProof/>
        </w:rPr>
        <w:tab/>
      </w:r>
      <w:r>
        <w:rPr>
          <w:rFonts w:ascii="Times New Roman" w:hAnsi="Times New Roman"/>
          <w:b/>
          <w:noProof/>
          <w:sz w:val="24"/>
        </w:rPr>
        <w:t>Delegeringens utövande</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Genom artikel 51.2 i förordningen om livsmedelsinformation får kommissionen befogenhet att anta delegerade akter som avses i artiklarna 9.3, 10.2, 12.3, 13.4, 18.5, 19.2, 21.2, 23.2, 30.6, 31.2, 36.4 och 46 i den förordningen.</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Sedan förordningen om livsmedelsinformation trädde i kraft har kommissionen antagit tre delegerade akter:</w:t>
      </w:r>
    </w:p>
    <w:p>
      <w:pPr>
        <w:autoSpaceDE w:val="0"/>
        <w:autoSpaceDN w:val="0"/>
        <w:adjustRightInd w:val="0"/>
        <w:spacing w:before="120" w:after="120" w:line="240" w:lineRule="auto"/>
        <w:ind w:left="567" w:hanging="567"/>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noProof/>
          <w:sz w:val="24"/>
        </w:rPr>
        <w:t>En delegerad förordning</w:t>
      </w:r>
      <w:r>
        <w:rPr>
          <w:rStyle w:val="FootnoteReference"/>
          <w:rFonts w:ascii="Times New Roman" w:hAnsi="Times New Roman"/>
          <w:noProof/>
          <w:sz w:val="24"/>
        </w:rPr>
        <w:footnoteReference w:id="2"/>
      </w:r>
      <w:r>
        <w:rPr>
          <w:rFonts w:ascii="Times New Roman" w:hAnsi="Times New Roman"/>
          <w:noProof/>
          <w:sz w:val="24"/>
        </w:rPr>
        <w:t xml:space="preserve"> som ändrar förordningen om livsmedelsinformation i enlighet med artikel 36.4 vad gäller information om frånvaro av eller reducerad förekomst av gluten i livsmedel. </w:t>
      </w:r>
    </w:p>
    <w:p>
      <w:pPr>
        <w:pStyle w:val="CM1"/>
        <w:spacing w:before="120" w:after="120"/>
        <w:ind w:left="567" w:hanging="567"/>
        <w:jc w:val="both"/>
        <w:rPr>
          <w:rFonts w:ascii="Times New Roman" w:eastAsia="Times New Roman" w:hAnsi="Times New Roman" w:cs="Times New Roman"/>
          <w:noProof/>
        </w:rPr>
      </w:pPr>
      <w:r>
        <w:rPr>
          <w:noProof/>
        </w:rPr>
        <w:tab/>
      </w:r>
      <w:r>
        <w:rPr>
          <w:rFonts w:ascii="Times New Roman" w:hAnsi="Times New Roman"/>
          <w:noProof/>
        </w:rPr>
        <w:t>Syftet med denna rättsakt var att skapa en grund för frivillig livsmedelsinformation om frånvaro av eller reducerad förekomst av gluten i livsmedel.  I Europaparlamentets och rådets tidigare direktiv 2009/39/EG av den 6 maj 2009 om livsmedel för särskilda näringsändamål</w:t>
      </w:r>
      <w:r>
        <w:rPr>
          <w:rFonts w:ascii="Times New Roman" w:hAnsi="Times New Roman"/>
          <w:noProof/>
          <w:vertAlign w:val="superscript"/>
        </w:rPr>
        <w:footnoteReference w:id="3"/>
      </w:r>
      <w:r>
        <w:rPr>
          <w:rFonts w:ascii="Times New Roman" w:hAnsi="Times New Roman"/>
          <w:noProof/>
        </w:rPr>
        <w:t xml:space="preserve"> hade tillhandahållandet av sådan information, särskilt påståendena ”glutenfri” och ”mycket låg glutenhalt”, reglerats genom kommissionens förordning (EG) nr 41/2009 av den 20 januari 2009 om sammansättning och märkning av livsmedel som är lämpliga för personer med glutenintolerans</w:t>
      </w:r>
      <w:r>
        <w:rPr>
          <w:rFonts w:ascii="Times New Roman" w:hAnsi="Times New Roman"/>
          <w:noProof/>
          <w:vertAlign w:val="superscript"/>
        </w:rPr>
        <w:footnoteReference w:id="4"/>
      </w:r>
      <w:r>
        <w:rPr>
          <w:rFonts w:ascii="Times New Roman" w:hAnsi="Times New Roman"/>
          <w:noProof/>
        </w:rPr>
        <w:t>. Som anges i skäl 41 i Europaparlamentets och rådets förordning (EU) nr 609/2013 av den 12 juni 2013 om livsmedel avsedda för spädbarn och småbarn, livsmedel för speciella medicinska ändamål och komplett kostersättning för viktkontroll</w:t>
      </w:r>
      <w:r>
        <w:rPr>
          <w:rStyle w:val="FootnoteReference"/>
          <w:rFonts w:ascii="Times New Roman" w:hAnsi="Times New Roman"/>
          <w:noProof/>
        </w:rPr>
        <w:footnoteReference w:id="5"/>
      </w:r>
      <w:r>
        <w:rPr>
          <w:rFonts w:ascii="Times New Roman" w:hAnsi="Times New Roman"/>
          <w:noProof/>
        </w:rPr>
        <w:t xml:space="preserve"> skulle reglerna om information om frånvaro av eller reducerad förekomst av gluten i livsmedel, genom att direktiv 2009/39/EG och kommissionens förordning (EG) nr 41/2009 upphör att gälla den 20 </w:t>
      </w:r>
      <w:r>
        <w:rPr>
          <w:rFonts w:ascii="Times New Roman" w:hAnsi="Times New Roman"/>
          <w:noProof/>
        </w:rPr>
        <w:lastRenderedPageBreak/>
        <w:t>juli 2016, överföras till förordningen om livsmedelsinformation. Genom kommissionens delegerade förordning (EU) nr 1155/2013 möjliggjordes denna överföring, samtidigt som det i kommissionens genomförandeförordning (EU) nr 828/2014</w:t>
      </w:r>
      <w:r>
        <w:rPr>
          <w:rStyle w:val="FootnoteReference"/>
          <w:rFonts w:ascii="Times New Roman" w:hAnsi="Times New Roman"/>
          <w:noProof/>
        </w:rPr>
        <w:footnoteReference w:id="6"/>
      </w:r>
      <w:r>
        <w:rPr>
          <w:rFonts w:ascii="Times New Roman" w:hAnsi="Times New Roman"/>
          <w:noProof/>
        </w:rPr>
        <w:t xml:space="preserve"> närmare fastställdes hur dessa påståenden skulle användas.</w:t>
      </w:r>
    </w:p>
    <w:p>
      <w:pPr>
        <w:pStyle w:val="CM1"/>
        <w:spacing w:before="120" w:after="120"/>
        <w:ind w:left="567" w:hanging="567"/>
        <w:jc w:val="both"/>
        <w:rPr>
          <w:rFonts w:ascii="Times New Roman" w:hAnsi="Times New Roman" w:cs="Times New Roman"/>
          <w:noProof/>
        </w:rPr>
      </w:pPr>
      <w:r>
        <w:rPr>
          <w:rFonts w:ascii="Times New Roman" w:hAnsi="Times New Roman"/>
          <w:noProof/>
        </w:rPr>
        <w:t>b)</w:t>
      </w:r>
      <w:r>
        <w:rPr>
          <w:noProof/>
        </w:rPr>
        <w:tab/>
      </w:r>
      <w:r>
        <w:rPr>
          <w:rFonts w:ascii="Times New Roman" w:hAnsi="Times New Roman"/>
          <w:noProof/>
        </w:rPr>
        <w:t>En delegerad förordning</w:t>
      </w:r>
      <w:r>
        <w:rPr>
          <w:rStyle w:val="FootnoteReference"/>
          <w:rFonts w:ascii="Times New Roman" w:hAnsi="Times New Roman"/>
          <w:noProof/>
        </w:rPr>
        <w:footnoteReference w:id="7"/>
      </w:r>
      <w:r>
        <w:rPr>
          <w:rFonts w:ascii="Times New Roman" w:hAnsi="Times New Roman"/>
          <w:noProof/>
        </w:rPr>
        <w:t xml:space="preserve"> som ändrar bilagorna II och III till förordningen om livsmedelsinformation vad gäller vissa spannmål som orsakar allergi eller intolerans och livsmedel med tillsats av fytosteroler, fytosterolestrar, fytostanoler eller fytostanolestrar. </w:t>
      </w:r>
    </w:p>
    <w:p>
      <w:pPr>
        <w:pStyle w:val="CM1"/>
        <w:spacing w:before="120" w:after="120"/>
        <w:ind w:left="567" w:hanging="567"/>
        <w:jc w:val="both"/>
        <w:rPr>
          <w:rFonts w:ascii="Times New Roman" w:eastAsia="Times New Roman" w:hAnsi="Times New Roman" w:cs="Times New Roman"/>
          <w:noProof/>
        </w:rPr>
      </w:pPr>
      <w:r>
        <w:rPr>
          <w:noProof/>
        </w:rPr>
        <w:tab/>
      </w:r>
      <w:r>
        <w:rPr>
          <w:rFonts w:ascii="Times New Roman" w:hAnsi="Times New Roman"/>
          <w:noProof/>
        </w:rPr>
        <w:t xml:space="preserve">Denna rättsakt antogs på grundval av artiklarna 10.2 och 21.2 i förordningen om livsmedelsinformation i följande två syften: För det första uppdaterades förteckningen över ämnen och produkter som orsakar allergi eller intolerans i bilaga II till den förordningen, på grundval av artikel 21.2 i samma förordning enligt vilken kommissionen ska se över förteckningen över dessa ämnen och produkter. Hänvisningen till spannmål som innehåller gluten, dvs. vete, ändrades genom att spelt benämndes som en vetesort och genom att benämningen kamut, som är ett registrerat varumärke, ersattes med det nuvarande sortnamnet khorasan. För det andra ändrades bilaga III till förordningen om livsmedelsinformation, på grundval av artikel 10.2 i den förordningen genom vilken förteckningen över särskilda märkningskrav för vissa livsmedel får ändras för att skydda konsumenthälsan eller garantera en säker användning av ett livsmedel. För att säkerställa att livsmedel med tillsats av fytosteroler, fytosterolestrar, fytostanoler eller fytostanolestrar når den konsumentgrupp som behöver kontrollera kolesterolhalten i blodet infördes krav på att märkningen av sådana livsmedel skulle innehålla lämpliga uppgifter. </w:t>
      </w:r>
    </w:p>
    <w:p>
      <w:pPr>
        <w:pStyle w:val="CM1"/>
        <w:spacing w:before="120" w:after="120"/>
        <w:ind w:left="567" w:hanging="567"/>
        <w:jc w:val="both"/>
        <w:rPr>
          <w:rFonts w:ascii="Times New Roman" w:hAnsi="Times New Roman" w:cs="Times New Roman"/>
          <w:noProof/>
        </w:rPr>
      </w:pPr>
      <w:r>
        <w:rPr>
          <w:rFonts w:ascii="Times New Roman" w:hAnsi="Times New Roman"/>
          <w:noProof/>
        </w:rPr>
        <w:t>c)</w:t>
      </w:r>
      <w:r>
        <w:rPr>
          <w:noProof/>
        </w:rPr>
        <w:tab/>
      </w:r>
      <w:r>
        <w:rPr>
          <w:rFonts w:ascii="Times New Roman" w:hAnsi="Times New Roman"/>
          <w:noProof/>
        </w:rPr>
        <w:t>En delegerad förordning om definitionen av konstruerade nanomaterial.</w:t>
      </w:r>
    </w:p>
    <w:p>
      <w:pPr>
        <w:pStyle w:val="CM1"/>
        <w:spacing w:before="120" w:after="120"/>
        <w:ind w:left="567" w:hanging="567"/>
        <w:jc w:val="both"/>
        <w:rPr>
          <w:rFonts w:ascii="Times New Roman" w:hAnsi="Times New Roman" w:cs="Times New Roman"/>
          <w:noProof/>
        </w:rPr>
      </w:pPr>
      <w:r>
        <w:rPr>
          <w:noProof/>
        </w:rPr>
        <w:tab/>
      </w:r>
      <w:r>
        <w:rPr>
          <w:rFonts w:ascii="Times New Roman" w:hAnsi="Times New Roman"/>
          <w:noProof/>
        </w:rPr>
        <w:t>I artikel 18.5 i förordningen om livsmedelsinformation anges att kommissionen ska justera och anpassa definitionen av konstruerade nanomaterial, som ursprungligen fastställdes i artikel 2.2 t i förordningen, till tekniska och vetenskapliga framsteg eller till definitioner som överenskommits på internationell nivå. På grundval därav antog kommissionen den 12 december 2013 en delegerad förordning om ändring av Europaparlamentets och rådets förordning (EU) nr 1169/2011 om tillhandahållande av livsmedelsinformation till konsumenterna vad gäller definitionen av konstruerat nanomaterial</w:t>
      </w:r>
      <w:r>
        <w:rPr>
          <w:rStyle w:val="FootnoteReference"/>
          <w:rFonts w:ascii="Times New Roman" w:hAnsi="Times New Roman"/>
          <w:noProof/>
        </w:rPr>
        <w:footnoteReference w:id="8"/>
      </w:r>
      <w:r>
        <w:rPr>
          <w:rFonts w:ascii="Times New Roman" w:hAnsi="Times New Roman"/>
          <w:noProof/>
        </w:rPr>
        <w:t>, och delgav denna rättsakt till Europaparlamentet och rådet samma dag</w:t>
      </w:r>
      <w:r>
        <w:rPr>
          <w:noProof/>
        </w:rPr>
        <w:t>.</w:t>
      </w:r>
      <w:r>
        <w:rPr>
          <w:rFonts w:ascii="Times New Roman" w:hAnsi="Times New Roman"/>
          <w:noProof/>
        </w:rPr>
        <w:t xml:space="preserve"> </w:t>
      </w:r>
    </w:p>
    <w:p>
      <w:pPr>
        <w:pStyle w:val="CM1"/>
        <w:spacing w:before="120" w:after="120"/>
        <w:ind w:left="567" w:hanging="567"/>
        <w:jc w:val="both"/>
        <w:rPr>
          <w:rFonts w:ascii="Times New Roman" w:hAnsi="Times New Roman" w:cs="Times New Roman"/>
          <w:noProof/>
        </w:rPr>
      </w:pPr>
      <w:r>
        <w:rPr>
          <w:noProof/>
        </w:rPr>
        <w:tab/>
      </w:r>
      <w:r>
        <w:rPr>
          <w:rFonts w:ascii="Times New Roman" w:hAnsi="Times New Roman"/>
          <w:noProof/>
        </w:rPr>
        <w:t>Den 12 mars 2014 antog Europaparlamentet en resolution med en invändning mot kommissionens delegerade förordning, med motiveringen att kommissionen överskrider de delegerade befogenheter som den beviljats eftersom vissa livsmedelstillsatser inte omfattas av definitionen</w:t>
      </w:r>
      <w:r>
        <w:rPr>
          <w:rStyle w:val="FootnoteReference"/>
          <w:rFonts w:ascii="Times New Roman" w:hAnsi="Times New Roman"/>
          <w:noProof/>
        </w:rPr>
        <w:footnoteReference w:id="9"/>
      </w:r>
      <w:r>
        <w:rPr>
          <w:rFonts w:ascii="Times New Roman" w:hAnsi="Times New Roman"/>
          <w:noProof/>
        </w:rPr>
        <w:t>.</w:t>
      </w:r>
    </w:p>
    <w:p>
      <w:pPr>
        <w:pStyle w:val="CM1"/>
        <w:spacing w:before="120" w:after="120"/>
        <w:ind w:left="567" w:hanging="567"/>
        <w:jc w:val="both"/>
        <w:rPr>
          <w:rFonts w:ascii="Times New Roman" w:hAnsi="Times New Roman" w:cs="Times New Roman"/>
          <w:noProof/>
        </w:rPr>
      </w:pPr>
      <w:r>
        <w:rPr>
          <w:noProof/>
        </w:rPr>
        <w:tab/>
      </w:r>
      <w:r>
        <w:rPr>
          <w:rFonts w:ascii="Times New Roman" w:hAnsi="Times New Roman"/>
          <w:noProof/>
        </w:rPr>
        <w:t>Europaparlamentets och rådets förordning (EU) 2015/2283 av den 25 november 2015 om nya livsmedel och om ändring av Europaparlamentets och rådets förordning (EU) nr 1169/2011 och om upphävande av Europaparlamentets och rådets förordning (EG) nr 258/97 och kommissionens förordning (EG) nr 1852/2001</w:t>
      </w:r>
      <w:r>
        <w:rPr>
          <w:rStyle w:val="FootnoteReference"/>
          <w:rFonts w:ascii="Times New Roman" w:hAnsi="Times New Roman"/>
          <w:noProof/>
        </w:rPr>
        <w:footnoteReference w:id="10"/>
      </w:r>
      <w:r>
        <w:rPr>
          <w:rFonts w:ascii="Times New Roman" w:hAnsi="Times New Roman"/>
          <w:noProof/>
        </w:rPr>
        <w:t>, som blir tillämplig den 1 januari 2018, övertar definitionen av ”konstruerade nanomaterial” som för närvarande finns i förordningen om livsmedelsinformation. Definitionen av konstruerade nanomaterial tillsammans med därtill hörande delegering av befogenheter till kommissionen ska därför utgå ur förordningen om livsmedelsinformation och ersättas av en hänvisning till definitionen i förordningen om nya livsmedel</w:t>
      </w:r>
      <w:r>
        <w:rPr>
          <w:rStyle w:val="FootnoteReference"/>
          <w:rFonts w:ascii="Times New Roman" w:hAnsi="Times New Roman"/>
          <w:noProof/>
        </w:rPr>
        <w:footnoteReference w:id="11"/>
      </w:r>
      <w:r>
        <w:rPr>
          <w:rFonts w:ascii="Times New Roman" w:hAnsi="Times New Roman"/>
          <w:noProof/>
        </w:rPr>
        <w:t>.</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I förordningen om livsmedelsinformation fastställs ytterligare delegerade befogenheter. Hittills har kommissionen dock inte åberopat andra rättsliga grunder</w:t>
      </w:r>
      <w:r>
        <w:rPr>
          <w:rStyle w:val="FootnoteReference"/>
          <w:rFonts w:ascii="Times New Roman" w:hAnsi="Times New Roman"/>
          <w:noProof/>
          <w:sz w:val="24"/>
        </w:rPr>
        <w:footnoteReference w:id="12"/>
      </w:r>
      <w:r>
        <w:rPr>
          <w:rFonts w:ascii="Times New Roman" w:hAnsi="Times New Roman"/>
          <w:noProof/>
          <w:sz w:val="24"/>
        </w:rPr>
        <w:t xml:space="preserve"> för att anta delegerade akter i enlighet med förordningen om livsmedelsinformation. Noteras bör att förordningen endast har tillämpats sedan den 13 december 2014 och att vissa av bestämmelserna blir tillämpliga först den 13 december 2016. Närmare bestämt gäller följande:</w:t>
      </w:r>
    </w:p>
    <w:p>
      <w:pPr>
        <w:pStyle w:val="CM1"/>
        <w:spacing w:before="120" w:after="120"/>
        <w:ind w:left="567" w:hanging="567"/>
        <w:jc w:val="both"/>
        <w:rPr>
          <w:rFonts w:ascii="Times New Roman" w:hAnsi="Times New Roman" w:cs="Times New Roman"/>
          <w:noProof/>
        </w:rPr>
      </w:pPr>
      <w:r>
        <w:rPr>
          <w:rFonts w:ascii="Times New Roman" w:hAnsi="Times New Roman"/>
          <w:noProof/>
        </w:rPr>
        <w:t>a)</w:t>
      </w:r>
      <w:r>
        <w:rPr>
          <w:noProof/>
        </w:rPr>
        <w:tab/>
      </w:r>
      <w:r>
        <w:rPr>
          <w:rFonts w:ascii="Times New Roman" w:hAnsi="Times New Roman"/>
          <w:noProof/>
        </w:rPr>
        <w:t>I enlighet med artikel 13.4 i förordningen om livsmedelsinformation ska kommissionen fastställa regler för läsbarhet för de obligatoriska uppgifter som ska anges, vanligtvis på etiketten, för ett visst livsmedel. Med avseende på detta måste man samla mer erfarenhet om den praktiska tillämpningen av de nya reglerna innan man utarbetar en delegerad akt om regler för läsbarhet.</w:t>
      </w:r>
    </w:p>
    <w:p>
      <w:pPr>
        <w:pStyle w:val="CM1"/>
        <w:spacing w:before="120" w:after="120"/>
        <w:ind w:left="567" w:hanging="567"/>
        <w:jc w:val="both"/>
        <w:rPr>
          <w:rFonts w:ascii="Times New Roman" w:hAnsi="Times New Roman" w:cs="Times New Roman"/>
          <w:noProof/>
        </w:rPr>
      </w:pPr>
      <w:r>
        <w:rPr>
          <w:rFonts w:ascii="Times New Roman" w:hAnsi="Times New Roman"/>
          <w:noProof/>
        </w:rPr>
        <w:t>b)</w:t>
      </w:r>
      <w:r>
        <w:rPr>
          <w:noProof/>
        </w:rPr>
        <w:tab/>
      </w:r>
      <w:r>
        <w:rPr>
          <w:rFonts w:ascii="Times New Roman" w:hAnsi="Times New Roman"/>
          <w:noProof/>
        </w:rPr>
        <w:t>Enligt artikel 21.2 i förordningen om livsmedelsinformation ska kommissionen systematiskt ompröva och vid behov uppdatera förteckningen över ämnen eller produkter som orsakar allergi eller intolerans i bilaga II till förordningen. I enlighet med den bestämmelsen bedömer kommissionen kontinuerligt behovet av eventuella ändringar av förteckningen i bilaga II.</w:t>
      </w:r>
    </w:p>
    <w:p>
      <w:pPr>
        <w:pStyle w:val="CM1"/>
        <w:spacing w:before="120" w:after="120"/>
        <w:ind w:left="567" w:hanging="567"/>
        <w:jc w:val="both"/>
        <w:rPr>
          <w:rFonts w:ascii="Times New Roman" w:hAnsi="Times New Roman" w:cs="Times New Roman"/>
          <w:noProof/>
        </w:rPr>
      </w:pPr>
      <w:r>
        <w:rPr>
          <w:rFonts w:ascii="Times New Roman" w:hAnsi="Times New Roman"/>
          <w:noProof/>
        </w:rPr>
        <w:t>c)</w:t>
      </w:r>
      <w:r>
        <w:rPr>
          <w:noProof/>
        </w:rPr>
        <w:tab/>
      </w:r>
      <w:r>
        <w:rPr>
          <w:rFonts w:ascii="Times New Roman" w:hAnsi="Times New Roman"/>
          <w:noProof/>
        </w:rPr>
        <w:t>Genom artiklarna 9.3, 12.3, 19.2, 23.2, 30.6, 31.2 och 46 i förordningen om livsmedelsinformation kan kommissionen fastställa ytterligare detaljer om förordningens olika tekniska aspekter. Eftersom förordningen i sin helhet inte blir tillämplig förrän den 13 december 2016 behövs det fler undersökningar av konsumenternas uppfattning innan man kan fatta beslut om hur dessa delegerade befogenheter ska användas.</w:t>
      </w:r>
    </w:p>
    <w:p>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3.</w:t>
      </w:r>
      <w:r>
        <w:rPr>
          <w:noProof/>
        </w:rPr>
        <w:tab/>
      </w:r>
      <w:r>
        <w:rPr>
          <w:rFonts w:ascii="Times New Roman" w:hAnsi="Times New Roman"/>
          <w:b/>
          <w:noProof/>
          <w:sz w:val="24"/>
        </w:rPr>
        <w:t>Slutsats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Förordningen om livsmedelsinformation har endast varit tillämplig i drygt ett år och då inte i sin helhet. Hittills har kommissionen antagit delegerade akter om frånvaro av eller reducerad förekomst av gluten i livsmedel och om vissa spannmål som orsakar allergi eller intolerans och livsmedel med tillsats av fytosteroler, fytosterolestrar, fytostanoler eller fytostanolestrar.  En delegerad akt om definitionen av konstruerat nanomaterial har avvisats av Europaparlamentet.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4182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EUT L 304, 22.11.2011, s. 18.</w:t>
      </w:r>
    </w:p>
  </w:footnote>
  <w:footnote w:id="2">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Kommissionens delegerade förordning (EU) nr 1155/2013 av den 21 augusti 2013 om ändring av Europaparlamentets och rådets förordning (EU) nr 1169/2011 om tillhandahållande av livsmedelsinformation till konsumenterna vad gäller information om frånvaro av eller reducerad förekomst av gluten i livsmedel, EUT L 306, 16.11.2013, s. 7 (se även motiveringen för mer information).</w:t>
      </w:r>
    </w:p>
  </w:footnote>
  <w:footnote w:id="3">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lang w:val="fr-BE"/>
        </w:rPr>
        <w:tab/>
      </w:r>
      <w:r>
        <w:rPr>
          <w:rFonts w:ascii="Times New Roman" w:hAnsi="Times New Roman"/>
          <w:lang w:val="fr-BE"/>
        </w:rPr>
        <w:t>EUT L 124, 20.5.2009, s. 21.</w:t>
      </w:r>
    </w:p>
  </w:footnote>
  <w:footnote w:id="4">
    <w:p>
      <w:pPr>
        <w:pStyle w:val="FootnoteText"/>
        <w:ind w:left="567" w:hanging="567"/>
        <w:jc w:val="both"/>
        <w:rPr>
          <w:rFonts w:ascii="Times New Roman" w:hAnsi="Times New Roman" w:cs="Times New Roman"/>
          <w:lang w:val="fr-BE"/>
        </w:rPr>
      </w:pPr>
      <w:r>
        <w:rPr>
          <w:rStyle w:val="FootnoteReference"/>
          <w:rFonts w:ascii="Times New Roman" w:hAnsi="Times New Roman"/>
        </w:rPr>
        <w:footnoteRef/>
      </w:r>
      <w:r>
        <w:rPr>
          <w:lang w:val="fr-BE"/>
        </w:rPr>
        <w:tab/>
      </w:r>
      <w:r>
        <w:rPr>
          <w:rFonts w:ascii="Times New Roman" w:hAnsi="Times New Roman"/>
          <w:lang w:val="fr-BE"/>
        </w:rPr>
        <w:t>EUT L 16, 21.1.2009, s. 3.</w:t>
      </w:r>
    </w:p>
  </w:footnote>
  <w:footnote w:id="5">
    <w:p>
      <w:pPr>
        <w:pStyle w:val="FootnoteText"/>
        <w:tabs>
          <w:tab w:val="left" w:pos="567"/>
        </w:tabs>
        <w:rPr>
          <w:rFonts w:ascii="Times New Roman" w:hAnsi="Times New Roman" w:cs="Times New Roman"/>
        </w:rPr>
      </w:pPr>
      <w:r>
        <w:rPr>
          <w:rStyle w:val="FootnoteReference"/>
          <w:rFonts w:ascii="Times New Roman" w:hAnsi="Times New Roman"/>
        </w:rPr>
        <w:footnoteRef/>
      </w:r>
      <w:r>
        <w:tab/>
      </w:r>
      <w:r>
        <w:rPr>
          <w:rFonts w:ascii="Times New Roman" w:hAnsi="Times New Roman"/>
        </w:rPr>
        <w:t>EUT L 181, 29.6.2013, s. 1.</w:t>
      </w:r>
    </w:p>
  </w:footnote>
  <w:footnote w:id="6">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Kommissionens genomförandeförordning (EU) nr 828/2014 av den 30 juli 2014 om kraven på tillhandahållande av information till konsumenterna om frånvaro eller reducerad förekomst av gluten i livsmedel, EUT L 228, 31.7.2014, s. 5.</w:t>
      </w:r>
    </w:p>
  </w:footnote>
  <w:footnote w:id="7">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Kommissionens delegerade förordning (EU) nr 78/2014 av den 22 november 2013 om ändring av bilagorna II och III till Europaparlamentets och rådets förordning (EU) nr 1169/2011 om tillhandahållande av livsmedelsinformation till konsumenterna vad gäller vissa spannmål som orsakar allergi eller intolerans och livsmedel med tillsats av fytosteroler, fytosterolestrar, fytostanoler eller fytostanolestrar, EUT L 27, 30.1.2014, s. 7 (se även motiveringen för mer information).</w:t>
      </w:r>
    </w:p>
  </w:footnote>
  <w:footnote w:id="8">
    <w:p>
      <w:pPr>
        <w:pStyle w:val="FootnoteText"/>
        <w:ind w:left="567" w:hanging="567"/>
        <w:jc w:val="both"/>
        <w:rPr>
          <w:rFonts w:ascii="Times New Roman" w:hAnsi="Times New Roman" w:cs="Times New Roman"/>
          <w:lang w:val="en-GB"/>
        </w:rPr>
      </w:pPr>
      <w:r>
        <w:rPr>
          <w:rStyle w:val="FootnoteReference"/>
          <w:rFonts w:ascii="Times New Roman" w:hAnsi="Times New Roman"/>
        </w:rPr>
        <w:footnoteRef/>
      </w:r>
      <w:r>
        <w:rPr>
          <w:lang w:val="en-GB"/>
        </w:rPr>
        <w:tab/>
      </w:r>
      <w:r>
        <w:rPr>
          <w:rFonts w:ascii="Times New Roman" w:hAnsi="Times New Roman"/>
          <w:lang w:val="en-GB"/>
        </w:rPr>
        <w:t>C(2013) 8887 final.</w:t>
      </w:r>
    </w:p>
  </w:footnote>
  <w:footnote w:id="9">
    <w:p>
      <w:pPr>
        <w:pStyle w:val="FootnoteText"/>
        <w:tabs>
          <w:tab w:val="left" w:pos="567"/>
        </w:tabs>
        <w:rPr>
          <w:rFonts w:ascii="Times New Roman" w:hAnsi="Times New Roman" w:cs="Times New Roman"/>
          <w:iCs/>
          <w:lang w:val="en"/>
        </w:rPr>
      </w:pPr>
      <w:r>
        <w:rPr>
          <w:rStyle w:val="FootnoteReference"/>
          <w:rFonts w:ascii="Times New Roman" w:hAnsi="Times New Roman"/>
        </w:rPr>
        <w:footnoteRef/>
      </w:r>
      <w:r>
        <w:rPr>
          <w:lang w:val="en-GB"/>
        </w:rPr>
        <w:tab/>
      </w:r>
      <w:r>
        <w:rPr>
          <w:rFonts w:ascii="Times New Roman" w:hAnsi="Times New Roman"/>
          <w:lang w:val="en-GB"/>
        </w:rPr>
        <w:t>B7-0185/2014 – C(2013)08887 – 2013/2997(DEA).</w:t>
      </w:r>
    </w:p>
  </w:footnote>
  <w:footnote w:id="10">
    <w:p>
      <w:pPr>
        <w:pStyle w:val="FootnoteText"/>
        <w:tabs>
          <w:tab w:val="left" w:pos="567"/>
        </w:tabs>
      </w:pPr>
      <w:r>
        <w:rPr>
          <w:rStyle w:val="FootnoteReference"/>
        </w:rPr>
        <w:footnoteRef/>
      </w:r>
      <w:r>
        <w:tab/>
      </w:r>
      <w:r>
        <w:rPr>
          <w:rFonts w:ascii="Times New Roman" w:hAnsi="Times New Roman"/>
        </w:rPr>
        <w:t>EUT L 327, 11.12.2015, s. 1.</w:t>
      </w:r>
    </w:p>
  </w:footnote>
  <w:footnote w:id="11">
    <w:p>
      <w:pPr>
        <w:pStyle w:val="FootnoteText"/>
        <w:tabs>
          <w:tab w:val="left" w:pos="567"/>
        </w:tabs>
        <w:rPr>
          <w:rFonts w:ascii="Times New Roman" w:hAnsi="Times New Roman" w:cs="Times New Roman"/>
        </w:rPr>
      </w:pPr>
      <w:r>
        <w:rPr>
          <w:rStyle w:val="FootnoteReference"/>
          <w:rFonts w:ascii="Times New Roman" w:hAnsi="Times New Roman"/>
        </w:rPr>
        <w:footnoteRef/>
      </w:r>
      <w:r>
        <w:tab/>
      </w:r>
      <w:r>
        <w:rPr>
          <w:rFonts w:ascii="Times New Roman" w:hAnsi="Times New Roman"/>
        </w:rPr>
        <w:t>Se skäl 10, artikel 3.2 f och artikel 31 i förordning (EU) 2015/2283.</w:t>
      </w:r>
    </w:p>
  </w:footnote>
  <w:footnote w:id="12">
    <w:p>
      <w:pPr>
        <w:pStyle w:val="FootnoteText"/>
        <w:tabs>
          <w:tab w:val="left" w:pos="567"/>
        </w:tabs>
        <w:ind w:left="567" w:right="227" w:hanging="567"/>
        <w:jc w:val="both"/>
        <w:rPr>
          <w:rFonts w:ascii="Times New Roman" w:hAnsi="Times New Roman" w:cs="Times New Roman"/>
        </w:rPr>
      </w:pPr>
      <w:r>
        <w:rPr>
          <w:rStyle w:val="FootnoteReference"/>
        </w:rPr>
        <w:footnoteRef/>
      </w:r>
      <w:r>
        <w:tab/>
      </w:r>
      <w:r>
        <w:rPr>
          <w:rFonts w:ascii="Times New Roman" w:hAnsi="Times New Roman"/>
        </w:rPr>
        <w:t xml:space="preserve">Artikel 9.3, artikel 12.3, artikel 13.4, artikel 19.2, artikel 21.2 – när det gäller andra ämnen eller produkter, artikel 23.2, artikel 30.6, artikel 31.2 och artikel 46 i förordningen om livsmedelsinformation.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3DA483834DF46639520557F10E519B2"/>
    <w:docVar w:name="LW_CROSSREFERENCE" w:val="&lt;UNUSED&gt;"/>
    <w:docVar w:name="LW_DocType" w:val="NORMAL"/>
    <w:docVar w:name="LW_EMISSION" w:val="11.3.2016"/>
    <w:docVar w:name="LW_EMISSION_ISODATE" w:val="2016-03-11"/>
    <w:docVar w:name="LW_EMISSION_LOCATION" w:val="BRX"/>
    <w:docVar w:name="LW_EMISSION_PREFIX" w:val="Bryssel den "/>
    <w:docVar w:name="LW_EMISSION_SUFFIX" w:val=" "/>
    <w:docVar w:name="LW_ID_DOCTYPE_NONLW" w:val="CP-006"/>
    <w:docVar w:name="LW_LANGUE" w:val="SV"/>
    <w:docVar w:name="LW_MARKING" w:val="&lt;UNUSED&g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16) 138"/>
    <w:docVar w:name="LW_REF.INTERNE" w:val="&lt;UNUSED&gt;"/>
    <w:docVar w:name="LW_SOUS.TITRE.OBJ.CP" w:val="&lt;UNUSED&gt;"/>
    <w:docVar w:name="LW_SUPERTITRE" w:val="&lt;UNUSED&gt;"/>
    <w:docVar w:name="LW_TITRE.OBJ.CP" w:val="om kommissionens utövande av de delegerade befogenheter den ges enligt förordning (EU) nr 1169/2011 om tillhandahållande av livsmedelsinformation till konsumenterna"/>
    <w:docVar w:name="LW_TYPE.DOC.CP" w:val="RAPPORT FRÅN KOMMISSIONEN TILL EUROPAPARLAMENTET OCH RÅDE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paragraph" w:customStyle="1" w:styleId="Point0number">
    <w:name w:val="Point 0 (number)"/>
    <w:basedOn w:val="Normal"/>
    <w:pPr>
      <w:spacing w:before="120" w:after="120" w:line="240" w:lineRule="auto"/>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Considrant">
    <w:name w:val="Considérant"/>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ListParagraph">
    <w:name w:val="List Paragraph"/>
    <w:basedOn w:val="Normal"/>
    <w:uiPriority w:val="34"/>
    <w:qFormat/>
    <w:pPr>
      <w:ind w:left="720"/>
      <w:contextualSpacing/>
    </w:pPr>
  </w:style>
  <w:style w:type="paragraph" w:customStyle="1" w:styleId="Normal12Bold">
    <w:name w:val="Normal12Bold"/>
    <w:basedOn w:val="Normal"/>
    <w:pPr>
      <w:widowControl w:val="0"/>
      <w:spacing w:after="240" w:line="240" w:lineRule="auto"/>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paragraph" w:customStyle="1" w:styleId="Point0number">
    <w:name w:val="Point 0 (number)"/>
    <w:basedOn w:val="Normal"/>
    <w:pPr>
      <w:spacing w:before="120" w:after="120" w:line="240" w:lineRule="auto"/>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Considrant">
    <w:name w:val="Considérant"/>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ListParagraph">
    <w:name w:val="List Paragraph"/>
    <w:basedOn w:val="Normal"/>
    <w:uiPriority w:val="34"/>
    <w:qFormat/>
    <w:pPr>
      <w:ind w:left="720"/>
      <w:contextualSpacing/>
    </w:pPr>
  </w:style>
  <w:style w:type="paragraph" w:customStyle="1" w:styleId="Normal12Bold">
    <w:name w:val="Normal12Bold"/>
    <w:basedOn w:val="Normal"/>
    <w:pPr>
      <w:widowControl w:val="0"/>
      <w:spacing w:after="240" w:line="240" w:lineRule="auto"/>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0987">
      <w:bodyDiv w:val="1"/>
      <w:marLeft w:val="0"/>
      <w:marRight w:val="0"/>
      <w:marTop w:val="0"/>
      <w:marBottom w:val="0"/>
      <w:divBdr>
        <w:top w:val="none" w:sz="0" w:space="0" w:color="auto"/>
        <w:left w:val="none" w:sz="0" w:space="0" w:color="auto"/>
        <w:bottom w:val="none" w:sz="0" w:space="0" w:color="auto"/>
        <w:right w:val="none" w:sz="0" w:space="0" w:color="auto"/>
      </w:divBdr>
    </w:div>
    <w:div w:id="15358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298AC-0B72-462A-AF8B-E0D38D28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1110</Words>
  <Characters>7110</Characters>
  <Application>Microsoft Office Word</Application>
  <DocSecurity>0</DocSecurity>
  <Lines>109</Lines>
  <Paragraphs>24</Paragraphs>
  <ScaleCrop>false</ScaleCrop>
  <HeadingPairs>
    <vt:vector size="2" baseType="variant">
      <vt:variant>
        <vt:lpstr>Title</vt:lpstr>
      </vt:variant>
      <vt:variant>
        <vt:i4>1</vt:i4>
      </vt:variant>
    </vt:vector>
  </HeadingPairs>
  <TitlesOfParts>
    <vt:vector size="1" baseType="lpstr">
      <vt:lpstr>SANTE/10074/2016-EN</vt:lpstr>
    </vt:vector>
  </TitlesOfParts>
  <Manager/>
  <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SANTE/10074/2016-EN Rev. 1</dc:title>
  <dc:subject>Report</dc:subject>
  <dc:creator/>
  <cp:keywords>10074</cp:keywords>
  <dc:description>OUTLOOK -2.3.2016</dc:description>
  <cp:lastModifiedBy>DIGIT/A3</cp:lastModifiedBy>
  <cp:revision>21</cp:revision>
  <cp:lastPrinted>2016-01-25T10:39:00Z</cp:lastPrinted>
  <dcterms:created xsi:type="dcterms:W3CDTF">2016-03-02T09:12:00Z</dcterms:created>
  <dcterms:modified xsi:type="dcterms:W3CDTF">2016-03-10T15:30:00Z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