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937FB7764BA4B659479452E030B5EAF"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упражняването на правомощията, делегирани на Комисията съгласно Регламент (ЕС) № 1169/2011 за предоставянето на информация за храните на потребителите</w:t>
      </w:r>
    </w:p>
    <w:p>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1.</w:t>
      </w:r>
      <w:r>
        <w:rPr>
          <w:noProof/>
        </w:rPr>
        <w:tab/>
      </w:r>
      <w:r>
        <w:rPr>
          <w:rFonts w:ascii="Times New Roman" w:hAnsi="Times New Roman"/>
          <w:b/>
          <w:noProof/>
          <w:sz w:val="24"/>
        </w:rPr>
        <w:t>Въведение и правно основание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Настоящият доклад е в изпълнение на задължението на Комисията по силата на член 51, параграф 2 от Регламент (ЕС) № 1169/2011 на Европейския парламент и на Съвета от 25 октомври 2011 г. за предоставянето на информация за храните на потребителите (наричан по-долу „Регламентът за предоставянето на информация за храните“)</w:t>
      </w:r>
      <w:r>
        <w:rPr>
          <w:rStyle w:val="FootnoteReference"/>
          <w:rFonts w:ascii="Times New Roman" w:hAnsi="Times New Roman"/>
          <w:noProof/>
          <w:sz w:val="24"/>
        </w:rPr>
        <w:footnoteReference w:id="1"/>
      </w:r>
      <w:r>
        <w:rPr>
          <w:rFonts w:ascii="Times New Roman" w:hAnsi="Times New Roman"/>
          <w:noProof/>
          <w:sz w:val="24"/>
        </w:rPr>
        <w:t>. В член 51, параграф 2 от Регламента за предоставянето на информация за храните се предвижда Комисията да представи на Европейския парламент и на Съвета доклад относно упражняването на делегираните правомощия, предоставени на Комисията с посочения регламент. Докладът се изготвя не по-късно от 9 месеца преди края на 5-годишния срок на делегирането, считано от 12 декември 2011 г.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3 месеца преди изтичането на всеки срок.</w:t>
      </w:r>
    </w:p>
    <w:p>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2.</w:t>
      </w:r>
      <w:r>
        <w:rPr>
          <w:noProof/>
        </w:rPr>
        <w:tab/>
      </w:r>
      <w:r>
        <w:rPr>
          <w:rFonts w:ascii="Times New Roman" w:hAnsi="Times New Roman"/>
          <w:b/>
          <w:noProof/>
          <w:sz w:val="24"/>
        </w:rPr>
        <w:t>Упражняване на делегирането</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С член 51, параграф 2 от Регламента за предоставянето на информация за храните на Комисията се предоставя правомощието да приема делегирани актове, посочени в член 9, параграф 3, член 10, параграф 2, член 12, параграф 3, член 13, параграф 4, член 18, параграф 5, член 19, параграф 2, член 21, параграф 2, член 23, параграф 2, член 30, параграф 6, член 31, параграф 2, член 36, параграф 4 и член 46 от посочения регламент.</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След влизането в сила на Регламента за предоставянето на информация за храните Комисията прие три делегирани акта:</w:t>
      </w:r>
    </w:p>
    <w:p>
      <w:pPr>
        <w:autoSpaceDE w:val="0"/>
        <w:autoSpaceDN w:val="0"/>
        <w:adjustRightInd w:val="0"/>
        <w:spacing w:before="120" w:after="120" w:line="240" w:lineRule="auto"/>
        <w:ind w:left="567" w:hanging="567"/>
        <w:jc w:val="both"/>
        <w:rPr>
          <w:rFonts w:ascii="Times New Roman" w:hAnsi="Times New Roman" w:cs="Times New Roman"/>
          <w:noProof/>
          <w:sz w:val="24"/>
          <w:szCs w:val="24"/>
        </w:rPr>
      </w:pPr>
      <w:r>
        <w:rPr>
          <w:rFonts w:ascii="Times New Roman" w:hAnsi="Times New Roman"/>
          <w:noProof/>
          <w:sz w:val="24"/>
        </w:rPr>
        <w:t>а)</w:t>
      </w:r>
      <w:r>
        <w:rPr>
          <w:noProof/>
        </w:rPr>
        <w:tab/>
      </w:r>
      <w:r>
        <w:rPr>
          <w:rFonts w:ascii="Times New Roman" w:hAnsi="Times New Roman"/>
          <w:noProof/>
          <w:sz w:val="24"/>
        </w:rPr>
        <w:t>Делегиран регламент на Комисията</w:t>
      </w:r>
      <w:r>
        <w:rPr>
          <w:rStyle w:val="FootnoteReference"/>
          <w:rFonts w:ascii="Times New Roman" w:hAnsi="Times New Roman"/>
          <w:noProof/>
          <w:sz w:val="24"/>
        </w:rPr>
        <w:footnoteReference w:id="2"/>
      </w:r>
      <w:r>
        <w:rPr>
          <w:rFonts w:ascii="Times New Roman" w:hAnsi="Times New Roman"/>
          <w:noProof/>
          <w:sz w:val="24"/>
        </w:rPr>
        <w:t xml:space="preserve"> за изменение на Регламента за предоставянето на информация за храните в съответствие с член 36, параграф 4 по отношение на информацията за отсъствието или намаленото съдържание на глутен в храните: </w:t>
      </w:r>
    </w:p>
    <w:p>
      <w:pPr>
        <w:pStyle w:val="CM1"/>
        <w:spacing w:before="120" w:after="120"/>
        <w:ind w:left="567" w:hanging="567"/>
        <w:jc w:val="both"/>
        <w:rPr>
          <w:rFonts w:ascii="Times New Roman" w:eastAsia="Times New Roman" w:hAnsi="Times New Roman" w:cs="Times New Roman"/>
          <w:noProof/>
        </w:rPr>
      </w:pPr>
      <w:r>
        <w:rPr>
          <w:noProof/>
        </w:rPr>
        <w:tab/>
      </w:r>
      <w:r>
        <w:rPr>
          <w:rFonts w:ascii="Times New Roman" w:hAnsi="Times New Roman"/>
          <w:noProof/>
        </w:rPr>
        <w:t>Целта на този законодателен акт беше да осигури основа за нормативно уреждане на доброволното предоставяне на информация относно отсъствието или намаленото съдържание на глутен в храните. Съгласно предишната Директива 2009/39/ЕО на Европейския парламент и на Съвета от 6 май 2009 г. относно храни, предназначени за специфична хранителна употреба</w:t>
      </w:r>
      <w:r>
        <w:rPr>
          <w:rFonts w:ascii="Times New Roman" w:hAnsi="Times New Roman"/>
          <w:noProof/>
          <w:vertAlign w:val="superscript"/>
        </w:rPr>
        <w:footnoteReference w:id="3"/>
      </w:r>
      <w:r>
        <w:rPr>
          <w:rFonts w:ascii="Times New Roman" w:hAnsi="Times New Roman"/>
          <w:noProof/>
        </w:rPr>
        <w:t>, предоставянето на такава информация, особено на обозначенията „без глутен“ или „с много ниско съдържание на глутен“, бе нормативно уредено от Регламент (ЕО) № 41/2009 на Комисията от 20 януари 2009 г. относно състава и етикетирането на храни, подходящи за употреба от хора, които имат непоносимост към глутен</w:t>
      </w:r>
      <w:r>
        <w:rPr>
          <w:rFonts w:ascii="Times New Roman" w:hAnsi="Times New Roman"/>
          <w:noProof/>
          <w:vertAlign w:val="superscript"/>
        </w:rPr>
        <w:footnoteReference w:id="4"/>
      </w:r>
      <w:r>
        <w:rPr>
          <w:rFonts w:ascii="Times New Roman" w:hAnsi="Times New Roman"/>
          <w:noProof/>
        </w:rPr>
        <w:t>. Както е предвидено в съображение 41 от Регламент (ЕС) № 609/2013 на Европейския парламент и на Съвета от 12 юни 2013 г.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w:t>
      </w:r>
      <w:r>
        <w:rPr>
          <w:rStyle w:val="FootnoteReference"/>
          <w:rFonts w:ascii="Times New Roman" w:hAnsi="Times New Roman"/>
          <w:noProof/>
        </w:rPr>
        <w:footnoteReference w:id="5"/>
      </w:r>
      <w:r>
        <w:rPr>
          <w:rFonts w:ascii="Times New Roman" w:hAnsi="Times New Roman"/>
          <w:noProof/>
        </w:rPr>
        <w:t>, с отмяната на  Директива 2009/39/ЕО и на Регламент (ЕО) № 41/2009 на Комисията, считано от 20 юли 2016 г., правилата относно информацията за отсъствието или намаленото съдържание на глутен в храните трябваше да бъдат прехвърлени в Регламента за предоставянето на информация за храните. Делегиран регламент (ЕС) № 1155/2013 на Комисията даде възможност за извършването на това прехвърляне, а действителните подробности за използването на горепосочените обозначения бяха предоставени в Регламент за изпълнение (ЕС) № 828/2014 на Комисията</w:t>
      </w:r>
      <w:r>
        <w:rPr>
          <w:rStyle w:val="FootnoteReference"/>
          <w:rFonts w:ascii="Times New Roman" w:hAnsi="Times New Roman"/>
          <w:noProof/>
        </w:rPr>
        <w:footnoteReference w:id="6"/>
      </w:r>
      <w:r>
        <w:rPr>
          <w:rFonts w:ascii="Times New Roman" w:hAnsi="Times New Roman"/>
          <w:noProof/>
        </w:rPr>
        <w:t>.</w:t>
      </w:r>
    </w:p>
    <w:p>
      <w:pPr>
        <w:pStyle w:val="CM1"/>
        <w:spacing w:before="120" w:after="120"/>
        <w:ind w:left="567" w:hanging="567"/>
        <w:jc w:val="both"/>
        <w:rPr>
          <w:rFonts w:ascii="Times New Roman" w:hAnsi="Times New Roman" w:cs="Times New Roman"/>
          <w:noProof/>
        </w:rPr>
      </w:pPr>
      <w:r>
        <w:rPr>
          <w:rFonts w:ascii="Times New Roman" w:hAnsi="Times New Roman"/>
          <w:noProof/>
        </w:rPr>
        <w:t>б)</w:t>
      </w:r>
      <w:r>
        <w:rPr>
          <w:noProof/>
        </w:rPr>
        <w:tab/>
      </w:r>
      <w:r>
        <w:rPr>
          <w:rFonts w:ascii="Times New Roman" w:hAnsi="Times New Roman"/>
          <w:noProof/>
        </w:rPr>
        <w:t>Делегиран регламент на Комисията</w:t>
      </w:r>
      <w:r>
        <w:rPr>
          <w:rStyle w:val="FootnoteReference"/>
          <w:rFonts w:ascii="Times New Roman" w:hAnsi="Times New Roman"/>
          <w:noProof/>
        </w:rPr>
        <w:footnoteReference w:id="7"/>
      </w:r>
      <w:r>
        <w:rPr>
          <w:rFonts w:ascii="Times New Roman" w:hAnsi="Times New Roman"/>
          <w:noProof/>
        </w:rPr>
        <w:t xml:space="preserve"> за изменение на приложения II и III към Регламента за предоставянето на информация за храните по отношение на определени зърнени култури, причиняващи алергии или непоносимост, както и по отношение на храните с добавени фитостероли, фитостеролови естери, фитостаноли или фитостанолови естери:</w:t>
      </w:r>
    </w:p>
    <w:p>
      <w:pPr>
        <w:pStyle w:val="CM1"/>
        <w:spacing w:before="120" w:after="120"/>
        <w:ind w:left="567" w:hanging="567"/>
        <w:jc w:val="both"/>
        <w:rPr>
          <w:rFonts w:ascii="Times New Roman" w:eastAsia="Times New Roman" w:hAnsi="Times New Roman" w:cs="Times New Roman"/>
          <w:noProof/>
        </w:rPr>
      </w:pPr>
      <w:r>
        <w:rPr>
          <w:noProof/>
        </w:rPr>
        <w:tab/>
      </w:r>
      <w:r>
        <w:rPr>
          <w:rFonts w:ascii="Times New Roman" w:hAnsi="Times New Roman"/>
          <w:noProof/>
        </w:rPr>
        <w:t xml:space="preserve">Този правен акт беше приет на основание член 10, параграф 2 и член 21, параграф 2 от Регламента за предоставянето на информация за храните с две цели: на първо място, на основание член 21, параграф 2 от Регламента за предоставянето на информация за храните, с който Комисията се задължава да преразглежда списъка с вещества или продукти, причиняващи алергии или непоносимост, бе актуализиран списъкът на такива вещества или продукти в приложение II към регламента, за да се осигури по-добра информация за потребителите ; позоваването на зърнени култури, съдържащи глутен, а именно пшеница, беше изменено така, че да включва спелтата като сорт на пшеницата и да замени означението „камут“, което се отнася до регистрирана търговска марка, с действителното наименование на специалния сорт пшеница „Хорасан“. На второ място, въз основа на член 10, параграф 2 от Регламента за предоставянето на информация за храните, с който се разрешават изменения в списъка на специфичните задължения за етикетиране за определени видове храни в интерес на защитата на здравето на потребителите и безопасната употреба на дадена храна, бе изменено приложение III към Регламента за предоставянето на информация за храните: за да се гарантира, че храните с добавени фитостероли, фитостеролови естери, фитостаноли или фитостанолови естери достигат целевата група потребители, които се нуждаят от понижаване на нивото на холестерол в кръвта, беше въведено подходящо означение върху етикета на такива храни. </w:t>
      </w:r>
    </w:p>
    <w:p>
      <w:pPr>
        <w:pStyle w:val="CM1"/>
        <w:spacing w:before="120" w:after="120"/>
        <w:ind w:left="567" w:hanging="567"/>
        <w:jc w:val="both"/>
        <w:rPr>
          <w:rFonts w:ascii="Times New Roman" w:hAnsi="Times New Roman" w:cs="Times New Roman"/>
          <w:noProof/>
        </w:rPr>
      </w:pPr>
      <w:r>
        <w:rPr>
          <w:rFonts w:ascii="Times New Roman" w:hAnsi="Times New Roman"/>
          <w:noProof/>
        </w:rPr>
        <w:t>в)</w:t>
      </w:r>
      <w:r>
        <w:rPr>
          <w:noProof/>
        </w:rPr>
        <w:tab/>
      </w:r>
      <w:r>
        <w:rPr>
          <w:rFonts w:ascii="Times New Roman" w:hAnsi="Times New Roman"/>
          <w:noProof/>
        </w:rPr>
        <w:t>Делегиран регламент на Комисията относно определението за „специално създадени наноматериали“:</w:t>
      </w:r>
    </w:p>
    <w:p>
      <w:pPr>
        <w:pStyle w:val="CM1"/>
        <w:spacing w:before="120" w:after="120"/>
        <w:ind w:left="567" w:hanging="567"/>
        <w:jc w:val="both"/>
        <w:rPr>
          <w:rFonts w:ascii="Times New Roman" w:hAnsi="Times New Roman" w:cs="Times New Roman"/>
          <w:noProof/>
        </w:rPr>
      </w:pPr>
      <w:r>
        <w:rPr>
          <w:noProof/>
        </w:rPr>
        <w:tab/>
      </w:r>
      <w:r>
        <w:rPr>
          <w:rFonts w:ascii="Times New Roman" w:hAnsi="Times New Roman"/>
          <w:noProof/>
        </w:rPr>
        <w:t>В член 18, параграф 5 от Регламента за предоставянето на информация за храните на Комисията се възлага задължението да коригира и адаптира определението за „специално създадени наноматериали“, първоначално установено в  член 2, параграф 2, буква у) от регламента, към техническия или научния напредък или към определенията, договорени на международно равнище. На тази основа на 12 декември 2013 г. Комисията прие Делегиран регламент на Комисията за изменение на Регламент (ЕС) № 1169/2011 на Европейския парламент и на Съвета за предоставянето на информация за храните на потребителите във връзка с определението за „специално създадени наноматериали“ и на същата дата уведоми Европейския парламент и Съвета за този правен акт</w:t>
      </w:r>
      <w:r>
        <w:rPr>
          <w:rStyle w:val="FootnoteReference"/>
          <w:rFonts w:ascii="Times New Roman" w:hAnsi="Times New Roman"/>
          <w:noProof/>
        </w:rPr>
        <w:footnoteReference w:id="8"/>
      </w:r>
      <w:r>
        <w:rPr>
          <w:rFonts w:ascii="Times New Roman" w:hAnsi="Times New Roman"/>
          <w:noProof/>
        </w:rPr>
        <w:t xml:space="preserve">. </w:t>
      </w:r>
    </w:p>
    <w:p>
      <w:pPr>
        <w:pStyle w:val="CM1"/>
        <w:spacing w:before="120" w:after="120"/>
        <w:ind w:left="567" w:hanging="567"/>
        <w:jc w:val="both"/>
        <w:rPr>
          <w:rFonts w:ascii="Times New Roman" w:hAnsi="Times New Roman" w:cs="Times New Roman"/>
          <w:noProof/>
        </w:rPr>
      </w:pPr>
      <w:r>
        <w:rPr>
          <w:noProof/>
        </w:rPr>
        <w:tab/>
      </w:r>
      <w:r>
        <w:rPr>
          <w:rFonts w:ascii="Times New Roman" w:hAnsi="Times New Roman"/>
          <w:noProof/>
        </w:rPr>
        <w:t>На 12 март 2014 г. Европейският парламент прие резолюция за възражение по делегирания регламент, застъпвайки становището, че като изключва някои добавки в храните от обхвата на определението, Комисията надхвърля делегираните ѝ правомощия</w:t>
      </w:r>
      <w:r>
        <w:rPr>
          <w:rStyle w:val="FootnoteReference"/>
          <w:rFonts w:ascii="Times New Roman" w:hAnsi="Times New Roman"/>
          <w:noProof/>
        </w:rPr>
        <w:footnoteReference w:id="9"/>
      </w:r>
      <w:r>
        <w:rPr>
          <w:rFonts w:ascii="Times New Roman" w:hAnsi="Times New Roman"/>
          <w:noProof/>
        </w:rPr>
        <w:t>.</w:t>
      </w:r>
    </w:p>
    <w:p>
      <w:pPr>
        <w:pStyle w:val="CM1"/>
        <w:spacing w:before="120" w:after="120"/>
        <w:ind w:left="567" w:hanging="567"/>
        <w:jc w:val="both"/>
        <w:rPr>
          <w:rFonts w:ascii="Times New Roman" w:hAnsi="Times New Roman" w:cs="Times New Roman"/>
          <w:noProof/>
        </w:rPr>
      </w:pPr>
      <w:r>
        <w:rPr>
          <w:noProof/>
        </w:rPr>
        <w:tab/>
      </w:r>
      <w:r>
        <w:rPr>
          <w:rFonts w:ascii="Times New Roman" w:hAnsi="Times New Roman"/>
          <w:noProof/>
        </w:rPr>
        <w:t>Регламент (ЕС) 2015/2283 на Европейския парламент и на Съвета от 25 ноември 2015 г. относно новите храни, за изменение на Регламент (ЕС) № 1169/2011 на Европейския парламент и на Съвета и за отмяна на Регламент (ЕО) № 258/97 на Европейския парламент и на Съвета и на Регламент (ЕО) № 1852/2001 на Комисията</w:t>
      </w:r>
      <w:r>
        <w:rPr>
          <w:rStyle w:val="FootnoteReference"/>
          <w:rFonts w:ascii="Times New Roman" w:hAnsi="Times New Roman"/>
          <w:noProof/>
        </w:rPr>
        <w:footnoteReference w:id="10"/>
      </w:r>
      <w:r>
        <w:rPr>
          <w:rFonts w:ascii="Times New Roman" w:hAnsi="Times New Roman"/>
          <w:noProof/>
        </w:rPr>
        <w:t>, който ще започне да се прилага от 1 януари 2018 г., приема определението за „специално създадени наноматериали“, както е установено понастоящем в Регламента за предоставянето на информация за храните. Следователно определението за специално създаден наноматериал, заедно със свързаното с него предоставяне на делегирани правомощия на Комисията, трябва да бъде заличено от Регламента за предоставянето на информация за храните и заменено с препратка към определението в новия регламент</w:t>
      </w:r>
      <w:r>
        <w:rPr>
          <w:rStyle w:val="FootnoteReference"/>
          <w:rFonts w:ascii="Times New Roman" w:hAnsi="Times New Roman"/>
          <w:noProof/>
        </w:rPr>
        <w:footnoteReference w:id="11"/>
      </w:r>
      <w:r>
        <w:rPr>
          <w:rFonts w:ascii="Times New Roman" w:hAnsi="Times New Roman"/>
          <w:noProof/>
        </w:rPr>
        <w:t>.</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Регламентът за предоставянето на информация за храните предвижда допълнителни делегирани правомощия. До този момент обаче Комисията все още не е използвала други правни основания</w:t>
      </w:r>
      <w:r>
        <w:rPr>
          <w:rStyle w:val="FootnoteReference"/>
          <w:rFonts w:ascii="Times New Roman" w:hAnsi="Times New Roman"/>
          <w:noProof/>
          <w:sz w:val="24"/>
        </w:rPr>
        <w:footnoteReference w:id="12"/>
      </w:r>
      <w:r>
        <w:rPr>
          <w:rFonts w:ascii="Times New Roman" w:hAnsi="Times New Roman"/>
          <w:noProof/>
          <w:sz w:val="24"/>
        </w:rPr>
        <w:t xml:space="preserve"> за приемането на делегирани актове съгласно Регламента за предоставянето на информация за храните. Важно е да се отбележи, че регламентът се прилага едва от 13 декември 2014 г., а някои негови разпоредби се прилагат едва от 13 декември 2016 г. По-конкретно:</w:t>
      </w:r>
    </w:p>
    <w:p>
      <w:pPr>
        <w:pStyle w:val="CM1"/>
        <w:spacing w:before="120" w:after="120"/>
        <w:ind w:left="567" w:hanging="567"/>
        <w:jc w:val="both"/>
        <w:rPr>
          <w:rFonts w:ascii="Times New Roman" w:hAnsi="Times New Roman" w:cs="Times New Roman"/>
          <w:noProof/>
        </w:rPr>
      </w:pPr>
      <w:r>
        <w:rPr>
          <w:rFonts w:ascii="Times New Roman" w:hAnsi="Times New Roman"/>
          <w:noProof/>
        </w:rPr>
        <w:t>а)</w:t>
      </w:r>
      <w:r>
        <w:rPr>
          <w:noProof/>
        </w:rPr>
        <w:tab/>
      </w:r>
      <w:r>
        <w:rPr>
          <w:rFonts w:ascii="Times New Roman" w:hAnsi="Times New Roman"/>
          <w:noProof/>
        </w:rPr>
        <w:t>Съгласно член 13, параграф 4 от Регламента за предоставянето на информация за храните Комисията установява правила за четливост на задължителните данни, които трябва да бъдат посочени (обикновено върху етикета) във връзка с определен хранителен продукт. В това отношение трябва да се натрупа още опит от практическото прилагане на новите правила, преди да се пристъпи към изготвянето на делегиран акт относно четливостта.</w:t>
      </w:r>
    </w:p>
    <w:p>
      <w:pPr>
        <w:pStyle w:val="CM1"/>
        <w:spacing w:before="120" w:after="120"/>
        <w:ind w:left="567" w:hanging="567"/>
        <w:jc w:val="both"/>
        <w:rPr>
          <w:rFonts w:ascii="Times New Roman" w:hAnsi="Times New Roman" w:cs="Times New Roman"/>
          <w:noProof/>
        </w:rPr>
      </w:pPr>
      <w:r>
        <w:rPr>
          <w:rFonts w:ascii="Times New Roman" w:hAnsi="Times New Roman"/>
          <w:noProof/>
        </w:rPr>
        <w:t>б)</w:t>
      </w:r>
      <w:r>
        <w:rPr>
          <w:noProof/>
        </w:rPr>
        <w:tab/>
      </w:r>
      <w:r>
        <w:rPr>
          <w:rFonts w:ascii="Times New Roman" w:hAnsi="Times New Roman"/>
          <w:noProof/>
        </w:rPr>
        <w:t>С член 21, параграф 2 от Регламента за предоставянето на информация за храните Комисията се задължава систематично да преразглежда и при необходимост да актуализира списъка на веществата или продуктите, причиняващи алергии или непоносимост, посочен в приложение II към регламента. В съответствие с тази разпоредба Комисията постоянно оценява необходимостта от по-нататъшни изменения в списъка в приложение II.</w:t>
      </w:r>
    </w:p>
    <w:p>
      <w:pPr>
        <w:pStyle w:val="CM1"/>
        <w:spacing w:before="120" w:after="120"/>
        <w:ind w:left="567" w:hanging="567"/>
        <w:jc w:val="both"/>
        <w:rPr>
          <w:rFonts w:ascii="Times New Roman" w:hAnsi="Times New Roman" w:cs="Times New Roman"/>
          <w:noProof/>
        </w:rPr>
      </w:pPr>
      <w:r>
        <w:rPr>
          <w:rFonts w:ascii="Times New Roman" w:hAnsi="Times New Roman"/>
          <w:noProof/>
        </w:rPr>
        <w:t>в)</w:t>
      </w:r>
      <w:r>
        <w:rPr>
          <w:noProof/>
        </w:rPr>
        <w:tab/>
      </w:r>
      <w:r>
        <w:rPr>
          <w:rFonts w:ascii="Times New Roman" w:hAnsi="Times New Roman"/>
          <w:noProof/>
        </w:rPr>
        <w:t>С член 9, параграф 3, член 12, параграф 3, член 19, параграф 2, член 23, параграф 2, член 30, параграф 6, член 31, параграф 2 и член 46 от Регламента за предоставянето на информация за храните на Комисията се позволява да определя допълнителни подробности по различни технически аспекти на регламента. Тъй като целият регламент ще се прилага едва от 13 декември 2016 г., е необходимо допълнително да се проучи възприемането от страна на потребителя, преди да се вземат решения за целесъобразното използване на тези делегирани правомощия.</w:t>
      </w:r>
    </w:p>
    <w:p>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3.</w:t>
      </w:r>
      <w:r>
        <w:rPr>
          <w:noProof/>
        </w:rPr>
        <w:tab/>
      </w:r>
      <w:r>
        <w:rPr>
          <w:rFonts w:ascii="Times New Roman" w:hAnsi="Times New Roman"/>
          <w:b/>
          <w:noProof/>
          <w:sz w:val="24"/>
        </w:rPr>
        <w:t>Заключение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Регламентът за предоставянето на информация за храните се прилага от малко повече от една година и все още не е приложим в своята цялост. До момента Комисията е приела делегирани актове относно отсъствието или намаленото съдържание на глутен в храните, относно определени зърнени култури, причиняващи алергии или непоносимост, както и относно храните с добавени фитостероли, фитостаноли и техните естери. Европейският парламент отхвърли делегиран акт относно определението за „специално създадени наноматериали“.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9131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ОВ L 304, 22.11.2011 г., стр. 18.</w:t>
      </w:r>
    </w:p>
  </w:footnote>
  <w:footnote w:id="2">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Делегиран регламент (ЕС) № 1155/2013 на Комисията от 21 август 2013 г. за изменение на Регламент (ЕС) № 1169/2011 на Европейския парламент и на Съвета за предоставянето на информация за храните на потребителите по отношение на информацията за отсъствието или намаленото съдържание на глутен в храните (OВ L 306, 16.11.2013 г., стр. 7)  — за повече информация вж. също обяснителния меморандум.</w:t>
      </w:r>
    </w:p>
  </w:footnote>
  <w:footnote w:id="3">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Style w:val="FootnoteReference"/>
          <w:rFonts w:ascii="Times New Roman" w:hAnsi="Times New Roman"/>
        </w:rPr>
        <w:footnoteRef/>
      </w:r>
      <w:r>
        <w:rPr>
          <w:rFonts w:ascii="Times New Roman" w:hAnsi="Times New Roman"/>
        </w:rPr>
        <w:t>ОВ L 124, 20.5.2009 г., стр. 21.</w:t>
      </w:r>
    </w:p>
  </w:footnote>
  <w:footnote w:id="4">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Style w:val="FootnoteReference"/>
          <w:rFonts w:ascii="Times New Roman" w:hAnsi="Times New Roman"/>
        </w:rPr>
        <w:footnoteRef/>
      </w:r>
      <w:r>
        <w:rPr>
          <w:rFonts w:ascii="Times New Roman" w:hAnsi="Times New Roman"/>
        </w:rPr>
        <w:t>ОВ L 16, 21.1.2009 г., стр. 3.</w:t>
      </w:r>
    </w:p>
  </w:footnote>
  <w:footnote w:id="5">
    <w:p>
      <w:pPr>
        <w:pStyle w:val="FootnoteText"/>
        <w:tabs>
          <w:tab w:val="left" w:pos="567"/>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OВ L 181, 29.6.2013 г., стр. 35.</w:t>
      </w:r>
    </w:p>
  </w:footnote>
  <w:footnote w:id="6">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Регламент за изпълнение (ЕС) № 828/2014 на Комисията от 30 юли 2014 г. относно изискванията за предоставяне на информация на потребителите относно отсъствието или намаленото съдържание на глутен в храните (OВ L 228, 31.7.2014 г., стр. 5).</w:t>
      </w:r>
    </w:p>
  </w:footnote>
  <w:footnote w:id="7">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Делегиран регламент (ЕС) № 78/2014 на Комисията от 22 ноември 2013 г. за изменение на приложения II и III към Регламент (ЕС) № 1169/2011 на Европейския парламент и на Съвета за предоставянето на информация за храните на потребителите по отношение на определени зърнени култури, причиняващи алергии или непоносимост, както и по отношение на храните с добавени фитостероли, фитостеролови естери, фитостаноли или фитостанолови естери (OВ L 27, 30.1.2014 г., стр. 7) — за повече информация вж. също обяснителния меморандум.</w:t>
      </w:r>
    </w:p>
  </w:footnote>
  <w:footnote w:id="8">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C(2013)8887 окончателен.</w:t>
      </w:r>
    </w:p>
  </w:footnote>
  <w:footnote w:id="9">
    <w:p>
      <w:pPr>
        <w:pStyle w:val="FootnoteText"/>
        <w:tabs>
          <w:tab w:val="left" w:pos="567"/>
        </w:tabs>
        <w:rPr>
          <w:rFonts w:ascii="Times New Roman" w:hAnsi="Times New Roman" w:cs="Times New Roman"/>
          <w:iCs/>
        </w:rPr>
      </w:pPr>
      <w:r>
        <w:rPr>
          <w:rStyle w:val="FootnoteReference"/>
          <w:rFonts w:ascii="Times New Roman" w:hAnsi="Times New Roman"/>
        </w:rPr>
        <w:footnoteRef/>
      </w:r>
      <w:r>
        <w:tab/>
      </w:r>
      <w:r>
        <w:rPr>
          <w:rFonts w:ascii="Times New Roman" w:hAnsi="Times New Roman"/>
        </w:rPr>
        <w:t>B7-0185/2014 - C(2013)08887 - 2013/2997(DEA).</w:t>
      </w:r>
    </w:p>
  </w:footnote>
  <w:footnote w:id="10">
    <w:p>
      <w:pPr>
        <w:pStyle w:val="FootnoteText"/>
        <w:tabs>
          <w:tab w:val="left" w:pos="567"/>
        </w:tabs>
      </w:pPr>
      <w:r>
        <w:rPr>
          <w:rStyle w:val="FootnoteReference"/>
        </w:rPr>
        <w:footnoteRef/>
      </w:r>
      <w:r>
        <w:tab/>
      </w:r>
      <w:r>
        <w:rPr>
          <w:rFonts w:ascii="Times New Roman" w:hAnsi="Times New Roman"/>
        </w:rPr>
        <w:t>ОВ L 327, 11.12.2015 г., стр. 1.</w:t>
      </w:r>
    </w:p>
  </w:footnote>
  <w:footnote w:id="11">
    <w:p>
      <w:pPr>
        <w:pStyle w:val="FootnoteText"/>
        <w:tabs>
          <w:tab w:val="left" w:pos="567"/>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Вж. съображение 10, член 3, параграф 2, буква е) и член 31 от Регламент (ЕС) 2015/2283.</w:t>
      </w:r>
    </w:p>
  </w:footnote>
  <w:footnote w:id="12">
    <w:p>
      <w:pPr>
        <w:pStyle w:val="FootnoteText"/>
        <w:tabs>
          <w:tab w:val="left" w:pos="567"/>
        </w:tabs>
        <w:ind w:left="567" w:right="227" w:hanging="567"/>
        <w:jc w:val="both"/>
        <w:rPr>
          <w:rFonts w:ascii="Times New Roman" w:hAnsi="Times New Roman" w:cs="Times New Roman"/>
        </w:rPr>
      </w:pPr>
      <w:r>
        <w:rPr>
          <w:rStyle w:val="FootnoteReference"/>
        </w:rPr>
        <w:footnoteRef/>
      </w:r>
      <w:r>
        <w:tab/>
      </w:r>
      <w:r>
        <w:rPr>
          <w:rFonts w:ascii="Times New Roman" w:hAnsi="Times New Roman"/>
        </w:rPr>
        <w:t xml:space="preserve">Член 9, параграф 3, член 12, параграф 3, член 13, параграф 4, член 19, параграф 2, член 21, параграф 2 — по отношение на други вещества или продукти, член 23, параграф 2, член 30, параграф 6, член 31, параграф 2 и член 46 от Регламента за предоставянето на информация за храните.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E937FB7764BA4B659479452E030B5EAF"/>
    <w:docVar w:name="LW_CROSSREFERENCE" w:val="&lt;UNUSED&gt;"/>
    <w:docVar w:name="LW_DocType" w:val="NORMAL"/>
    <w:docVar w:name="LW_EMISSION" w:val="11.3.2016"/>
    <w:docVar w:name="LW_EMISSION_ISODATE" w:val="2016-03-11"/>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138"/>
    <w:docVar w:name="LW_REF.INTERNE" w:val="&lt;UNUSED&gt;"/>
    <w:docVar w:name="LW_SOUS.TITRE.OBJ.CP" w:val="&lt;UNUSED&gt;"/>
    <w:docVar w:name="LW_SUPERTITRE" w:val="&lt;UNUSED&gt;"/>
    <w:docVar w:name="LW_TITRE.OBJ.CP" w:val="\u1086?\u1090?\u1085?\u1086?\u1089?\u1085?\u1086? \u1091?\u1087?\u1088?\u1072?\u1078?\u1085?\u1103?\u1074?\u1072?\u1085?\u1077?\u1090?\u1086? \u1085?\u1072? \u1087?\u1088?\u1072?\u1074?\u1086?\u1084?\u1086?\u1097?\u1080?\u1103?\u1090?\u1072?, \u1076?\u1077?\u1083?\u1077?\u1075?\u1080?\u1088?\u1072?\u1085?\u1080? \u1085?\u1072? \u1050?\u1086?\u1084?\u1080?\u1089?\u1080?\u1103?\u1090?\u1072? \u1089?\u1098?\u1075?\u1083?\u1072?\u1089?\u1085?\u1086? \u1056?\u1077?\u1075?\u1083?\u1072?\u1084?\u1077?\u1085?\u1090? (\u1045?\u1057?) \u8470? 1169/2011 \u1079?\u1072? \u1087?\u1088?\u1077?\u1076?\u1086?\u1089?\u1090?\u1072?\u1074?\u1103?\u1085?\u1077?\u1090?\u1086? \u1085?\u1072? \u1080?\u1085?\u1092?\u1086?\u1088?\u1084?\u1072?\u1094?\u1080?\u1103? \u1079?\u1072? \u1093?\u1088?\u1072?\u1085?\u1080?\u1090?\u1077? \u1085?\u1072? \u1087?\u1086?\u1090?\u1088?\u1077?\u1073?\u1080?\u1090?\u1077?\u1083?\u1080?\u1090?\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paragraph" w:customStyle="1" w:styleId="Point0number">
    <w:name w:val="Point 0 (number)"/>
    <w:basedOn w:val="Normal"/>
    <w:pPr>
      <w:spacing w:before="120" w:after="120" w:line="240" w:lineRule="auto"/>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Considrant">
    <w:name w:val="Considérant"/>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pPr>
      <w:ind w:left="720"/>
      <w:contextualSpacing/>
    </w:pPr>
  </w:style>
  <w:style w:type="paragraph" w:customStyle="1" w:styleId="Normal12Bold">
    <w:name w:val="Normal12Bold"/>
    <w:basedOn w:val="Normal"/>
    <w:pPr>
      <w:widowControl w:val="0"/>
      <w:spacing w:after="240" w:line="240" w:lineRule="auto"/>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paragraph" w:customStyle="1" w:styleId="Point0number">
    <w:name w:val="Point 0 (number)"/>
    <w:basedOn w:val="Normal"/>
    <w:pPr>
      <w:spacing w:before="120" w:after="120" w:line="240" w:lineRule="auto"/>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Considrant">
    <w:name w:val="Considérant"/>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pPr>
      <w:ind w:left="720"/>
      <w:contextualSpacing/>
    </w:pPr>
  </w:style>
  <w:style w:type="paragraph" w:customStyle="1" w:styleId="Normal12Bold">
    <w:name w:val="Normal12Bold"/>
    <w:basedOn w:val="Normal"/>
    <w:pPr>
      <w:widowControl w:val="0"/>
      <w:spacing w:after="240" w:line="240" w:lineRule="auto"/>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0987">
      <w:bodyDiv w:val="1"/>
      <w:marLeft w:val="0"/>
      <w:marRight w:val="0"/>
      <w:marTop w:val="0"/>
      <w:marBottom w:val="0"/>
      <w:divBdr>
        <w:top w:val="none" w:sz="0" w:space="0" w:color="auto"/>
        <w:left w:val="none" w:sz="0" w:space="0" w:color="auto"/>
        <w:bottom w:val="none" w:sz="0" w:space="0" w:color="auto"/>
        <w:right w:val="none" w:sz="0" w:space="0" w:color="auto"/>
      </w:divBdr>
    </w:div>
    <w:div w:id="15358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FA5F6-A7FB-441F-BE2E-9BF67782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1406</Words>
  <Characters>8099</Characters>
  <Application>Microsoft Office Word</Application>
  <DocSecurity>0</DocSecurity>
  <Lines>139</Lines>
  <Paragraphs>24</Paragraphs>
  <ScaleCrop>false</ScaleCrop>
  <HeadingPairs>
    <vt:vector size="2" baseType="variant">
      <vt:variant>
        <vt:lpstr>Title</vt:lpstr>
      </vt:variant>
      <vt:variant>
        <vt:i4>1</vt:i4>
      </vt:variant>
    </vt:vector>
  </HeadingPairs>
  <TitlesOfParts>
    <vt:vector size="1" baseType="lpstr">
      <vt:lpstr>SANTE/10074/2016-EN</vt:lpstr>
    </vt:vector>
  </TitlesOfParts>
  <Manager/>
  <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SANTE/10074/2016-EN Rev. 1</dc:title>
  <dc:subject>Report</dc:subject>
  <dc:creator/>
  <cp:keywords>10074</cp:keywords>
  <dc:description>OUTLOOK -2.3.2016</dc:description>
  <cp:lastModifiedBy>DIGIT/A3</cp:lastModifiedBy>
  <cp:revision>20</cp:revision>
  <cp:lastPrinted>2016-01-25T10:39:00Z</cp:lastPrinted>
  <dcterms:created xsi:type="dcterms:W3CDTF">2016-03-02T09:12:00Z</dcterms:created>
  <dcterms:modified xsi:type="dcterms:W3CDTF">2016-03-10T15:31:00Z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