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bidi="ar-LY"/>
        </w:rPr>
      </w:pPr>
      <w:r>
        <w:rPr>
          <w:noProof/>
          <w:lang w:bidi="ar-L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2698FF9F2234FE8BAFF3BB012BA0506" style="width:450.6pt;height:454.55pt">
            <v:imagedata r:id="rId9" o:title=""/>
          </v:shape>
        </w:pict>
      </w:r>
    </w:p>
    <w:p>
      <w:pPr>
        <w:rPr>
          <w:noProof/>
          <w:lang w:bidi="ar-LY"/>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lang w:bidi="ar-LY"/>
        </w:rPr>
      </w:pPr>
      <w:bookmarkStart w:id="0" w:name="_GoBack"/>
      <w:bookmarkEnd w:id="0"/>
      <w:r>
        <w:rPr>
          <w:noProof/>
        </w:rPr>
        <w:lastRenderedPageBreak/>
        <w:t>ANEXE</w:t>
      </w:r>
    </w:p>
    <w:p>
      <w:pPr>
        <w:pStyle w:val="Accompagnant"/>
        <w:rPr>
          <w:noProof/>
          <w:lang w:bidi="ar-LY"/>
        </w:rPr>
      </w:pPr>
      <w:r>
        <w:rPr>
          <w:noProof/>
        </w:rPr>
        <w:t>la</w:t>
      </w:r>
    </w:p>
    <w:p>
      <w:pPr>
        <w:pStyle w:val="Typeacteprincipal"/>
        <w:rPr>
          <w:noProof/>
          <w:lang w:bidi="ar-LY"/>
        </w:rPr>
      </w:pPr>
      <w:r>
        <w:rPr>
          <w:noProof/>
        </w:rPr>
        <w:t>propunerea de Regulament al Parlamentului European și al Consiliului</w:t>
      </w:r>
    </w:p>
    <w:p>
      <w:pPr>
        <w:pStyle w:val="Objetacteprincipal"/>
        <w:rPr>
          <w:noProof/>
          <w:lang w:bidi="ar-LY"/>
        </w:rPr>
      </w:pPr>
      <w:r>
        <w:rPr>
          <w:noProof/>
        </w:rPr>
        <w:t>de stabilire a normelor privind punerea la dispoziție pe piață a produselor fertilizante cu marcaj CE și de modificare a Regulamentelor (CE) nr. 1069/2009 și (CE) nr. 1107/2009</w:t>
      </w:r>
    </w:p>
    <w:p>
      <w:pPr>
        <w:rPr>
          <w:noProof/>
          <w:lang w:bidi="ar-LY"/>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bookmarkStart w:id="1" w:name="_Toc432153190"/>
      <w:r>
        <w:rPr>
          <w:noProof/>
        </w:rPr>
        <w:lastRenderedPageBreak/>
        <w:t>ANEXA I</w:t>
      </w:r>
      <w:r>
        <w:rPr>
          <w:noProof/>
        </w:rPr>
        <w:br/>
        <w:t>Categoriile funcționale de produse („CFP”) pentru produsele fertilizante cu marcaj CE</w:t>
      </w:r>
      <w:bookmarkEnd w:id="1"/>
    </w:p>
    <w:p>
      <w:pPr>
        <w:pStyle w:val="SectionTitle"/>
        <w:rPr>
          <w:noProof/>
        </w:rPr>
      </w:pPr>
      <w:r>
        <w:rPr>
          <w:noProof/>
        </w:rPr>
        <w:t>Partea I</w:t>
      </w:r>
      <w:r>
        <w:rPr>
          <w:noProof/>
        </w:rPr>
        <w:br/>
        <w:t>Desemnarea categoriilor funcționale de produse</w:t>
      </w:r>
    </w:p>
    <w:p>
      <w:pPr>
        <w:spacing w:before="0" w:after="0"/>
        <w:rPr>
          <w:noProof/>
        </w:rPr>
      </w:pPr>
      <w:r>
        <w:rPr>
          <w:noProof/>
        </w:rPr>
        <w:t>1.</w:t>
      </w:r>
      <w:r>
        <w:rPr>
          <w:noProof/>
        </w:rPr>
        <w:tab/>
        <w:t>Îngrășământ</w:t>
      </w:r>
    </w:p>
    <w:p>
      <w:pPr>
        <w:spacing w:before="0" w:after="0"/>
        <w:ind w:firstLine="720"/>
        <w:rPr>
          <w:noProof/>
        </w:rPr>
      </w:pPr>
      <w:r>
        <w:rPr>
          <w:noProof/>
        </w:rPr>
        <w:t>A.</w:t>
      </w:r>
      <w:r>
        <w:rPr>
          <w:noProof/>
        </w:rPr>
        <w:tab/>
        <w:t>Îngrășământ organic</w:t>
      </w:r>
    </w:p>
    <w:p>
      <w:pPr>
        <w:spacing w:before="0" w:after="0"/>
        <w:ind w:left="720" w:firstLine="720"/>
        <w:rPr>
          <w:noProof/>
        </w:rPr>
      </w:pPr>
      <w:r>
        <w:rPr>
          <w:noProof/>
        </w:rPr>
        <w:t>I.</w:t>
      </w:r>
      <w:r>
        <w:rPr>
          <w:noProof/>
        </w:rPr>
        <w:tab/>
        <w:t>Îngrășământ organic solid</w:t>
      </w:r>
    </w:p>
    <w:p>
      <w:pPr>
        <w:spacing w:before="0" w:after="0"/>
        <w:ind w:left="720" w:firstLine="720"/>
        <w:rPr>
          <w:noProof/>
        </w:rPr>
      </w:pPr>
      <w:r>
        <w:rPr>
          <w:noProof/>
        </w:rPr>
        <w:t>II.</w:t>
      </w:r>
      <w:r>
        <w:rPr>
          <w:noProof/>
        </w:rPr>
        <w:tab/>
        <w:t>Îngrășământ organic lichid</w:t>
      </w:r>
    </w:p>
    <w:p>
      <w:pPr>
        <w:spacing w:before="0" w:after="0"/>
        <w:ind w:firstLine="720"/>
        <w:rPr>
          <w:noProof/>
        </w:rPr>
      </w:pPr>
      <w:r>
        <w:rPr>
          <w:noProof/>
        </w:rPr>
        <w:t>B.</w:t>
      </w:r>
      <w:r>
        <w:rPr>
          <w:noProof/>
        </w:rPr>
        <w:tab/>
        <w:t>Îngrășământ organo-mineral</w:t>
      </w:r>
    </w:p>
    <w:p>
      <w:pPr>
        <w:spacing w:before="0" w:after="0"/>
        <w:ind w:left="720" w:firstLine="720"/>
        <w:rPr>
          <w:noProof/>
        </w:rPr>
      </w:pPr>
      <w:r>
        <w:rPr>
          <w:noProof/>
        </w:rPr>
        <w:t>I.</w:t>
      </w:r>
      <w:r>
        <w:rPr>
          <w:noProof/>
        </w:rPr>
        <w:tab/>
        <w:t>Îngrășământ organo-mineral solid</w:t>
      </w:r>
    </w:p>
    <w:p>
      <w:pPr>
        <w:spacing w:before="0" w:after="0"/>
        <w:ind w:left="720" w:firstLine="720"/>
        <w:rPr>
          <w:noProof/>
        </w:rPr>
      </w:pPr>
      <w:r>
        <w:rPr>
          <w:noProof/>
        </w:rPr>
        <w:t>II.</w:t>
      </w:r>
      <w:r>
        <w:rPr>
          <w:noProof/>
        </w:rPr>
        <w:tab/>
        <w:t>Îngrășământ organo-mineral lichid</w:t>
      </w:r>
    </w:p>
    <w:p>
      <w:pPr>
        <w:spacing w:before="0" w:after="0"/>
        <w:ind w:firstLine="720"/>
        <w:rPr>
          <w:noProof/>
        </w:rPr>
      </w:pPr>
      <w:r>
        <w:rPr>
          <w:noProof/>
        </w:rPr>
        <w:t>C.</w:t>
      </w:r>
      <w:r>
        <w:rPr>
          <w:noProof/>
        </w:rPr>
        <w:tab/>
        <w:t>Îngrășământ anorganic</w:t>
      </w:r>
    </w:p>
    <w:p>
      <w:pPr>
        <w:spacing w:before="0" w:after="0"/>
        <w:ind w:left="720" w:firstLine="720"/>
        <w:rPr>
          <w:noProof/>
        </w:rPr>
      </w:pPr>
      <w:r>
        <w:rPr>
          <w:noProof/>
        </w:rPr>
        <w:t>I.</w:t>
      </w:r>
      <w:r>
        <w:rPr>
          <w:noProof/>
        </w:rPr>
        <w:tab/>
        <w:t>Îngrășământ anorganic cu macroelemente</w:t>
      </w:r>
    </w:p>
    <w:p>
      <w:pPr>
        <w:spacing w:before="0" w:after="0"/>
        <w:ind w:left="1440" w:firstLine="720"/>
        <w:rPr>
          <w:noProof/>
        </w:rPr>
      </w:pPr>
      <w:r>
        <w:rPr>
          <w:noProof/>
        </w:rPr>
        <w:t>a)</w:t>
      </w:r>
      <w:r>
        <w:rPr>
          <w:noProof/>
        </w:rPr>
        <w:tab/>
        <w:t>Îngrășământ anorganic solid cu macroelemente</w:t>
      </w:r>
    </w:p>
    <w:p>
      <w:pPr>
        <w:spacing w:before="0" w:after="0"/>
        <w:ind w:left="2160" w:firstLine="720"/>
        <w:rPr>
          <w:noProof/>
        </w:rPr>
      </w:pPr>
      <w:r>
        <w:rPr>
          <w:noProof/>
        </w:rPr>
        <w:t>i)</w:t>
      </w:r>
      <w:r>
        <w:rPr>
          <w:noProof/>
        </w:rPr>
        <w:tab/>
        <w:t>Îngrășământ anorganic solid simplu cu macroelemente</w:t>
      </w:r>
    </w:p>
    <w:p>
      <w:pPr>
        <w:spacing w:before="0" w:after="0"/>
        <w:ind w:left="4253" w:hanging="567"/>
        <w:rPr>
          <w:noProof/>
        </w:rPr>
      </w:pPr>
      <w:r>
        <w:rPr>
          <w:noProof/>
        </w:rPr>
        <w:t>A)</w:t>
      </w:r>
      <w:r>
        <w:rPr>
          <w:noProof/>
        </w:rPr>
        <w:tab/>
        <w:t>Îngrășământ anorganic solid simplu cu macroelemente pe bază de nitrat de amoniu cu conținut ridicat de azot</w:t>
      </w:r>
    </w:p>
    <w:p>
      <w:pPr>
        <w:spacing w:before="0" w:after="0"/>
        <w:ind w:left="2160" w:firstLine="720"/>
        <w:rPr>
          <w:noProof/>
        </w:rPr>
      </w:pPr>
      <w:r>
        <w:rPr>
          <w:noProof/>
        </w:rPr>
        <w:t>ii)</w:t>
      </w:r>
      <w:r>
        <w:rPr>
          <w:noProof/>
        </w:rPr>
        <w:tab/>
        <w:t>Îngrășământ anorganic solid compus cu macroelemente</w:t>
      </w:r>
    </w:p>
    <w:p>
      <w:pPr>
        <w:spacing w:before="0" w:after="0"/>
        <w:ind w:left="4253" w:hanging="567"/>
        <w:rPr>
          <w:noProof/>
        </w:rPr>
      </w:pPr>
      <w:r>
        <w:rPr>
          <w:noProof/>
        </w:rPr>
        <w:t>A)</w:t>
      </w:r>
      <w:r>
        <w:rPr>
          <w:noProof/>
        </w:rPr>
        <w:tab/>
        <w:t>Îngrășământ anorganic solid compus cu macroelemente pe bază de nitrat de amoniu cu conținut ridicat de azot</w:t>
      </w:r>
    </w:p>
    <w:p>
      <w:pPr>
        <w:spacing w:before="0" w:after="0"/>
        <w:ind w:left="1440" w:firstLine="720"/>
        <w:rPr>
          <w:noProof/>
        </w:rPr>
      </w:pPr>
      <w:r>
        <w:rPr>
          <w:noProof/>
        </w:rPr>
        <w:t>b)</w:t>
      </w:r>
      <w:r>
        <w:rPr>
          <w:noProof/>
        </w:rPr>
        <w:tab/>
        <w:t>Îngrășământ anorganic lichid cu macroelemente</w:t>
      </w:r>
    </w:p>
    <w:p>
      <w:pPr>
        <w:spacing w:before="0" w:after="0"/>
        <w:ind w:left="2160" w:firstLine="720"/>
        <w:rPr>
          <w:noProof/>
        </w:rPr>
      </w:pPr>
      <w:r>
        <w:rPr>
          <w:noProof/>
        </w:rPr>
        <w:t>i)</w:t>
      </w:r>
      <w:r>
        <w:rPr>
          <w:noProof/>
        </w:rPr>
        <w:tab/>
        <w:t>Îngrășământ anorganic lichid simplu cu macroelemente</w:t>
      </w:r>
    </w:p>
    <w:p>
      <w:pPr>
        <w:spacing w:before="0" w:after="0"/>
        <w:ind w:left="2160" w:firstLine="720"/>
        <w:rPr>
          <w:noProof/>
        </w:rPr>
      </w:pPr>
      <w:r>
        <w:rPr>
          <w:noProof/>
        </w:rPr>
        <w:t>ii)</w:t>
      </w:r>
      <w:r>
        <w:rPr>
          <w:noProof/>
        </w:rPr>
        <w:tab/>
        <w:t>Îngrășământ anorganic lichid compus cu macroelemente</w:t>
      </w:r>
    </w:p>
    <w:p>
      <w:pPr>
        <w:spacing w:before="0" w:after="0"/>
        <w:ind w:left="720" w:firstLine="720"/>
        <w:rPr>
          <w:noProof/>
        </w:rPr>
      </w:pPr>
      <w:r>
        <w:rPr>
          <w:noProof/>
        </w:rPr>
        <w:t>II.</w:t>
      </w:r>
      <w:r>
        <w:rPr>
          <w:noProof/>
        </w:rPr>
        <w:tab/>
        <w:t>Îngrășământ anorganic cu oligoelemente</w:t>
      </w:r>
    </w:p>
    <w:p>
      <w:pPr>
        <w:spacing w:before="0" w:after="0"/>
        <w:ind w:left="1440" w:firstLine="720"/>
        <w:rPr>
          <w:noProof/>
        </w:rPr>
      </w:pPr>
      <w:r>
        <w:rPr>
          <w:noProof/>
        </w:rPr>
        <w:t>a)</w:t>
      </w:r>
      <w:r>
        <w:rPr>
          <w:noProof/>
        </w:rPr>
        <w:tab/>
        <w:t>Îngrășământ anorganic simplu cu oligoelemente</w:t>
      </w:r>
    </w:p>
    <w:p>
      <w:pPr>
        <w:spacing w:before="0" w:after="0"/>
        <w:ind w:left="1440" w:firstLine="720"/>
        <w:rPr>
          <w:noProof/>
        </w:rPr>
      </w:pPr>
      <w:r>
        <w:rPr>
          <w:noProof/>
        </w:rPr>
        <w:t>b)</w:t>
      </w:r>
      <w:r>
        <w:rPr>
          <w:noProof/>
        </w:rPr>
        <w:tab/>
        <w:t>Îngrășământ anorganic compus cu oligoelemente</w:t>
      </w:r>
    </w:p>
    <w:p>
      <w:pPr>
        <w:spacing w:before="0" w:after="0"/>
        <w:rPr>
          <w:noProof/>
        </w:rPr>
      </w:pPr>
      <w:r>
        <w:rPr>
          <w:noProof/>
        </w:rPr>
        <w:t>2.</w:t>
      </w:r>
      <w:r>
        <w:rPr>
          <w:noProof/>
        </w:rPr>
        <w:tab/>
        <w:t>Amendament mineral bazic</w:t>
      </w:r>
    </w:p>
    <w:p>
      <w:pPr>
        <w:spacing w:before="0" w:after="0"/>
        <w:rPr>
          <w:noProof/>
        </w:rPr>
      </w:pPr>
      <w:r>
        <w:rPr>
          <w:noProof/>
        </w:rPr>
        <w:t>3.</w:t>
      </w:r>
      <w:r>
        <w:rPr>
          <w:noProof/>
        </w:rPr>
        <w:tab/>
        <w:t>Ameliorator de sol</w:t>
      </w:r>
    </w:p>
    <w:p>
      <w:pPr>
        <w:spacing w:before="0" w:after="0"/>
        <w:ind w:firstLine="720"/>
        <w:rPr>
          <w:noProof/>
        </w:rPr>
      </w:pPr>
      <w:r>
        <w:rPr>
          <w:noProof/>
        </w:rPr>
        <w:t>A.</w:t>
      </w:r>
      <w:r>
        <w:rPr>
          <w:noProof/>
        </w:rPr>
        <w:tab/>
        <w:t>Ameliorator organic de sol</w:t>
      </w:r>
    </w:p>
    <w:p>
      <w:pPr>
        <w:spacing w:before="0" w:after="0"/>
        <w:ind w:firstLine="720"/>
        <w:rPr>
          <w:noProof/>
        </w:rPr>
      </w:pPr>
      <w:r>
        <w:rPr>
          <w:noProof/>
        </w:rPr>
        <w:t>B.</w:t>
      </w:r>
      <w:r>
        <w:rPr>
          <w:noProof/>
        </w:rPr>
        <w:tab/>
        <w:t>Ameliorator anorganic de sol</w:t>
      </w:r>
    </w:p>
    <w:p>
      <w:pPr>
        <w:spacing w:before="0" w:after="0"/>
        <w:rPr>
          <w:noProof/>
        </w:rPr>
      </w:pPr>
      <w:r>
        <w:rPr>
          <w:noProof/>
        </w:rPr>
        <w:t>4.</w:t>
      </w:r>
      <w:r>
        <w:rPr>
          <w:noProof/>
        </w:rPr>
        <w:tab/>
        <w:t>Substraturi de cultură</w:t>
      </w:r>
    </w:p>
    <w:p>
      <w:pPr>
        <w:spacing w:before="0" w:after="0"/>
        <w:rPr>
          <w:noProof/>
        </w:rPr>
      </w:pPr>
      <w:r>
        <w:rPr>
          <w:noProof/>
        </w:rPr>
        <w:t>5.</w:t>
      </w:r>
      <w:r>
        <w:rPr>
          <w:noProof/>
        </w:rPr>
        <w:tab/>
        <w:t>Aditiv agronomic</w:t>
      </w:r>
    </w:p>
    <w:p>
      <w:pPr>
        <w:spacing w:before="0" w:after="0"/>
        <w:ind w:firstLine="720"/>
        <w:rPr>
          <w:noProof/>
        </w:rPr>
      </w:pPr>
      <w:r>
        <w:rPr>
          <w:noProof/>
        </w:rPr>
        <w:t>A.</w:t>
      </w:r>
      <w:r>
        <w:rPr>
          <w:noProof/>
        </w:rPr>
        <w:tab/>
        <w:t>Inhibitori</w:t>
      </w:r>
    </w:p>
    <w:p>
      <w:pPr>
        <w:spacing w:before="0" w:after="0"/>
        <w:ind w:left="720" w:firstLine="720"/>
        <w:rPr>
          <w:noProof/>
        </w:rPr>
      </w:pPr>
      <w:r>
        <w:rPr>
          <w:noProof/>
        </w:rPr>
        <w:t>I.</w:t>
      </w:r>
      <w:r>
        <w:rPr>
          <w:noProof/>
        </w:rPr>
        <w:tab/>
        <w:t>Inhibitori de nitrificare</w:t>
      </w:r>
    </w:p>
    <w:p>
      <w:pPr>
        <w:spacing w:before="0" w:after="0"/>
        <w:ind w:left="720" w:firstLine="720"/>
        <w:rPr>
          <w:noProof/>
        </w:rPr>
      </w:pPr>
      <w:r>
        <w:rPr>
          <w:noProof/>
        </w:rPr>
        <w:t>II.</w:t>
      </w:r>
      <w:r>
        <w:rPr>
          <w:noProof/>
        </w:rPr>
        <w:tab/>
        <w:t>Inhibitori de urează</w:t>
      </w:r>
    </w:p>
    <w:p>
      <w:pPr>
        <w:spacing w:before="0" w:after="0"/>
        <w:ind w:firstLine="720"/>
        <w:rPr>
          <w:noProof/>
        </w:rPr>
      </w:pPr>
      <w:r>
        <w:rPr>
          <w:noProof/>
        </w:rPr>
        <w:t>B.</w:t>
      </w:r>
      <w:r>
        <w:rPr>
          <w:noProof/>
        </w:rPr>
        <w:tab/>
        <w:t>Agenți de chelare</w:t>
      </w:r>
    </w:p>
    <w:p>
      <w:pPr>
        <w:spacing w:before="0" w:after="0"/>
        <w:ind w:firstLine="720"/>
        <w:rPr>
          <w:noProof/>
        </w:rPr>
      </w:pPr>
      <w:r>
        <w:rPr>
          <w:noProof/>
        </w:rPr>
        <w:t>C.</w:t>
      </w:r>
      <w:r>
        <w:rPr>
          <w:noProof/>
        </w:rPr>
        <w:tab/>
        <w:t>Agenți de complexare</w:t>
      </w:r>
    </w:p>
    <w:p>
      <w:pPr>
        <w:spacing w:before="0" w:after="0"/>
        <w:rPr>
          <w:noProof/>
        </w:rPr>
      </w:pPr>
      <w:r>
        <w:rPr>
          <w:noProof/>
        </w:rPr>
        <w:t>6.</w:t>
      </w:r>
      <w:r>
        <w:rPr>
          <w:noProof/>
        </w:rPr>
        <w:tab/>
        <w:t>Biostimulator al plantelor</w:t>
      </w:r>
    </w:p>
    <w:p>
      <w:pPr>
        <w:spacing w:before="0" w:after="0"/>
        <w:ind w:firstLine="720"/>
        <w:rPr>
          <w:noProof/>
        </w:rPr>
      </w:pPr>
      <w:r>
        <w:rPr>
          <w:noProof/>
        </w:rPr>
        <w:t>A.</w:t>
      </w:r>
      <w:r>
        <w:rPr>
          <w:noProof/>
        </w:rPr>
        <w:tab/>
        <w:t xml:space="preserve">Biostimulator microbian al plantelor </w:t>
      </w:r>
    </w:p>
    <w:p>
      <w:pPr>
        <w:spacing w:before="0" w:after="0"/>
        <w:ind w:firstLine="720"/>
        <w:rPr>
          <w:noProof/>
        </w:rPr>
      </w:pPr>
      <w:r>
        <w:rPr>
          <w:noProof/>
        </w:rPr>
        <w:t>B.</w:t>
      </w:r>
      <w:r>
        <w:rPr>
          <w:noProof/>
        </w:rPr>
        <w:tab/>
        <w:t>Biostimulator nemicrobian al plantelor</w:t>
      </w:r>
    </w:p>
    <w:p>
      <w:pPr>
        <w:spacing w:before="0" w:after="0"/>
        <w:ind w:left="720" w:firstLine="720"/>
        <w:rPr>
          <w:noProof/>
        </w:rPr>
      </w:pPr>
      <w:r>
        <w:rPr>
          <w:noProof/>
        </w:rPr>
        <w:t>I.</w:t>
      </w:r>
      <w:r>
        <w:rPr>
          <w:noProof/>
        </w:rPr>
        <w:tab/>
        <w:t>Biostimulator organic nemicrobian al plantelor</w:t>
      </w:r>
    </w:p>
    <w:p>
      <w:pPr>
        <w:spacing w:before="0" w:after="0"/>
        <w:ind w:left="720" w:firstLine="720"/>
        <w:rPr>
          <w:noProof/>
        </w:rPr>
      </w:pPr>
      <w:r>
        <w:rPr>
          <w:noProof/>
        </w:rPr>
        <w:t>II.</w:t>
      </w:r>
      <w:r>
        <w:rPr>
          <w:noProof/>
        </w:rPr>
        <w:tab/>
        <w:t xml:space="preserve">Biostimulator anorganic nemicrobian al plantelor </w:t>
      </w:r>
    </w:p>
    <w:p>
      <w:pPr>
        <w:spacing w:before="0" w:after="0"/>
        <w:rPr>
          <w:noProof/>
        </w:rPr>
      </w:pPr>
      <w:r>
        <w:rPr>
          <w:noProof/>
        </w:rPr>
        <w:t>7.</w:t>
      </w:r>
      <w:r>
        <w:rPr>
          <w:noProof/>
        </w:rPr>
        <w:tab/>
        <w:t>Amestec de produse fertilizante</w:t>
      </w:r>
    </w:p>
    <w:p>
      <w:pPr>
        <w:rPr>
          <w:noProof/>
        </w:rPr>
        <w:sectPr>
          <w:pgSz w:w="11907" w:h="16839"/>
          <w:pgMar w:top="1134" w:right="1417" w:bottom="1134" w:left="1417" w:header="709" w:footer="709" w:gutter="0"/>
          <w:cols w:space="720"/>
          <w:docGrid w:linePitch="360"/>
        </w:sectPr>
      </w:pPr>
      <w:bookmarkStart w:id="2" w:name="_Toc432153192"/>
    </w:p>
    <w:bookmarkEnd w:id="2"/>
    <w:p>
      <w:pPr>
        <w:pStyle w:val="SectionTitle"/>
        <w:rPr>
          <w:noProof/>
        </w:rPr>
      </w:pPr>
      <w:r>
        <w:rPr>
          <w:noProof/>
        </w:rPr>
        <w:lastRenderedPageBreak/>
        <w:t>Partea a II-a</w:t>
      </w:r>
      <w:r>
        <w:rPr>
          <w:noProof/>
        </w:rPr>
        <w:br/>
        <w:t>Cerințe privind categoriile funcționale de produse</w:t>
      </w:r>
    </w:p>
    <w:p>
      <w:pPr>
        <w:pStyle w:val="NumPar1"/>
        <w:numPr>
          <w:ilvl w:val="0"/>
          <w:numId w:val="15"/>
        </w:numPr>
        <w:rPr>
          <w:noProof/>
        </w:rPr>
      </w:pPr>
      <w:r>
        <w:rPr>
          <w:noProof/>
        </w:rPr>
        <w:t>Prezenta parte stabilește cerințele referitoare la categoriile funcționale de produse („CFP”) în care se împart produsele fertilizante cu marcaj CE.</w:t>
      </w:r>
    </w:p>
    <w:p>
      <w:pPr>
        <w:pStyle w:val="NumPar1"/>
        <w:numPr>
          <w:ilvl w:val="0"/>
          <w:numId w:val="15"/>
        </w:numPr>
        <w:rPr>
          <w:noProof/>
        </w:rPr>
      </w:pPr>
      <w:r>
        <w:rPr>
          <w:noProof/>
        </w:rPr>
        <w:t>Cerințele stabilite în cadrul prezentei anexe pentru o anumită CFP se aplică produselor fertilizante cu marcaj CE din toate subcategoriile din CFP respectivă.</w:t>
      </w:r>
    </w:p>
    <w:p>
      <w:pPr>
        <w:pStyle w:val="NumPar1"/>
        <w:numPr>
          <w:ilvl w:val="0"/>
          <w:numId w:val="12"/>
        </w:numPr>
        <w:rPr>
          <w:noProof/>
        </w:rPr>
      </w:pPr>
      <w:r>
        <w:rPr>
          <w:noProof/>
        </w:rPr>
        <w:t>Atunci când, din natura sau din procesul de fabricație a unui anumit produs fertilizant cu marcaj CE, rezultă în mod cert și de necontestat că este îndeplinită o anumită cerință (cum ar fi absența unui anumit contaminant), în cadrul evaluării conformității, se poate presupune îndeplinirea acelei cerințe fără a mai fi nevoie de verificare (de exemplu, prin testare), pe răspunderea producătorului.</w:t>
      </w:r>
    </w:p>
    <w:p>
      <w:pPr>
        <w:pStyle w:val="NumPar1"/>
        <w:keepNext/>
        <w:numPr>
          <w:ilvl w:val="0"/>
          <w:numId w:val="12"/>
        </w:numPr>
        <w:ind w:left="851" w:hanging="851"/>
        <w:rPr>
          <w:noProof/>
        </w:rPr>
      </w:pPr>
      <w:r>
        <w:rPr>
          <w:noProof/>
        </w:rPr>
        <w:t xml:space="preserve">În cazul în care un produs fertilizant cu marcaj CE conține o substanță pentru care s-au stabilit limite maxime ale reziduurilor pentru produsele alimentare și hrana pentru animale în conformitate cu: </w:t>
      </w:r>
    </w:p>
    <w:p>
      <w:pPr>
        <w:pStyle w:val="Point1letter"/>
        <w:numPr>
          <w:ilvl w:val="3"/>
          <w:numId w:val="10"/>
        </w:numPr>
        <w:rPr>
          <w:noProof/>
        </w:rPr>
      </w:pPr>
      <w:r>
        <w:rPr>
          <w:noProof/>
        </w:rPr>
        <w:t>Regulamentul (CEE) nr. 315/93 al Consiliului</w:t>
      </w:r>
      <w:r>
        <w:rPr>
          <w:rStyle w:val="FootnoteReference"/>
          <w:noProof/>
        </w:rPr>
        <w:footnoteReference w:id="1"/>
      </w:r>
      <w:r>
        <w:rPr>
          <w:noProof/>
        </w:rPr>
        <w:t xml:space="preserve">, </w:t>
      </w:r>
    </w:p>
    <w:p>
      <w:pPr>
        <w:pStyle w:val="Point1letter"/>
        <w:numPr>
          <w:ilvl w:val="3"/>
          <w:numId w:val="10"/>
        </w:numPr>
        <w:rPr>
          <w:noProof/>
        </w:rPr>
      </w:pPr>
      <w:r>
        <w:rPr>
          <w:noProof/>
        </w:rPr>
        <w:t>Regulamentul (CE) nr. 396/2005 al Parlamentului European și al Consiliului</w:t>
      </w:r>
      <w:r>
        <w:rPr>
          <w:rStyle w:val="FootnoteReference"/>
          <w:noProof/>
        </w:rPr>
        <w:footnoteReference w:id="2"/>
      </w:r>
      <w:r>
        <w:rPr>
          <w:noProof/>
        </w:rPr>
        <w:t xml:space="preserve">, </w:t>
      </w:r>
    </w:p>
    <w:p>
      <w:pPr>
        <w:pStyle w:val="Point1letter"/>
        <w:numPr>
          <w:ilvl w:val="3"/>
          <w:numId w:val="10"/>
        </w:numPr>
        <w:rPr>
          <w:noProof/>
        </w:rPr>
      </w:pPr>
      <w:r>
        <w:rPr>
          <w:noProof/>
        </w:rPr>
        <w:t>Regulamentul (CE) nr. 470/2009 al Parlamentului European și al Consiliului</w:t>
      </w:r>
      <w:r>
        <w:rPr>
          <w:rStyle w:val="FootnoteReference"/>
          <w:noProof/>
        </w:rPr>
        <w:footnoteReference w:id="3"/>
      </w:r>
      <w:r>
        <w:rPr>
          <w:noProof/>
        </w:rPr>
        <w:t xml:space="preserve"> sau </w:t>
      </w:r>
    </w:p>
    <w:p>
      <w:pPr>
        <w:pStyle w:val="Point1letter"/>
        <w:keepNext/>
        <w:numPr>
          <w:ilvl w:val="3"/>
          <w:numId w:val="10"/>
        </w:numPr>
        <w:ind w:left="1418"/>
        <w:rPr>
          <w:noProof/>
        </w:rPr>
      </w:pPr>
      <w:r>
        <w:rPr>
          <w:noProof/>
        </w:rPr>
        <w:t>Directiva 2002/32/CE a Parlamentului European și a Consiliului</w:t>
      </w:r>
      <w:r>
        <w:rPr>
          <w:rStyle w:val="FootnoteReference"/>
          <w:noProof/>
        </w:rPr>
        <w:footnoteReference w:id="4"/>
      </w:r>
      <w:r>
        <w:rPr>
          <w:noProof/>
        </w:rPr>
        <w:t xml:space="preserve">, </w:t>
      </w:r>
    </w:p>
    <w:p>
      <w:pPr>
        <w:pStyle w:val="Text1"/>
        <w:rPr>
          <w:noProof/>
        </w:rPr>
      </w:pPr>
      <w:r>
        <w:rPr>
          <w:noProof/>
        </w:rPr>
        <w:t>utilizarea produsului fertilizant cu marcaj CE, conform instrucțiunilor de utilizare, nu trebuie să ducă la depășirea limitelor respective în produsele alimentare sau în hrana pentru animale.</w:t>
      </w:r>
    </w:p>
    <w:p>
      <w:pPr>
        <w:pStyle w:val="ManualHeading1"/>
        <w:rPr>
          <w:noProof/>
        </w:rPr>
      </w:pPr>
      <w:bookmarkStart w:id="3" w:name="_Toc432153193"/>
      <w:r>
        <w:rPr>
          <w:noProof/>
        </w:rPr>
        <w:t>CFP 1: Îngrășământ</w:t>
      </w:r>
      <w:bookmarkEnd w:id="3"/>
    </w:p>
    <w:p>
      <w:pPr>
        <w:pStyle w:val="Text1"/>
        <w:rPr>
          <w:noProof/>
        </w:rPr>
      </w:pPr>
      <w:r>
        <w:rPr>
          <w:noProof/>
        </w:rPr>
        <w:t>Un îngrășământ este un produs fertilizant cu marcaj CE destinat să asigure nutrienți plantelor.</w:t>
      </w:r>
    </w:p>
    <w:p>
      <w:pPr>
        <w:pStyle w:val="ManualHeading2"/>
        <w:rPr>
          <w:noProof/>
        </w:rPr>
      </w:pPr>
      <w:bookmarkStart w:id="4" w:name="_Toc432153194"/>
      <w:r>
        <w:rPr>
          <w:noProof/>
        </w:rPr>
        <w:t>CFP 1(A): Îngrășământ organic</w:t>
      </w:r>
      <w:bookmarkEnd w:id="4"/>
    </w:p>
    <w:p>
      <w:pPr>
        <w:pStyle w:val="NumPar1"/>
        <w:keepNext/>
        <w:numPr>
          <w:ilvl w:val="0"/>
          <w:numId w:val="26"/>
        </w:numPr>
        <w:rPr>
          <w:noProof/>
        </w:rPr>
      </w:pPr>
      <w:r>
        <w:rPr>
          <w:noProof/>
        </w:rPr>
        <w:t xml:space="preserve">Un îngrășământ organic conține </w:t>
      </w:r>
    </w:p>
    <w:p>
      <w:pPr>
        <w:pStyle w:val="Bullet1"/>
        <w:numPr>
          <w:ilvl w:val="0"/>
          <w:numId w:val="14"/>
        </w:numPr>
        <w:rPr>
          <w:noProof/>
        </w:rPr>
      </w:pPr>
      <w:r>
        <w:rPr>
          <w:noProof/>
        </w:rPr>
        <w:t xml:space="preserve">carbon (C) și </w:t>
      </w:r>
    </w:p>
    <w:p>
      <w:pPr>
        <w:pStyle w:val="Bullet1"/>
        <w:keepNext/>
        <w:numPr>
          <w:ilvl w:val="0"/>
          <w:numId w:val="13"/>
        </w:numPr>
        <w:ind w:left="1418"/>
        <w:rPr>
          <w:noProof/>
        </w:rPr>
      </w:pPr>
      <w:r>
        <w:rPr>
          <w:noProof/>
        </w:rPr>
        <w:lastRenderedPageBreak/>
        <w:t xml:space="preserve">nutrienți </w:t>
      </w:r>
    </w:p>
    <w:p>
      <w:pPr>
        <w:pStyle w:val="Text1"/>
        <w:rPr>
          <w:noProof/>
        </w:rPr>
      </w:pPr>
      <w:r>
        <w:rPr>
          <w:noProof/>
        </w:rPr>
        <w:t>de origine exclusiv biologică, cu excluderea materialelor fosilizate sau încorporate în formațiuni geologice.</w:t>
      </w:r>
    </w:p>
    <w:p>
      <w:pPr>
        <w:pStyle w:val="NumPar1"/>
        <w:keepNext/>
        <w:numPr>
          <w:ilvl w:val="0"/>
          <w:numId w:val="12"/>
        </w:numPr>
        <w:rPr>
          <w:noProof/>
        </w:rPr>
      </w:pPr>
      <w:r>
        <w:rPr>
          <w:noProof/>
        </w:rPr>
        <w:t>În produsele fertilizante cu marcaj CE, cantitatea de contaminanți nu trebuie să depășească următoarele valori:</w:t>
      </w:r>
    </w:p>
    <w:p>
      <w:pPr>
        <w:pStyle w:val="Bullet1"/>
        <w:numPr>
          <w:ilvl w:val="0"/>
          <w:numId w:val="13"/>
        </w:numPr>
        <w:tabs>
          <w:tab w:val="left" w:pos="4536"/>
        </w:tabs>
        <w:rPr>
          <w:noProof/>
        </w:rPr>
      </w:pPr>
      <w:r>
        <w:rPr>
          <w:noProof/>
        </w:rPr>
        <w:t>cadmiu (Cd)</w:t>
      </w:r>
      <w:r>
        <w:rPr>
          <w:noProof/>
        </w:rPr>
        <w:tab/>
        <w:t>1,5 mg/kg substanță uscată,</w:t>
      </w:r>
    </w:p>
    <w:p>
      <w:pPr>
        <w:pStyle w:val="Bullet1"/>
        <w:numPr>
          <w:ilvl w:val="0"/>
          <w:numId w:val="13"/>
        </w:numPr>
        <w:tabs>
          <w:tab w:val="left" w:pos="4536"/>
        </w:tabs>
        <w:rPr>
          <w:noProof/>
        </w:rPr>
      </w:pPr>
      <w:r>
        <w:rPr>
          <w:noProof/>
        </w:rPr>
        <w:t>crom hexavalent (Cr VI)</w:t>
      </w:r>
      <w:r>
        <w:rPr>
          <w:noProof/>
        </w:rPr>
        <w:tab/>
        <w:t>2 mg/kg substanță uscată,</w:t>
      </w:r>
    </w:p>
    <w:p>
      <w:pPr>
        <w:pStyle w:val="Bullet1"/>
        <w:numPr>
          <w:ilvl w:val="0"/>
          <w:numId w:val="13"/>
        </w:numPr>
        <w:tabs>
          <w:tab w:val="left" w:pos="4536"/>
        </w:tabs>
        <w:rPr>
          <w:noProof/>
        </w:rPr>
      </w:pPr>
      <w:r>
        <w:rPr>
          <w:noProof/>
        </w:rPr>
        <w:t>mercur (Hg)</w:t>
      </w:r>
      <w:r>
        <w:rPr>
          <w:noProof/>
        </w:rPr>
        <w:tab/>
        <w:t>1 mg/kg substanță uscată,</w:t>
      </w:r>
    </w:p>
    <w:p>
      <w:pPr>
        <w:pStyle w:val="Bullet1"/>
        <w:numPr>
          <w:ilvl w:val="0"/>
          <w:numId w:val="13"/>
        </w:numPr>
        <w:tabs>
          <w:tab w:val="left" w:pos="4536"/>
        </w:tabs>
        <w:rPr>
          <w:noProof/>
        </w:rPr>
      </w:pPr>
      <w:r>
        <w:rPr>
          <w:noProof/>
        </w:rPr>
        <w:t>nichel (Ni)</w:t>
      </w:r>
      <w:r>
        <w:rPr>
          <w:noProof/>
        </w:rPr>
        <w:tab/>
        <w:t>50 mg/kg substanță uscată,</w:t>
      </w:r>
    </w:p>
    <w:p>
      <w:pPr>
        <w:pStyle w:val="Bullet1"/>
        <w:numPr>
          <w:ilvl w:val="0"/>
          <w:numId w:val="13"/>
        </w:numPr>
        <w:tabs>
          <w:tab w:val="left" w:pos="4536"/>
        </w:tabs>
        <w:rPr>
          <w:noProof/>
        </w:rPr>
      </w:pPr>
      <w:r>
        <w:rPr>
          <w:noProof/>
        </w:rPr>
        <w:t>plumb (Pb)</w:t>
      </w:r>
      <w:r>
        <w:rPr>
          <w:noProof/>
        </w:rPr>
        <w:tab/>
        <w:t>120 mg/kg de substanță uscată și</w:t>
      </w:r>
    </w:p>
    <w:p>
      <w:pPr>
        <w:pStyle w:val="Bullet1"/>
        <w:numPr>
          <w:ilvl w:val="0"/>
          <w:numId w:val="13"/>
        </w:numPr>
        <w:tabs>
          <w:tab w:val="left" w:pos="4536"/>
        </w:tabs>
        <w:rPr>
          <w:noProof/>
        </w:rPr>
      </w:pPr>
      <w:r>
        <w:rPr>
          <w:noProof/>
        </w:rPr>
        <w:t>biuret (C</w:t>
      </w:r>
      <w:r>
        <w:rPr>
          <w:noProof/>
          <w:vertAlign w:val="subscript"/>
        </w:rPr>
        <w:t>2</w:t>
      </w:r>
      <w:r>
        <w:rPr>
          <w:noProof/>
        </w:rPr>
        <w:t>H</w:t>
      </w:r>
      <w:r>
        <w:rPr>
          <w:noProof/>
          <w:vertAlign w:val="subscript"/>
        </w:rPr>
        <w:t>5</w:t>
      </w:r>
      <w:r>
        <w:rPr>
          <w:noProof/>
        </w:rPr>
        <w:t>N</w:t>
      </w:r>
      <w:r>
        <w:rPr>
          <w:noProof/>
          <w:vertAlign w:val="subscript"/>
        </w:rPr>
        <w:t>3</w:t>
      </w:r>
      <w:r>
        <w:rPr>
          <w:noProof/>
        </w:rPr>
        <w:t>O</w:t>
      </w:r>
      <w:r>
        <w:rPr>
          <w:noProof/>
          <w:vertAlign w:val="subscript"/>
        </w:rPr>
        <w:t>2</w:t>
      </w:r>
      <w:r>
        <w:rPr>
          <w:noProof/>
        </w:rPr>
        <w:t>)</w:t>
      </w:r>
      <w:r>
        <w:rPr>
          <w:noProof/>
        </w:rPr>
        <w:tab/>
        <w:t>12 g/kg de substanță uscată.</w:t>
      </w:r>
    </w:p>
    <w:p>
      <w:pPr>
        <w:pStyle w:val="NumPar1"/>
        <w:numPr>
          <w:ilvl w:val="0"/>
          <w:numId w:val="12"/>
        </w:numPr>
        <w:rPr>
          <w:noProof/>
        </w:rPr>
      </w:pPr>
      <w:r>
        <w:rPr>
          <w:i/>
          <w:noProof/>
        </w:rPr>
        <w:t>Salmonella spp</w:t>
      </w:r>
      <w:r>
        <w:rPr>
          <w:noProof/>
        </w:rPr>
        <w:t>. trebuie să fie absentă dintr-un eșantion de 25 g de produs fertilizant cu marcaj CE.</w:t>
      </w:r>
    </w:p>
    <w:p>
      <w:pPr>
        <w:pStyle w:val="NumPar1"/>
        <w:keepNext/>
        <w:numPr>
          <w:ilvl w:val="0"/>
          <w:numId w:val="12"/>
        </w:numPr>
        <w:ind w:left="851" w:hanging="851"/>
        <w:rPr>
          <w:noProof/>
        </w:rPr>
      </w:pPr>
      <w:r>
        <w:rPr>
          <w:noProof/>
        </w:rPr>
        <w:t>Niciunul dintre următoarele două tipuri de bacterii nu trebuie să fie prezent în produsul fertilizant cu marcaj CE în concentrații mai mari de 1 000 CFU/g de masă proaspătă:</w:t>
      </w:r>
    </w:p>
    <w:p>
      <w:pPr>
        <w:pStyle w:val="Point1letter"/>
        <w:numPr>
          <w:ilvl w:val="3"/>
          <w:numId w:val="27"/>
        </w:numPr>
        <w:rPr>
          <w:noProof/>
        </w:rPr>
      </w:pPr>
      <w:r>
        <w:rPr>
          <w:i/>
          <w:noProof/>
        </w:rPr>
        <w:t>Escherichia coli</w:t>
      </w:r>
      <w:r>
        <w:rPr>
          <w:noProof/>
        </w:rPr>
        <w:t xml:space="preserve"> sau</w:t>
      </w:r>
    </w:p>
    <w:p>
      <w:pPr>
        <w:pStyle w:val="Point1letter"/>
        <w:keepNext/>
        <w:ind w:left="1418"/>
        <w:rPr>
          <w:noProof/>
        </w:rPr>
      </w:pPr>
      <w:r>
        <w:rPr>
          <w:noProof/>
        </w:rPr>
        <w:t>Enterococcaceae.</w:t>
      </w:r>
    </w:p>
    <w:p>
      <w:pPr>
        <w:pStyle w:val="Text1"/>
        <w:rPr>
          <w:noProof/>
        </w:rPr>
      </w:pPr>
      <w:r>
        <w:rPr>
          <w:noProof/>
        </w:rPr>
        <w:t>Aceasta se demonstrează prin măsurarea prezenței a cel puțin unuia dintre cele două tipuri de bacterii.</w:t>
      </w:r>
    </w:p>
    <w:p>
      <w:pPr>
        <w:pStyle w:val="ManualHeading3"/>
        <w:rPr>
          <w:b/>
          <w:noProof/>
        </w:rPr>
      </w:pPr>
      <w:bookmarkStart w:id="5" w:name="_Toc432153195"/>
      <w:r>
        <w:rPr>
          <w:b/>
          <w:noProof/>
        </w:rPr>
        <w:t>CFP 1(A)(I): Îngrășământ organic solid</w:t>
      </w:r>
      <w:bookmarkEnd w:id="5"/>
    </w:p>
    <w:p>
      <w:pPr>
        <w:pStyle w:val="NumPar1"/>
        <w:numPr>
          <w:ilvl w:val="0"/>
          <w:numId w:val="28"/>
        </w:numPr>
        <w:rPr>
          <w:noProof/>
        </w:rPr>
      </w:pPr>
      <w:r>
        <w:rPr>
          <w:noProof/>
        </w:rPr>
        <w:t>Un îngrășământ organic solid conține cel puțin 40 % din masă substanță uscată.</w:t>
      </w:r>
    </w:p>
    <w:p>
      <w:pPr>
        <w:pStyle w:val="NumPar1"/>
        <w:keepNext/>
        <w:numPr>
          <w:ilvl w:val="0"/>
          <w:numId w:val="12"/>
        </w:numPr>
        <w:ind w:left="851" w:hanging="851"/>
        <w:rPr>
          <w:noProof/>
        </w:rPr>
      </w:pPr>
      <w:r>
        <w:rPr>
          <w:noProof/>
        </w:rPr>
        <w:t>Produsul fertilizant cu marcaj CE conține cel puțin unul dintre următorii nutrienți declarați, în cantitățile minime precizate:</w:t>
      </w:r>
    </w:p>
    <w:p>
      <w:pPr>
        <w:pStyle w:val="Bullet1"/>
        <w:numPr>
          <w:ilvl w:val="0"/>
          <w:numId w:val="13"/>
        </w:numPr>
        <w:rPr>
          <w:noProof/>
        </w:rPr>
      </w:pPr>
      <w:r>
        <w:rPr>
          <w:noProof/>
        </w:rPr>
        <w:t>2,5 % din masă azot (N) total,</w:t>
      </w:r>
    </w:p>
    <w:p>
      <w:pPr>
        <w:pStyle w:val="Bullet1"/>
        <w:numPr>
          <w:ilvl w:val="0"/>
          <w:numId w:val="13"/>
        </w:numPr>
        <w:rPr>
          <w:noProof/>
        </w:rPr>
      </w:pPr>
      <w:r>
        <w:rPr>
          <w:noProof/>
        </w:rPr>
        <w:t>2 % din masă pentaoxid de fosfor (P</w:t>
      </w:r>
      <w:r>
        <w:rPr>
          <w:noProof/>
          <w:vertAlign w:val="subscript"/>
        </w:rPr>
        <w:t>2</w:t>
      </w:r>
      <w:r>
        <w:rPr>
          <w:noProof/>
        </w:rPr>
        <w:t>O</w:t>
      </w:r>
      <w:r>
        <w:rPr>
          <w:noProof/>
          <w:vertAlign w:val="subscript"/>
        </w:rPr>
        <w:t>5</w:t>
      </w:r>
      <w:r>
        <w:rPr>
          <w:noProof/>
        </w:rPr>
        <w:t>) total sau</w:t>
      </w:r>
    </w:p>
    <w:p>
      <w:pPr>
        <w:pStyle w:val="Bullet1"/>
        <w:numPr>
          <w:ilvl w:val="0"/>
          <w:numId w:val="13"/>
        </w:numPr>
        <w:rPr>
          <w:noProof/>
        </w:rPr>
      </w:pPr>
      <w:r>
        <w:rPr>
          <w:noProof/>
        </w:rPr>
        <w:t>2 % din masă oxid de potasiu (K</w:t>
      </w:r>
      <w:r>
        <w:rPr>
          <w:noProof/>
          <w:vertAlign w:val="subscript"/>
        </w:rPr>
        <w:t>2</w:t>
      </w:r>
      <w:r>
        <w:rPr>
          <w:noProof/>
        </w:rPr>
        <w:t>O) total.</w:t>
      </w:r>
    </w:p>
    <w:p>
      <w:pPr>
        <w:pStyle w:val="NumPar1"/>
        <w:numPr>
          <w:ilvl w:val="0"/>
          <w:numId w:val="12"/>
        </w:numPr>
        <w:rPr>
          <w:noProof/>
        </w:rPr>
      </w:pPr>
      <w:r>
        <w:rPr>
          <w:noProof/>
        </w:rPr>
        <w:t>Carbonul (C) organic este prezent în produsul fertilizant cu marcaj CE în proporție de cel puțin 15 % din masă.</w:t>
      </w:r>
    </w:p>
    <w:p>
      <w:pPr>
        <w:pStyle w:val="ManualHeading3"/>
        <w:rPr>
          <w:b/>
          <w:noProof/>
        </w:rPr>
      </w:pPr>
      <w:bookmarkStart w:id="6" w:name="_Toc432153196"/>
      <w:r>
        <w:rPr>
          <w:b/>
          <w:noProof/>
        </w:rPr>
        <w:t>CFP 1(A)(II): Îngrășământ organic lichid</w:t>
      </w:r>
      <w:bookmarkEnd w:id="6"/>
    </w:p>
    <w:p>
      <w:pPr>
        <w:pStyle w:val="NumPar1"/>
        <w:numPr>
          <w:ilvl w:val="0"/>
          <w:numId w:val="29"/>
        </w:numPr>
        <w:rPr>
          <w:noProof/>
        </w:rPr>
      </w:pPr>
      <w:r>
        <w:rPr>
          <w:noProof/>
        </w:rPr>
        <w:t>Un îngrășământ organic lichid conține până la 40 % substanță uscată.</w:t>
      </w:r>
    </w:p>
    <w:p>
      <w:pPr>
        <w:pStyle w:val="NumPar1"/>
        <w:keepNext/>
        <w:numPr>
          <w:ilvl w:val="0"/>
          <w:numId w:val="12"/>
        </w:numPr>
        <w:ind w:left="851" w:hanging="851"/>
        <w:rPr>
          <w:noProof/>
        </w:rPr>
      </w:pPr>
      <w:r>
        <w:rPr>
          <w:noProof/>
        </w:rPr>
        <w:t>Produsul fertilizant cu marcaj CE conține cel puțin unul dintre următorii nutrienți declarați, în cantitățile minime precizate:</w:t>
      </w:r>
    </w:p>
    <w:p>
      <w:pPr>
        <w:pStyle w:val="Bullet1"/>
        <w:numPr>
          <w:ilvl w:val="0"/>
          <w:numId w:val="13"/>
        </w:numPr>
        <w:rPr>
          <w:noProof/>
        </w:rPr>
      </w:pPr>
      <w:r>
        <w:rPr>
          <w:noProof/>
        </w:rPr>
        <w:t>2 % din masă azot (N) total,</w:t>
      </w:r>
    </w:p>
    <w:p>
      <w:pPr>
        <w:pStyle w:val="Bullet1"/>
        <w:numPr>
          <w:ilvl w:val="0"/>
          <w:numId w:val="13"/>
        </w:numPr>
        <w:rPr>
          <w:noProof/>
        </w:rPr>
      </w:pPr>
      <w:r>
        <w:rPr>
          <w:noProof/>
        </w:rPr>
        <w:t>1 % din masă pentaoxid de fosfor (P</w:t>
      </w:r>
      <w:r>
        <w:rPr>
          <w:noProof/>
          <w:vertAlign w:val="subscript"/>
        </w:rPr>
        <w:t>2</w:t>
      </w:r>
      <w:r>
        <w:rPr>
          <w:noProof/>
        </w:rPr>
        <w:t>O</w:t>
      </w:r>
      <w:r>
        <w:rPr>
          <w:noProof/>
          <w:vertAlign w:val="subscript"/>
        </w:rPr>
        <w:t>5</w:t>
      </w:r>
      <w:r>
        <w:rPr>
          <w:noProof/>
        </w:rPr>
        <w:t>) total sau</w:t>
      </w:r>
    </w:p>
    <w:p>
      <w:pPr>
        <w:pStyle w:val="Bullet1"/>
        <w:numPr>
          <w:ilvl w:val="0"/>
          <w:numId w:val="13"/>
        </w:numPr>
        <w:rPr>
          <w:noProof/>
        </w:rPr>
      </w:pPr>
      <w:r>
        <w:rPr>
          <w:noProof/>
        </w:rPr>
        <w:t>2 % din masă oxid de potasiu (K</w:t>
      </w:r>
      <w:r>
        <w:rPr>
          <w:noProof/>
          <w:vertAlign w:val="subscript"/>
        </w:rPr>
        <w:t>2</w:t>
      </w:r>
      <w:r>
        <w:rPr>
          <w:noProof/>
        </w:rPr>
        <w:t>O) total.</w:t>
      </w:r>
    </w:p>
    <w:p>
      <w:pPr>
        <w:pStyle w:val="NumPar1"/>
        <w:numPr>
          <w:ilvl w:val="0"/>
          <w:numId w:val="12"/>
        </w:numPr>
        <w:rPr>
          <w:noProof/>
        </w:rPr>
      </w:pPr>
      <w:r>
        <w:rPr>
          <w:noProof/>
        </w:rPr>
        <w:lastRenderedPageBreak/>
        <w:t>Carbonul (C) organic este prezent în produsul fertilizant cu marcaj CE în proporție de cel puțin 5 % din masă.</w:t>
      </w:r>
    </w:p>
    <w:p>
      <w:pPr>
        <w:pStyle w:val="ManualHeading3"/>
        <w:rPr>
          <w:b/>
          <w:i w:val="0"/>
          <w:noProof/>
        </w:rPr>
      </w:pPr>
      <w:bookmarkStart w:id="7" w:name="_Toc432153197"/>
      <w:r>
        <w:rPr>
          <w:b/>
          <w:i w:val="0"/>
          <w:noProof/>
        </w:rPr>
        <w:t>CFP 1(B): Îngrășământ organo-mineral</w:t>
      </w:r>
      <w:bookmarkEnd w:id="7"/>
    </w:p>
    <w:p>
      <w:pPr>
        <w:pStyle w:val="NumPar1"/>
        <w:keepNext/>
        <w:numPr>
          <w:ilvl w:val="0"/>
          <w:numId w:val="30"/>
        </w:numPr>
        <w:rPr>
          <w:noProof/>
        </w:rPr>
      </w:pPr>
      <w:r>
        <w:rPr>
          <w:noProof/>
        </w:rPr>
        <w:t xml:space="preserve">Un îngrășământ organo-mineral este compus din: </w:t>
      </w:r>
    </w:p>
    <w:p>
      <w:pPr>
        <w:pStyle w:val="Bullet1"/>
        <w:numPr>
          <w:ilvl w:val="0"/>
          <w:numId w:val="13"/>
        </w:numPr>
        <w:rPr>
          <w:noProof/>
        </w:rPr>
      </w:pPr>
      <w:r>
        <w:rPr>
          <w:noProof/>
        </w:rPr>
        <w:t xml:space="preserve">unul sau mai multe îngrășăminte anorganice, astfel cum se specifică la punctul privind CFP 1(C) de mai jos, și </w:t>
      </w:r>
    </w:p>
    <w:p>
      <w:pPr>
        <w:pStyle w:val="Bullet1"/>
        <w:keepNext/>
        <w:numPr>
          <w:ilvl w:val="0"/>
          <w:numId w:val="13"/>
        </w:numPr>
        <w:ind w:left="1418"/>
        <w:rPr>
          <w:noProof/>
        </w:rPr>
      </w:pPr>
      <w:r>
        <w:rPr>
          <w:noProof/>
        </w:rPr>
        <w:t xml:space="preserve">un material care conține </w:t>
      </w:r>
    </w:p>
    <w:p>
      <w:pPr>
        <w:pStyle w:val="Tiret2"/>
        <w:numPr>
          <w:ilvl w:val="0"/>
          <w:numId w:val="25"/>
        </w:numPr>
        <w:rPr>
          <w:noProof/>
        </w:rPr>
      </w:pPr>
      <w:r>
        <w:rPr>
          <w:noProof/>
        </w:rPr>
        <w:t xml:space="preserve">carbon (C) organic și </w:t>
      </w:r>
    </w:p>
    <w:p>
      <w:pPr>
        <w:pStyle w:val="Tiret2"/>
        <w:keepNext/>
        <w:ind w:left="1985"/>
        <w:rPr>
          <w:noProof/>
        </w:rPr>
      </w:pPr>
      <w:r>
        <w:rPr>
          <w:noProof/>
        </w:rPr>
        <w:t xml:space="preserve">nutrienți </w:t>
      </w:r>
    </w:p>
    <w:p>
      <w:pPr>
        <w:pStyle w:val="Text2"/>
        <w:rPr>
          <w:noProof/>
        </w:rPr>
      </w:pPr>
      <w:r>
        <w:rPr>
          <w:noProof/>
        </w:rPr>
        <w:t>de origine exclusiv biologică, cu excluderea materialelor fosilizate sau încorporate în formațiuni geologice.</w:t>
      </w:r>
    </w:p>
    <w:p>
      <w:pPr>
        <w:pStyle w:val="NumPar1"/>
        <w:numPr>
          <w:ilvl w:val="0"/>
          <w:numId w:val="12"/>
        </w:numPr>
        <w:rPr>
          <w:noProof/>
        </w:rPr>
      </w:pPr>
      <w:r>
        <w:rPr>
          <w:noProof/>
        </w:rPr>
        <w:t>În cazul în care unul sau mai multe dintre îngrășămintele anorganice din compoziție este un îngrășământ anorganic solid simplu sau compus cu macroelemente pe bază de nitrat de amoniu cu conținut ridicat de azot, astfel cum se specifică la punctul privind CFP 1(C)(I)(a)(i-ii)(A), produsul fertilizant cu marcaj CE nu poate conține azot (N) în proporție egală sau mai mare de 15,75 % din greutate provenit din nitrat de amoniu (NH</w:t>
      </w:r>
      <w:r>
        <w:rPr>
          <w:noProof/>
          <w:vertAlign w:val="subscript"/>
        </w:rPr>
        <w:t>4</w:t>
      </w:r>
      <w:r>
        <w:rPr>
          <w:noProof/>
        </w:rPr>
        <w:t>NO</w:t>
      </w:r>
      <w:r>
        <w:rPr>
          <w:noProof/>
          <w:vertAlign w:val="subscript"/>
        </w:rPr>
        <w:t>3</w:t>
      </w:r>
      <w:r>
        <w:rPr>
          <w:noProof/>
        </w:rPr>
        <w:t>).</w:t>
      </w:r>
    </w:p>
    <w:p>
      <w:pPr>
        <w:pStyle w:val="NumPar1"/>
        <w:keepNext/>
        <w:numPr>
          <w:ilvl w:val="0"/>
          <w:numId w:val="12"/>
        </w:numPr>
        <w:rPr>
          <w:noProof/>
        </w:rPr>
      </w:pPr>
      <w:r>
        <w:rPr>
          <w:noProof/>
        </w:rPr>
        <w:t>În produsele fertilizante cu marcaj CE, cantitatea de contaminanți nu trebuie să depășească următoarele valori:</w:t>
      </w:r>
    </w:p>
    <w:p>
      <w:pPr>
        <w:pStyle w:val="Point1letter"/>
        <w:keepNext/>
        <w:numPr>
          <w:ilvl w:val="3"/>
          <w:numId w:val="31"/>
        </w:numPr>
        <w:rPr>
          <w:noProof/>
        </w:rPr>
      </w:pPr>
      <w:r>
        <w:rPr>
          <w:noProof/>
        </w:rPr>
        <w:t>cadmiu (Cd)</w:t>
      </w:r>
    </w:p>
    <w:p>
      <w:pPr>
        <w:pStyle w:val="Point2number"/>
        <w:rPr>
          <w:noProof/>
        </w:rPr>
      </w:pPr>
      <w:r>
        <w:rPr>
          <w:noProof/>
        </w:rPr>
        <w:t>în cazul în care produsul fertilizant cu marcaj CE are un conținut total de fosfor (P) mai mic de 5 % din masă echivalent pentaoxid de fosfor (P</w:t>
      </w:r>
      <w:r>
        <w:rPr>
          <w:noProof/>
          <w:vertAlign w:val="subscript"/>
        </w:rPr>
        <w:t>2</w:t>
      </w:r>
      <w:r>
        <w:rPr>
          <w:noProof/>
        </w:rPr>
        <w:t>O</w:t>
      </w:r>
      <w:r>
        <w:rPr>
          <w:noProof/>
          <w:vertAlign w:val="subscript"/>
        </w:rPr>
        <w:t>5</w:t>
      </w:r>
      <w:r>
        <w:rPr>
          <w:noProof/>
        </w:rPr>
        <w:t>): 3 mg/kg substanță uscată sau</w:t>
      </w:r>
    </w:p>
    <w:p>
      <w:pPr>
        <w:pStyle w:val="Point2number"/>
        <w:keepNext/>
        <w:ind w:left="1985"/>
        <w:rPr>
          <w:noProof/>
        </w:rPr>
      </w:pPr>
      <w:r>
        <w:rPr>
          <w:noProof/>
        </w:rPr>
        <w:t>în cazul în care produsul fertilizant cu marcaj CE are un conținut total de fosfor (P) mai mare sau egal cu 5 % din masă echivalent pentaoxid de fosfor (P</w:t>
      </w:r>
      <w:r>
        <w:rPr>
          <w:noProof/>
          <w:vertAlign w:val="subscript"/>
        </w:rPr>
        <w:t>2</w:t>
      </w:r>
      <w:r>
        <w:rPr>
          <w:noProof/>
        </w:rPr>
        <w:t>O</w:t>
      </w:r>
      <w:r>
        <w:rPr>
          <w:noProof/>
          <w:vertAlign w:val="subscript"/>
        </w:rPr>
        <w:t>5</w:t>
      </w:r>
      <w:r>
        <w:rPr>
          <w:noProof/>
        </w:rPr>
        <w:t xml:space="preserve">) („îngrășământ fosfatic”): </w:t>
      </w:r>
    </w:p>
    <w:p>
      <w:pPr>
        <w:pStyle w:val="Bullet3"/>
        <w:numPr>
          <w:ilvl w:val="0"/>
          <w:numId w:val="24"/>
        </w:numPr>
        <w:rPr>
          <w:noProof/>
        </w:rPr>
      </w:pPr>
      <w:r>
        <w:rPr>
          <w:noProof/>
        </w:rPr>
        <w:t>începând de la [Oficiul pentru Publicații este rugat să introducă data aplicării prezentului regulament]: 60 mg/kg pentaoxid de fosfor (P</w:t>
      </w:r>
      <w:r>
        <w:rPr>
          <w:noProof/>
          <w:vertAlign w:val="subscript"/>
        </w:rPr>
        <w:t>2</w:t>
      </w:r>
      <w:r>
        <w:rPr>
          <w:noProof/>
        </w:rPr>
        <w:t>O</w:t>
      </w:r>
      <w:r>
        <w:rPr>
          <w:noProof/>
          <w:vertAlign w:val="subscript"/>
        </w:rPr>
        <w:t>5</w:t>
      </w:r>
      <w:r>
        <w:rPr>
          <w:noProof/>
        </w:rPr>
        <w:t>);</w:t>
      </w:r>
    </w:p>
    <w:p>
      <w:pPr>
        <w:pStyle w:val="Bullet3"/>
        <w:rPr>
          <w:noProof/>
        </w:rPr>
      </w:pPr>
      <w:r>
        <w:rPr>
          <w:noProof/>
        </w:rPr>
        <w:t>începând de la [Oficiul pentru Publicații este rugat să introducă data la care se împlinesc trei ani de la data aplicării prezentului regulament]: 40 mg/kg pentaoxid de fosfor (P</w:t>
      </w:r>
      <w:r>
        <w:rPr>
          <w:noProof/>
          <w:vertAlign w:val="subscript"/>
        </w:rPr>
        <w:t>2</w:t>
      </w:r>
      <w:r>
        <w:rPr>
          <w:noProof/>
        </w:rPr>
        <w:t>O</w:t>
      </w:r>
      <w:r>
        <w:rPr>
          <w:noProof/>
          <w:vertAlign w:val="subscript"/>
        </w:rPr>
        <w:t>5</w:t>
      </w:r>
      <w:r>
        <w:rPr>
          <w:noProof/>
        </w:rPr>
        <w:t>) și</w:t>
      </w:r>
    </w:p>
    <w:p>
      <w:pPr>
        <w:pStyle w:val="Bullet3"/>
        <w:rPr>
          <w:noProof/>
        </w:rPr>
      </w:pPr>
      <w:r>
        <w:rPr>
          <w:noProof/>
        </w:rPr>
        <w:t>începând de la [Oficiul pentru Publicații este rugat să introducă data la care se împlinesc doisprezece ani de la data aplicării prezentului regulament]: 20 mg/kg pentaoxid de fosfor (P</w:t>
      </w:r>
      <w:r>
        <w:rPr>
          <w:noProof/>
          <w:vertAlign w:val="subscript"/>
        </w:rPr>
        <w:t>2</w:t>
      </w:r>
      <w:r>
        <w:rPr>
          <w:noProof/>
        </w:rPr>
        <w:t>O</w:t>
      </w:r>
      <w:r>
        <w:rPr>
          <w:noProof/>
          <w:vertAlign w:val="subscript"/>
        </w:rPr>
        <w:t>5</w:t>
      </w:r>
      <w:r>
        <w:rPr>
          <w:noProof/>
        </w:rPr>
        <w:t>);</w:t>
      </w:r>
    </w:p>
    <w:p>
      <w:pPr>
        <w:pStyle w:val="Point1letter"/>
        <w:tabs>
          <w:tab w:val="left" w:pos="4536"/>
        </w:tabs>
        <w:rPr>
          <w:noProof/>
        </w:rPr>
      </w:pPr>
      <w:r>
        <w:rPr>
          <w:noProof/>
        </w:rPr>
        <w:t>crom hexavalent (Cr VI)</w:t>
      </w:r>
      <w:r>
        <w:rPr>
          <w:noProof/>
        </w:rPr>
        <w:tab/>
        <w:t>2 mg/kg substanță uscată,</w:t>
      </w:r>
    </w:p>
    <w:p>
      <w:pPr>
        <w:pStyle w:val="Point1letter"/>
        <w:tabs>
          <w:tab w:val="left" w:pos="4536"/>
        </w:tabs>
        <w:rPr>
          <w:noProof/>
        </w:rPr>
      </w:pPr>
      <w:r>
        <w:rPr>
          <w:noProof/>
        </w:rPr>
        <w:t>mercur (Hg)</w:t>
      </w:r>
      <w:r>
        <w:rPr>
          <w:noProof/>
        </w:rPr>
        <w:tab/>
        <w:t>1 mg/kg substanță uscată,</w:t>
      </w:r>
    </w:p>
    <w:p>
      <w:pPr>
        <w:pStyle w:val="Point1letter"/>
        <w:tabs>
          <w:tab w:val="left" w:pos="4536"/>
        </w:tabs>
        <w:rPr>
          <w:noProof/>
        </w:rPr>
      </w:pPr>
      <w:r>
        <w:rPr>
          <w:noProof/>
        </w:rPr>
        <w:t>nichel (Ni)</w:t>
      </w:r>
      <w:r>
        <w:rPr>
          <w:noProof/>
        </w:rPr>
        <w:tab/>
        <w:t>50 mg/kg substanță uscată și</w:t>
      </w:r>
    </w:p>
    <w:p>
      <w:pPr>
        <w:pStyle w:val="Point1letter"/>
        <w:tabs>
          <w:tab w:val="left" w:pos="4536"/>
        </w:tabs>
        <w:rPr>
          <w:noProof/>
        </w:rPr>
      </w:pPr>
      <w:r>
        <w:rPr>
          <w:noProof/>
        </w:rPr>
        <w:t>plumb (Pb)</w:t>
      </w:r>
      <w:r>
        <w:rPr>
          <w:noProof/>
        </w:rPr>
        <w:tab/>
        <w:t>120 mg/kg substanță uscată.</w:t>
      </w:r>
    </w:p>
    <w:p>
      <w:pPr>
        <w:pStyle w:val="NumPar1"/>
        <w:numPr>
          <w:ilvl w:val="0"/>
          <w:numId w:val="12"/>
        </w:numPr>
        <w:rPr>
          <w:noProof/>
        </w:rPr>
      </w:pPr>
      <w:r>
        <w:rPr>
          <w:i/>
          <w:noProof/>
        </w:rPr>
        <w:lastRenderedPageBreak/>
        <w:t>Salmonella spp</w:t>
      </w:r>
      <w:r>
        <w:rPr>
          <w:noProof/>
        </w:rPr>
        <w:t>. trebuie să fie absentă dintr-un eșantion de 25 g de produs fertilizant cu marcaj CE.</w:t>
      </w:r>
    </w:p>
    <w:p>
      <w:pPr>
        <w:pStyle w:val="NumPar1"/>
        <w:keepNext/>
        <w:numPr>
          <w:ilvl w:val="0"/>
          <w:numId w:val="12"/>
        </w:numPr>
        <w:ind w:left="851" w:hanging="851"/>
        <w:rPr>
          <w:noProof/>
        </w:rPr>
      </w:pPr>
      <w:r>
        <w:rPr>
          <w:noProof/>
        </w:rPr>
        <w:t>Niciunul dintre următoarele două tipuri de bacterii nu trebuie să fie prezent în produsul fertilizant cu marcaj CE în concentrații mai mari de 1 000 CFU/g de masă proaspătă:</w:t>
      </w:r>
    </w:p>
    <w:p>
      <w:pPr>
        <w:pStyle w:val="Point1letter"/>
        <w:numPr>
          <w:ilvl w:val="3"/>
          <w:numId w:val="32"/>
        </w:numPr>
        <w:rPr>
          <w:noProof/>
        </w:rPr>
      </w:pPr>
      <w:r>
        <w:rPr>
          <w:i/>
          <w:noProof/>
        </w:rPr>
        <w:t>Escherichia coli</w:t>
      </w:r>
      <w:r>
        <w:rPr>
          <w:noProof/>
        </w:rPr>
        <w:t xml:space="preserve"> sau</w:t>
      </w:r>
    </w:p>
    <w:p>
      <w:pPr>
        <w:pStyle w:val="Point1letter"/>
        <w:keepNext/>
        <w:ind w:left="1418"/>
        <w:rPr>
          <w:noProof/>
        </w:rPr>
      </w:pPr>
      <w:r>
        <w:rPr>
          <w:noProof/>
        </w:rPr>
        <w:t>Enterococcaceae.</w:t>
      </w:r>
    </w:p>
    <w:p>
      <w:pPr>
        <w:pStyle w:val="Text1"/>
        <w:rPr>
          <w:noProof/>
        </w:rPr>
      </w:pPr>
      <w:r>
        <w:rPr>
          <w:noProof/>
        </w:rPr>
        <w:t>Aceasta se demonstrează prin măsurarea prezenței a cel puțin unuia dintre cele două tipuri de bacterii.</w:t>
      </w:r>
    </w:p>
    <w:p>
      <w:pPr>
        <w:pStyle w:val="ManualHeading3"/>
        <w:rPr>
          <w:b/>
          <w:noProof/>
        </w:rPr>
      </w:pPr>
      <w:bookmarkStart w:id="8" w:name="_Toc432153198"/>
      <w:r>
        <w:rPr>
          <w:b/>
          <w:noProof/>
        </w:rPr>
        <w:t>CFP 1(B)(I): Îngrășământ organo-mineral solid</w:t>
      </w:r>
      <w:bookmarkEnd w:id="8"/>
    </w:p>
    <w:p>
      <w:pPr>
        <w:pStyle w:val="NumPar1"/>
        <w:numPr>
          <w:ilvl w:val="0"/>
          <w:numId w:val="33"/>
        </w:numPr>
        <w:rPr>
          <w:noProof/>
        </w:rPr>
      </w:pPr>
      <w:r>
        <w:rPr>
          <w:noProof/>
        </w:rPr>
        <w:t>Un îngrășământ organo-mineral solid conține cel puțin 60 % din masă substanță uscată.</w:t>
      </w:r>
    </w:p>
    <w:p>
      <w:pPr>
        <w:pStyle w:val="NumPar1"/>
        <w:keepNext/>
        <w:numPr>
          <w:ilvl w:val="0"/>
          <w:numId w:val="12"/>
        </w:numPr>
        <w:ind w:left="851" w:hanging="851"/>
        <w:rPr>
          <w:noProof/>
        </w:rPr>
      </w:pPr>
      <w:r>
        <w:rPr>
          <w:noProof/>
        </w:rPr>
        <w:t>Produsul fertilizant cu marcaj CE conține cel puțin unul dintre următorii nutrienți declarați, în cantitățile minime precizate:</w:t>
      </w:r>
    </w:p>
    <w:p>
      <w:pPr>
        <w:pStyle w:val="Bullet1"/>
        <w:numPr>
          <w:ilvl w:val="0"/>
          <w:numId w:val="13"/>
        </w:numPr>
        <w:rPr>
          <w:noProof/>
        </w:rPr>
      </w:pPr>
      <w:r>
        <w:rPr>
          <w:noProof/>
        </w:rPr>
        <w:t>2,5 % din masă azot (N) total, din care 1% din masa produsului fertilizant cu marcaj CE este azot (N) organic sau</w:t>
      </w:r>
    </w:p>
    <w:p>
      <w:pPr>
        <w:pStyle w:val="Bullet1"/>
        <w:numPr>
          <w:ilvl w:val="0"/>
          <w:numId w:val="13"/>
        </w:numPr>
        <w:rPr>
          <w:noProof/>
        </w:rPr>
      </w:pPr>
      <w:r>
        <w:rPr>
          <w:noProof/>
        </w:rPr>
        <w:t>2 % din masă pentaoxid de fosfor (P</w:t>
      </w:r>
      <w:r>
        <w:rPr>
          <w:noProof/>
          <w:vertAlign w:val="subscript"/>
        </w:rPr>
        <w:t>2</w:t>
      </w:r>
      <w:r>
        <w:rPr>
          <w:noProof/>
        </w:rPr>
        <w:t>O</w:t>
      </w:r>
      <w:r>
        <w:rPr>
          <w:noProof/>
          <w:vertAlign w:val="subscript"/>
        </w:rPr>
        <w:t>5</w:t>
      </w:r>
      <w:r>
        <w:rPr>
          <w:noProof/>
        </w:rPr>
        <w:t>) total sau</w:t>
      </w:r>
    </w:p>
    <w:p>
      <w:pPr>
        <w:pStyle w:val="Bullet1"/>
        <w:numPr>
          <w:ilvl w:val="0"/>
          <w:numId w:val="13"/>
        </w:numPr>
        <w:rPr>
          <w:noProof/>
        </w:rPr>
      </w:pPr>
      <w:r>
        <w:rPr>
          <w:noProof/>
        </w:rPr>
        <w:t>2 % din masă oxid de potasiu (K</w:t>
      </w:r>
      <w:r>
        <w:rPr>
          <w:noProof/>
          <w:vertAlign w:val="subscript"/>
        </w:rPr>
        <w:t>2</w:t>
      </w:r>
      <w:r>
        <w:rPr>
          <w:noProof/>
        </w:rPr>
        <w:t>O) total.</w:t>
      </w:r>
    </w:p>
    <w:p>
      <w:pPr>
        <w:pStyle w:val="NumPar1"/>
        <w:numPr>
          <w:ilvl w:val="0"/>
          <w:numId w:val="12"/>
        </w:numPr>
        <w:rPr>
          <w:noProof/>
        </w:rPr>
      </w:pPr>
      <w:r>
        <w:rPr>
          <w:noProof/>
        </w:rPr>
        <w:t>Carbonul (C) organic este prezent în produsul fertilizant cu marcaj CE în proporție de cel puțin 7,5 % din masă.</w:t>
      </w:r>
    </w:p>
    <w:p>
      <w:pPr>
        <w:pStyle w:val="NumPar1"/>
        <w:numPr>
          <w:ilvl w:val="0"/>
          <w:numId w:val="12"/>
        </w:numPr>
        <w:rPr>
          <w:noProof/>
        </w:rPr>
      </w:pPr>
      <w:r>
        <w:rPr>
          <w:noProof/>
        </w:rPr>
        <w:t>În produsul fertilizant cu marcaj CE, fiecare unitate conține materie organică și nutrienți în conținutul declarat.</w:t>
      </w:r>
    </w:p>
    <w:p>
      <w:pPr>
        <w:pStyle w:val="ManualHeading3"/>
        <w:rPr>
          <w:b/>
          <w:noProof/>
        </w:rPr>
      </w:pPr>
      <w:bookmarkStart w:id="9" w:name="_Toc432153199"/>
      <w:r>
        <w:rPr>
          <w:b/>
          <w:noProof/>
        </w:rPr>
        <w:t>CFP 1(B)(II): Îngrășământ organo-mineral lichid</w:t>
      </w:r>
      <w:bookmarkEnd w:id="9"/>
    </w:p>
    <w:p>
      <w:pPr>
        <w:pStyle w:val="NumPar1"/>
        <w:numPr>
          <w:ilvl w:val="0"/>
          <w:numId w:val="34"/>
        </w:numPr>
        <w:rPr>
          <w:noProof/>
        </w:rPr>
      </w:pPr>
      <w:r>
        <w:rPr>
          <w:noProof/>
        </w:rPr>
        <w:t>Un îngrășământ organo-mineral lichid conține până la 60 % din masă substanță uscată.</w:t>
      </w:r>
    </w:p>
    <w:p>
      <w:pPr>
        <w:pStyle w:val="NumPar1"/>
        <w:keepNext/>
        <w:numPr>
          <w:ilvl w:val="0"/>
          <w:numId w:val="12"/>
        </w:numPr>
        <w:ind w:left="851" w:hanging="851"/>
        <w:rPr>
          <w:noProof/>
        </w:rPr>
      </w:pPr>
      <w:r>
        <w:rPr>
          <w:noProof/>
        </w:rPr>
        <w:t>Produsul fertilizant cu marcaj CE conține cel puțin unul dintre următorii nutrienți declarați, în cantitățile minime precizate:</w:t>
      </w:r>
    </w:p>
    <w:p>
      <w:pPr>
        <w:pStyle w:val="Bullet1"/>
        <w:numPr>
          <w:ilvl w:val="0"/>
          <w:numId w:val="13"/>
        </w:numPr>
        <w:rPr>
          <w:noProof/>
        </w:rPr>
      </w:pPr>
      <w:r>
        <w:rPr>
          <w:noProof/>
        </w:rPr>
        <w:t>2 % din masă azot (N) total, din care 0,5 % din masa produsului fertilizant cu marcaj CE este azot (N) organic sau</w:t>
      </w:r>
    </w:p>
    <w:p>
      <w:pPr>
        <w:pStyle w:val="Bullet1"/>
        <w:numPr>
          <w:ilvl w:val="0"/>
          <w:numId w:val="13"/>
        </w:numPr>
        <w:rPr>
          <w:noProof/>
        </w:rPr>
      </w:pPr>
      <w:r>
        <w:rPr>
          <w:noProof/>
        </w:rPr>
        <w:t>2 % din masă pentaoxid de fosfor (P</w:t>
      </w:r>
      <w:r>
        <w:rPr>
          <w:noProof/>
          <w:vertAlign w:val="subscript"/>
        </w:rPr>
        <w:t>2</w:t>
      </w:r>
      <w:r>
        <w:rPr>
          <w:noProof/>
        </w:rPr>
        <w:t>O</w:t>
      </w:r>
      <w:r>
        <w:rPr>
          <w:noProof/>
          <w:vertAlign w:val="subscript"/>
        </w:rPr>
        <w:t>5</w:t>
      </w:r>
      <w:r>
        <w:rPr>
          <w:noProof/>
        </w:rPr>
        <w:t>) total sau</w:t>
      </w:r>
    </w:p>
    <w:p>
      <w:pPr>
        <w:pStyle w:val="Bullet1"/>
        <w:numPr>
          <w:ilvl w:val="0"/>
          <w:numId w:val="13"/>
        </w:numPr>
        <w:rPr>
          <w:noProof/>
        </w:rPr>
      </w:pPr>
      <w:r>
        <w:rPr>
          <w:noProof/>
        </w:rPr>
        <w:t>2 % din masă oxid de potasiu (K</w:t>
      </w:r>
      <w:r>
        <w:rPr>
          <w:noProof/>
          <w:vertAlign w:val="subscript"/>
        </w:rPr>
        <w:t>2</w:t>
      </w:r>
      <w:r>
        <w:rPr>
          <w:noProof/>
        </w:rPr>
        <w:t>O) total.</w:t>
      </w:r>
    </w:p>
    <w:p>
      <w:pPr>
        <w:pStyle w:val="NumPar1"/>
        <w:numPr>
          <w:ilvl w:val="0"/>
          <w:numId w:val="12"/>
        </w:numPr>
        <w:rPr>
          <w:noProof/>
        </w:rPr>
      </w:pPr>
      <w:r>
        <w:rPr>
          <w:noProof/>
        </w:rPr>
        <w:t>Carbonul (C) organic este prezent în produsul fertilizant cu marcaj CE în proporție de cel puțin 3 % din masă.</w:t>
      </w:r>
    </w:p>
    <w:p>
      <w:pPr>
        <w:pStyle w:val="ManualHeading2"/>
        <w:rPr>
          <w:noProof/>
        </w:rPr>
      </w:pPr>
      <w:bookmarkStart w:id="10" w:name="_Toc432153200"/>
      <w:r>
        <w:rPr>
          <w:noProof/>
        </w:rPr>
        <w:t>CFP 1(C): Îngrășământ anorganic</w:t>
      </w:r>
      <w:bookmarkEnd w:id="10"/>
    </w:p>
    <w:p>
      <w:pPr>
        <w:pStyle w:val="Text1"/>
        <w:rPr>
          <w:noProof/>
        </w:rPr>
      </w:pPr>
      <w:r>
        <w:rPr>
          <w:noProof/>
        </w:rPr>
        <w:t>Un îngrășământ anorganic este un îngrășământ care nu este organic sau organo-mineral.</w:t>
      </w:r>
    </w:p>
    <w:p>
      <w:pPr>
        <w:pStyle w:val="ManualHeading3"/>
        <w:rPr>
          <w:b/>
          <w:noProof/>
        </w:rPr>
      </w:pPr>
      <w:bookmarkStart w:id="11" w:name="_Toc432153201"/>
      <w:r>
        <w:rPr>
          <w:b/>
          <w:noProof/>
        </w:rPr>
        <w:lastRenderedPageBreak/>
        <w:t>CFP 1(C)(I): Îngrășământ anorganic cu macroelemente</w:t>
      </w:r>
      <w:bookmarkEnd w:id="11"/>
    </w:p>
    <w:p>
      <w:pPr>
        <w:pStyle w:val="NumPar1"/>
        <w:numPr>
          <w:ilvl w:val="0"/>
          <w:numId w:val="35"/>
        </w:numPr>
        <w:rPr>
          <w:noProof/>
        </w:rPr>
      </w:pPr>
      <w:r>
        <w:rPr>
          <w:noProof/>
        </w:rPr>
        <w:t>Un îngrășământ anorganic cu macroelemente este menit să le furnizeze plantelor unul sau mai multe dintre macroelementele următoare: azot (N), fosfor (P), potasiu (K), magneziu (Mg), calciu (Ca), sulf (S) sau sodiu (Na).</w:t>
      </w:r>
    </w:p>
    <w:p>
      <w:pPr>
        <w:pStyle w:val="NumPar1"/>
        <w:keepNext/>
        <w:numPr>
          <w:ilvl w:val="0"/>
          <w:numId w:val="12"/>
        </w:numPr>
        <w:ind w:left="851" w:hanging="851"/>
        <w:rPr>
          <w:noProof/>
        </w:rPr>
      </w:pPr>
      <w:r>
        <w:rPr>
          <w:noProof/>
        </w:rPr>
        <w:t>În produsele fertilizante cu marcaj CE, cantitatea de contaminanți nu trebuie să depășească următoarele valori:</w:t>
      </w:r>
    </w:p>
    <w:p>
      <w:pPr>
        <w:pStyle w:val="Point1letter"/>
        <w:keepNext/>
        <w:numPr>
          <w:ilvl w:val="3"/>
          <w:numId w:val="36"/>
        </w:numPr>
        <w:rPr>
          <w:noProof/>
        </w:rPr>
      </w:pPr>
      <w:r>
        <w:rPr>
          <w:noProof/>
        </w:rPr>
        <w:t>cadmiu (Cd)</w:t>
      </w:r>
    </w:p>
    <w:p>
      <w:pPr>
        <w:pStyle w:val="Point2number"/>
        <w:rPr>
          <w:noProof/>
        </w:rPr>
      </w:pPr>
      <w:r>
        <w:rPr>
          <w:noProof/>
        </w:rPr>
        <w:t>în cazul în care produsul fertilizant cu marcaj CE are un conținut total de fosfor (P) mai mic de 5 % din masă echivalent pentaoxid de fosfor (P</w:t>
      </w:r>
      <w:r>
        <w:rPr>
          <w:noProof/>
          <w:vertAlign w:val="subscript"/>
        </w:rPr>
        <w:t>2</w:t>
      </w:r>
      <w:r>
        <w:rPr>
          <w:noProof/>
        </w:rPr>
        <w:t>O</w:t>
      </w:r>
      <w:r>
        <w:rPr>
          <w:noProof/>
          <w:vertAlign w:val="subscript"/>
        </w:rPr>
        <w:t>5</w:t>
      </w:r>
      <w:r>
        <w:rPr>
          <w:noProof/>
        </w:rPr>
        <w:t>): 3 mg/kg substanță uscată sau</w:t>
      </w:r>
    </w:p>
    <w:p>
      <w:pPr>
        <w:pStyle w:val="Point2number"/>
        <w:keepNext/>
        <w:ind w:left="1985"/>
        <w:rPr>
          <w:noProof/>
        </w:rPr>
      </w:pPr>
      <w:r>
        <w:rPr>
          <w:noProof/>
        </w:rPr>
        <w:t>în cazul în care produsul fertilizant cu marcaj CE are un conținut total de fosfor (P) mai mare sau egal cu 5 % din masă echivalent pentaoxid de fosfor (P</w:t>
      </w:r>
      <w:r>
        <w:rPr>
          <w:noProof/>
          <w:vertAlign w:val="subscript"/>
        </w:rPr>
        <w:t>2</w:t>
      </w:r>
      <w:r>
        <w:rPr>
          <w:noProof/>
        </w:rPr>
        <w:t>O</w:t>
      </w:r>
      <w:r>
        <w:rPr>
          <w:noProof/>
          <w:vertAlign w:val="subscript"/>
        </w:rPr>
        <w:t>5</w:t>
      </w:r>
      <w:r>
        <w:rPr>
          <w:noProof/>
        </w:rPr>
        <w:t xml:space="preserve">) („îngrășământ fosfatic”): </w:t>
      </w:r>
    </w:p>
    <w:p>
      <w:pPr>
        <w:pStyle w:val="Bullet3"/>
        <w:rPr>
          <w:noProof/>
        </w:rPr>
      </w:pPr>
      <w:r>
        <w:rPr>
          <w:noProof/>
        </w:rPr>
        <w:t>începând de la [Oficiul pentru Publicații este rugat să introducă data aplicării prezentului regulament]: 60 mg/kg pentaoxid de fosfor (P</w:t>
      </w:r>
      <w:r>
        <w:rPr>
          <w:noProof/>
          <w:vertAlign w:val="subscript"/>
        </w:rPr>
        <w:t>2</w:t>
      </w:r>
      <w:r>
        <w:rPr>
          <w:noProof/>
        </w:rPr>
        <w:t>O</w:t>
      </w:r>
      <w:r>
        <w:rPr>
          <w:noProof/>
          <w:vertAlign w:val="subscript"/>
        </w:rPr>
        <w:t>5</w:t>
      </w:r>
      <w:r>
        <w:rPr>
          <w:noProof/>
        </w:rPr>
        <w:t>);</w:t>
      </w:r>
    </w:p>
    <w:p>
      <w:pPr>
        <w:pStyle w:val="Bullet3"/>
        <w:rPr>
          <w:noProof/>
        </w:rPr>
      </w:pPr>
      <w:r>
        <w:rPr>
          <w:noProof/>
        </w:rPr>
        <w:t>începând de la [Oficiul pentru Publicații este rugat să introducă data la care se împlinesc trei ani de la data aplicării prezentului regulament]: 40 mg/kg pentaoxid de fosfor (P</w:t>
      </w:r>
      <w:r>
        <w:rPr>
          <w:noProof/>
          <w:vertAlign w:val="subscript"/>
        </w:rPr>
        <w:t>2</w:t>
      </w:r>
      <w:r>
        <w:rPr>
          <w:noProof/>
        </w:rPr>
        <w:t>O</w:t>
      </w:r>
      <w:r>
        <w:rPr>
          <w:noProof/>
          <w:vertAlign w:val="subscript"/>
        </w:rPr>
        <w:t>5</w:t>
      </w:r>
      <w:r>
        <w:rPr>
          <w:noProof/>
        </w:rPr>
        <w:t>) și</w:t>
      </w:r>
    </w:p>
    <w:p>
      <w:pPr>
        <w:pStyle w:val="Bullet3"/>
        <w:rPr>
          <w:noProof/>
        </w:rPr>
      </w:pPr>
      <w:r>
        <w:rPr>
          <w:noProof/>
        </w:rPr>
        <w:t>începând de la [Oficiul pentru Publicații este rugat să introducă data la care se împlinesc doisprezece ani de la data aplicării prezentului regulament]: 20 mg/kg pentaoxid de fosfor (P</w:t>
      </w:r>
      <w:r>
        <w:rPr>
          <w:noProof/>
          <w:vertAlign w:val="subscript"/>
        </w:rPr>
        <w:t>2</w:t>
      </w:r>
      <w:r>
        <w:rPr>
          <w:noProof/>
        </w:rPr>
        <w:t>O</w:t>
      </w:r>
      <w:r>
        <w:rPr>
          <w:noProof/>
          <w:vertAlign w:val="subscript"/>
        </w:rPr>
        <w:t>5</w:t>
      </w:r>
      <w:r>
        <w:rPr>
          <w:noProof/>
        </w:rPr>
        <w:t>);</w:t>
      </w:r>
    </w:p>
    <w:p>
      <w:pPr>
        <w:pStyle w:val="Point1letter"/>
        <w:tabs>
          <w:tab w:val="left" w:pos="4678"/>
        </w:tabs>
        <w:rPr>
          <w:noProof/>
        </w:rPr>
      </w:pPr>
      <w:r>
        <w:rPr>
          <w:noProof/>
        </w:rPr>
        <w:t>crom hexavalent (Cr VI)</w:t>
      </w:r>
      <w:r>
        <w:rPr>
          <w:noProof/>
        </w:rPr>
        <w:tab/>
        <w:t>2 mg/kg substanță uscată,</w:t>
      </w:r>
    </w:p>
    <w:p>
      <w:pPr>
        <w:pStyle w:val="Point1letter"/>
        <w:numPr>
          <w:ilvl w:val="3"/>
          <w:numId w:val="10"/>
        </w:numPr>
        <w:tabs>
          <w:tab w:val="left" w:pos="4678"/>
        </w:tabs>
        <w:rPr>
          <w:noProof/>
        </w:rPr>
      </w:pPr>
      <w:r>
        <w:rPr>
          <w:noProof/>
        </w:rPr>
        <w:t>mercur (Hg)</w:t>
      </w:r>
      <w:r>
        <w:rPr>
          <w:noProof/>
        </w:rPr>
        <w:tab/>
        <w:t>2 mg/kg substanță uscată,</w:t>
      </w:r>
    </w:p>
    <w:p>
      <w:pPr>
        <w:pStyle w:val="Point1letter"/>
        <w:numPr>
          <w:ilvl w:val="3"/>
          <w:numId w:val="10"/>
        </w:numPr>
        <w:tabs>
          <w:tab w:val="left" w:pos="4678"/>
        </w:tabs>
        <w:rPr>
          <w:noProof/>
        </w:rPr>
      </w:pPr>
      <w:r>
        <w:rPr>
          <w:noProof/>
        </w:rPr>
        <w:t>nichel (Ni)</w:t>
      </w:r>
      <w:r>
        <w:rPr>
          <w:noProof/>
        </w:rPr>
        <w:tab/>
        <w:t>120 mg/kg substanță uscată,</w:t>
      </w:r>
    </w:p>
    <w:p>
      <w:pPr>
        <w:pStyle w:val="Point1letter"/>
        <w:numPr>
          <w:ilvl w:val="3"/>
          <w:numId w:val="10"/>
        </w:numPr>
        <w:tabs>
          <w:tab w:val="left" w:pos="4678"/>
        </w:tabs>
        <w:rPr>
          <w:noProof/>
        </w:rPr>
      </w:pPr>
      <w:r>
        <w:rPr>
          <w:noProof/>
        </w:rPr>
        <w:t>plumb (Pb)</w:t>
      </w:r>
      <w:r>
        <w:rPr>
          <w:noProof/>
        </w:rPr>
        <w:tab/>
        <w:t>150 mg/kg substanță uscată,</w:t>
      </w:r>
    </w:p>
    <w:p>
      <w:pPr>
        <w:pStyle w:val="Point1letter"/>
        <w:numPr>
          <w:ilvl w:val="3"/>
          <w:numId w:val="10"/>
        </w:numPr>
        <w:tabs>
          <w:tab w:val="left" w:pos="4678"/>
        </w:tabs>
        <w:rPr>
          <w:noProof/>
        </w:rPr>
      </w:pPr>
      <w:r>
        <w:rPr>
          <w:noProof/>
        </w:rPr>
        <w:t>arsen (As)</w:t>
      </w:r>
      <w:r>
        <w:rPr>
          <w:noProof/>
        </w:rPr>
        <w:tab/>
        <w:t>60 mg/kg substanță uscată,</w:t>
      </w:r>
    </w:p>
    <w:p>
      <w:pPr>
        <w:pStyle w:val="Point1letter"/>
        <w:numPr>
          <w:ilvl w:val="3"/>
          <w:numId w:val="10"/>
        </w:numPr>
        <w:tabs>
          <w:tab w:val="left" w:pos="4678"/>
        </w:tabs>
        <w:rPr>
          <w:noProof/>
        </w:rPr>
      </w:pPr>
      <w:r>
        <w:rPr>
          <w:noProof/>
        </w:rPr>
        <w:t>biuret (C</w:t>
      </w:r>
      <w:r>
        <w:rPr>
          <w:noProof/>
          <w:vertAlign w:val="subscript"/>
        </w:rPr>
        <w:t>2</w:t>
      </w:r>
      <w:r>
        <w:rPr>
          <w:noProof/>
        </w:rPr>
        <w:t>H</w:t>
      </w:r>
      <w:r>
        <w:rPr>
          <w:noProof/>
          <w:vertAlign w:val="subscript"/>
        </w:rPr>
        <w:t>5</w:t>
      </w:r>
      <w:r>
        <w:rPr>
          <w:noProof/>
        </w:rPr>
        <w:t>N</w:t>
      </w:r>
      <w:r>
        <w:rPr>
          <w:noProof/>
          <w:vertAlign w:val="subscript"/>
        </w:rPr>
        <w:t>3</w:t>
      </w:r>
      <w:r>
        <w:rPr>
          <w:noProof/>
        </w:rPr>
        <w:t>O</w:t>
      </w:r>
      <w:r>
        <w:rPr>
          <w:noProof/>
          <w:vertAlign w:val="subscript"/>
        </w:rPr>
        <w:t>2</w:t>
      </w:r>
      <w:r>
        <w:rPr>
          <w:noProof/>
        </w:rPr>
        <w:t>)</w:t>
      </w:r>
      <w:r>
        <w:rPr>
          <w:noProof/>
        </w:rPr>
        <w:tab/>
        <w:t>12 g/kg substanță uscată și</w:t>
      </w:r>
    </w:p>
    <w:p>
      <w:pPr>
        <w:pStyle w:val="Point1letter"/>
        <w:numPr>
          <w:ilvl w:val="3"/>
          <w:numId w:val="10"/>
        </w:numPr>
        <w:tabs>
          <w:tab w:val="left" w:pos="4678"/>
        </w:tabs>
        <w:rPr>
          <w:noProof/>
        </w:rPr>
      </w:pPr>
      <w:r>
        <w:rPr>
          <w:noProof/>
        </w:rPr>
        <w:t>perclorat (ClO</w:t>
      </w:r>
      <w:r>
        <w:rPr>
          <w:noProof/>
          <w:vertAlign w:val="subscript"/>
        </w:rPr>
        <w:t>4</w:t>
      </w:r>
      <w:r>
        <w:rPr>
          <w:noProof/>
          <w:vertAlign w:val="superscript"/>
        </w:rPr>
        <w:t>-</w:t>
      </w:r>
      <w:r>
        <w:rPr>
          <w:noProof/>
        </w:rPr>
        <w:t>)</w:t>
      </w:r>
      <w:r>
        <w:rPr>
          <w:noProof/>
        </w:rPr>
        <w:tab/>
        <w:t>50 mg/kg substanță uscată.</w:t>
      </w:r>
    </w:p>
    <w:p>
      <w:pPr>
        <w:pStyle w:val="ManualHeading4"/>
        <w:rPr>
          <w:noProof/>
          <w:u w:val="single"/>
        </w:rPr>
      </w:pPr>
      <w:bookmarkStart w:id="12" w:name="_Toc432153202"/>
      <w:r>
        <w:rPr>
          <w:noProof/>
          <w:u w:val="single"/>
        </w:rPr>
        <w:t>CFP 1(C)(I)(a): Îngrășământ anorganic solid cu macroelemente</w:t>
      </w:r>
      <w:bookmarkEnd w:id="12"/>
    </w:p>
    <w:p>
      <w:pPr>
        <w:pStyle w:val="Text1"/>
        <w:rPr>
          <w:noProof/>
        </w:rPr>
      </w:pPr>
      <w:r>
        <w:rPr>
          <w:noProof/>
        </w:rPr>
        <w:t>Un îngrășământ anorganic solid cu macroelemente este un îngrășământ anorganic cu macroelemente care nu este nici în suspensie, nici în soluție în sensul de la punctul privind CFP 1(C)(I)(b) din prezenta anexă.</w:t>
      </w:r>
    </w:p>
    <w:p>
      <w:pPr>
        <w:keepNext/>
        <w:rPr>
          <w:i/>
          <w:noProof/>
          <w:u w:val="single"/>
        </w:rPr>
      </w:pPr>
      <w:r>
        <w:rPr>
          <w:i/>
          <w:noProof/>
          <w:u w:val="single"/>
        </w:rPr>
        <w:t>CFP 1(C)(I)(a)(i): Îngrășământ anorganic solid simplu cu macroelemente</w:t>
      </w:r>
    </w:p>
    <w:p>
      <w:pPr>
        <w:pStyle w:val="NumPar1"/>
        <w:numPr>
          <w:ilvl w:val="0"/>
          <w:numId w:val="37"/>
        </w:numPr>
        <w:rPr>
          <w:noProof/>
        </w:rPr>
      </w:pPr>
      <w:r>
        <w:rPr>
          <w:noProof/>
        </w:rPr>
        <w:t>Un îngrășământ anorganic solid simplu cu macroelemente are un conținut declarat de un singur nutrient.</w:t>
      </w:r>
    </w:p>
    <w:p>
      <w:pPr>
        <w:pStyle w:val="NumPar1"/>
        <w:keepNext/>
        <w:numPr>
          <w:ilvl w:val="0"/>
          <w:numId w:val="12"/>
        </w:numPr>
        <w:ind w:left="851" w:hanging="851"/>
        <w:rPr>
          <w:noProof/>
        </w:rPr>
      </w:pPr>
      <w:r>
        <w:rPr>
          <w:noProof/>
        </w:rPr>
        <w:t>Produsul fertilizant cu marcaj CE conține unul dintre următorii nutrienți declarați, în cantitatea minimă precizată:</w:t>
      </w:r>
    </w:p>
    <w:p>
      <w:pPr>
        <w:pStyle w:val="Bullet1"/>
        <w:numPr>
          <w:ilvl w:val="0"/>
          <w:numId w:val="13"/>
        </w:numPr>
        <w:rPr>
          <w:noProof/>
        </w:rPr>
      </w:pPr>
      <w:r>
        <w:rPr>
          <w:noProof/>
        </w:rPr>
        <w:t>10 % din masă azot (N) total,</w:t>
      </w:r>
    </w:p>
    <w:p>
      <w:pPr>
        <w:pStyle w:val="Bullet1"/>
        <w:numPr>
          <w:ilvl w:val="0"/>
          <w:numId w:val="13"/>
        </w:numPr>
        <w:rPr>
          <w:noProof/>
        </w:rPr>
      </w:pPr>
      <w:r>
        <w:rPr>
          <w:noProof/>
        </w:rPr>
        <w:lastRenderedPageBreak/>
        <w:t>12 % din masă pentaoxid de fosfor (P</w:t>
      </w:r>
      <w:r>
        <w:rPr>
          <w:noProof/>
          <w:vertAlign w:val="subscript"/>
        </w:rPr>
        <w:t>2</w:t>
      </w:r>
      <w:r>
        <w:rPr>
          <w:noProof/>
        </w:rPr>
        <w:t>O</w:t>
      </w:r>
      <w:r>
        <w:rPr>
          <w:noProof/>
          <w:vertAlign w:val="subscript"/>
        </w:rPr>
        <w:t>5</w:t>
      </w:r>
      <w:r>
        <w:rPr>
          <w:noProof/>
        </w:rPr>
        <w:t>) total,</w:t>
      </w:r>
    </w:p>
    <w:p>
      <w:pPr>
        <w:pStyle w:val="Bullet1"/>
        <w:numPr>
          <w:ilvl w:val="0"/>
          <w:numId w:val="13"/>
        </w:numPr>
        <w:rPr>
          <w:noProof/>
        </w:rPr>
      </w:pPr>
      <w:r>
        <w:rPr>
          <w:noProof/>
        </w:rPr>
        <w:t>6 % din masă oxid de potasiu (K</w:t>
      </w:r>
      <w:r>
        <w:rPr>
          <w:noProof/>
          <w:vertAlign w:val="subscript"/>
        </w:rPr>
        <w:t>2</w:t>
      </w:r>
      <w:r>
        <w:rPr>
          <w:noProof/>
        </w:rPr>
        <w:t>O) total,</w:t>
      </w:r>
    </w:p>
    <w:p>
      <w:pPr>
        <w:pStyle w:val="Bullet1"/>
        <w:numPr>
          <w:ilvl w:val="0"/>
          <w:numId w:val="13"/>
        </w:numPr>
        <w:rPr>
          <w:noProof/>
        </w:rPr>
      </w:pPr>
      <w:r>
        <w:rPr>
          <w:noProof/>
        </w:rPr>
        <w:t>5 % din masă oxid de magneziu (MgO) total,</w:t>
      </w:r>
    </w:p>
    <w:p>
      <w:pPr>
        <w:pStyle w:val="Bullet1"/>
        <w:numPr>
          <w:ilvl w:val="0"/>
          <w:numId w:val="13"/>
        </w:numPr>
        <w:rPr>
          <w:noProof/>
        </w:rPr>
      </w:pPr>
      <w:r>
        <w:rPr>
          <w:noProof/>
        </w:rPr>
        <w:t>12 % din masă oxid de calciu (CaO) total,</w:t>
      </w:r>
    </w:p>
    <w:p>
      <w:pPr>
        <w:pStyle w:val="Bullet1"/>
        <w:numPr>
          <w:ilvl w:val="0"/>
          <w:numId w:val="13"/>
        </w:numPr>
        <w:rPr>
          <w:noProof/>
        </w:rPr>
      </w:pPr>
      <w:r>
        <w:rPr>
          <w:noProof/>
        </w:rPr>
        <w:t>10 % din masă trioxid de sulf (SO</w:t>
      </w:r>
      <w:r>
        <w:rPr>
          <w:noProof/>
          <w:vertAlign w:val="subscript"/>
        </w:rPr>
        <w:t>3</w:t>
      </w:r>
      <w:r>
        <w:rPr>
          <w:noProof/>
        </w:rPr>
        <w:t>) total sau</w:t>
      </w:r>
    </w:p>
    <w:p>
      <w:pPr>
        <w:pStyle w:val="Bullet1"/>
        <w:numPr>
          <w:ilvl w:val="0"/>
          <w:numId w:val="13"/>
        </w:numPr>
        <w:rPr>
          <w:noProof/>
        </w:rPr>
      </w:pPr>
      <w:r>
        <w:rPr>
          <w:noProof/>
        </w:rPr>
        <w:t>1 % din masă oxid de sodiu (Na</w:t>
      </w:r>
      <w:r>
        <w:rPr>
          <w:noProof/>
          <w:vertAlign w:val="subscript"/>
        </w:rPr>
        <w:t>2</w:t>
      </w:r>
      <w:r>
        <w:rPr>
          <w:noProof/>
        </w:rPr>
        <w:t>O) total.</w:t>
      </w:r>
    </w:p>
    <w:p>
      <w:pPr>
        <w:keepNext/>
        <w:rPr>
          <w:i/>
          <w:noProof/>
          <w:u w:val="single"/>
        </w:rPr>
      </w:pPr>
      <w:r>
        <w:rPr>
          <w:i/>
          <w:noProof/>
          <w:u w:val="single"/>
        </w:rPr>
        <w:t>CFP 1(C)(I)(a)(ii): Îngrășământ anorganic solid compus cu macroelemente</w:t>
      </w:r>
    </w:p>
    <w:p>
      <w:pPr>
        <w:pStyle w:val="NumPar1"/>
        <w:numPr>
          <w:ilvl w:val="0"/>
          <w:numId w:val="38"/>
        </w:numPr>
        <w:rPr>
          <w:noProof/>
        </w:rPr>
      </w:pPr>
      <w:r>
        <w:rPr>
          <w:noProof/>
        </w:rPr>
        <w:t>Un îngrășământ anorganic solid compus cu macroelemente are un conținut declarat de mai mult de un nutrient.</w:t>
      </w:r>
    </w:p>
    <w:p>
      <w:pPr>
        <w:pStyle w:val="NumPar1"/>
        <w:keepNext/>
        <w:numPr>
          <w:ilvl w:val="0"/>
          <w:numId w:val="12"/>
        </w:numPr>
        <w:ind w:left="851" w:hanging="851"/>
        <w:rPr>
          <w:noProof/>
        </w:rPr>
      </w:pPr>
      <w:r>
        <w:rPr>
          <w:noProof/>
        </w:rPr>
        <w:t>Produsul fertilizant cu marcaj CE conține mai mulți dintre următorii nutrienți declarați, în cantitățile minime precizate:</w:t>
      </w:r>
    </w:p>
    <w:p>
      <w:pPr>
        <w:pStyle w:val="Bullet1"/>
        <w:numPr>
          <w:ilvl w:val="0"/>
          <w:numId w:val="13"/>
        </w:numPr>
        <w:rPr>
          <w:noProof/>
        </w:rPr>
      </w:pPr>
      <w:r>
        <w:rPr>
          <w:noProof/>
        </w:rPr>
        <w:t>3 % din masă azot (N) total,</w:t>
      </w:r>
    </w:p>
    <w:p>
      <w:pPr>
        <w:pStyle w:val="Bullet1"/>
        <w:numPr>
          <w:ilvl w:val="0"/>
          <w:numId w:val="13"/>
        </w:numPr>
        <w:rPr>
          <w:noProof/>
        </w:rPr>
      </w:pPr>
      <w:r>
        <w:rPr>
          <w:noProof/>
        </w:rPr>
        <w:t>3 % din masă pentaoxid de fosfor (P</w:t>
      </w:r>
      <w:r>
        <w:rPr>
          <w:noProof/>
          <w:vertAlign w:val="subscript"/>
        </w:rPr>
        <w:t>2</w:t>
      </w:r>
      <w:r>
        <w:rPr>
          <w:noProof/>
        </w:rPr>
        <w:t>O</w:t>
      </w:r>
      <w:r>
        <w:rPr>
          <w:noProof/>
          <w:vertAlign w:val="subscript"/>
        </w:rPr>
        <w:t>5</w:t>
      </w:r>
      <w:r>
        <w:rPr>
          <w:noProof/>
        </w:rPr>
        <w:t>) total,</w:t>
      </w:r>
    </w:p>
    <w:p>
      <w:pPr>
        <w:pStyle w:val="Bullet1"/>
        <w:numPr>
          <w:ilvl w:val="0"/>
          <w:numId w:val="13"/>
        </w:numPr>
        <w:rPr>
          <w:noProof/>
        </w:rPr>
      </w:pPr>
      <w:r>
        <w:rPr>
          <w:noProof/>
        </w:rPr>
        <w:t>3 % din masă oxid de potasiu (K</w:t>
      </w:r>
      <w:r>
        <w:rPr>
          <w:noProof/>
          <w:vertAlign w:val="subscript"/>
        </w:rPr>
        <w:t>2</w:t>
      </w:r>
      <w:r>
        <w:rPr>
          <w:noProof/>
        </w:rPr>
        <w:t>O) total,</w:t>
      </w:r>
    </w:p>
    <w:p>
      <w:pPr>
        <w:pStyle w:val="Bullet1"/>
        <w:numPr>
          <w:ilvl w:val="0"/>
          <w:numId w:val="13"/>
        </w:numPr>
        <w:rPr>
          <w:noProof/>
        </w:rPr>
      </w:pPr>
      <w:r>
        <w:rPr>
          <w:noProof/>
        </w:rPr>
        <w:t>1,5 % din masă oxid de magneziu (MgO) total,</w:t>
      </w:r>
    </w:p>
    <w:p>
      <w:pPr>
        <w:pStyle w:val="Bullet1"/>
        <w:numPr>
          <w:ilvl w:val="0"/>
          <w:numId w:val="13"/>
        </w:numPr>
        <w:rPr>
          <w:noProof/>
        </w:rPr>
      </w:pPr>
      <w:r>
        <w:rPr>
          <w:noProof/>
        </w:rPr>
        <w:t>1,5 % din masă oxid de calciu (CaO) total,</w:t>
      </w:r>
    </w:p>
    <w:p>
      <w:pPr>
        <w:pStyle w:val="Bullet1"/>
        <w:numPr>
          <w:ilvl w:val="0"/>
          <w:numId w:val="13"/>
        </w:numPr>
        <w:rPr>
          <w:noProof/>
        </w:rPr>
      </w:pPr>
      <w:r>
        <w:rPr>
          <w:noProof/>
        </w:rPr>
        <w:t>1,5 % din masă trioxid de sulf (SO</w:t>
      </w:r>
      <w:r>
        <w:rPr>
          <w:noProof/>
          <w:vertAlign w:val="subscript"/>
        </w:rPr>
        <w:t>3</w:t>
      </w:r>
      <w:r>
        <w:rPr>
          <w:noProof/>
        </w:rPr>
        <w:t>) total sau</w:t>
      </w:r>
    </w:p>
    <w:p>
      <w:pPr>
        <w:pStyle w:val="Bullet1"/>
        <w:numPr>
          <w:ilvl w:val="0"/>
          <w:numId w:val="13"/>
        </w:numPr>
        <w:rPr>
          <w:noProof/>
        </w:rPr>
      </w:pPr>
      <w:r>
        <w:rPr>
          <w:noProof/>
        </w:rPr>
        <w:t>1 % din masă oxid de sodiu (Na</w:t>
      </w:r>
      <w:r>
        <w:rPr>
          <w:noProof/>
          <w:vertAlign w:val="subscript"/>
        </w:rPr>
        <w:t>2</w:t>
      </w:r>
      <w:r>
        <w:rPr>
          <w:noProof/>
        </w:rPr>
        <w:t>O) total.</w:t>
      </w:r>
    </w:p>
    <w:p>
      <w:pPr>
        <w:keepNext/>
        <w:rPr>
          <w:i/>
          <w:noProof/>
          <w:u w:val="single"/>
        </w:rPr>
      </w:pPr>
      <w:r>
        <w:rPr>
          <w:i/>
          <w:noProof/>
          <w:u w:val="single"/>
        </w:rPr>
        <w:t>CFP 1(C)(I)(a)(i-ii)(A): Îngrășământ anorganic solid simplu sau compus cu macroelemente pe bază de nitrat de amoniu cu conținut ridicat de azot</w:t>
      </w:r>
    </w:p>
    <w:p>
      <w:pPr>
        <w:pStyle w:val="NumPar1"/>
        <w:numPr>
          <w:ilvl w:val="0"/>
          <w:numId w:val="39"/>
        </w:numPr>
        <w:rPr>
          <w:noProof/>
        </w:rPr>
      </w:pPr>
      <w:r>
        <w:rPr>
          <w:noProof/>
        </w:rPr>
        <w:t>Un îngrășământ anorganic solid simplu sau compus cu macroelemente pe bază de nitrat de amoniu cu conținut ridicat de azot este un îngrășământ pe bază de nitrat de amoniu (NH</w:t>
      </w:r>
      <w:r>
        <w:rPr>
          <w:noProof/>
          <w:vertAlign w:val="subscript"/>
        </w:rPr>
        <w:t>4</w:t>
      </w:r>
      <w:r>
        <w:rPr>
          <w:noProof/>
        </w:rPr>
        <w:t>NO</w:t>
      </w:r>
      <w:r>
        <w:rPr>
          <w:noProof/>
          <w:vertAlign w:val="subscript"/>
        </w:rPr>
        <w:t>3</w:t>
      </w:r>
      <w:r>
        <w:rPr>
          <w:noProof/>
        </w:rPr>
        <w:t>) și conține cel puțin 28 % din masă azot (N) provenit din nitrat de amoniu (NH</w:t>
      </w:r>
      <w:r>
        <w:rPr>
          <w:noProof/>
          <w:vertAlign w:val="subscript"/>
        </w:rPr>
        <w:t>4</w:t>
      </w:r>
      <w:r>
        <w:rPr>
          <w:noProof/>
        </w:rPr>
        <w:t>NO</w:t>
      </w:r>
      <w:r>
        <w:rPr>
          <w:noProof/>
          <w:vertAlign w:val="subscript"/>
        </w:rPr>
        <w:t>3</w:t>
      </w:r>
      <w:r>
        <w:rPr>
          <w:noProof/>
        </w:rPr>
        <w:t xml:space="preserve">). </w:t>
      </w:r>
    </w:p>
    <w:p>
      <w:pPr>
        <w:pStyle w:val="NumPar1"/>
        <w:numPr>
          <w:ilvl w:val="0"/>
          <w:numId w:val="12"/>
        </w:numPr>
        <w:rPr>
          <w:noProof/>
        </w:rPr>
      </w:pPr>
      <w:r>
        <w:rPr>
          <w:noProof/>
        </w:rPr>
        <w:t>Orice alte substanțe în afară de nitratul de amoniu (NH</w:t>
      </w:r>
      <w:r>
        <w:rPr>
          <w:noProof/>
          <w:vertAlign w:val="subscript"/>
        </w:rPr>
        <w:t>4</w:t>
      </w:r>
      <w:r>
        <w:rPr>
          <w:noProof/>
        </w:rPr>
        <w:t>NO</w:t>
      </w:r>
      <w:r>
        <w:rPr>
          <w:noProof/>
          <w:vertAlign w:val="subscript"/>
        </w:rPr>
        <w:t>3</w:t>
      </w:r>
      <w:r>
        <w:rPr>
          <w:noProof/>
        </w:rPr>
        <w:t>) sunt inerte față de nitratul de amoniu (NH</w:t>
      </w:r>
      <w:r>
        <w:rPr>
          <w:noProof/>
          <w:vertAlign w:val="subscript"/>
        </w:rPr>
        <w:t>4</w:t>
      </w:r>
      <w:r>
        <w:rPr>
          <w:noProof/>
        </w:rPr>
        <w:t>NO</w:t>
      </w:r>
      <w:r>
        <w:rPr>
          <w:noProof/>
          <w:vertAlign w:val="subscript"/>
        </w:rPr>
        <w:t>3</w:t>
      </w:r>
      <w:r>
        <w:rPr>
          <w:noProof/>
        </w:rPr>
        <w:t>).</w:t>
      </w:r>
    </w:p>
    <w:p>
      <w:pPr>
        <w:pStyle w:val="NumPar1"/>
        <w:numPr>
          <w:ilvl w:val="0"/>
          <w:numId w:val="12"/>
        </w:numPr>
        <w:rPr>
          <w:noProof/>
        </w:rPr>
      </w:pPr>
      <w:r>
        <w:rPr>
          <w:noProof/>
        </w:rPr>
        <w:t>Produsul fertilizant cu marcaj CE se pune la dispoziția utilizatorului final numai ambalat. Ambalajul este închis în așa fel sau cu un astfel de dispozitiv încât, la deschiderea ambalajului, dispozitivul de închidere, sigiliul sau ambalajul ca atare să fie deteriorat iremediabil. Este permisă utilizarea sacilor cu valvă.</w:t>
      </w:r>
    </w:p>
    <w:p>
      <w:pPr>
        <w:pStyle w:val="NumPar1"/>
        <w:numPr>
          <w:ilvl w:val="0"/>
          <w:numId w:val="12"/>
        </w:numPr>
        <w:rPr>
          <w:noProof/>
        </w:rPr>
      </w:pPr>
      <w:r>
        <w:rPr>
          <w:noProof/>
        </w:rPr>
        <w:t>Retenția de ulei a produsului fertilizant cu marcaj CE, după două cicluri termice precum cele descrise la punctul 4.1 din modulul A1 din anexa IV, nu trebuie să depășească 4 % din masă.</w:t>
      </w:r>
    </w:p>
    <w:p>
      <w:pPr>
        <w:pStyle w:val="NumPar1"/>
        <w:keepNext/>
        <w:numPr>
          <w:ilvl w:val="0"/>
          <w:numId w:val="12"/>
        </w:numPr>
        <w:ind w:left="851" w:hanging="851"/>
        <w:rPr>
          <w:noProof/>
        </w:rPr>
      </w:pPr>
      <w:r>
        <w:rPr>
          <w:noProof/>
        </w:rPr>
        <w:t xml:space="preserve">Rezistența la detonare a produsului fertilizant cu marcaj CE este astfel încât: </w:t>
      </w:r>
    </w:p>
    <w:p>
      <w:pPr>
        <w:pStyle w:val="Bullet1"/>
        <w:numPr>
          <w:ilvl w:val="0"/>
          <w:numId w:val="13"/>
        </w:numPr>
        <w:rPr>
          <w:noProof/>
        </w:rPr>
      </w:pPr>
      <w:r>
        <w:rPr>
          <w:noProof/>
        </w:rPr>
        <w:t>după cinci cicluri termice precum cele descrise la punctul 4.2 din modulul A1 din anexa IV,</w:t>
      </w:r>
    </w:p>
    <w:p>
      <w:pPr>
        <w:pStyle w:val="Bullet1"/>
        <w:numPr>
          <w:ilvl w:val="0"/>
          <w:numId w:val="13"/>
        </w:numPr>
        <w:rPr>
          <w:noProof/>
        </w:rPr>
      </w:pPr>
      <w:r>
        <w:rPr>
          <w:noProof/>
        </w:rPr>
        <w:t xml:space="preserve">în care două teste de rezistență la detonare precum cele descrise la punctul 4.3 din modulul A1 din anexa IV, </w:t>
      </w:r>
    </w:p>
    <w:p>
      <w:pPr>
        <w:pStyle w:val="Text1"/>
        <w:rPr>
          <w:noProof/>
        </w:rPr>
      </w:pPr>
      <w:r>
        <w:rPr>
          <w:noProof/>
        </w:rPr>
        <w:lastRenderedPageBreak/>
        <w:t>unul sau mai mulți cilindri de sprijin să fie comprimați cu cel mult 5 %.</w:t>
      </w:r>
    </w:p>
    <w:p>
      <w:pPr>
        <w:pStyle w:val="NumPar1"/>
        <w:keepNext/>
        <w:numPr>
          <w:ilvl w:val="0"/>
          <w:numId w:val="12"/>
        </w:numPr>
        <w:ind w:left="851" w:hanging="851"/>
        <w:rPr>
          <w:noProof/>
        </w:rPr>
      </w:pPr>
      <w:r>
        <w:rPr>
          <w:noProof/>
        </w:rPr>
        <w:t xml:space="preserve">Procentul de masă de material combustibil măsurat sub formă de carbon (C) nu trebuie să depășească: </w:t>
      </w:r>
    </w:p>
    <w:p>
      <w:pPr>
        <w:pStyle w:val="Bullet1"/>
        <w:numPr>
          <w:ilvl w:val="0"/>
          <w:numId w:val="13"/>
        </w:numPr>
        <w:rPr>
          <w:noProof/>
        </w:rPr>
      </w:pPr>
      <w:r>
        <w:rPr>
          <w:noProof/>
        </w:rPr>
        <w:t xml:space="preserve">0,2 % pentru produsele fertilizante cu marcaj CE cu un conținut de azot (N) de cel puțin 31,5 % din masă și </w:t>
      </w:r>
    </w:p>
    <w:p>
      <w:pPr>
        <w:pStyle w:val="Bullet1"/>
        <w:numPr>
          <w:ilvl w:val="0"/>
          <w:numId w:val="13"/>
        </w:numPr>
        <w:rPr>
          <w:noProof/>
        </w:rPr>
      </w:pPr>
      <w:r>
        <w:rPr>
          <w:noProof/>
        </w:rPr>
        <w:t>0,4 % pentru produsele fertilizante cu marcaj CE cu un conținut de azot (N) de cel puțin 28 % și de până la 31,5 % din masă.</w:t>
      </w:r>
    </w:p>
    <w:p>
      <w:pPr>
        <w:pStyle w:val="NumPar1"/>
        <w:numPr>
          <w:ilvl w:val="0"/>
          <w:numId w:val="12"/>
        </w:numPr>
        <w:rPr>
          <w:noProof/>
        </w:rPr>
      </w:pPr>
      <w:r>
        <w:rPr>
          <w:noProof/>
        </w:rPr>
        <w:t>O soluție de 10 g de produs fertilizant cu marcaj CE în 100 ml apă trebuie să prezinte un pH de minimum 4,5.</w:t>
      </w:r>
    </w:p>
    <w:p>
      <w:pPr>
        <w:pStyle w:val="NumPar1"/>
        <w:numPr>
          <w:ilvl w:val="0"/>
          <w:numId w:val="12"/>
        </w:numPr>
        <w:rPr>
          <w:noProof/>
        </w:rPr>
      </w:pPr>
      <w:r>
        <w:rPr>
          <w:noProof/>
        </w:rPr>
        <w:t>Fracțiunea de produs fertilizant cu marcaj CE care trece prin sita cu ochiuri de 1 mm nu depășește 5 % în masă, respectiv 3 % în masă, în cazul în care ochiurile sunt de 0,5 mm.</w:t>
      </w:r>
    </w:p>
    <w:p>
      <w:pPr>
        <w:pStyle w:val="NumPar1"/>
        <w:numPr>
          <w:ilvl w:val="0"/>
          <w:numId w:val="12"/>
        </w:numPr>
        <w:rPr>
          <w:noProof/>
        </w:rPr>
      </w:pPr>
      <w:r>
        <w:rPr>
          <w:noProof/>
        </w:rPr>
        <w:t>Conținutul de cupru (Cu) nu depășește 10 mg/kg, iar conținutul de clor (Cl) nu depășește 200 mg/kg.</w:t>
      </w:r>
    </w:p>
    <w:p>
      <w:pPr>
        <w:pStyle w:val="ManualHeading4"/>
        <w:rPr>
          <w:noProof/>
          <w:u w:val="single"/>
        </w:rPr>
      </w:pPr>
      <w:bookmarkStart w:id="13" w:name="_Toc432153203"/>
      <w:r>
        <w:rPr>
          <w:noProof/>
          <w:u w:val="single"/>
        </w:rPr>
        <w:t>CFP 1(C)(I)(b): Îngrășământ anorganic lichid cu macroelemente</w:t>
      </w:r>
      <w:bookmarkEnd w:id="13"/>
    </w:p>
    <w:p>
      <w:pPr>
        <w:pStyle w:val="Text1"/>
        <w:keepNext/>
        <w:ind w:left="851"/>
        <w:rPr>
          <w:noProof/>
        </w:rPr>
      </w:pPr>
      <w:r>
        <w:rPr>
          <w:noProof/>
        </w:rPr>
        <w:t>Un îngrășământ anorganic lichid cu macroelemente este un îngrășământ anorganic cu macroelemente în suspensie sau în soluție, unde</w:t>
      </w:r>
    </w:p>
    <w:p>
      <w:pPr>
        <w:pStyle w:val="Bullet1"/>
        <w:numPr>
          <w:ilvl w:val="0"/>
          <w:numId w:val="13"/>
        </w:numPr>
        <w:rPr>
          <w:noProof/>
        </w:rPr>
      </w:pPr>
      <w:r>
        <w:rPr>
          <w:noProof/>
        </w:rPr>
        <w:t>„suspensie” înseamnă o dispersie în două faze în care particulele solide sunt menținute în suspensie în faza lichidă și</w:t>
      </w:r>
    </w:p>
    <w:p>
      <w:pPr>
        <w:pStyle w:val="Bullet1"/>
        <w:numPr>
          <w:ilvl w:val="0"/>
          <w:numId w:val="13"/>
        </w:numPr>
        <w:rPr>
          <w:noProof/>
        </w:rPr>
      </w:pPr>
      <w:r>
        <w:rPr>
          <w:noProof/>
        </w:rPr>
        <w:t>„soluție” înseamnă un lichid care nu conține particule solide.</w:t>
      </w:r>
    </w:p>
    <w:p>
      <w:pPr>
        <w:rPr>
          <w:i/>
          <w:noProof/>
          <w:u w:val="single"/>
        </w:rPr>
      </w:pPr>
      <w:r>
        <w:rPr>
          <w:i/>
          <w:noProof/>
          <w:u w:val="single"/>
        </w:rPr>
        <w:t>CFP 1(C)(I)(b)(i): Îngrășământ anorganic lichid simplu cu macroelemente</w:t>
      </w:r>
    </w:p>
    <w:p>
      <w:pPr>
        <w:pStyle w:val="NumPar1"/>
        <w:numPr>
          <w:ilvl w:val="0"/>
          <w:numId w:val="40"/>
        </w:numPr>
        <w:rPr>
          <w:noProof/>
        </w:rPr>
      </w:pPr>
      <w:r>
        <w:rPr>
          <w:noProof/>
        </w:rPr>
        <w:t>Un îngrășământ anorganic lichid simplu cu macroelemente are un conținut declarat de un singur nutrient.</w:t>
      </w:r>
    </w:p>
    <w:p>
      <w:pPr>
        <w:pStyle w:val="NumPar1"/>
        <w:keepNext/>
        <w:numPr>
          <w:ilvl w:val="0"/>
          <w:numId w:val="12"/>
        </w:numPr>
        <w:ind w:left="851" w:hanging="851"/>
        <w:rPr>
          <w:noProof/>
        </w:rPr>
      </w:pPr>
      <w:r>
        <w:rPr>
          <w:noProof/>
        </w:rPr>
        <w:t>Produsul fertilizant cu marcaj CE conține unul dintre următorii nutrienți declarați, în cantitatea minimă precizată:</w:t>
      </w:r>
    </w:p>
    <w:p>
      <w:pPr>
        <w:pStyle w:val="Bullet1"/>
        <w:numPr>
          <w:ilvl w:val="0"/>
          <w:numId w:val="13"/>
        </w:numPr>
        <w:rPr>
          <w:noProof/>
        </w:rPr>
      </w:pPr>
      <w:r>
        <w:rPr>
          <w:noProof/>
        </w:rPr>
        <w:t>5 % din masă azot (N) total,</w:t>
      </w:r>
    </w:p>
    <w:p>
      <w:pPr>
        <w:pStyle w:val="Bullet1"/>
        <w:numPr>
          <w:ilvl w:val="0"/>
          <w:numId w:val="13"/>
        </w:numPr>
        <w:rPr>
          <w:noProof/>
        </w:rPr>
      </w:pPr>
      <w:r>
        <w:rPr>
          <w:noProof/>
        </w:rPr>
        <w:t>5 % din masă pentaoxid de fosfor (P</w:t>
      </w:r>
      <w:r>
        <w:rPr>
          <w:noProof/>
          <w:vertAlign w:val="subscript"/>
        </w:rPr>
        <w:t>2</w:t>
      </w:r>
      <w:r>
        <w:rPr>
          <w:noProof/>
        </w:rPr>
        <w:t>O</w:t>
      </w:r>
      <w:r>
        <w:rPr>
          <w:noProof/>
          <w:vertAlign w:val="subscript"/>
        </w:rPr>
        <w:t>5</w:t>
      </w:r>
      <w:r>
        <w:rPr>
          <w:noProof/>
        </w:rPr>
        <w:t>) total,</w:t>
      </w:r>
    </w:p>
    <w:p>
      <w:pPr>
        <w:pStyle w:val="Bullet1"/>
        <w:numPr>
          <w:ilvl w:val="0"/>
          <w:numId w:val="13"/>
        </w:numPr>
        <w:rPr>
          <w:noProof/>
        </w:rPr>
      </w:pPr>
      <w:r>
        <w:rPr>
          <w:noProof/>
        </w:rPr>
        <w:t>3 % din masă oxid de potasiu (K</w:t>
      </w:r>
      <w:r>
        <w:rPr>
          <w:noProof/>
          <w:vertAlign w:val="subscript"/>
        </w:rPr>
        <w:t>2</w:t>
      </w:r>
      <w:r>
        <w:rPr>
          <w:noProof/>
        </w:rPr>
        <w:t>O) total,</w:t>
      </w:r>
    </w:p>
    <w:p>
      <w:pPr>
        <w:pStyle w:val="Bullet1"/>
        <w:numPr>
          <w:ilvl w:val="0"/>
          <w:numId w:val="13"/>
        </w:numPr>
        <w:rPr>
          <w:noProof/>
        </w:rPr>
      </w:pPr>
      <w:r>
        <w:rPr>
          <w:noProof/>
        </w:rPr>
        <w:t>2 % din masă oxid de magneziu (MgO) total,</w:t>
      </w:r>
    </w:p>
    <w:p>
      <w:pPr>
        <w:pStyle w:val="Bullet1"/>
        <w:numPr>
          <w:ilvl w:val="0"/>
          <w:numId w:val="13"/>
        </w:numPr>
        <w:rPr>
          <w:noProof/>
        </w:rPr>
      </w:pPr>
      <w:r>
        <w:rPr>
          <w:noProof/>
        </w:rPr>
        <w:t>6 % din masă oxid de calciu (CaO) total,</w:t>
      </w:r>
    </w:p>
    <w:p>
      <w:pPr>
        <w:pStyle w:val="Bullet1"/>
        <w:numPr>
          <w:ilvl w:val="0"/>
          <w:numId w:val="13"/>
        </w:numPr>
        <w:rPr>
          <w:noProof/>
        </w:rPr>
      </w:pPr>
      <w:r>
        <w:rPr>
          <w:noProof/>
        </w:rPr>
        <w:t>5 % din masă trioxid de sulf (SO</w:t>
      </w:r>
      <w:r>
        <w:rPr>
          <w:noProof/>
          <w:vertAlign w:val="subscript"/>
        </w:rPr>
        <w:t>3</w:t>
      </w:r>
      <w:r>
        <w:rPr>
          <w:noProof/>
        </w:rPr>
        <w:t>) total sau</w:t>
      </w:r>
    </w:p>
    <w:p>
      <w:pPr>
        <w:pStyle w:val="Bullet1"/>
        <w:numPr>
          <w:ilvl w:val="0"/>
          <w:numId w:val="13"/>
        </w:numPr>
        <w:rPr>
          <w:noProof/>
        </w:rPr>
      </w:pPr>
      <w:r>
        <w:rPr>
          <w:noProof/>
        </w:rPr>
        <w:t>1 % din masă oxid de sodiu (Na</w:t>
      </w:r>
      <w:r>
        <w:rPr>
          <w:noProof/>
          <w:vertAlign w:val="subscript"/>
        </w:rPr>
        <w:t>2</w:t>
      </w:r>
      <w:r>
        <w:rPr>
          <w:noProof/>
        </w:rPr>
        <w:t>O) total.</w:t>
      </w:r>
    </w:p>
    <w:p>
      <w:pPr>
        <w:keepNext/>
        <w:rPr>
          <w:i/>
          <w:noProof/>
          <w:u w:val="single"/>
        </w:rPr>
      </w:pPr>
      <w:r>
        <w:rPr>
          <w:i/>
          <w:noProof/>
          <w:u w:val="single"/>
        </w:rPr>
        <w:t>CFP 1(C)(I)(b)(ii): Îngrășământ anorganic lichid compus cu macroelemente</w:t>
      </w:r>
    </w:p>
    <w:p>
      <w:pPr>
        <w:pStyle w:val="NumPar1"/>
        <w:numPr>
          <w:ilvl w:val="0"/>
          <w:numId w:val="41"/>
        </w:numPr>
        <w:rPr>
          <w:noProof/>
        </w:rPr>
      </w:pPr>
      <w:r>
        <w:rPr>
          <w:noProof/>
        </w:rPr>
        <w:t>Un îngrășământ anorganic lichid compus cu macroelemente are un conținut declarat de mai mult de un nutrient.</w:t>
      </w:r>
    </w:p>
    <w:p>
      <w:pPr>
        <w:pStyle w:val="NumPar1"/>
        <w:keepNext/>
        <w:numPr>
          <w:ilvl w:val="0"/>
          <w:numId w:val="12"/>
        </w:numPr>
        <w:ind w:left="851" w:hanging="851"/>
        <w:rPr>
          <w:noProof/>
        </w:rPr>
      </w:pPr>
      <w:r>
        <w:rPr>
          <w:noProof/>
        </w:rPr>
        <w:lastRenderedPageBreak/>
        <w:t>Produsul fertilizant cu marcaj CE conține mai mulți dintre următorii nutrienți declarați, în cantitățile minime precizate:</w:t>
      </w:r>
    </w:p>
    <w:p>
      <w:pPr>
        <w:pStyle w:val="Bullet1"/>
        <w:numPr>
          <w:ilvl w:val="0"/>
          <w:numId w:val="13"/>
        </w:numPr>
        <w:rPr>
          <w:noProof/>
        </w:rPr>
      </w:pPr>
      <w:r>
        <w:rPr>
          <w:noProof/>
        </w:rPr>
        <w:t>1,5 % din masă azot (N) total,</w:t>
      </w:r>
    </w:p>
    <w:p>
      <w:pPr>
        <w:pStyle w:val="Bullet1"/>
        <w:numPr>
          <w:ilvl w:val="0"/>
          <w:numId w:val="13"/>
        </w:numPr>
        <w:rPr>
          <w:noProof/>
        </w:rPr>
      </w:pPr>
      <w:r>
        <w:rPr>
          <w:noProof/>
        </w:rPr>
        <w:t>1,5 % din masă pentaoxid de fosfor (P</w:t>
      </w:r>
      <w:r>
        <w:rPr>
          <w:noProof/>
          <w:vertAlign w:val="subscript"/>
        </w:rPr>
        <w:t>2</w:t>
      </w:r>
      <w:r>
        <w:rPr>
          <w:noProof/>
        </w:rPr>
        <w:t>O</w:t>
      </w:r>
      <w:r>
        <w:rPr>
          <w:noProof/>
          <w:vertAlign w:val="subscript"/>
        </w:rPr>
        <w:t>5</w:t>
      </w:r>
      <w:r>
        <w:rPr>
          <w:noProof/>
        </w:rPr>
        <w:t>) total,</w:t>
      </w:r>
    </w:p>
    <w:p>
      <w:pPr>
        <w:pStyle w:val="Bullet1"/>
        <w:numPr>
          <w:ilvl w:val="0"/>
          <w:numId w:val="13"/>
        </w:numPr>
        <w:rPr>
          <w:noProof/>
        </w:rPr>
      </w:pPr>
      <w:r>
        <w:rPr>
          <w:noProof/>
        </w:rPr>
        <w:t>1,5 % din masă oxid de potasiu (K</w:t>
      </w:r>
      <w:r>
        <w:rPr>
          <w:noProof/>
          <w:vertAlign w:val="subscript"/>
        </w:rPr>
        <w:t>2</w:t>
      </w:r>
      <w:r>
        <w:rPr>
          <w:noProof/>
        </w:rPr>
        <w:t>O) total,</w:t>
      </w:r>
    </w:p>
    <w:p>
      <w:pPr>
        <w:pStyle w:val="Bullet1"/>
        <w:numPr>
          <w:ilvl w:val="0"/>
          <w:numId w:val="13"/>
        </w:numPr>
        <w:rPr>
          <w:noProof/>
        </w:rPr>
      </w:pPr>
      <w:r>
        <w:rPr>
          <w:noProof/>
        </w:rPr>
        <w:t>0,75 % din masă oxid de magneziu (MgO) total,</w:t>
      </w:r>
    </w:p>
    <w:p>
      <w:pPr>
        <w:pStyle w:val="Bullet1"/>
        <w:numPr>
          <w:ilvl w:val="0"/>
          <w:numId w:val="13"/>
        </w:numPr>
        <w:rPr>
          <w:noProof/>
        </w:rPr>
      </w:pPr>
      <w:r>
        <w:rPr>
          <w:noProof/>
        </w:rPr>
        <w:t>0,75 % din masă oxid de calciu (CaO) total,</w:t>
      </w:r>
    </w:p>
    <w:p>
      <w:pPr>
        <w:pStyle w:val="Bullet1"/>
        <w:numPr>
          <w:ilvl w:val="0"/>
          <w:numId w:val="13"/>
        </w:numPr>
        <w:rPr>
          <w:noProof/>
        </w:rPr>
      </w:pPr>
      <w:r>
        <w:rPr>
          <w:noProof/>
        </w:rPr>
        <w:t>0,75 % din masă trioxid de sulf (SO</w:t>
      </w:r>
      <w:r>
        <w:rPr>
          <w:noProof/>
          <w:vertAlign w:val="subscript"/>
        </w:rPr>
        <w:t>3</w:t>
      </w:r>
      <w:r>
        <w:rPr>
          <w:noProof/>
        </w:rPr>
        <w:t>) total sau</w:t>
      </w:r>
    </w:p>
    <w:p>
      <w:pPr>
        <w:pStyle w:val="Bullet1"/>
        <w:numPr>
          <w:ilvl w:val="0"/>
          <w:numId w:val="13"/>
        </w:numPr>
        <w:rPr>
          <w:noProof/>
        </w:rPr>
      </w:pPr>
      <w:r>
        <w:rPr>
          <w:noProof/>
        </w:rPr>
        <w:t>0,5 % din masă oxid de sodiu (Na</w:t>
      </w:r>
      <w:r>
        <w:rPr>
          <w:noProof/>
          <w:vertAlign w:val="subscript"/>
        </w:rPr>
        <w:t>2</w:t>
      </w:r>
      <w:r>
        <w:rPr>
          <w:noProof/>
        </w:rPr>
        <w:t>O) total.</w:t>
      </w:r>
    </w:p>
    <w:p>
      <w:pPr>
        <w:pStyle w:val="ManualHeading3"/>
        <w:rPr>
          <w:noProof/>
          <w:u w:val="single"/>
        </w:rPr>
      </w:pPr>
      <w:bookmarkStart w:id="14" w:name="_Toc432153204"/>
      <w:r>
        <w:rPr>
          <w:noProof/>
          <w:u w:val="single"/>
        </w:rPr>
        <w:t>CFP 1(C)(II): Îngrășământ anorganic cu oligoelemente</w:t>
      </w:r>
      <w:bookmarkEnd w:id="14"/>
    </w:p>
    <w:p>
      <w:pPr>
        <w:pStyle w:val="NumPar1"/>
        <w:numPr>
          <w:ilvl w:val="0"/>
          <w:numId w:val="42"/>
        </w:numPr>
        <w:rPr>
          <w:noProof/>
        </w:rPr>
      </w:pPr>
      <w:r>
        <w:rPr>
          <w:noProof/>
        </w:rPr>
        <w:t>Un îngrășământ anorganic cu oligoelemente este un îngrășământ anorganic care nu este un îngrășământ anorganic cu macroelemente și care este menit să furnizeze unul sau mai mulți dintre următorii nutrienți: bor (B), cobalt (Co), cupru (Cu), fier(Fe), mangan (Mn), molibden (Mo) sau zinc (Zn).</w:t>
      </w:r>
    </w:p>
    <w:p>
      <w:pPr>
        <w:pStyle w:val="NumPar1"/>
        <w:numPr>
          <w:ilvl w:val="0"/>
          <w:numId w:val="12"/>
        </w:numPr>
        <w:rPr>
          <w:noProof/>
        </w:rPr>
      </w:pPr>
      <w:r>
        <w:rPr>
          <w:noProof/>
        </w:rPr>
        <w:t xml:space="preserve">Îngrășămintele cu oligoelemente se pun la dispoziția utilizatorului final numai ambalate. </w:t>
      </w:r>
    </w:p>
    <w:p>
      <w:pPr>
        <w:pStyle w:val="NumPar1"/>
        <w:keepNext/>
        <w:numPr>
          <w:ilvl w:val="0"/>
          <w:numId w:val="12"/>
        </w:numPr>
        <w:rPr>
          <w:noProof/>
        </w:rPr>
      </w:pPr>
      <w:r>
        <w:rPr>
          <w:noProof/>
        </w:rPr>
        <w:t>În produsele fertilizante cu marcaj CE, cantitatea de contaminanți nu trebuie să depășească următoarele valori:</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645"/>
      </w:tblGrid>
      <w:tr>
        <w:tc>
          <w:tcPr>
            <w:tcW w:w="3685" w:type="dxa"/>
            <w:shd w:val="clear" w:color="auto" w:fill="auto"/>
          </w:tcPr>
          <w:p>
            <w:pPr>
              <w:pStyle w:val="Text1"/>
              <w:keepNext/>
              <w:ind w:left="0"/>
              <w:rPr>
                <w:b/>
                <w:bCs/>
                <w:noProof/>
                <w:sz w:val="20"/>
                <w:szCs w:val="20"/>
              </w:rPr>
            </w:pPr>
            <w:r>
              <w:rPr>
                <w:b/>
                <w:noProof/>
                <w:sz w:val="20"/>
              </w:rPr>
              <w:t>Contaminanți</w:t>
            </w:r>
          </w:p>
        </w:tc>
        <w:tc>
          <w:tcPr>
            <w:tcW w:w="4645" w:type="dxa"/>
            <w:shd w:val="clear" w:color="auto" w:fill="auto"/>
          </w:tcPr>
          <w:p>
            <w:pPr>
              <w:keepNext/>
              <w:autoSpaceDE w:val="0"/>
              <w:autoSpaceDN w:val="0"/>
              <w:adjustRightInd w:val="0"/>
              <w:spacing w:before="0" w:after="0"/>
              <w:rPr>
                <w:b/>
                <w:bCs/>
                <w:noProof/>
                <w:sz w:val="20"/>
                <w:szCs w:val="20"/>
              </w:rPr>
            </w:pPr>
            <w:r>
              <w:rPr>
                <w:b/>
                <w:noProof/>
                <w:sz w:val="20"/>
              </w:rPr>
              <w:t>Concentrația masică maximă în raport cu conținutul total de oligoelemente</w:t>
            </w:r>
          </w:p>
          <w:p>
            <w:pPr>
              <w:pStyle w:val="Text1"/>
              <w:keepNext/>
              <w:ind w:left="0"/>
              <w:rPr>
                <w:b/>
                <w:bCs/>
                <w:noProof/>
                <w:sz w:val="20"/>
                <w:szCs w:val="20"/>
              </w:rPr>
            </w:pPr>
            <w:r>
              <w:rPr>
                <w:b/>
                <w:noProof/>
                <w:sz w:val="20"/>
              </w:rPr>
              <w:t>[mg/kg de bor (B), cobalt (Co), cupru (Cu), fier(Fe), mangan (Mn), molibden (Mo) și zinc (Zn) total]</w:t>
            </w:r>
          </w:p>
        </w:tc>
      </w:tr>
      <w:tr>
        <w:tc>
          <w:tcPr>
            <w:tcW w:w="3685" w:type="dxa"/>
            <w:shd w:val="clear" w:color="auto" w:fill="auto"/>
          </w:tcPr>
          <w:p>
            <w:pPr>
              <w:pStyle w:val="Text1"/>
              <w:ind w:left="0"/>
              <w:rPr>
                <w:noProof/>
                <w:sz w:val="20"/>
                <w:szCs w:val="20"/>
              </w:rPr>
            </w:pPr>
            <w:r>
              <w:rPr>
                <w:noProof/>
                <w:sz w:val="20"/>
              </w:rPr>
              <w:t>arsen (As)</w:t>
            </w:r>
          </w:p>
        </w:tc>
        <w:tc>
          <w:tcPr>
            <w:tcW w:w="4645" w:type="dxa"/>
            <w:shd w:val="clear" w:color="auto" w:fill="auto"/>
          </w:tcPr>
          <w:p>
            <w:pPr>
              <w:pStyle w:val="Text1"/>
              <w:ind w:left="0"/>
              <w:rPr>
                <w:noProof/>
                <w:sz w:val="20"/>
                <w:szCs w:val="20"/>
              </w:rPr>
            </w:pPr>
            <w:r>
              <w:rPr>
                <w:noProof/>
                <w:sz w:val="20"/>
              </w:rPr>
              <w:t>1000</w:t>
            </w:r>
          </w:p>
        </w:tc>
      </w:tr>
      <w:tr>
        <w:tc>
          <w:tcPr>
            <w:tcW w:w="3685" w:type="dxa"/>
            <w:shd w:val="clear" w:color="auto" w:fill="auto"/>
          </w:tcPr>
          <w:p>
            <w:pPr>
              <w:pStyle w:val="Text1"/>
              <w:ind w:left="0"/>
              <w:rPr>
                <w:noProof/>
                <w:sz w:val="20"/>
                <w:szCs w:val="20"/>
              </w:rPr>
            </w:pPr>
            <w:r>
              <w:rPr>
                <w:noProof/>
                <w:sz w:val="20"/>
              </w:rPr>
              <w:t>cadmiu (Cd)</w:t>
            </w:r>
          </w:p>
        </w:tc>
        <w:tc>
          <w:tcPr>
            <w:tcW w:w="4645" w:type="dxa"/>
            <w:shd w:val="clear" w:color="auto" w:fill="auto"/>
          </w:tcPr>
          <w:p>
            <w:pPr>
              <w:pStyle w:val="Text1"/>
              <w:ind w:left="0"/>
              <w:rPr>
                <w:noProof/>
                <w:sz w:val="20"/>
                <w:szCs w:val="20"/>
              </w:rPr>
            </w:pPr>
            <w:r>
              <w:rPr>
                <w:noProof/>
                <w:sz w:val="20"/>
              </w:rPr>
              <w:t>200</w:t>
            </w:r>
          </w:p>
        </w:tc>
      </w:tr>
      <w:tr>
        <w:tc>
          <w:tcPr>
            <w:tcW w:w="3685" w:type="dxa"/>
            <w:shd w:val="clear" w:color="auto" w:fill="auto"/>
          </w:tcPr>
          <w:p>
            <w:pPr>
              <w:pStyle w:val="Text1"/>
              <w:ind w:left="0"/>
              <w:rPr>
                <w:noProof/>
                <w:sz w:val="20"/>
                <w:szCs w:val="20"/>
              </w:rPr>
            </w:pPr>
            <w:r>
              <w:rPr>
                <w:noProof/>
                <w:sz w:val="20"/>
              </w:rPr>
              <w:t>plumb (Pb)</w:t>
            </w:r>
          </w:p>
        </w:tc>
        <w:tc>
          <w:tcPr>
            <w:tcW w:w="4645" w:type="dxa"/>
            <w:shd w:val="clear" w:color="auto" w:fill="auto"/>
          </w:tcPr>
          <w:p>
            <w:pPr>
              <w:pStyle w:val="Text1"/>
              <w:ind w:left="0"/>
              <w:rPr>
                <w:noProof/>
                <w:sz w:val="20"/>
                <w:szCs w:val="20"/>
              </w:rPr>
            </w:pPr>
            <w:r>
              <w:rPr>
                <w:noProof/>
                <w:sz w:val="20"/>
              </w:rPr>
              <w:t>600</w:t>
            </w:r>
          </w:p>
        </w:tc>
      </w:tr>
      <w:tr>
        <w:tc>
          <w:tcPr>
            <w:tcW w:w="3685" w:type="dxa"/>
            <w:shd w:val="clear" w:color="auto" w:fill="auto"/>
          </w:tcPr>
          <w:p>
            <w:pPr>
              <w:pStyle w:val="Text1"/>
              <w:ind w:left="0"/>
              <w:rPr>
                <w:noProof/>
                <w:sz w:val="20"/>
                <w:szCs w:val="20"/>
              </w:rPr>
            </w:pPr>
            <w:r>
              <w:rPr>
                <w:noProof/>
                <w:sz w:val="20"/>
              </w:rPr>
              <w:t>mercur (Hg)</w:t>
            </w:r>
          </w:p>
        </w:tc>
        <w:tc>
          <w:tcPr>
            <w:tcW w:w="4645" w:type="dxa"/>
            <w:shd w:val="clear" w:color="auto" w:fill="auto"/>
          </w:tcPr>
          <w:p>
            <w:pPr>
              <w:pStyle w:val="Text1"/>
              <w:ind w:left="0"/>
              <w:rPr>
                <w:noProof/>
                <w:sz w:val="20"/>
                <w:szCs w:val="20"/>
              </w:rPr>
            </w:pPr>
            <w:r>
              <w:rPr>
                <w:noProof/>
                <w:sz w:val="20"/>
              </w:rPr>
              <w:t>100</w:t>
            </w:r>
          </w:p>
        </w:tc>
      </w:tr>
      <w:tr>
        <w:tc>
          <w:tcPr>
            <w:tcW w:w="3685" w:type="dxa"/>
            <w:shd w:val="clear" w:color="auto" w:fill="auto"/>
          </w:tcPr>
          <w:p>
            <w:pPr>
              <w:pStyle w:val="Text1"/>
              <w:ind w:left="0"/>
              <w:rPr>
                <w:noProof/>
                <w:sz w:val="20"/>
                <w:szCs w:val="20"/>
              </w:rPr>
            </w:pPr>
            <w:r>
              <w:rPr>
                <w:noProof/>
                <w:sz w:val="20"/>
              </w:rPr>
              <w:t>nichel (Ni)</w:t>
            </w:r>
          </w:p>
        </w:tc>
        <w:tc>
          <w:tcPr>
            <w:tcW w:w="4645" w:type="dxa"/>
            <w:shd w:val="clear" w:color="auto" w:fill="auto"/>
          </w:tcPr>
          <w:p>
            <w:pPr>
              <w:pStyle w:val="Text1"/>
              <w:ind w:left="0"/>
              <w:rPr>
                <w:noProof/>
                <w:sz w:val="20"/>
                <w:szCs w:val="20"/>
              </w:rPr>
            </w:pPr>
            <w:r>
              <w:rPr>
                <w:noProof/>
                <w:sz w:val="20"/>
              </w:rPr>
              <w:t>2000</w:t>
            </w:r>
          </w:p>
        </w:tc>
      </w:tr>
    </w:tbl>
    <w:p>
      <w:pPr>
        <w:pStyle w:val="ManualHeading4"/>
        <w:rPr>
          <w:noProof/>
          <w:u w:val="single"/>
        </w:rPr>
      </w:pPr>
      <w:bookmarkStart w:id="15" w:name="_Toc432153205"/>
      <w:r>
        <w:rPr>
          <w:noProof/>
          <w:u w:val="single"/>
        </w:rPr>
        <w:t>CFP 1(C)(II)(a): Îngrășământ anorganic simplu cu oligoelemente</w:t>
      </w:r>
      <w:bookmarkEnd w:id="15"/>
    </w:p>
    <w:p>
      <w:pPr>
        <w:pStyle w:val="NumPar1"/>
        <w:numPr>
          <w:ilvl w:val="0"/>
          <w:numId w:val="43"/>
        </w:numPr>
        <w:rPr>
          <w:noProof/>
        </w:rPr>
      </w:pPr>
      <w:r>
        <w:rPr>
          <w:noProof/>
        </w:rPr>
        <w:t>Un îngrășământ anorganic simplu cu oligoelemente are un conținut declarat de un singur nutrient.</w:t>
      </w:r>
    </w:p>
    <w:p>
      <w:pPr>
        <w:pStyle w:val="NumPar1"/>
        <w:keepNext/>
        <w:numPr>
          <w:ilvl w:val="0"/>
          <w:numId w:val="12"/>
        </w:numPr>
        <w:rPr>
          <w:noProof/>
        </w:rPr>
      </w:pPr>
      <w:r>
        <w:rPr>
          <w:noProof/>
        </w:rPr>
        <w:t>Produsul fertilizant cu marcaj CE este conform cu una dintre tipologiile, descrierile și cerințele corespunzătoare referitoare la conținutul minim de nutrienți din tabelul următor: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2944"/>
      </w:tblGrid>
      <w:tr>
        <w:tc>
          <w:tcPr>
            <w:tcW w:w="2943" w:type="dxa"/>
            <w:shd w:val="clear" w:color="auto" w:fill="auto"/>
          </w:tcPr>
          <w:p>
            <w:pPr>
              <w:keepNext/>
              <w:jc w:val="left"/>
              <w:rPr>
                <w:b/>
                <w:bCs/>
                <w:noProof/>
              </w:rPr>
            </w:pPr>
            <w:r>
              <w:rPr>
                <w:b/>
                <w:noProof/>
              </w:rPr>
              <w:t>Tipologie</w:t>
            </w:r>
          </w:p>
        </w:tc>
        <w:tc>
          <w:tcPr>
            <w:tcW w:w="3402" w:type="dxa"/>
          </w:tcPr>
          <w:p>
            <w:pPr>
              <w:keepNext/>
              <w:jc w:val="left"/>
              <w:rPr>
                <w:b/>
                <w:bCs/>
                <w:noProof/>
              </w:rPr>
            </w:pPr>
            <w:r>
              <w:rPr>
                <w:b/>
                <w:noProof/>
              </w:rPr>
              <w:t>Descriere</w:t>
            </w:r>
          </w:p>
        </w:tc>
        <w:tc>
          <w:tcPr>
            <w:tcW w:w="2944" w:type="dxa"/>
            <w:shd w:val="clear" w:color="auto" w:fill="auto"/>
          </w:tcPr>
          <w:p>
            <w:pPr>
              <w:keepNext/>
              <w:jc w:val="left"/>
              <w:rPr>
                <w:b/>
                <w:bCs/>
                <w:noProof/>
              </w:rPr>
            </w:pPr>
            <w:r>
              <w:rPr>
                <w:b/>
                <w:noProof/>
              </w:rPr>
              <w:t>Conținut minim de nutrienți</w:t>
            </w:r>
          </w:p>
        </w:tc>
      </w:tr>
      <w:tr>
        <w:tc>
          <w:tcPr>
            <w:tcW w:w="2943" w:type="dxa"/>
            <w:shd w:val="clear" w:color="auto" w:fill="auto"/>
          </w:tcPr>
          <w:p>
            <w:pPr>
              <w:jc w:val="left"/>
              <w:rPr>
                <w:noProof/>
              </w:rPr>
            </w:pPr>
            <w:r>
              <w:rPr>
                <w:noProof/>
              </w:rPr>
              <w:t xml:space="preserve">Îngrășământ cu </w:t>
            </w:r>
            <w:r>
              <w:rPr>
                <w:noProof/>
              </w:rPr>
              <w:lastRenderedPageBreak/>
              <w:t>oligoelemente sub formă de sare</w:t>
            </w:r>
          </w:p>
        </w:tc>
        <w:tc>
          <w:tcPr>
            <w:tcW w:w="3402" w:type="dxa"/>
          </w:tcPr>
          <w:p>
            <w:pPr>
              <w:jc w:val="left"/>
              <w:rPr>
                <w:noProof/>
              </w:rPr>
            </w:pPr>
            <w:r>
              <w:rPr>
                <w:noProof/>
              </w:rPr>
              <w:lastRenderedPageBreak/>
              <w:t xml:space="preserve">Îngrășământ solid cu un </w:t>
            </w:r>
            <w:r>
              <w:rPr>
                <w:noProof/>
              </w:rPr>
              <w:lastRenderedPageBreak/>
              <w:t>oligoelement obținut chimic, conținând o sare, un oxid sau un hidroxid de minerale ionice ca ingredient principal</w:t>
            </w:r>
          </w:p>
        </w:tc>
        <w:tc>
          <w:tcPr>
            <w:tcW w:w="2944" w:type="dxa"/>
            <w:shd w:val="clear" w:color="auto" w:fill="auto"/>
          </w:tcPr>
          <w:p>
            <w:pPr>
              <w:jc w:val="left"/>
              <w:rPr>
                <w:noProof/>
              </w:rPr>
            </w:pPr>
            <w:r>
              <w:rPr>
                <w:noProof/>
              </w:rPr>
              <w:lastRenderedPageBreak/>
              <w:t xml:space="preserve">10 % din masa produsului </w:t>
            </w:r>
            <w:r>
              <w:rPr>
                <w:noProof/>
              </w:rPr>
              <w:lastRenderedPageBreak/>
              <w:t>fertilizant cu marcaj CE constă într-un oligoelement solubil în apă</w:t>
            </w:r>
          </w:p>
        </w:tc>
      </w:tr>
      <w:tr>
        <w:tc>
          <w:tcPr>
            <w:tcW w:w="2943" w:type="dxa"/>
            <w:shd w:val="clear" w:color="auto" w:fill="auto"/>
          </w:tcPr>
          <w:p>
            <w:pPr>
              <w:jc w:val="left"/>
              <w:rPr>
                <w:noProof/>
              </w:rPr>
            </w:pPr>
            <w:r>
              <w:rPr>
                <w:noProof/>
              </w:rPr>
              <w:lastRenderedPageBreak/>
              <w:t>Îngrășământ pe bază de oligoelemente</w:t>
            </w:r>
          </w:p>
        </w:tc>
        <w:tc>
          <w:tcPr>
            <w:tcW w:w="3402" w:type="dxa"/>
          </w:tcPr>
          <w:p>
            <w:pPr>
              <w:jc w:val="left"/>
              <w:rPr>
                <w:noProof/>
              </w:rPr>
            </w:pPr>
            <w:r>
              <w:rPr>
                <w:noProof/>
              </w:rPr>
              <w:t>Îngrășământ cu oligoelemente care combină un îngrășământ cu oligoelemente sub formă de sare cu unul sau mai multe alte îngrășăminte cu oligoelemente sub formă de sare și/sau cu un singur oligoelement chelat</w:t>
            </w:r>
          </w:p>
        </w:tc>
        <w:tc>
          <w:tcPr>
            <w:tcW w:w="2944" w:type="dxa"/>
            <w:shd w:val="clear" w:color="auto" w:fill="auto"/>
          </w:tcPr>
          <w:p>
            <w:pPr>
              <w:jc w:val="left"/>
              <w:rPr>
                <w:noProof/>
              </w:rPr>
            </w:pPr>
            <w:r>
              <w:rPr>
                <w:noProof/>
              </w:rPr>
              <w:t>5 % din masa produsului fertilizant cu marcaj CE constă într-un oligoelement</w:t>
            </w:r>
          </w:p>
        </w:tc>
      </w:tr>
      <w:tr>
        <w:tc>
          <w:tcPr>
            <w:tcW w:w="2943" w:type="dxa"/>
            <w:shd w:val="clear" w:color="auto" w:fill="auto"/>
          </w:tcPr>
          <w:p>
            <w:pPr>
              <w:jc w:val="left"/>
              <w:rPr>
                <w:noProof/>
              </w:rPr>
            </w:pPr>
            <w:r>
              <w:rPr>
                <w:noProof/>
              </w:rPr>
              <w:t>Îngrășământ cu oligoelemente sub formă de soluție</w:t>
            </w:r>
          </w:p>
        </w:tc>
        <w:tc>
          <w:tcPr>
            <w:tcW w:w="3402" w:type="dxa"/>
          </w:tcPr>
          <w:p>
            <w:pPr>
              <w:jc w:val="left"/>
              <w:rPr>
                <w:noProof/>
              </w:rPr>
            </w:pPr>
            <w:r>
              <w:rPr>
                <w:noProof/>
              </w:rPr>
              <w:t>Soluție apoasă de diferite forme a unui îngrășământ cu oligoelemente</w:t>
            </w:r>
          </w:p>
        </w:tc>
        <w:tc>
          <w:tcPr>
            <w:tcW w:w="2944" w:type="dxa"/>
            <w:shd w:val="clear" w:color="auto" w:fill="auto"/>
          </w:tcPr>
          <w:p>
            <w:pPr>
              <w:jc w:val="left"/>
              <w:rPr>
                <w:noProof/>
              </w:rPr>
            </w:pPr>
            <w:r>
              <w:rPr>
                <w:noProof/>
              </w:rPr>
              <w:t>2 % din masa produsului fertilizant cu marcaj CE constă într-un oligoelement solubil în apă</w:t>
            </w:r>
          </w:p>
        </w:tc>
      </w:tr>
      <w:tr>
        <w:tc>
          <w:tcPr>
            <w:tcW w:w="2943" w:type="dxa"/>
            <w:shd w:val="clear" w:color="auto" w:fill="auto"/>
          </w:tcPr>
          <w:p>
            <w:pPr>
              <w:jc w:val="left"/>
              <w:rPr>
                <w:noProof/>
              </w:rPr>
            </w:pPr>
            <w:r>
              <w:rPr>
                <w:noProof/>
              </w:rPr>
              <w:t>Îngrășământ cu oligoelemente în suspensie</w:t>
            </w:r>
          </w:p>
        </w:tc>
        <w:tc>
          <w:tcPr>
            <w:tcW w:w="3402" w:type="dxa"/>
          </w:tcPr>
          <w:p>
            <w:pPr>
              <w:jc w:val="left"/>
              <w:rPr>
                <w:noProof/>
              </w:rPr>
            </w:pPr>
            <w:r>
              <w:rPr>
                <w:noProof/>
              </w:rPr>
              <w:t>Produs obținut prin suspensia a diferite forme ale unui îngrășământ cu oligoelemente</w:t>
            </w:r>
          </w:p>
        </w:tc>
        <w:tc>
          <w:tcPr>
            <w:tcW w:w="2944" w:type="dxa"/>
            <w:shd w:val="clear" w:color="auto" w:fill="auto"/>
          </w:tcPr>
          <w:p>
            <w:pPr>
              <w:jc w:val="left"/>
              <w:rPr>
                <w:noProof/>
              </w:rPr>
            </w:pPr>
            <w:r>
              <w:rPr>
                <w:noProof/>
              </w:rPr>
              <w:t>2 % din masa produsului fertilizant cu marcaj CE constă într-un oligoelement</w:t>
            </w:r>
          </w:p>
        </w:tc>
      </w:tr>
      <w:tr>
        <w:tc>
          <w:tcPr>
            <w:tcW w:w="2943" w:type="dxa"/>
            <w:shd w:val="clear" w:color="auto" w:fill="auto"/>
          </w:tcPr>
          <w:p>
            <w:pPr>
              <w:jc w:val="left"/>
              <w:rPr>
                <w:noProof/>
              </w:rPr>
            </w:pPr>
            <w:r>
              <w:rPr>
                <w:noProof/>
              </w:rPr>
              <w:t>Îngrășământ cu oligoelemente chelat</w:t>
            </w:r>
          </w:p>
        </w:tc>
        <w:tc>
          <w:tcPr>
            <w:tcW w:w="3402" w:type="dxa"/>
          </w:tcPr>
          <w:p>
            <w:pPr>
              <w:jc w:val="left"/>
              <w:rPr>
                <w:noProof/>
              </w:rPr>
            </w:pPr>
            <w:r>
              <w:rPr>
                <w:noProof/>
              </w:rPr>
              <w:t>Produs solubil în apă în care oligoelementul declarat este combinat chimic cu unul sau mai mulți agenți de chelare care îndeplinesc cerințele de la punctul CFP 5(B)</w:t>
            </w:r>
          </w:p>
        </w:tc>
        <w:tc>
          <w:tcPr>
            <w:tcW w:w="2944" w:type="dxa"/>
            <w:shd w:val="clear" w:color="auto" w:fill="auto"/>
          </w:tcPr>
          <w:p>
            <w:pPr>
              <w:numPr>
                <w:ilvl w:val="0"/>
                <w:numId w:val="11"/>
              </w:numPr>
              <w:jc w:val="left"/>
              <w:rPr>
                <w:noProof/>
              </w:rPr>
            </w:pPr>
            <w:r>
              <w:rPr>
                <w:noProof/>
              </w:rPr>
              <w:t xml:space="preserve">5 % din masa produsului fertilizant cu marcaj CE constă într-un oligoelement solubil în apă și </w:t>
            </w:r>
          </w:p>
          <w:p>
            <w:pPr>
              <w:numPr>
                <w:ilvl w:val="0"/>
                <w:numId w:val="11"/>
              </w:numPr>
              <w:jc w:val="left"/>
              <w:rPr>
                <w:noProof/>
              </w:rPr>
            </w:pPr>
            <w:r>
              <w:rPr>
                <w:noProof/>
              </w:rPr>
              <w:t>cel puțin 80 % din oligoelementul solubil în apă este chelat cu un agent de chelare care îndeplinește cerințele de la punctul CFP 5(B)</w:t>
            </w:r>
          </w:p>
        </w:tc>
      </w:tr>
      <w:tr>
        <w:tc>
          <w:tcPr>
            <w:tcW w:w="2943" w:type="dxa"/>
            <w:shd w:val="clear" w:color="auto" w:fill="auto"/>
          </w:tcPr>
          <w:p>
            <w:pPr>
              <w:keepNext/>
              <w:jc w:val="left"/>
              <w:rPr>
                <w:noProof/>
              </w:rPr>
            </w:pPr>
            <w:r>
              <w:rPr>
                <w:noProof/>
              </w:rPr>
              <w:t>Îngrășământ cu oligoelemente complex</w:t>
            </w:r>
          </w:p>
        </w:tc>
        <w:tc>
          <w:tcPr>
            <w:tcW w:w="3402" w:type="dxa"/>
          </w:tcPr>
          <w:p>
            <w:pPr>
              <w:keepNext/>
              <w:jc w:val="left"/>
              <w:rPr>
                <w:noProof/>
              </w:rPr>
            </w:pPr>
            <w:r>
              <w:rPr>
                <w:noProof/>
              </w:rPr>
              <w:t>Produs solubil în apă în care oligoelementul declarat este combinat chimic cu unul sau mai mulți agenți de complexare care îndeplinesc cerințele de la punctul CFP 5(C)</w:t>
            </w:r>
          </w:p>
        </w:tc>
        <w:tc>
          <w:tcPr>
            <w:tcW w:w="2944" w:type="dxa"/>
            <w:shd w:val="clear" w:color="auto" w:fill="auto"/>
          </w:tcPr>
          <w:p>
            <w:pPr>
              <w:keepNext/>
              <w:numPr>
                <w:ilvl w:val="0"/>
                <w:numId w:val="11"/>
              </w:numPr>
              <w:jc w:val="left"/>
              <w:rPr>
                <w:noProof/>
              </w:rPr>
            </w:pPr>
            <w:r>
              <w:rPr>
                <w:noProof/>
              </w:rPr>
              <w:t xml:space="preserve">5 % din masa produsului fertilizant cu marcaj CE constă într-un oligoelement solubil în apă și </w:t>
            </w:r>
          </w:p>
          <w:p>
            <w:pPr>
              <w:keepNext/>
              <w:numPr>
                <w:ilvl w:val="0"/>
                <w:numId w:val="11"/>
              </w:numPr>
              <w:jc w:val="left"/>
              <w:rPr>
                <w:noProof/>
              </w:rPr>
            </w:pPr>
            <w:r>
              <w:rPr>
                <w:noProof/>
              </w:rPr>
              <w:t>cel puțin 80 % din oligoelementul solubil în apă este complexat cu un agent de complexare care îndeplinește cerințele de la punctul CFP 5(C)</w:t>
            </w:r>
          </w:p>
        </w:tc>
      </w:tr>
    </w:tbl>
    <w:p>
      <w:pPr>
        <w:pStyle w:val="ManualHeading4"/>
        <w:rPr>
          <w:noProof/>
          <w:u w:val="single"/>
        </w:rPr>
      </w:pPr>
      <w:bookmarkStart w:id="16" w:name="_Toc432153206"/>
      <w:r>
        <w:rPr>
          <w:noProof/>
          <w:u w:val="single"/>
        </w:rPr>
        <w:t>CFP 1(C)(II)(b): Îngrășământ anorganic compus cu oligoelemente</w:t>
      </w:r>
      <w:bookmarkEnd w:id="16"/>
    </w:p>
    <w:p>
      <w:pPr>
        <w:pStyle w:val="NumPar1"/>
        <w:numPr>
          <w:ilvl w:val="0"/>
          <w:numId w:val="44"/>
        </w:numPr>
        <w:rPr>
          <w:noProof/>
        </w:rPr>
      </w:pPr>
      <w:r>
        <w:rPr>
          <w:noProof/>
        </w:rPr>
        <w:lastRenderedPageBreak/>
        <w:t>Un îngrășământ anorganic compus cu oligoelemente are un conținut declarat de mai multe oligoelemente.</w:t>
      </w:r>
    </w:p>
    <w:p>
      <w:pPr>
        <w:pStyle w:val="NumPar1"/>
        <w:keepNext/>
        <w:numPr>
          <w:ilvl w:val="0"/>
          <w:numId w:val="12"/>
        </w:numPr>
        <w:ind w:left="851" w:hanging="851"/>
        <w:rPr>
          <w:noProof/>
        </w:rPr>
      </w:pPr>
      <w:r>
        <w:rPr>
          <w:noProof/>
        </w:rPr>
        <w:t>Produsul fertilizant cu marcaj CE conține nutrienții declarați cel puțin în cantitățile următoare:</w:t>
      </w:r>
    </w:p>
    <w:p>
      <w:pPr>
        <w:pStyle w:val="Bullet1"/>
        <w:keepNext/>
        <w:numPr>
          <w:ilvl w:val="0"/>
          <w:numId w:val="13"/>
        </w:numPr>
        <w:ind w:left="1418"/>
        <w:rPr>
          <w:noProof/>
        </w:rPr>
      </w:pPr>
      <w:r>
        <w:rPr>
          <w:noProof/>
        </w:rPr>
        <w:t>2 % din masă pentru îngrășăminte în suspensie sau în soluție („îngrășăminte anorganice lichide compuse cu oligoelemente”), unde</w:t>
      </w:r>
    </w:p>
    <w:p>
      <w:pPr>
        <w:pStyle w:val="Bullet2"/>
        <w:numPr>
          <w:ilvl w:val="0"/>
          <w:numId w:val="16"/>
        </w:numPr>
        <w:rPr>
          <w:noProof/>
        </w:rPr>
      </w:pPr>
      <w:r>
        <w:rPr>
          <w:noProof/>
        </w:rPr>
        <w:t>„suspensie” înseamnă o dispersie în două faze în care particulele solide sunt menținute în suspensie în faza lichidă și</w:t>
      </w:r>
    </w:p>
    <w:p>
      <w:pPr>
        <w:pStyle w:val="Bullet2"/>
        <w:rPr>
          <w:noProof/>
        </w:rPr>
      </w:pPr>
      <w:r>
        <w:rPr>
          <w:noProof/>
        </w:rPr>
        <w:t xml:space="preserve">„soluție” înseamnă un lichid care nu conține particule solide și </w:t>
      </w:r>
    </w:p>
    <w:p>
      <w:pPr>
        <w:pStyle w:val="Bullet1"/>
        <w:numPr>
          <w:ilvl w:val="0"/>
          <w:numId w:val="13"/>
        </w:numPr>
        <w:rPr>
          <w:noProof/>
        </w:rPr>
      </w:pPr>
      <w:r>
        <w:rPr>
          <w:noProof/>
        </w:rPr>
        <w:t>5 % din masă pentru alte îngrășăminte („îngrășăminte anorganice solide compuse cu oligoelemente”).</w:t>
      </w:r>
    </w:p>
    <w:p>
      <w:pPr>
        <w:pStyle w:val="ManualHeading1"/>
        <w:spacing w:before="240"/>
        <w:rPr>
          <w:noProof/>
        </w:rPr>
      </w:pPr>
      <w:bookmarkStart w:id="17" w:name="_Toc432153207"/>
      <w:r>
        <w:rPr>
          <w:noProof/>
        </w:rPr>
        <w:t>CFP 2: Amendament mineral bazic</w:t>
      </w:r>
      <w:bookmarkEnd w:id="17"/>
    </w:p>
    <w:p>
      <w:pPr>
        <w:pStyle w:val="NumPar1"/>
        <w:numPr>
          <w:ilvl w:val="0"/>
          <w:numId w:val="45"/>
        </w:numPr>
        <w:rPr>
          <w:noProof/>
        </w:rPr>
      </w:pPr>
      <w:r>
        <w:rPr>
          <w:noProof/>
        </w:rPr>
        <w:t>Un amendament mineral bazic este un produs fertilizant cu marcaj CE menit să corecteze aciditatea solului și care conține oxizi, hidroxizi, carbonați sau silicați de calciu (Ca) sau de magneziu (Mg).</w:t>
      </w:r>
    </w:p>
    <w:p>
      <w:pPr>
        <w:pStyle w:val="NumPar1"/>
        <w:keepNext/>
        <w:numPr>
          <w:ilvl w:val="0"/>
          <w:numId w:val="15"/>
        </w:numPr>
        <w:ind w:left="851" w:hanging="851"/>
        <w:rPr>
          <w:noProof/>
        </w:rPr>
      </w:pPr>
      <w:r>
        <w:rPr>
          <w:noProof/>
        </w:rPr>
        <w:t>În produsele fertilizante cu marcaj CE, cantitatea de contaminanți nu trebuie să depășească următoarele valori:</w:t>
      </w:r>
    </w:p>
    <w:p>
      <w:pPr>
        <w:pStyle w:val="Bullet1"/>
        <w:numPr>
          <w:ilvl w:val="0"/>
          <w:numId w:val="13"/>
        </w:numPr>
        <w:tabs>
          <w:tab w:val="left" w:pos="4395"/>
        </w:tabs>
        <w:ind w:left="1418"/>
        <w:rPr>
          <w:noProof/>
        </w:rPr>
      </w:pPr>
      <w:r>
        <w:rPr>
          <w:noProof/>
        </w:rPr>
        <w:t>cadmiu (Cd)</w:t>
      </w:r>
      <w:r>
        <w:rPr>
          <w:noProof/>
        </w:rPr>
        <w:tab/>
        <w:t>3 mg/kg substanță uscată,</w:t>
      </w:r>
    </w:p>
    <w:p>
      <w:pPr>
        <w:pStyle w:val="Bullet1"/>
        <w:numPr>
          <w:ilvl w:val="0"/>
          <w:numId w:val="13"/>
        </w:numPr>
        <w:tabs>
          <w:tab w:val="left" w:pos="4395"/>
        </w:tabs>
        <w:ind w:left="1418"/>
        <w:rPr>
          <w:noProof/>
        </w:rPr>
      </w:pPr>
      <w:r>
        <w:rPr>
          <w:noProof/>
        </w:rPr>
        <w:t>crom hexavalent (Cr VI)</w:t>
      </w:r>
      <w:r>
        <w:rPr>
          <w:noProof/>
        </w:rPr>
        <w:tab/>
        <w:t>2 mg/kg substanță uscată,</w:t>
      </w:r>
    </w:p>
    <w:p>
      <w:pPr>
        <w:pStyle w:val="Bullet1"/>
        <w:numPr>
          <w:ilvl w:val="0"/>
          <w:numId w:val="13"/>
        </w:numPr>
        <w:tabs>
          <w:tab w:val="left" w:pos="4395"/>
        </w:tabs>
        <w:ind w:left="1418"/>
        <w:rPr>
          <w:noProof/>
        </w:rPr>
      </w:pPr>
      <w:r>
        <w:rPr>
          <w:noProof/>
        </w:rPr>
        <w:t>mercur (Hg)</w:t>
      </w:r>
      <w:r>
        <w:rPr>
          <w:noProof/>
        </w:rPr>
        <w:tab/>
        <w:t>2 mg/kg substanță uscată,</w:t>
      </w:r>
    </w:p>
    <w:p>
      <w:pPr>
        <w:pStyle w:val="Bullet1"/>
        <w:numPr>
          <w:ilvl w:val="0"/>
          <w:numId w:val="13"/>
        </w:numPr>
        <w:tabs>
          <w:tab w:val="left" w:pos="4395"/>
        </w:tabs>
        <w:ind w:left="1418"/>
        <w:rPr>
          <w:noProof/>
        </w:rPr>
      </w:pPr>
      <w:r>
        <w:rPr>
          <w:noProof/>
        </w:rPr>
        <w:t>nichel (Ni)</w:t>
      </w:r>
      <w:r>
        <w:rPr>
          <w:noProof/>
        </w:rPr>
        <w:tab/>
        <w:t>90 mg/kg substanță uscată,</w:t>
      </w:r>
    </w:p>
    <w:p>
      <w:pPr>
        <w:pStyle w:val="Bullet1"/>
        <w:numPr>
          <w:ilvl w:val="0"/>
          <w:numId w:val="13"/>
        </w:numPr>
        <w:tabs>
          <w:tab w:val="left" w:pos="4395"/>
        </w:tabs>
        <w:ind w:left="1418"/>
        <w:rPr>
          <w:noProof/>
        </w:rPr>
      </w:pPr>
      <w:r>
        <w:rPr>
          <w:noProof/>
        </w:rPr>
        <w:t>plumb (Pb)</w:t>
      </w:r>
      <w:r>
        <w:rPr>
          <w:noProof/>
        </w:rPr>
        <w:tab/>
        <w:t>200 mg/kg de substanță uscată și</w:t>
      </w:r>
    </w:p>
    <w:p>
      <w:pPr>
        <w:pStyle w:val="Bullet1"/>
        <w:numPr>
          <w:ilvl w:val="0"/>
          <w:numId w:val="13"/>
        </w:numPr>
        <w:tabs>
          <w:tab w:val="left" w:pos="4395"/>
        </w:tabs>
        <w:ind w:left="1418"/>
        <w:rPr>
          <w:noProof/>
        </w:rPr>
      </w:pPr>
      <w:r>
        <w:rPr>
          <w:noProof/>
        </w:rPr>
        <w:t>arsen (As)</w:t>
      </w:r>
      <w:r>
        <w:rPr>
          <w:noProof/>
        </w:rPr>
        <w:tab/>
        <w:t>120 mg/kg substanță uscată.</w:t>
      </w:r>
    </w:p>
    <w:p>
      <w:pPr>
        <w:pStyle w:val="NumPar1"/>
        <w:keepNext/>
        <w:numPr>
          <w:ilvl w:val="0"/>
          <w:numId w:val="12"/>
        </w:numPr>
        <w:ind w:left="851" w:hanging="851"/>
        <w:rPr>
          <w:noProof/>
        </w:rPr>
      </w:pPr>
      <w:r>
        <w:rPr>
          <w:noProof/>
        </w:rPr>
        <w:t>Trebuie să fie respectați următorii parametri, determinați pe substanța uscată:</w:t>
      </w:r>
    </w:p>
    <w:p>
      <w:pPr>
        <w:pStyle w:val="Bullet1"/>
        <w:numPr>
          <w:ilvl w:val="0"/>
          <w:numId w:val="13"/>
        </w:numPr>
        <w:rPr>
          <w:noProof/>
        </w:rPr>
      </w:pPr>
      <w:r>
        <w:rPr>
          <w:noProof/>
        </w:rPr>
        <w:t>valoarea neutralizantă minimă: 15 (echivalent CoO) sau 9 (echivalent HO</w:t>
      </w:r>
      <w:r>
        <w:rPr>
          <w:noProof/>
          <w:vertAlign w:val="superscript"/>
        </w:rPr>
        <w:t>-</w:t>
      </w:r>
      <w:r>
        <w:rPr>
          <w:noProof/>
        </w:rPr>
        <w:t>) și</w:t>
      </w:r>
    </w:p>
    <w:p>
      <w:pPr>
        <w:pStyle w:val="Bullet1"/>
        <w:numPr>
          <w:ilvl w:val="0"/>
          <w:numId w:val="13"/>
        </w:numPr>
        <w:rPr>
          <w:noProof/>
        </w:rPr>
      </w:pPr>
      <w:r>
        <w:rPr>
          <w:noProof/>
        </w:rPr>
        <w:t xml:space="preserve">reactivitatea minimă: </w:t>
      </w:r>
      <w:r>
        <w:rPr>
          <w:noProof/>
        </w:rPr>
        <w:tab/>
        <w:t>10 % sau 50 % după 6 luni (test de incubare).</w:t>
      </w:r>
    </w:p>
    <w:p>
      <w:pPr>
        <w:pStyle w:val="ManualHeading1"/>
        <w:spacing w:before="240"/>
        <w:rPr>
          <w:noProof/>
        </w:rPr>
      </w:pPr>
      <w:bookmarkStart w:id="18" w:name="_Toc432153208"/>
      <w:r>
        <w:rPr>
          <w:noProof/>
        </w:rPr>
        <w:t>CFP 3: Ameliorator de sol</w:t>
      </w:r>
      <w:bookmarkEnd w:id="18"/>
    </w:p>
    <w:p>
      <w:pPr>
        <w:pStyle w:val="Text1"/>
        <w:rPr>
          <w:noProof/>
        </w:rPr>
      </w:pPr>
      <w:r>
        <w:rPr>
          <w:noProof/>
        </w:rPr>
        <w:t>Un ameliorator de sol este un produs fertilizant cu marcaj CE care se adaugă solului în vederea menținerii, îmbunătățirii sau protejării proprietăților fizice sau chimice, a structurii sau a activității biologice a acestuia.</w:t>
      </w:r>
    </w:p>
    <w:p>
      <w:pPr>
        <w:pStyle w:val="ManualHeading2"/>
        <w:rPr>
          <w:noProof/>
        </w:rPr>
      </w:pPr>
      <w:bookmarkStart w:id="19" w:name="_Toc432153209"/>
      <w:r>
        <w:rPr>
          <w:noProof/>
        </w:rPr>
        <w:t>CFP 3(A): Ameliorator organic de sol</w:t>
      </w:r>
      <w:bookmarkEnd w:id="19"/>
    </w:p>
    <w:p>
      <w:pPr>
        <w:pStyle w:val="NumPar1"/>
        <w:numPr>
          <w:ilvl w:val="0"/>
          <w:numId w:val="46"/>
        </w:numPr>
        <w:rPr>
          <w:noProof/>
        </w:rPr>
      </w:pPr>
      <w:r>
        <w:rPr>
          <w:noProof/>
        </w:rPr>
        <w:t>Un ameliorator organic de sol este compus numai din materiale de origine exclusiv biologică, cu excluderea materialelor fosilizate sau încorporate în formațiuni geologice.</w:t>
      </w:r>
    </w:p>
    <w:p>
      <w:pPr>
        <w:pStyle w:val="NumPar1"/>
        <w:keepNext/>
        <w:numPr>
          <w:ilvl w:val="0"/>
          <w:numId w:val="12"/>
        </w:numPr>
        <w:ind w:left="851" w:hanging="851"/>
        <w:rPr>
          <w:noProof/>
        </w:rPr>
      </w:pPr>
      <w:r>
        <w:rPr>
          <w:noProof/>
        </w:rPr>
        <w:t>În produsele fertilizante cu marcaj CE, cantitatea de contaminanți nu trebuie să depășească următoarele valori:</w:t>
      </w:r>
    </w:p>
    <w:p>
      <w:pPr>
        <w:pStyle w:val="Bullet1"/>
        <w:numPr>
          <w:ilvl w:val="0"/>
          <w:numId w:val="13"/>
        </w:numPr>
        <w:tabs>
          <w:tab w:val="left" w:pos="4678"/>
        </w:tabs>
        <w:rPr>
          <w:noProof/>
        </w:rPr>
      </w:pPr>
      <w:r>
        <w:rPr>
          <w:noProof/>
        </w:rPr>
        <w:t>cadmiu (Cd)</w:t>
      </w:r>
      <w:r>
        <w:rPr>
          <w:noProof/>
        </w:rPr>
        <w:tab/>
        <w:t>3 mg/kg substanță uscată,</w:t>
      </w:r>
    </w:p>
    <w:p>
      <w:pPr>
        <w:pStyle w:val="Bullet1"/>
        <w:numPr>
          <w:ilvl w:val="0"/>
          <w:numId w:val="13"/>
        </w:numPr>
        <w:tabs>
          <w:tab w:val="left" w:pos="4678"/>
        </w:tabs>
        <w:rPr>
          <w:noProof/>
        </w:rPr>
      </w:pPr>
      <w:r>
        <w:rPr>
          <w:noProof/>
        </w:rPr>
        <w:lastRenderedPageBreak/>
        <w:t>crom hexavalent (Cr VI)</w:t>
      </w:r>
      <w:r>
        <w:rPr>
          <w:noProof/>
        </w:rPr>
        <w:tab/>
        <w:t>2 mg/kg substanță uscată,</w:t>
      </w:r>
    </w:p>
    <w:p>
      <w:pPr>
        <w:pStyle w:val="Bullet1"/>
        <w:numPr>
          <w:ilvl w:val="0"/>
          <w:numId w:val="13"/>
        </w:numPr>
        <w:tabs>
          <w:tab w:val="left" w:pos="4678"/>
        </w:tabs>
        <w:rPr>
          <w:noProof/>
        </w:rPr>
      </w:pPr>
      <w:r>
        <w:rPr>
          <w:noProof/>
        </w:rPr>
        <w:t>mercur (Hg)</w:t>
      </w:r>
      <w:r>
        <w:rPr>
          <w:noProof/>
        </w:rPr>
        <w:tab/>
        <w:t>1 mg/kg substanță uscată,</w:t>
      </w:r>
    </w:p>
    <w:p>
      <w:pPr>
        <w:pStyle w:val="Bullet1"/>
        <w:numPr>
          <w:ilvl w:val="0"/>
          <w:numId w:val="13"/>
        </w:numPr>
        <w:tabs>
          <w:tab w:val="left" w:pos="4678"/>
        </w:tabs>
        <w:rPr>
          <w:noProof/>
        </w:rPr>
      </w:pPr>
      <w:r>
        <w:rPr>
          <w:noProof/>
        </w:rPr>
        <w:t>nichel (Ni)</w:t>
      </w:r>
      <w:r>
        <w:rPr>
          <w:noProof/>
        </w:rPr>
        <w:tab/>
        <w:t>50 mg/kg substanță uscată și</w:t>
      </w:r>
    </w:p>
    <w:p>
      <w:pPr>
        <w:pStyle w:val="Bullet1"/>
        <w:numPr>
          <w:ilvl w:val="0"/>
          <w:numId w:val="13"/>
        </w:numPr>
        <w:tabs>
          <w:tab w:val="left" w:pos="4678"/>
        </w:tabs>
        <w:rPr>
          <w:noProof/>
        </w:rPr>
      </w:pPr>
      <w:r>
        <w:rPr>
          <w:noProof/>
        </w:rPr>
        <w:t>plumb (Pb)</w:t>
      </w:r>
      <w:r>
        <w:rPr>
          <w:noProof/>
        </w:rPr>
        <w:tab/>
        <w:t>120 mg/kg substanță uscată.</w:t>
      </w:r>
    </w:p>
    <w:p>
      <w:pPr>
        <w:pStyle w:val="NumPar1"/>
        <w:keepNext/>
        <w:numPr>
          <w:ilvl w:val="0"/>
          <w:numId w:val="12"/>
        </w:numPr>
        <w:ind w:left="851" w:hanging="851"/>
        <w:rPr>
          <w:noProof/>
        </w:rPr>
      </w:pPr>
      <w:r>
        <w:rPr>
          <w:noProof/>
        </w:rPr>
        <w:t xml:space="preserve">În cazul în care produsul fertilizant cu marcaj CE conține un subprodus de origine animală în sensul Regulamentului (CE) nr. 1069/2009: </w:t>
      </w:r>
    </w:p>
    <w:p>
      <w:pPr>
        <w:pStyle w:val="Point1letter"/>
        <w:numPr>
          <w:ilvl w:val="3"/>
          <w:numId w:val="47"/>
        </w:numPr>
        <w:rPr>
          <w:noProof/>
        </w:rPr>
      </w:pPr>
      <w:r>
        <w:rPr>
          <w:i/>
          <w:noProof/>
        </w:rPr>
        <w:t>Salmonella spp</w:t>
      </w:r>
      <w:r>
        <w:rPr>
          <w:noProof/>
        </w:rPr>
        <w:t>. trebuie să fie absentă dintr-un eșantion de 25 g de produs fertilizant cu marcaj CE.</w:t>
      </w:r>
    </w:p>
    <w:p>
      <w:pPr>
        <w:pStyle w:val="Point1letter"/>
        <w:keepNext/>
        <w:numPr>
          <w:ilvl w:val="3"/>
          <w:numId w:val="10"/>
        </w:numPr>
        <w:ind w:left="1418"/>
        <w:rPr>
          <w:noProof/>
        </w:rPr>
      </w:pPr>
      <w:r>
        <w:rPr>
          <w:noProof/>
        </w:rPr>
        <w:t>Niciunul dintre următoarele două tipuri de bacterii nu trebuie să fie prezent în produsul fertilizant cu marcaj CE în concentrații mai mari de 1 000 CFU/g de masă proaspătă:</w:t>
      </w:r>
    </w:p>
    <w:p>
      <w:pPr>
        <w:pStyle w:val="Bullet2"/>
        <w:rPr>
          <w:noProof/>
        </w:rPr>
      </w:pPr>
      <w:r>
        <w:rPr>
          <w:i/>
          <w:noProof/>
        </w:rPr>
        <w:t>Escherichia coli</w:t>
      </w:r>
      <w:r>
        <w:rPr>
          <w:noProof/>
        </w:rPr>
        <w:t xml:space="preserve"> sau</w:t>
      </w:r>
    </w:p>
    <w:p>
      <w:pPr>
        <w:pStyle w:val="Bullet2"/>
        <w:keepNext/>
        <w:ind w:left="1985"/>
        <w:rPr>
          <w:noProof/>
        </w:rPr>
      </w:pPr>
      <w:r>
        <w:rPr>
          <w:noProof/>
        </w:rPr>
        <w:t>Enterococcaceae.</w:t>
      </w:r>
    </w:p>
    <w:p>
      <w:pPr>
        <w:pStyle w:val="Text2"/>
        <w:rPr>
          <w:noProof/>
        </w:rPr>
      </w:pPr>
      <w:r>
        <w:rPr>
          <w:noProof/>
        </w:rPr>
        <w:t>Aceasta se demonstrează prin măsurarea prezenței a cel puțin unuia dintre cele două tipuri de bacterii.</w:t>
      </w:r>
    </w:p>
    <w:p>
      <w:pPr>
        <w:pStyle w:val="NumPar1"/>
        <w:numPr>
          <w:ilvl w:val="0"/>
          <w:numId w:val="12"/>
        </w:numPr>
        <w:rPr>
          <w:noProof/>
        </w:rPr>
      </w:pPr>
      <w:r>
        <w:rPr>
          <w:noProof/>
        </w:rPr>
        <w:t>Produsul fertilizant cu marcaj CE conține minimum 40 % substanță uscată.</w:t>
      </w:r>
    </w:p>
    <w:p>
      <w:pPr>
        <w:pStyle w:val="NumPar1"/>
        <w:numPr>
          <w:ilvl w:val="0"/>
          <w:numId w:val="12"/>
        </w:numPr>
        <w:rPr>
          <w:noProof/>
        </w:rPr>
      </w:pPr>
      <w:r>
        <w:rPr>
          <w:noProof/>
        </w:rPr>
        <w:t>Carbonul (C) organic este prezent în produsul fertilizant cu marcaj CE în proporție de cel puțin 7,5 % din masă.</w:t>
      </w:r>
    </w:p>
    <w:p>
      <w:pPr>
        <w:pStyle w:val="ManualHeading2"/>
        <w:rPr>
          <w:noProof/>
        </w:rPr>
      </w:pPr>
      <w:bookmarkStart w:id="20" w:name="_Toc432153212"/>
      <w:r>
        <w:rPr>
          <w:noProof/>
        </w:rPr>
        <w:t>CFP 3(B): Ameliorator anorganic de sol</w:t>
      </w:r>
      <w:bookmarkEnd w:id="20"/>
    </w:p>
    <w:p>
      <w:pPr>
        <w:pStyle w:val="NumPar1"/>
        <w:numPr>
          <w:ilvl w:val="0"/>
          <w:numId w:val="48"/>
        </w:numPr>
        <w:rPr>
          <w:noProof/>
        </w:rPr>
      </w:pPr>
      <w:r>
        <w:rPr>
          <w:noProof/>
        </w:rPr>
        <w:t>Un ameliorator anorganic de sol este un ameliorator de sol care nu este organic.</w:t>
      </w:r>
    </w:p>
    <w:p>
      <w:pPr>
        <w:pStyle w:val="NumPar1"/>
        <w:keepNext/>
        <w:numPr>
          <w:ilvl w:val="0"/>
          <w:numId w:val="15"/>
        </w:numPr>
        <w:rPr>
          <w:noProof/>
        </w:rPr>
      </w:pPr>
      <w:r>
        <w:rPr>
          <w:noProof/>
        </w:rPr>
        <w:t>În produsele fertilizante cu marcaj CE, cantitatea de contaminanți nu trebuie să depășească următoarele valori:</w:t>
      </w:r>
    </w:p>
    <w:p>
      <w:pPr>
        <w:pStyle w:val="Bullet1"/>
        <w:numPr>
          <w:ilvl w:val="0"/>
          <w:numId w:val="13"/>
        </w:numPr>
        <w:tabs>
          <w:tab w:val="left" w:pos="4678"/>
        </w:tabs>
        <w:rPr>
          <w:noProof/>
        </w:rPr>
      </w:pPr>
      <w:r>
        <w:rPr>
          <w:noProof/>
        </w:rPr>
        <w:t>cadmiu (Cd)</w:t>
      </w:r>
      <w:r>
        <w:rPr>
          <w:noProof/>
        </w:rPr>
        <w:tab/>
        <w:t>1,5 mg/kg substanță uscată,</w:t>
      </w:r>
    </w:p>
    <w:p>
      <w:pPr>
        <w:pStyle w:val="Bullet1"/>
        <w:numPr>
          <w:ilvl w:val="0"/>
          <w:numId w:val="13"/>
        </w:numPr>
        <w:tabs>
          <w:tab w:val="left" w:pos="4678"/>
        </w:tabs>
        <w:rPr>
          <w:noProof/>
        </w:rPr>
      </w:pPr>
      <w:r>
        <w:rPr>
          <w:noProof/>
        </w:rPr>
        <w:t>crom hexavalent (Cr VI)</w:t>
      </w:r>
      <w:r>
        <w:rPr>
          <w:noProof/>
        </w:rPr>
        <w:tab/>
        <w:t>2 mg/kg substanță uscată,</w:t>
      </w:r>
    </w:p>
    <w:p>
      <w:pPr>
        <w:pStyle w:val="Bullet1"/>
        <w:numPr>
          <w:ilvl w:val="0"/>
          <w:numId w:val="13"/>
        </w:numPr>
        <w:tabs>
          <w:tab w:val="left" w:pos="4678"/>
        </w:tabs>
        <w:rPr>
          <w:noProof/>
        </w:rPr>
      </w:pPr>
      <w:r>
        <w:rPr>
          <w:noProof/>
        </w:rPr>
        <w:t>mercur (Hg)</w:t>
      </w:r>
      <w:r>
        <w:rPr>
          <w:noProof/>
        </w:rPr>
        <w:tab/>
        <w:t>1 mg/kg substanță uscată,</w:t>
      </w:r>
    </w:p>
    <w:p>
      <w:pPr>
        <w:pStyle w:val="Bullet1"/>
        <w:numPr>
          <w:ilvl w:val="0"/>
          <w:numId w:val="13"/>
        </w:numPr>
        <w:tabs>
          <w:tab w:val="left" w:pos="4678"/>
        </w:tabs>
        <w:rPr>
          <w:noProof/>
        </w:rPr>
      </w:pPr>
      <w:r>
        <w:rPr>
          <w:noProof/>
        </w:rPr>
        <w:t>nichel (Ni)</w:t>
      </w:r>
      <w:r>
        <w:rPr>
          <w:noProof/>
        </w:rPr>
        <w:tab/>
        <w:t>100 mg/kg substanță uscată și</w:t>
      </w:r>
    </w:p>
    <w:p>
      <w:pPr>
        <w:pStyle w:val="Bullet1"/>
        <w:numPr>
          <w:ilvl w:val="0"/>
          <w:numId w:val="13"/>
        </w:numPr>
        <w:tabs>
          <w:tab w:val="left" w:pos="4678"/>
        </w:tabs>
        <w:rPr>
          <w:noProof/>
        </w:rPr>
      </w:pPr>
      <w:r>
        <w:rPr>
          <w:noProof/>
        </w:rPr>
        <w:t>plumb (Pb)</w:t>
      </w:r>
      <w:r>
        <w:rPr>
          <w:noProof/>
        </w:rPr>
        <w:tab/>
        <w:t>150 mg/kg substanță uscată.</w:t>
      </w:r>
    </w:p>
    <w:p>
      <w:pPr>
        <w:pStyle w:val="ManualHeading1"/>
        <w:rPr>
          <w:noProof/>
        </w:rPr>
      </w:pPr>
      <w:bookmarkStart w:id="21" w:name="_Toc432153213"/>
      <w:r>
        <w:rPr>
          <w:noProof/>
        </w:rPr>
        <w:t>CFP 4: Substraturi de cultură</w:t>
      </w:r>
      <w:bookmarkEnd w:id="21"/>
    </w:p>
    <w:p>
      <w:pPr>
        <w:pStyle w:val="NumPar1"/>
        <w:numPr>
          <w:ilvl w:val="0"/>
          <w:numId w:val="49"/>
        </w:numPr>
        <w:rPr>
          <w:noProof/>
        </w:rPr>
      </w:pPr>
      <w:r>
        <w:rPr>
          <w:noProof/>
        </w:rPr>
        <w:t>Un substrat de cultură este un material altul decât solul destinat utilizării ca substrat pentru dezvoltarea rădăcinii.</w:t>
      </w:r>
    </w:p>
    <w:p>
      <w:pPr>
        <w:pStyle w:val="NumPar1"/>
        <w:keepNext/>
        <w:numPr>
          <w:ilvl w:val="0"/>
          <w:numId w:val="12"/>
        </w:numPr>
        <w:ind w:left="851" w:hanging="851"/>
        <w:rPr>
          <w:noProof/>
        </w:rPr>
      </w:pPr>
      <w:r>
        <w:rPr>
          <w:noProof/>
        </w:rPr>
        <w:t>În produsele fertilizante cu marcaj CE, cantitatea de contaminanți nu trebuie să depășească următoarele valori:</w:t>
      </w:r>
    </w:p>
    <w:p>
      <w:pPr>
        <w:pStyle w:val="Bullet1"/>
        <w:numPr>
          <w:ilvl w:val="0"/>
          <w:numId w:val="13"/>
        </w:numPr>
        <w:tabs>
          <w:tab w:val="left" w:pos="4678"/>
        </w:tabs>
        <w:rPr>
          <w:noProof/>
        </w:rPr>
      </w:pPr>
      <w:r>
        <w:rPr>
          <w:noProof/>
        </w:rPr>
        <w:t>cadmiu (Cd)</w:t>
      </w:r>
      <w:r>
        <w:rPr>
          <w:noProof/>
        </w:rPr>
        <w:tab/>
        <w:t>3 mg/kg substanță uscată,</w:t>
      </w:r>
    </w:p>
    <w:p>
      <w:pPr>
        <w:pStyle w:val="Bullet1"/>
        <w:numPr>
          <w:ilvl w:val="0"/>
          <w:numId w:val="13"/>
        </w:numPr>
        <w:tabs>
          <w:tab w:val="left" w:pos="4678"/>
        </w:tabs>
        <w:rPr>
          <w:noProof/>
        </w:rPr>
      </w:pPr>
      <w:r>
        <w:rPr>
          <w:noProof/>
        </w:rPr>
        <w:t>crom hexavalent (Cr VI)</w:t>
      </w:r>
      <w:r>
        <w:rPr>
          <w:noProof/>
        </w:rPr>
        <w:tab/>
        <w:t>2 mg/kg substanță uscată,</w:t>
      </w:r>
    </w:p>
    <w:p>
      <w:pPr>
        <w:pStyle w:val="Bullet1"/>
        <w:numPr>
          <w:ilvl w:val="0"/>
          <w:numId w:val="13"/>
        </w:numPr>
        <w:tabs>
          <w:tab w:val="left" w:pos="4678"/>
        </w:tabs>
        <w:rPr>
          <w:noProof/>
        </w:rPr>
      </w:pPr>
      <w:r>
        <w:rPr>
          <w:noProof/>
        </w:rPr>
        <w:t>mercur (Hg)</w:t>
      </w:r>
      <w:r>
        <w:rPr>
          <w:noProof/>
        </w:rPr>
        <w:tab/>
        <w:t>1 mg/kg substanță uscată,</w:t>
      </w:r>
    </w:p>
    <w:p>
      <w:pPr>
        <w:pStyle w:val="Bullet1"/>
        <w:numPr>
          <w:ilvl w:val="0"/>
          <w:numId w:val="13"/>
        </w:numPr>
        <w:tabs>
          <w:tab w:val="left" w:pos="4678"/>
        </w:tabs>
        <w:rPr>
          <w:noProof/>
        </w:rPr>
      </w:pPr>
      <w:r>
        <w:rPr>
          <w:noProof/>
        </w:rPr>
        <w:lastRenderedPageBreak/>
        <w:t>nichel (Ni)</w:t>
      </w:r>
      <w:r>
        <w:rPr>
          <w:noProof/>
        </w:rPr>
        <w:tab/>
        <w:t>100 mg/kg substanță uscată și</w:t>
      </w:r>
    </w:p>
    <w:p>
      <w:pPr>
        <w:pStyle w:val="Bullet1"/>
        <w:numPr>
          <w:ilvl w:val="0"/>
          <w:numId w:val="13"/>
        </w:numPr>
        <w:tabs>
          <w:tab w:val="left" w:pos="4678"/>
        </w:tabs>
        <w:rPr>
          <w:noProof/>
        </w:rPr>
      </w:pPr>
      <w:r>
        <w:rPr>
          <w:noProof/>
        </w:rPr>
        <w:t>plumb (Pb)</w:t>
      </w:r>
      <w:r>
        <w:rPr>
          <w:noProof/>
        </w:rPr>
        <w:tab/>
        <w:t>150 mg/kg substanță uscată.</w:t>
      </w:r>
    </w:p>
    <w:p>
      <w:pPr>
        <w:pStyle w:val="NumPar1"/>
        <w:numPr>
          <w:ilvl w:val="0"/>
          <w:numId w:val="12"/>
        </w:numPr>
        <w:rPr>
          <w:noProof/>
        </w:rPr>
      </w:pPr>
      <w:r>
        <w:rPr>
          <w:i/>
          <w:noProof/>
        </w:rPr>
        <w:t>Salmonella spp</w:t>
      </w:r>
      <w:r>
        <w:rPr>
          <w:noProof/>
        </w:rPr>
        <w:t>. trebuie să fie absentă dintr-un eșantion de 25 g de produs fertilizant cu marcaj CE.</w:t>
      </w:r>
    </w:p>
    <w:p>
      <w:pPr>
        <w:pStyle w:val="NumPar1"/>
        <w:keepNext/>
        <w:numPr>
          <w:ilvl w:val="0"/>
          <w:numId w:val="12"/>
        </w:numPr>
        <w:ind w:left="851" w:hanging="851"/>
        <w:rPr>
          <w:noProof/>
        </w:rPr>
      </w:pPr>
      <w:r>
        <w:rPr>
          <w:noProof/>
        </w:rPr>
        <w:t>Niciunul dintre următoarele două tipuri de bacterii nu trebuie să fie prezent în produsul fertilizant cu marcaj CE în concentrații mai mari de 1 000 CFU/g de masă proaspătă:</w:t>
      </w:r>
    </w:p>
    <w:p>
      <w:pPr>
        <w:pStyle w:val="Point1letter"/>
        <w:numPr>
          <w:ilvl w:val="3"/>
          <w:numId w:val="50"/>
        </w:numPr>
        <w:rPr>
          <w:noProof/>
        </w:rPr>
      </w:pPr>
      <w:r>
        <w:rPr>
          <w:i/>
          <w:noProof/>
        </w:rPr>
        <w:t>Escherichia coli</w:t>
      </w:r>
      <w:r>
        <w:rPr>
          <w:noProof/>
        </w:rPr>
        <w:t xml:space="preserve"> sau</w:t>
      </w:r>
    </w:p>
    <w:p>
      <w:pPr>
        <w:pStyle w:val="Point1letter"/>
        <w:keepNext/>
        <w:ind w:left="1418"/>
        <w:rPr>
          <w:noProof/>
        </w:rPr>
      </w:pPr>
      <w:r>
        <w:rPr>
          <w:noProof/>
        </w:rPr>
        <w:t>Enterococcaceae.</w:t>
      </w:r>
    </w:p>
    <w:p>
      <w:pPr>
        <w:pStyle w:val="Text1"/>
        <w:rPr>
          <w:noProof/>
        </w:rPr>
      </w:pPr>
      <w:r>
        <w:rPr>
          <w:noProof/>
        </w:rPr>
        <w:t>Aceasta se demonstrează prin măsurarea prezenței a cel puțin unul dintre cele două tipuri de bacterii.</w:t>
      </w:r>
    </w:p>
    <w:p>
      <w:pPr>
        <w:pStyle w:val="ManualHeading1"/>
        <w:rPr>
          <w:noProof/>
        </w:rPr>
      </w:pPr>
      <w:bookmarkStart w:id="22" w:name="_Toc432153214"/>
      <w:r>
        <w:rPr>
          <w:noProof/>
        </w:rPr>
        <w:t>CFP 5: Aditiv agronomic</w:t>
      </w:r>
      <w:bookmarkEnd w:id="22"/>
    </w:p>
    <w:p>
      <w:pPr>
        <w:pStyle w:val="Text1"/>
        <w:rPr>
          <w:noProof/>
        </w:rPr>
      </w:pPr>
      <w:r>
        <w:rPr>
          <w:noProof/>
        </w:rPr>
        <w:t>Un aditiv agronomic este un produs fertilizant cu marcaj CE menit să fie adăugat unui produs care furnizează nutrienți plantelor, pentru a îmbunătăți caracteristicile de eliberare a nutrienților ale produsului respectiv.</w:t>
      </w:r>
    </w:p>
    <w:p>
      <w:pPr>
        <w:pStyle w:val="ManualHeading3"/>
        <w:rPr>
          <w:b/>
          <w:i w:val="0"/>
          <w:noProof/>
        </w:rPr>
      </w:pPr>
      <w:bookmarkStart w:id="23" w:name="_Toc432153215"/>
      <w:r>
        <w:rPr>
          <w:b/>
          <w:i w:val="0"/>
          <w:noProof/>
        </w:rPr>
        <w:t>CFP 5(A): Inhibitori</w:t>
      </w:r>
      <w:bookmarkEnd w:id="23"/>
    </w:p>
    <w:p>
      <w:pPr>
        <w:pStyle w:val="NumPar1"/>
        <w:numPr>
          <w:ilvl w:val="0"/>
          <w:numId w:val="51"/>
        </w:numPr>
        <w:rPr>
          <w:noProof/>
        </w:rPr>
      </w:pPr>
      <w:r>
        <w:rPr>
          <w:noProof/>
        </w:rPr>
        <w:t>Un inhibitor este o substanță sau un amestec care încetinește sau oprește activitatea unor grupuri specifice de microorganisme sau de enzime.</w:t>
      </w:r>
    </w:p>
    <w:p>
      <w:pPr>
        <w:pStyle w:val="NumPar1"/>
        <w:keepNext/>
        <w:numPr>
          <w:ilvl w:val="0"/>
          <w:numId w:val="12"/>
        </w:numPr>
        <w:ind w:left="851" w:hanging="851"/>
        <w:rPr>
          <w:noProof/>
        </w:rPr>
      </w:pPr>
      <w:r>
        <w:rPr>
          <w:noProof/>
        </w:rPr>
        <w:t>Fiecare astfel de substanță trebuie să fie înregistrată în temeiul Regulamentului (CE) nr. 1907/2006</w:t>
      </w:r>
      <w:r>
        <w:rPr>
          <w:rStyle w:val="FootnoteReference"/>
          <w:noProof/>
        </w:rPr>
        <w:footnoteReference w:id="5"/>
      </w:r>
      <w:r>
        <w:rPr>
          <w:noProof/>
        </w:rPr>
        <w:t>, pe baza unui dosar cuprinzând:</w:t>
      </w:r>
    </w:p>
    <w:p>
      <w:pPr>
        <w:pStyle w:val="Point1letter"/>
        <w:numPr>
          <w:ilvl w:val="3"/>
          <w:numId w:val="52"/>
        </w:numPr>
        <w:rPr>
          <w:noProof/>
        </w:rPr>
      </w:pPr>
      <w:r>
        <w:rPr>
          <w:noProof/>
        </w:rPr>
        <w:t>informațiile prevăzute în anexele VI, VII și VIII la Regulamentul (CE) nr. 1907/2006 și</w:t>
      </w:r>
    </w:p>
    <w:p>
      <w:pPr>
        <w:pStyle w:val="Point1letter"/>
        <w:keepNext/>
        <w:numPr>
          <w:ilvl w:val="3"/>
          <w:numId w:val="10"/>
        </w:numPr>
        <w:ind w:left="1418"/>
        <w:rPr>
          <w:noProof/>
        </w:rPr>
      </w:pPr>
      <w:r>
        <w:rPr>
          <w:noProof/>
        </w:rPr>
        <w:t>un raport de securitate chimică conform articolului 14 din Regulamentul (CE) nr. 1907/2006, care să acopere utilizarea sa ca produs fertilizant,</w:t>
      </w:r>
    </w:p>
    <w:p>
      <w:pPr>
        <w:pStyle w:val="Text1"/>
        <w:rPr>
          <w:noProof/>
        </w:rPr>
      </w:pPr>
      <w:r>
        <w:rPr>
          <w:noProof/>
        </w:rPr>
        <w:t>cu excepția cazului în care substanța este exceptată în mod explicit de obligația de înregistrare prevăzută în anexa IV la regulamentul menționat sau la punctele 6, 7, 8 sau 9 din anexa V la regulamentul menționat.</w:t>
      </w:r>
    </w:p>
    <w:p>
      <w:pPr>
        <w:pStyle w:val="ManualHeading3"/>
        <w:rPr>
          <w:b/>
          <w:noProof/>
        </w:rPr>
      </w:pPr>
      <w:bookmarkStart w:id="24" w:name="_Toc432153216"/>
      <w:r>
        <w:rPr>
          <w:b/>
          <w:noProof/>
        </w:rPr>
        <w:t>CFP 5(A)(I): Inhibitori de nitrificare</w:t>
      </w:r>
      <w:bookmarkEnd w:id="24"/>
    </w:p>
    <w:p>
      <w:pPr>
        <w:pStyle w:val="NumPar1"/>
        <w:numPr>
          <w:ilvl w:val="0"/>
          <w:numId w:val="53"/>
        </w:numPr>
        <w:rPr>
          <w:noProof/>
        </w:rPr>
      </w:pPr>
      <w:r>
        <w:rPr>
          <w:noProof/>
        </w:rPr>
        <w:t>Un inhibitor de nitrificare inhibă oxidarea biologică a azotului amoniacal (NH</w:t>
      </w:r>
      <w:r>
        <w:rPr>
          <w:noProof/>
          <w:vertAlign w:val="subscript"/>
        </w:rPr>
        <w:t>3</w:t>
      </w:r>
      <w:r>
        <w:rPr>
          <w:noProof/>
        </w:rPr>
        <w:t>-N) în nitriți (NO</w:t>
      </w:r>
      <w:r>
        <w:rPr>
          <w:noProof/>
          <w:vertAlign w:val="subscript"/>
        </w:rPr>
        <w:t>2</w:t>
      </w:r>
      <w:r>
        <w:rPr>
          <w:noProof/>
          <w:vertAlign w:val="superscript"/>
        </w:rPr>
        <w:t>-</w:t>
      </w:r>
      <w:r>
        <w:rPr>
          <w:noProof/>
        </w:rPr>
        <w:t>), încetinind astfel formarea nitraților (NO</w:t>
      </w:r>
      <w:r>
        <w:rPr>
          <w:noProof/>
          <w:vertAlign w:val="subscript"/>
        </w:rPr>
        <w:t>3</w:t>
      </w:r>
      <w:r>
        <w:rPr>
          <w:noProof/>
          <w:vertAlign w:val="superscript"/>
        </w:rPr>
        <w:t>-</w:t>
      </w:r>
      <w:r>
        <w:rPr>
          <w:noProof/>
        </w:rPr>
        <w:t>).</w:t>
      </w:r>
    </w:p>
    <w:p>
      <w:pPr>
        <w:pStyle w:val="NumPar1"/>
        <w:keepNext/>
        <w:numPr>
          <w:ilvl w:val="0"/>
          <w:numId w:val="12"/>
        </w:numPr>
        <w:ind w:left="851" w:hanging="851"/>
        <w:rPr>
          <w:noProof/>
        </w:rPr>
      </w:pPr>
      <w:r>
        <w:rPr>
          <w:noProof/>
        </w:rPr>
        <w:t>Un test de incubare a solului care măsoară rata de oxidare a azotului amoniacal (NH</w:t>
      </w:r>
      <w:r>
        <w:rPr>
          <w:noProof/>
          <w:vertAlign w:val="subscript"/>
        </w:rPr>
        <w:t>3</w:t>
      </w:r>
      <w:r>
        <w:rPr>
          <w:noProof/>
        </w:rPr>
        <w:t xml:space="preserve">-N) prin: </w:t>
      </w:r>
    </w:p>
    <w:p>
      <w:pPr>
        <w:pStyle w:val="Bullet1"/>
        <w:numPr>
          <w:ilvl w:val="0"/>
          <w:numId w:val="13"/>
        </w:numPr>
        <w:rPr>
          <w:noProof/>
        </w:rPr>
      </w:pPr>
      <w:r>
        <w:rPr>
          <w:noProof/>
        </w:rPr>
        <w:t>dispariția azotului amoniacal (NH</w:t>
      </w:r>
      <w:r>
        <w:rPr>
          <w:noProof/>
          <w:vertAlign w:val="subscript"/>
        </w:rPr>
        <w:t>3</w:t>
      </w:r>
      <w:r>
        <w:rPr>
          <w:noProof/>
        </w:rPr>
        <w:t xml:space="preserve">-N) sau </w:t>
      </w:r>
    </w:p>
    <w:p>
      <w:pPr>
        <w:pStyle w:val="Bullet1"/>
        <w:keepNext/>
        <w:numPr>
          <w:ilvl w:val="0"/>
          <w:numId w:val="13"/>
        </w:numPr>
        <w:ind w:left="1418"/>
        <w:rPr>
          <w:noProof/>
        </w:rPr>
      </w:pPr>
      <w:r>
        <w:rPr>
          <w:noProof/>
        </w:rPr>
        <w:lastRenderedPageBreak/>
        <w:t>suma producției de nitriți (NO</w:t>
      </w:r>
      <w:r>
        <w:rPr>
          <w:noProof/>
          <w:vertAlign w:val="subscript"/>
        </w:rPr>
        <w:t>2</w:t>
      </w:r>
      <w:r>
        <w:rPr>
          <w:noProof/>
          <w:vertAlign w:val="superscript"/>
        </w:rPr>
        <w:t>-</w:t>
      </w:r>
      <w:r>
        <w:rPr>
          <w:noProof/>
        </w:rPr>
        <w:t>) și de nitrați (NO</w:t>
      </w:r>
      <w:r>
        <w:rPr>
          <w:noProof/>
          <w:vertAlign w:val="subscript"/>
        </w:rPr>
        <w:t>3</w:t>
      </w:r>
      <w:r>
        <w:rPr>
          <w:noProof/>
          <w:vertAlign w:val="superscript"/>
        </w:rPr>
        <w:t>-</w:t>
      </w:r>
      <w:r>
        <w:rPr>
          <w:noProof/>
        </w:rPr>
        <w:t>) în funcție de timp,</w:t>
      </w:r>
    </w:p>
    <w:p>
      <w:pPr>
        <w:pStyle w:val="Text1"/>
        <w:rPr>
          <w:noProof/>
        </w:rPr>
      </w:pPr>
      <w:r>
        <w:rPr>
          <w:noProof/>
        </w:rPr>
        <w:t>într-un eșantion de sol în care a fost adăugat un inhibitor de nitrificare demonstrează o diferență statistică între rata de oxidare a azotului amoniacal (NH</w:t>
      </w:r>
      <w:r>
        <w:rPr>
          <w:noProof/>
          <w:vertAlign w:val="subscript"/>
        </w:rPr>
        <w:t>3</w:t>
      </w:r>
      <w:r>
        <w:rPr>
          <w:noProof/>
        </w:rPr>
        <w:t>-N) din eșantion comparativ cu cea a unui eșantion de control în care nu a fost adăugat inhibitorul de nitrificare.</w:t>
      </w:r>
    </w:p>
    <w:p>
      <w:pPr>
        <w:pStyle w:val="ManualHeading3"/>
        <w:rPr>
          <w:b/>
          <w:noProof/>
        </w:rPr>
      </w:pPr>
      <w:bookmarkStart w:id="25" w:name="_Toc432153217"/>
      <w:r>
        <w:rPr>
          <w:b/>
          <w:noProof/>
        </w:rPr>
        <w:t>CFP 5(A)(II): Inhibitori de urează</w:t>
      </w:r>
      <w:bookmarkEnd w:id="25"/>
    </w:p>
    <w:p>
      <w:pPr>
        <w:pStyle w:val="NumPar1"/>
        <w:numPr>
          <w:ilvl w:val="0"/>
          <w:numId w:val="54"/>
        </w:numPr>
        <w:rPr>
          <w:noProof/>
        </w:rPr>
      </w:pPr>
      <w:r>
        <w:rPr>
          <w:noProof/>
        </w:rPr>
        <w:t>Un inhibitor de urează inhibă hidrolizarea ureei (CH</w:t>
      </w:r>
      <w:r>
        <w:rPr>
          <w:noProof/>
          <w:vertAlign w:val="subscript"/>
        </w:rPr>
        <w:t>4</w:t>
      </w:r>
      <w:r>
        <w:rPr>
          <w:noProof/>
        </w:rPr>
        <w:t>N</w:t>
      </w:r>
      <w:r>
        <w:rPr>
          <w:noProof/>
          <w:vertAlign w:val="subscript"/>
        </w:rPr>
        <w:t>2</w:t>
      </w:r>
      <w:r>
        <w:rPr>
          <w:noProof/>
        </w:rPr>
        <w:t xml:space="preserve">O) de către enzima urează, acțiune menită în special să reducă volatilizarea amoniacului. </w:t>
      </w:r>
    </w:p>
    <w:p>
      <w:pPr>
        <w:pStyle w:val="NumPar1"/>
        <w:numPr>
          <w:ilvl w:val="0"/>
          <w:numId w:val="15"/>
        </w:numPr>
        <w:rPr>
          <w:noProof/>
        </w:rPr>
      </w:pPr>
      <w:r>
        <w:rPr>
          <w:noProof/>
        </w:rPr>
        <w:t>Măsurarea in vitro a ratei de hidrolizare a ureei (CH</w:t>
      </w:r>
      <w:r>
        <w:rPr>
          <w:noProof/>
          <w:vertAlign w:val="subscript"/>
        </w:rPr>
        <w:t>4</w:t>
      </w:r>
      <w:r>
        <w:rPr>
          <w:noProof/>
        </w:rPr>
        <w:t>N</w:t>
      </w:r>
      <w:r>
        <w:rPr>
          <w:noProof/>
          <w:vertAlign w:val="subscript"/>
        </w:rPr>
        <w:t>2</w:t>
      </w:r>
      <w:r>
        <w:rPr>
          <w:noProof/>
        </w:rPr>
        <w:t>O) în funcție de timpul în care un inhibitor de urează adăugat într-un eșantion de sol duce la o diferență statistică a ratei de hidrolizare în raport cu un eșantion de control în care nu a fost adăugat inhibitorul de urează.</w:t>
      </w:r>
    </w:p>
    <w:p>
      <w:pPr>
        <w:pStyle w:val="ManualHeading3"/>
        <w:rPr>
          <w:b/>
          <w:i w:val="0"/>
          <w:noProof/>
        </w:rPr>
      </w:pPr>
      <w:bookmarkStart w:id="26" w:name="_Toc432153218"/>
      <w:r>
        <w:rPr>
          <w:b/>
          <w:i w:val="0"/>
          <w:noProof/>
        </w:rPr>
        <w:t>CFP 5(B): Agenți de chelare</w:t>
      </w:r>
      <w:bookmarkEnd w:id="26"/>
    </w:p>
    <w:p>
      <w:pPr>
        <w:pStyle w:val="NumPar1"/>
        <w:keepNext/>
        <w:numPr>
          <w:ilvl w:val="0"/>
          <w:numId w:val="55"/>
        </w:numPr>
        <w:rPr>
          <w:noProof/>
        </w:rPr>
      </w:pPr>
      <w:r>
        <w:rPr>
          <w:noProof/>
        </w:rPr>
        <w:t>Un agent de chelare este o substanță organică menită să crească disponibilitatea pe termen lung a nutrienților pentru plante și constă într-o moleculă care:</w:t>
      </w:r>
    </w:p>
    <w:p>
      <w:pPr>
        <w:pStyle w:val="Bullet1"/>
        <w:numPr>
          <w:ilvl w:val="0"/>
          <w:numId w:val="13"/>
        </w:numPr>
        <w:rPr>
          <w:noProof/>
        </w:rPr>
      </w:pPr>
      <w:r>
        <w:rPr>
          <w:noProof/>
        </w:rPr>
        <w:t>are două sau mai multe regiuni care cedează perechi de electroni unui cation de metal de tranziție în poziție centrală [zinc (Zn), cupru (Cu), fier (Fe), mangan (Mn), magneziu (Mg), calciu (Ca) sau cobalt (Co)] și</w:t>
      </w:r>
    </w:p>
    <w:p>
      <w:pPr>
        <w:pStyle w:val="Bullet1"/>
        <w:numPr>
          <w:ilvl w:val="0"/>
          <w:numId w:val="13"/>
        </w:numPr>
        <w:rPr>
          <w:noProof/>
        </w:rPr>
      </w:pPr>
      <w:r>
        <w:rPr>
          <w:noProof/>
        </w:rPr>
        <w:t>este suficient de mare pentru a forma o structură ciclică cu 5 sau 6 atomi.</w:t>
      </w:r>
    </w:p>
    <w:p>
      <w:pPr>
        <w:pStyle w:val="NumPar1"/>
        <w:keepNext/>
        <w:numPr>
          <w:ilvl w:val="0"/>
          <w:numId w:val="12"/>
        </w:numPr>
        <w:ind w:left="851" w:hanging="851"/>
        <w:rPr>
          <w:noProof/>
        </w:rPr>
      </w:pPr>
      <w:r>
        <w:rPr>
          <w:noProof/>
        </w:rPr>
        <w:t>Substanța trebuie să fie înregistrată în temeiul Regulamentului (CE) nr. 1907/2006</w:t>
      </w:r>
      <w:r>
        <w:rPr>
          <w:rStyle w:val="FootnoteReference"/>
          <w:noProof/>
        </w:rPr>
        <w:footnoteReference w:id="6"/>
      </w:r>
      <w:r>
        <w:rPr>
          <w:noProof/>
        </w:rPr>
        <w:t>, pe baza unui dosar cuprinzând:</w:t>
      </w:r>
    </w:p>
    <w:p>
      <w:pPr>
        <w:pStyle w:val="Point1letter"/>
        <w:numPr>
          <w:ilvl w:val="3"/>
          <w:numId w:val="56"/>
        </w:numPr>
        <w:rPr>
          <w:noProof/>
        </w:rPr>
      </w:pPr>
      <w:r>
        <w:rPr>
          <w:noProof/>
        </w:rPr>
        <w:t>informațiile prevăzute în anexele VI, VII și VIII la Regulamentul (CE) nr. 1907/2006 și</w:t>
      </w:r>
    </w:p>
    <w:p>
      <w:pPr>
        <w:pStyle w:val="Point1letter"/>
        <w:keepNext/>
        <w:numPr>
          <w:ilvl w:val="3"/>
          <w:numId w:val="10"/>
        </w:numPr>
        <w:ind w:left="1418"/>
        <w:rPr>
          <w:noProof/>
        </w:rPr>
      </w:pPr>
      <w:r>
        <w:rPr>
          <w:noProof/>
        </w:rPr>
        <w:t>un raport de securitate chimică conform articolului 14 din Regulamentul (CE) nr. 1907/2006, care să acopere utilizarea sa ca produs fertilizant,</w:t>
      </w:r>
    </w:p>
    <w:p>
      <w:pPr>
        <w:pStyle w:val="Text1"/>
        <w:rPr>
          <w:noProof/>
        </w:rPr>
      </w:pPr>
      <w:r>
        <w:rPr>
          <w:noProof/>
        </w:rPr>
        <w:t>cu excepția cazului în care substanța este exceptată în mod explicit de obligația de înregistrare prevăzută în anexa IV la regulamentul menționat sau la punctele 6, 7, 8 sau 9 din anexa V la regulamentul menționat.</w:t>
      </w:r>
    </w:p>
    <w:p>
      <w:pPr>
        <w:pStyle w:val="NumPar1"/>
        <w:numPr>
          <w:ilvl w:val="0"/>
          <w:numId w:val="12"/>
        </w:numPr>
        <w:rPr>
          <w:noProof/>
        </w:rPr>
      </w:pPr>
      <w:r>
        <w:rPr>
          <w:noProof/>
        </w:rPr>
        <w:t>După trei zile în soluție Hoagland standard la un pH de 7 și respectiv de 8, produsul fertilizant cu marcaj CE trebuie să rămână stabil.</w:t>
      </w:r>
    </w:p>
    <w:p>
      <w:pPr>
        <w:pStyle w:val="ManualHeading3"/>
        <w:rPr>
          <w:b/>
          <w:i w:val="0"/>
          <w:noProof/>
        </w:rPr>
      </w:pPr>
      <w:bookmarkStart w:id="27" w:name="_Toc432153219"/>
      <w:r>
        <w:rPr>
          <w:b/>
          <w:i w:val="0"/>
          <w:noProof/>
        </w:rPr>
        <w:t>CFP 5(C): Agenți de complexare</w:t>
      </w:r>
      <w:bookmarkEnd w:id="27"/>
    </w:p>
    <w:p>
      <w:pPr>
        <w:pStyle w:val="NumPar1"/>
        <w:numPr>
          <w:ilvl w:val="0"/>
          <w:numId w:val="57"/>
        </w:numPr>
        <w:rPr>
          <w:noProof/>
        </w:rPr>
      </w:pPr>
      <w:r>
        <w:rPr>
          <w:noProof/>
        </w:rPr>
        <w:t>Un agent de complexare este o substanță anorganică menită să crească disponibilitatea pe termen lung a nutrienților pentru plante, care poate forma o structură plană sau sterică cu un cation de metal de tranziție bivalent sau trivalent.</w:t>
      </w:r>
    </w:p>
    <w:p>
      <w:pPr>
        <w:pStyle w:val="NumPar1"/>
        <w:keepNext/>
        <w:numPr>
          <w:ilvl w:val="0"/>
          <w:numId w:val="12"/>
        </w:numPr>
        <w:ind w:left="851" w:hanging="851"/>
        <w:rPr>
          <w:noProof/>
        </w:rPr>
      </w:pPr>
      <w:r>
        <w:rPr>
          <w:noProof/>
        </w:rPr>
        <w:lastRenderedPageBreak/>
        <w:t>Substanța trebuie să fie înregistrată în temeiul Regulamentului (CE) nr. 1907/2006</w:t>
      </w:r>
      <w:r>
        <w:rPr>
          <w:rStyle w:val="FootnoteReference"/>
          <w:noProof/>
        </w:rPr>
        <w:footnoteReference w:id="7"/>
      </w:r>
      <w:r>
        <w:rPr>
          <w:noProof/>
        </w:rPr>
        <w:t>, pe baza unui dosar cuprinzând:</w:t>
      </w:r>
    </w:p>
    <w:p>
      <w:pPr>
        <w:pStyle w:val="Point1letter"/>
        <w:numPr>
          <w:ilvl w:val="3"/>
          <w:numId w:val="58"/>
        </w:numPr>
        <w:rPr>
          <w:noProof/>
        </w:rPr>
      </w:pPr>
      <w:r>
        <w:rPr>
          <w:noProof/>
        </w:rPr>
        <w:t>informațiile prevăzute în anexele VI, VII și VIII la Regulamentul (CE) nr. 1907/2006 și</w:t>
      </w:r>
    </w:p>
    <w:p>
      <w:pPr>
        <w:pStyle w:val="Point1letter"/>
        <w:keepNext/>
        <w:numPr>
          <w:ilvl w:val="3"/>
          <w:numId w:val="10"/>
        </w:numPr>
        <w:ind w:left="1418"/>
        <w:rPr>
          <w:noProof/>
        </w:rPr>
      </w:pPr>
      <w:r>
        <w:rPr>
          <w:noProof/>
        </w:rPr>
        <w:t>un raport de securitate chimică conform articolului 14 din Regulamentul (CE) nr. 1907/2006, care să acopere utilizarea sa ca produs fertilizant,</w:t>
      </w:r>
    </w:p>
    <w:p>
      <w:pPr>
        <w:pStyle w:val="Text1"/>
        <w:rPr>
          <w:noProof/>
        </w:rPr>
      </w:pPr>
      <w:r>
        <w:rPr>
          <w:noProof/>
        </w:rPr>
        <w:t>cu excepția cazului în care substanța este exceptată în mod explicit de obligația de înregistrare prevăzută în anexa IV la regulamentul menționat sau la punctele 6, 7, 8 sau 9 din anexa V la regulamentul menționat.</w:t>
      </w:r>
    </w:p>
    <w:p>
      <w:pPr>
        <w:pStyle w:val="NumPar1"/>
        <w:numPr>
          <w:ilvl w:val="0"/>
          <w:numId w:val="15"/>
        </w:numPr>
        <w:rPr>
          <w:noProof/>
        </w:rPr>
      </w:pPr>
      <w:r>
        <w:rPr>
          <w:noProof/>
        </w:rPr>
        <w:t>După o zi în soluție apoasă la un pH de 6 și respectiv de 7, produsul fertilizant cu marcaj CE trebuie să rămână stabil.</w:t>
      </w:r>
    </w:p>
    <w:p>
      <w:pPr>
        <w:pStyle w:val="ManualHeading1"/>
        <w:rPr>
          <w:noProof/>
        </w:rPr>
      </w:pPr>
      <w:bookmarkStart w:id="28" w:name="_Toc432153220"/>
      <w:r>
        <w:rPr>
          <w:noProof/>
        </w:rPr>
        <w:t>CFP 6: Biostimulator al plantelor</w:t>
      </w:r>
      <w:bookmarkEnd w:id="28"/>
    </w:p>
    <w:p>
      <w:pPr>
        <w:pStyle w:val="NumPar1"/>
        <w:keepNext/>
        <w:numPr>
          <w:ilvl w:val="0"/>
          <w:numId w:val="59"/>
        </w:numPr>
        <w:rPr>
          <w:noProof/>
        </w:rPr>
      </w:pPr>
      <w:bookmarkStart w:id="29" w:name="_Toc432153221"/>
      <w:r>
        <w:rPr>
          <w:noProof/>
        </w:rPr>
        <w:t>Un biostimulator al plantelor este un produs fertilizant cu marcaj CE care stimulează procesele de nutriție ale plantelor independent de conținutul nutritiv al produsului, cu unicul scop de a îmbunătăți una sau mai multe dintre caracteristicile următoare ale plantelor:</w:t>
      </w:r>
    </w:p>
    <w:p>
      <w:pPr>
        <w:pStyle w:val="Point1letter"/>
        <w:numPr>
          <w:ilvl w:val="3"/>
          <w:numId w:val="60"/>
        </w:numPr>
        <w:rPr>
          <w:noProof/>
        </w:rPr>
      </w:pPr>
      <w:r>
        <w:rPr>
          <w:noProof/>
        </w:rPr>
        <w:t xml:space="preserve">utilizarea eficientă a nutrienților, </w:t>
      </w:r>
    </w:p>
    <w:p>
      <w:pPr>
        <w:pStyle w:val="Point1letter"/>
        <w:numPr>
          <w:ilvl w:val="3"/>
          <w:numId w:val="10"/>
        </w:numPr>
        <w:rPr>
          <w:noProof/>
        </w:rPr>
      </w:pPr>
      <w:r>
        <w:rPr>
          <w:noProof/>
        </w:rPr>
        <w:t xml:space="preserve">toleranța la stresul abiotic și </w:t>
      </w:r>
    </w:p>
    <w:p>
      <w:pPr>
        <w:pStyle w:val="Point1letter"/>
        <w:numPr>
          <w:ilvl w:val="3"/>
          <w:numId w:val="10"/>
        </w:numPr>
        <w:rPr>
          <w:noProof/>
        </w:rPr>
      </w:pPr>
      <w:r>
        <w:rPr>
          <w:noProof/>
        </w:rPr>
        <w:t>caracteristicile calitative ale culturii.</w:t>
      </w:r>
    </w:p>
    <w:p>
      <w:pPr>
        <w:pStyle w:val="NumPar1"/>
        <w:keepNext/>
        <w:numPr>
          <w:ilvl w:val="0"/>
          <w:numId w:val="12"/>
        </w:numPr>
        <w:ind w:left="851" w:hanging="851"/>
        <w:rPr>
          <w:noProof/>
        </w:rPr>
      </w:pPr>
      <w:r>
        <w:rPr>
          <w:noProof/>
        </w:rPr>
        <w:t>În produsele fertilizante cu marcaj CE, cantitatea de contaminanți nu trebuie să depășească următoarele valori:</w:t>
      </w:r>
    </w:p>
    <w:p>
      <w:pPr>
        <w:pStyle w:val="Bullet1"/>
        <w:numPr>
          <w:ilvl w:val="0"/>
          <w:numId w:val="13"/>
        </w:numPr>
        <w:tabs>
          <w:tab w:val="left" w:pos="4678"/>
        </w:tabs>
        <w:rPr>
          <w:noProof/>
        </w:rPr>
      </w:pPr>
      <w:r>
        <w:rPr>
          <w:noProof/>
        </w:rPr>
        <w:t>cadmiu (Cd)</w:t>
      </w:r>
      <w:r>
        <w:rPr>
          <w:noProof/>
        </w:rPr>
        <w:tab/>
        <w:t>3 mg/kg substanță uscată,</w:t>
      </w:r>
    </w:p>
    <w:p>
      <w:pPr>
        <w:pStyle w:val="Bullet1"/>
        <w:numPr>
          <w:ilvl w:val="0"/>
          <w:numId w:val="13"/>
        </w:numPr>
        <w:tabs>
          <w:tab w:val="left" w:pos="4678"/>
        </w:tabs>
        <w:rPr>
          <w:noProof/>
        </w:rPr>
      </w:pPr>
      <w:r>
        <w:rPr>
          <w:noProof/>
        </w:rPr>
        <w:t>crom hexavalent (Cr VI)</w:t>
      </w:r>
      <w:r>
        <w:rPr>
          <w:noProof/>
        </w:rPr>
        <w:tab/>
        <w:t>2 mg/kg substanță uscată și</w:t>
      </w:r>
    </w:p>
    <w:p>
      <w:pPr>
        <w:pStyle w:val="Bullet1"/>
        <w:numPr>
          <w:ilvl w:val="0"/>
          <w:numId w:val="13"/>
        </w:numPr>
        <w:tabs>
          <w:tab w:val="left" w:pos="4678"/>
        </w:tabs>
        <w:rPr>
          <w:noProof/>
        </w:rPr>
      </w:pPr>
      <w:r>
        <w:rPr>
          <w:noProof/>
        </w:rPr>
        <w:t>plumb (Pb)</w:t>
      </w:r>
      <w:r>
        <w:rPr>
          <w:noProof/>
        </w:rPr>
        <w:tab/>
        <w:t>120 mg/kg substanță uscată.</w:t>
      </w:r>
    </w:p>
    <w:p>
      <w:pPr>
        <w:pStyle w:val="NumPar1"/>
        <w:numPr>
          <w:ilvl w:val="0"/>
          <w:numId w:val="12"/>
        </w:numPr>
        <w:rPr>
          <w:noProof/>
        </w:rPr>
      </w:pPr>
      <w:r>
        <w:rPr>
          <w:noProof/>
        </w:rPr>
        <w:t>Biostimulatorul plantelor trebuie să aibă efectele menționate pe etichetă, pentru culturile specificate.</w:t>
      </w:r>
    </w:p>
    <w:p>
      <w:pPr>
        <w:pStyle w:val="ManualHeading2"/>
        <w:rPr>
          <w:noProof/>
        </w:rPr>
      </w:pPr>
      <w:r>
        <w:rPr>
          <w:noProof/>
        </w:rPr>
        <w:t>CFP 6(A): Biostimulator microbian al plantelor</w:t>
      </w:r>
    </w:p>
    <w:p>
      <w:pPr>
        <w:pStyle w:val="NumPar1"/>
        <w:keepNext/>
        <w:numPr>
          <w:ilvl w:val="0"/>
          <w:numId w:val="61"/>
        </w:numPr>
        <w:rPr>
          <w:noProof/>
        </w:rPr>
      </w:pPr>
      <w:r>
        <w:rPr>
          <w:noProof/>
        </w:rPr>
        <w:t>Un biostimulator microbian al plantelor este constituit în mod exclusiv dintr-un microorganism sau un consorțiu de microorganisme menționate la categoria de materii componente 7 din anexa II.</w:t>
      </w:r>
    </w:p>
    <w:p>
      <w:pPr>
        <w:pStyle w:val="NumPar1"/>
        <w:keepNext/>
        <w:numPr>
          <w:ilvl w:val="0"/>
          <w:numId w:val="12"/>
        </w:numPr>
        <w:ind w:left="851" w:hanging="851"/>
        <w:rPr>
          <w:noProof/>
        </w:rPr>
      </w:pPr>
      <w:r>
        <w:rPr>
          <w:noProof/>
        </w:rPr>
        <w:t>În produsele fertilizante cu marcaj CE, cantitatea de contaminanți nu trebuie să depășească următoarele valori:</w:t>
      </w:r>
    </w:p>
    <w:p>
      <w:pPr>
        <w:pStyle w:val="Bullet1"/>
        <w:numPr>
          <w:ilvl w:val="0"/>
          <w:numId w:val="13"/>
        </w:numPr>
        <w:rPr>
          <w:noProof/>
        </w:rPr>
      </w:pPr>
      <w:r>
        <w:rPr>
          <w:noProof/>
        </w:rPr>
        <w:t>mercur (Hg)</w:t>
      </w:r>
      <w:r>
        <w:rPr>
          <w:noProof/>
        </w:rPr>
        <w:tab/>
        <w:t>1 mg/kg substanță uscată și</w:t>
      </w:r>
    </w:p>
    <w:p>
      <w:pPr>
        <w:pStyle w:val="Bullet1"/>
        <w:numPr>
          <w:ilvl w:val="0"/>
          <w:numId w:val="13"/>
        </w:numPr>
        <w:rPr>
          <w:noProof/>
        </w:rPr>
      </w:pPr>
      <w:r>
        <w:rPr>
          <w:noProof/>
        </w:rPr>
        <w:t>nichel (Ni)</w:t>
      </w:r>
      <w:r>
        <w:rPr>
          <w:noProof/>
        </w:rPr>
        <w:tab/>
        <w:t>50 mg/kg substanță uscată.</w:t>
      </w:r>
    </w:p>
    <w:p>
      <w:pPr>
        <w:pStyle w:val="NumPar1"/>
        <w:numPr>
          <w:ilvl w:val="0"/>
          <w:numId w:val="12"/>
        </w:numPr>
        <w:rPr>
          <w:noProof/>
        </w:rPr>
      </w:pPr>
      <w:r>
        <w:rPr>
          <w:i/>
          <w:noProof/>
        </w:rPr>
        <w:lastRenderedPageBreak/>
        <w:t>Salmonella spp</w:t>
      </w:r>
      <w:r>
        <w:rPr>
          <w:noProof/>
        </w:rPr>
        <w:t>. trebuie să fie absentă dintr-un eșantion de 25 g sau de 25 ml de produs fertilizant cu marcaj CE.</w:t>
      </w:r>
    </w:p>
    <w:p>
      <w:pPr>
        <w:pStyle w:val="NumPar1"/>
        <w:numPr>
          <w:ilvl w:val="0"/>
          <w:numId w:val="12"/>
        </w:numPr>
        <w:rPr>
          <w:noProof/>
        </w:rPr>
      </w:pPr>
      <w:r>
        <w:rPr>
          <w:i/>
          <w:noProof/>
        </w:rPr>
        <w:t>Escherichia coli</w:t>
      </w:r>
      <w:r>
        <w:rPr>
          <w:noProof/>
        </w:rPr>
        <w:t xml:space="preserve"> trebuie să fie absentă dintr-un eșantion de 1 g sau de 1 ml de produs fertilizant cu marcaj CE.</w:t>
      </w:r>
    </w:p>
    <w:p>
      <w:pPr>
        <w:pStyle w:val="NumPar1"/>
        <w:numPr>
          <w:ilvl w:val="0"/>
          <w:numId w:val="12"/>
        </w:numPr>
        <w:rPr>
          <w:noProof/>
        </w:rPr>
      </w:pPr>
      <w:r>
        <w:rPr>
          <w:noProof/>
        </w:rPr>
        <w:t>Enterococcaceae nu trebuie să fie prezentă în cantitate mai mare de 10 CFU/g de masă proaspătă din produsul fertilizant cu marcaj CE.</w:t>
      </w:r>
    </w:p>
    <w:p>
      <w:pPr>
        <w:pStyle w:val="NumPar1"/>
        <w:numPr>
          <w:ilvl w:val="0"/>
          <w:numId w:val="12"/>
        </w:numPr>
        <w:rPr>
          <w:noProof/>
        </w:rPr>
      </w:pPr>
      <w:r>
        <w:rPr>
          <w:i/>
          <w:noProof/>
        </w:rPr>
        <w:t>Listeria monocytogenes</w:t>
      </w:r>
      <w:r>
        <w:rPr>
          <w:noProof/>
        </w:rPr>
        <w:t xml:space="preserve"> trebuie să fie absentă dintr-un eșantion de 25 g sau de 25 ml de produs fertilizant cu marcaj CE.</w:t>
      </w:r>
    </w:p>
    <w:p>
      <w:pPr>
        <w:pStyle w:val="NumPar1"/>
        <w:numPr>
          <w:ilvl w:val="0"/>
          <w:numId w:val="12"/>
        </w:numPr>
        <w:rPr>
          <w:noProof/>
        </w:rPr>
      </w:pPr>
      <w:r>
        <w:rPr>
          <w:i/>
          <w:noProof/>
        </w:rPr>
        <w:t>Vibrio</w:t>
      </w:r>
      <w:r>
        <w:rPr>
          <w:noProof/>
        </w:rPr>
        <w:t xml:space="preserve"> spp. trebuie să fie absentă dintr-un eșantion de 25 g sau de 25 ml de produs fertilizant cu marcaj CE.</w:t>
      </w:r>
    </w:p>
    <w:p>
      <w:pPr>
        <w:pStyle w:val="NumPar1"/>
        <w:numPr>
          <w:ilvl w:val="0"/>
          <w:numId w:val="12"/>
        </w:numPr>
        <w:rPr>
          <w:noProof/>
        </w:rPr>
      </w:pPr>
      <w:r>
        <w:rPr>
          <w:i/>
          <w:noProof/>
        </w:rPr>
        <w:t>Shigella</w:t>
      </w:r>
      <w:r>
        <w:rPr>
          <w:noProof/>
        </w:rPr>
        <w:t xml:space="preserve"> spp. trebuie să fie absentă dintr-un eșantion de 25 g sau de 25 ml de produs fertilizant cu marcaj CE.</w:t>
      </w:r>
    </w:p>
    <w:p>
      <w:pPr>
        <w:pStyle w:val="NumPar1"/>
        <w:numPr>
          <w:ilvl w:val="0"/>
          <w:numId w:val="12"/>
        </w:numPr>
        <w:rPr>
          <w:noProof/>
        </w:rPr>
      </w:pPr>
      <w:r>
        <w:rPr>
          <w:i/>
          <w:noProof/>
        </w:rPr>
        <w:t>Staphylococcus aureus</w:t>
      </w:r>
      <w:r>
        <w:rPr>
          <w:noProof/>
        </w:rPr>
        <w:t xml:space="preserve"> trebuie să fie absent dintr-un eșantion de 1 g sau de 1 ml de produs fertilizant cu marcaj CE.</w:t>
      </w:r>
    </w:p>
    <w:p>
      <w:pPr>
        <w:pStyle w:val="NumPar1"/>
        <w:numPr>
          <w:ilvl w:val="0"/>
          <w:numId w:val="12"/>
        </w:numPr>
        <w:rPr>
          <w:noProof/>
        </w:rPr>
      </w:pPr>
      <w:r>
        <w:rPr>
          <w:noProof/>
        </w:rPr>
        <w:t>Numărul de microorganisme aerobe nu trebuie să depășească 10</w:t>
      </w:r>
      <w:r>
        <w:rPr>
          <w:noProof/>
          <w:vertAlign w:val="superscript"/>
        </w:rPr>
        <w:t>5</w:t>
      </w:r>
      <w:r>
        <w:rPr>
          <w:noProof/>
        </w:rPr>
        <w:t xml:space="preserve"> CFU/g sau ml de eșantion de produs fertilizant cu marcaj CE, cu excepția cazului în care biostimulatorul microbian este o bacterie aerobă.</w:t>
      </w:r>
    </w:p>
    <w:p>
      <w:pPr>
        <w:pStyle w:val="NumPar1"/>
        <w:numPr>
          <w:ilvl w:val="0"/>
          <w:numId w:val="12"/>
        </w:numPr>
        <w:rPr>
          <w:noProof/>
        </w:rPr>
      </w:pPr>
      <w:r>
        <w:rPr>
          <w:noProof/>
        </w:rPr>
        <w:t>Numărul de drojdii și mucegaiuri nu trebuie să depășească 1000 CFU/g sau ml de eșantion de produs fertilizant cu marcaj CE, cu excepția cazului în care biostimulatorul microbian este o ciupercă.</w:t>
      </w:r>
    </w:p>
    <w:p>
      <w:pPr>
        <w:pStyle w:val="NumPar1"/>
        <w:keepNext/>
        <w:numPr>
          <w:ilvl w:val="0"/>
          <w:numId w:val="12"/>
        </w:numPr>
        <w:ind w:left="851" w:hanging="851"/>
        <w:rPr>
          <w:noProof/>
        </w:rPr>
      </w:pPr>
      <w:r>
        <w:rPr>
          <w:noProof/>
        </w:rPr>
        <w:t>În cazul în care biostimulatorul microbian al plantelor constă într-o suspensie sau o soluție, unde</w:t>
      </w:r>
    </w:p>
    <w:p>
      <w:pPr>
        <w:pStyle w:val="Bullet1"/>
        <w:numPr>
          <w:ilvl w:val="0"/>
          <w:numId w:val="13"/>
        </w:numPr>
        <w:rPr>
          <w:noProof/>
        </w:rPr>
      </w:pPr>
      <w:r>
        <w:rPr>
          <w:noProof/>
        </w:rPr>
        <w:t>„suspensie” înseamnă o dispersie în două faze în care particulele solide sunt menținute în suspensie în faza lichidă și</w:t>
      </w:r>
    </w:p>
    <w:p>
      <w:pPr>
        <w:pStyle w:val="Bullet1"/>
        <w:keepNext/>
        <w:numPr>
          <w:ilvl w:val="0"/>
          <w:numId w:val="13"/>
        </w:numPr>
        <w:ind w:left="1418"/>
        <w:rPr>
          <w:noProof/>
        </w:rPr>
      </w:pPr>
      <w:r>
        <w:rPr>
          <w:noProof/>
        </w:rPr>
        <w:t>„soluție” înseamnă un lichid care nu conține particule solide,</w:t>
      </w:r>
    </w:p>
    <w:p>
      <w:pPr>
        <w:pStyle w:val="Text1"/>
        <w:rPr>
          <w:noProof/>
        </w:rPr>
      </w:pPr>
      <w:r>
        <w:rPr>
          <w:noProof/>
        </w:rPr>
        <w:t>biostimulatorul trebuie să aibă un pH cu o valoare egală cu sau mai mare de 4.</w:t>
      </w:r>
    </w:p>
    <w:p>
      <w:pPr>
        <w:pStyle w:val="NumPar1"/>
        <w:numPr>
          <w:ilvl w:val="0"/>
          <w:numId w:val="12"/>
        </w:numPr>
        <w:rPr>
          <w:noProof/>
        </w:rPr>
      </w:pPr>
      <w:r>
        <w:rPr>
          <w:noProof/>
        </w:rPr>
        <w:t>Termenul de valabilitate al biostimulatorului microbian al plantelor trebuie să fie de cel puțin 6 luni în condițiile de depozitare specificate pe etichetă.</w:t>
      </w:r>
    </w:p>
    <w:p>
      <w:pPr>
        <w:pStyle w:val="ManualHeading2"/>
        <w:rPr>
          <w:noProof/>
        </w:rPr>
      </w:pPr>
      <w:r>
        <w:rPr>
          <w:noProof/>
        </w:rPr>
        <w:t>CFP 6(B): Biostimulator nemicrobian al plantelor</w:t>
      </w:r>
    </w:p>
    <w:p>
      <w:pPr>
        <w:pStyle w:val="Text1"/>
        <w:rPr>
          <w:noProof/>
        </w:rPr>
      </w:pPr>
      <w:r>
        <w:rPr>
          <w:noProof/>
        </w:rPr>
        <w:t>Un biostimulator nemicrobian al plantelor este un biostimulator al plantelor care nu este microbian.</w:t>
      </w:r>
    </w:p>
    <w:p>
      <w:pPr>
        <w:pStyle w:val="ManualHeading3"/>
        <w:rPr>
          <w:noProof/>
        </w:rPr>
      </w:pPr>
      <w:r>
        <w:rPr>
          <w:noProof/>
        </w:rPr>
        <w:t>CFP 6(B)(I): Biostimulator organic nemicrobian al plantelor</w:t>
      </w:r>
    </w:p>
    <w:p>
      <w:pPr>
        <w:pStyle w:val="NumPar1"/>
        <w:keepNext/>
        <w:numPr>
          <w:ilvl w:val="0"/>
          <w:numId w:val="62"/>
        </w:numPr>
        <w:rPr>
          <w:noProof/>
        </w:rPr>
      </w:pPr>
      <w:r>
        <w:rPr>
          <w:noProof/>
        </w:rPr>
        <w:t>Un biostimulator nemicrobian al plantelor constă într-o substanță sau un amestec care conține numai carbon (C) de origine vegetală sau animală.</w:t>
      </w:r>
    </w:p>
    <w:p>
      <w:pPr>
        <w:pStyle w:val="NumPar1"/>
        <w:keepNext/>
        <w:numPr>
          <w:ilvl w:val="0"/>
          <w:numId w:val="12"/>
        </w:numPr>
        <w:ind w:left="851" w:hanging="851"/>
        <w:rPr>
          <w:noProof/>
        </w:rPr>
      </w:pPr>
      <w:r>
        <w:rPr>
          <w:noProof/>
        </w:rPr>
        <w:t>În produsele fertilizante cu marcaj CE, cantitatea de contaminanți nu trebuie să depășească următoarele valori:</w:t>
      </w:r>
    </w:p>
    <w:p>
      <w:pPr>
        <w:pStyle w:val="Bullet1"/>
        <w:numPr>
          <w:ilvl w:val="0"/>
          <w:numId w:val="13"/>
        </w:numPr>
        <w:rPr>
          <w:noProof/>
        </w:rPr>
      </w:pPr>
      <w:r>
        <w:rPr>
          <w:noProof/>
        </w:rPr>
        <w:t>mercur (Hg)</w:t>
      </w:r>
      <w:r>
        <w:rPr>
          <w:noProof/>
        </w:rPr>
        <w:tab/>
        <w:t>1 mg/kg substanță uscată și</w:t>
      </w:r>
    </w:p>
    <w:p>
      <w:pPr>
        <w:pStyle w:val="Bullet1"/>
        <w:numPr>
          <w:ilvl w:val="0"/>
          <w:numId w:val="13"/>
        </w:numPr>
        <w:rPr>
          <w:noProof/>
        </w:rPr>
      </w:pPr>
      <w:r>
        <w:rPr>
          <w:noProof/>
        </w:rPr>
        <w:t>nichel (Ni)</w:t>
      </w:r>
      <w:r>
        <w:rPr>
          <w:noProof/>
        </w:rPr>
        <w:tab/>
        <w:t>50 mg/kg substanță uscată.</w:t>
      </w:r>
    </w:p>
    <w:p>
      <w:pPr>
        <w:pStyle w:val="NumPar1"/>
        <w:numPr>
          <w:ilvl w:val="0"/>
          <w:numId w:val="12"/>
        </w:numPr>
        <w:rPr>
          <w:noProof/>
        </w:rPr>
      </w:pPr>
      <w:r>
        <w:rPr>
          <w:i/>
          <w:noProof/>
        </w:rPr>
        <w:lastRenderedPageBreak/>
        <w:t>Salmonella spp</w:t>
      </w:r>
      <w:r>
        <w:rPr>
          <w:noProof/>
        </w:rPr>
        <w:t>. trebuie să fie absentă dintr-un eșantion de 25 g de produs fertilizant cu marcaj CE.</w:t>
      </w:r>
    </w:p>
    <w:p>
      <w:pPr>
        <w:pStyle w:val="NumPar1"/>
        <w:keepNext/>
        <w:numPr>
          <w:ilvl w:val="0"/>
          <w:numId w:val="12"/>
        </w:numPr>
        <w:ind w:left="851" w:hanging="851"/>
        <w:rPr>
          <w:noProof/>
        </w:rPr>
      </w:pPr>
      <w:r>
        <w:rPr>
          <w:noProof/>
        </w:rPr>
        <w:t>Niciunul dintre următoarele două tipuri de bacterii nu trebuie să fie prezent în produsul fertilizant cu marcaj CE în cantitate mai mare de 1 000 CFU/g de masă proaspătă:</w:t>
      </w:r>
    </w:p>
    <w:p>
      <w:pPr>
        <w:pStyle w:val="Point1letter"/>
        <w:numPr>
          <w:ilvl w:val="3"/>
          <w:numId w:val="63"/>
        </w:numPr>
        <w:rPr>
          <w:noProof/>
        </w:rPr>
      </w:pPr>
      <w:r>
        <w:rPr>
          <w:i/>
          <w:noProof/>
        </w:rPr>
        <w:t>Escherichia coli</w:t>
      </w:r>
      <w:r>
        <w:rPr>
          <w:noProof/>
        </w:rPr>
        <w:t xml:space="preserve"> sau</w:t>
      </w:r>
    </w:p>
    <w:p>
      <w:pPr>
        <w:pStyle w:val="Point1letter"/>
        <w:keepNext/>
        <w:ind w:left="1418"/>
        <w:rPr>
          <w:noProof/>
        </w:rPr>
      </w:pPr>
      <w:r>
        <w:rPr>
          <w:noProof/>
        </w:rPr>
        <w:t>Enterococcaceae.</w:t>
      </w:r>
    </w:p>
    <w:p>
      <w:pPr>
        <w:pStyle w:val="Text1"/>
        <w:rPr>
          <w:noProof/>
        </w:rPr>
      </w:pPr>
      <w:r>
        <w:rPr>
          <w:noProof/>
        </w:rPr>
        <w:t>Aceasta se demonstrează prin măsurarea prezenței a cel puțin unuia dintre cele două tipuri de bacterii.</w:t>
      </w:r>
    </w:p>
    <w:p>
      <w:pPr>
        <w:pStyle w:val="ManualHeading3"/>
        <w:rPr>
          <w:noProof/>
        </w:rPr>
      </w:pPr>
      <w:r>
        <w:rPr>
          <w:noProof/>
        </w:rPr>
        <w:t>CFP 6(B)(II): Biostimulator anorganic nemicrobian al plantelor</w:t>
      </w:r>
    </w:p>
    <w:p>
      <w:pPr>
        <w:pStyle w:val="NumPar1"/>
        <w:numPr>
          <w:ilvl w:val="0"/>
          <w:numId w:val="64"/>
        </w:numPr>
        <w:rPr>
          <w:noProof/>
        </w:rPr>
      </w:pPr>
      <w:r>
        <w:rPr>
          <w:noProof/>
        </w:rPr>
        <w:t>Un biostimulator anorganic nemicrobian al plantelor este un biostimulator nemicrobian al plantelor care nu este biostimulator organic nemicrobian.</w:t>
      </w:r>
    </w:p>
    <w:p>
      <w:pPr>
        <w:pStyle w:val="NumPar1"/>
        <w:keepNext/>
        <w:numPr>
          <w:ilvl w:val="0"/>
          <w:numId w:val="12"/>
        </w:numPr>
        <w:ind w:left="851" w:hanging="851"/>
        <w:rPr>
          <w:noProof/>
        </w:rPr>
      </w:pPr>
      <w:r>
        <w:rPr>
          <w:noProof/>
        </w:rPr>
        <w:t>În produsele fertilizante cu marcaj CE, cantitatea de contaminanți nu trebuie să depășească următoarele valori:</w:t>
      </w:r>
    </w:p>
    <w:p>
      <w:pPr>
        <w:pStyle w:val="Bullet1"/>
        <w:numPr>
          <w:ilvl w:val="0"/>
          <w:numId w:val="13"/>
        </w:numPr>
        <w:tabs>
          <w:tab w:val="left" w:pos="2977"/>
        </w:tabs>
        <w:rPr>
          <w:noProof/>
        </w:rPr>
      </w:pPr>
      <w:r>
        <w:rPr>
          <w:noProof/>
        </w:rPr>
        <w:t>mercur (Hg)</w:t>
      </w:r>
      <w:r>
        <w:rPr>
          <w:noProof/>
        </w:rPr>
        <w:tab/>
        <w:t>2 mg/kg substanță uscată,</w:t>
      </w:r>
    </w:p>
    <w:p>
      <w:pPr>
        <w:pStyle w:val="Bullet1"/>
        <w:numPr>
          <w:ilvl w:val="0"/>
          <w:numId w:val="13"/>
        </w:numPr>
        <w:tabs>
          <w:tab w:val="left" w:pos="2977"/>
        </w:tabs>
        <w:rPr>
          <w:noProof/>
        </w:rPr>
      </w:pPr>
      <w:r>
        <w:rPr>
          <w:noProof/>
        </w:rPr>
        <w:t>nichel (Ni)</w:t>
      </w:r>
      <w:r>
        <w:rPr>
          <w:noProof/>
        </w:rPr>
        <w:tab/>
        <w:t>120 mg/kg substanță uscată și</w:t>
      </w:r>
    </w:p>
    <w:p>
      <w:pPr>
        <w:pStyle w:val="Bullet1"/>
        <w:numPr>
          <w:ilvl w:val="0"/>
          <w:numId w:val="13"/>
        </w:numPr>
        <w:tabs>
          <w:tab w:val="left" w:pos="2977"/>
        </w:tabs>
        <w:rPr>
          <w:noProof/>
        </w:rPr>
      </w:pPr>
      <w:r>
        <w:rPr>
          <w:noProof/>
        </w:rPr>
        <w:t>arsen (As)</w:t>
      </w:r>
      <w:r>
        <w:rPr>
          <w:noProof/>
        </w:rPr>
        <w:tab/>
        <w:t>60 mg/kg substanță uscată.</w:t>
      </w:r>
    </w:p>
    <w:p>
      <w:pPr>
        <w:pStyle w:val="ManualHeading1"/>
        <w:rPr>
          <w:b w:val="0"/>
          <w:noProof/>
        </w:rPr>
      </w:pPr>
      <w:r>
        <w:rPr>
          <w:noProof/>
        </w:rPr>
        <w:t xml:space="preserve">CFP 7: </w:t>
      </w:r>
      <w:bookmarkEnd w:id="29"/>
      <w:r>
        <w:rPr>
          <w:noProof/>
        </w:rPr>
        <w:t>Amestec de produse fertilizante</w:t>
      </w:r>
    </w:p>
    <w:p>
      <w:pPr>
        <w:pStyle w:val="NumPar1"/>
        <w:numPr>
          <w:ilvl w:val="0"/>
          <w:numId w:val="65"/>
        </w:numPr>
        <w:rPr>
          <w:noProof/>
        </w:rPr>
      </w:pPr>
      <w:r>
        <w:rPr>
          <w:noProof/>
        </w:rPr>
        <w:t>Un amestec de produse fertilizante este un produs fertilizant cu marcaj CE compus din două sau mai multe produse fertilizante cu marcaj CE din categoriile 1-6.</w:t>
      </w:r>
    </w:p>
    <w:p>
      <w:pPr>
        <w:pStyle w:val="NumPar1"/>
        <w:numPr>
          <w:ilvl w:val="0"/>
          <w:numId w:val="12"/>
        </w:numPr>
        <w:rPr>
          <w:noProof/>
        </w:rPr>
      </w:pPr>
      <w:r>
        <w:rPr>
          <w:noProof/>
        </w:rPr>
        <w:t>Conformitatea fiecăruia dintre produsele fertilizante componente ale amestecului cu cerințele prezentului regulamentul trebuie să fi fost demonstrată conform procedurii de evaluare a conformității aplicabile produsului fertilizant component respectiv.</w:t>
      </w:r>
    </w:p>
    <w:p>
      <w:pPr>
        <w:pStyle w:val="NumPar1"/>
        <w:keepNext/>
        <w:numPr>
          <w:ilvl w:val="0"/>
          <w:numId w:val="12"/>
        </w:numPr>
        <w:ind w:left="851" w:hanging="851"/>
        <w:rPr>
          <w:noProof/>
        </w:rPr>
      </w:pPr>
      <w:r>
        <w:rPr>
          <w:noProof/>
        </w:rPr>
        <w:t xml:space="preserve">Amestecul nu trebuie să schimbe natura niciunuia dintre produsele fertilizante componente: </w:t>
      </w:r>
    </w:p>
    <w:p>
      <w:pPr>
        <w:pStyle w:val="Bullet1"/>
        <w:numPr>
          <w:ilvl w:val="0"/>
          <w:numId w:val="13"/>
        </w:numPr>
        <w:rPr>
          <w:noProof/>
        </w:rPr>
      </w:pPr>
      <w:r>
        <w:rPr>
          <w:noProof/>
        </w:rPr>
        <w:t xml:space="preserve">într-un mod care să aibă un efect advers asupra sănătății umane, animale sau vegetale, asupra securității sau asupra mediului, în condiții previzibile în mod rezonabil de depozitare sau de utilizare a amestecului de produse fertilizante cu marcaj CE sau </w:t>
      </w:r>
    </w:p>
    <w:p>
      <w:pPr>
        <w:pStyle w:val="Bullet1"/>
        <w:numPr>
          <w:ilvl w:val="0"/>
          <w:numId w:val="13"/>
        </w:numPr>
        <w:rPr>
          <w:noProof/>
        </w:rPr>
      </w:pPr>
      <w:r>
        <w:rPr>
          <w:noProof/>
        </w:rPr>
        <w:t>în orice alt mod semnificativ.</w:t>
      </w:r>
    </w:p>
    <w:p>
      <w:pPr>
        <w:pStyle w:val="NumPar1"/>
        <w:keepNext/>
        <w:numPr>
          <w:ilvl w:val="0"/>
          <w:numId w:val="12"/>
        </w:numPr>
        <w:ind w:left="851" w:hanging="851"/>
        <w:rPr>
          <w:noProof/>
        </w:rPr>
      </w:pPr>
      <w:r>
        <w:rPr>
          <w:noProof/>
        </w:rPr>
        <w:t xml:space="preserve">Producătorul amestecului evaluează conformitatea acestuia cu cerințele specificate la punctele 1-3 de mai sus, asigură conformitatea amestecului cu cerințele privind etichetarea stabilite în anexa III și își asumă răspunderea, conform articolului 15 alineatul (4) din prezentul regulament, pentru conformitatea amestecului cu cerințele prezentului regulament prin: </w:t>
      </w:r>
    </w:p>
    <w:p>
      <w:pPr>
        <w:pStyle w:val="Bullet1"/>
        <w:numPr>
          <w:ilvl w:val="0"/>
          <w:numId w:val="13"/>
        </w:numPr>
        <w:rPr>
          <w:noProof/>
        </w:rPr>
      </w:pPr>
      <w:r>
        <w:rPr>
          <w:noProof/>
        </w:rPr>
        <w:t>întocmirea unei declarații de conformitate UE pentru produsul fertilizant cu marcaj CE conform articolului 6 alineatul (2) din prezentul regulament și</w:t>
      </w:r>
    </w:p>
    <w:p>
      <w:pPr>
        <w:pStyle w:val="Bullet1"/>
        <w:numPr>
          <w:ilvl w:val="0"/>
          <w:numId w:val="13"/>
        </w:numPr>
        <w:rPr>
          <w:noProof/>
        </w:rPr>
      </w:pPr>
      <w:r>
        <w:rPr>
          <w:noProof/>
        </w:rPr>
        <w:t>fiind în posesia unei declarații de conformitate UE pentru fiecare dintre produsele fertilizante componente.</w:t>
      </w:r>
    </w:p>
    <w:p>
      <w:pPr>
        <w:pStyle w:val="NumPar1"/>
        <w:keepNext/>
        <w:numPr>
          <w:ilvl w:val="0"/>
          <w:numId w:val="12"/>
        </w:numPr>
        <w:ind w:left="851" w:hanging="851"/>
        <w:rPr>
          <w:noProof/>
        </w:rPr>
      </w:pPr>
      <w:r>
        <w:rPr>
          <w:noProof/>
        </w:rPr>
        <w:lastRenderedPageBreak/>
        <w:t>Operatorii economici care pun la dispoziție pe piață amestecuri de produse fertilizante cu marcaj CE respectă următoarele dispoziții ale prezentului regulament în ceea ce privește declarația de conformitate UE pentru fiecare produs fertilizant component, precum și pentru amestec:</w:t>
      </w:r>
    </w:p>
    <w:p>
      <w:pPr>
        <w:pStyle w:val="Bullet1"/>
        <w:numPr>
          <w:ilvl w:val="0"/>
          <w:numId w:val="13"/>
        </w:numPr>
        <w:rPr>
          <w:noProof/>
        </w:rPr>
      </w:pPr>
      <w:r>
        <w:rPr>
          <w:noProof/>
        </w:rPr>
        <w:t>articolul 6 alineatul (3) (obligația producătorilor de a păstra declarația de conformitate UE);</w:t>
      </w:r>
    </w:p>
    <w:p>
      <w:pPr>
        <w:pStyle w:val="Bullet1"/>
        <w:numPr>
          <w:ilvl w:val="0"/>
          <w:numId w:val="13"/>
        </w:numPr>
        <w:rPr>
          <w:noProof/>
        </w:rPr>
      </w:pPr>
      <w:r>
        <w:rPr>
          <w:noProof/>
        </w:rPr>
        <w:t>articolul 7 alineatul (2) litera (a) (obligația reprezentanților autorizați de a păstra declarația de conformitate UE);</w:t>
      </w:r>
    </w:p>
    <w:p>
      <w:pPr>
        <w:pStyle w:val="Bullet1"/>
        <w:numPr>
          <w:ilvl w:val="0"/>
          <w:numId w:val="13"/>
        </w:numPr>
        <w:rPr>
          <w:noProof/>
        </w:rPr>
      </w:pPr>
      <w:r>
        <w:rPr>
          <w:noProof/>
        </w:rPr>
        <w:t>articolul 8 alineatul (2) (obligația importatorilor de a se asigura că produsul fertilizant cu marcaj CE este însoțit de declarația de conformitate UE);</w:t>
      </w:r>
    </w:p>
    <w:p>
      <w:pPr>
        <w:pStyle w:val="Bullet1"/>
        <w:numPr>
          <w:ilvl w:val="0"/>
          <w:numId w:val="13"/>
        </w:numPr>
        <w:rPr>
          <w:noProof/>
        </w:rPr>
      </w:pPr>
      <w:r>
        <w:rPr>
          <w:noProof/>
        </w:rPr>
        <w:t>articolul 8 alineatul (8) (obligația importatorilor de a păstra o copie a declarației de conformitate UE la dispoziția autorităților de supraveghere a pieței ), precum și</w:t>
      </w:r>
    </w:p>
    <w:p>
      <w:pPr>
        <w:pStyle w:val="Bullet1"/>
        <w:numPr>
          <w:ilvl w:val="0"/>
          <w:numId w:val="13"/>
        </w:numPr>
        <w:rPr>
          <w:noProof/>
        </w:rPr>
      </w:pPr>
      <w:r>
        <w:rPr>
          <w:noProof/>
        </w:rPr>
        <w:t>articolul 9 alineatul (2) (obligația distribuitorilor de a verifica că produsul fertilizant cu marcaj CE este însoțit de declarația de conformitate UE).</w:t>
      </w:r>
    </w:p>
    <w:p>
      <w:pPr>
        <w:rPr>
          <w:noProof/>
        </w:rPr>
      </w:pPr>
    </w:p>
    <w:p>
      <w:pPr>
        <w:pStyle w:val="NumPar1"/>
        <w:numPr>
          <w:ilvl w:val="0"/>
          <w:numId w:val="12"/>
        </w:numPr>
        <w:rPr>
          <w:noProof/>
        </w:rPr>
        <w:sectPr>
          <w:pgSz w:w="11907" w:h="16839"/>
          <w:pgMar w:top="1134" w:right="1417" w:bottom="1134" w:left="1417" w:header="709" w:footer="709" w:gutter="0"/>
          <w:cols w:space="720"/>
          <w:docGrid w:linePitch="360"/>
        </w:sectPr>
      </w:pPr>
      <w:bookmarkStart w:id="30" w:name="DQCNUMB_1"/>
      <w:bookmarkEnd w:id="30"/>
    </w:p>
    <w:p>
      <w:pPr>
        <w:pStyle w:val="Annexetitre"/>
        <w:rPr>
          <w:noProof/>
        </w:rPr>
      </w:pPr>
      <w:bookmarkStart w:id="31" w:name="_Toc432153222"/>
      <w:r>
        <w:rPr>
          <w:noProof/>
        </w:rPr>
        <w:lastRenderedPageBreak/>
        <w:t>ANEXA II</w:t>
      </w:r>
      <w:r>
        <w:rPr>
          <w:noProof/>
        </w:rPr>
        <w:br/>
        <w:t>Categoriile de materii componente</w:t>
      </w:r>
      <w:bookmarkEnd w:id="31"/>
    </w:p>
    <w:p>
      <w:pPr>
        <w:rPr>
          <w:noProof/>
        </w:rPr>
      </w:pPr>
      <w:r>
        <w:rPr>
          <w:noProof/>
        </w:rPr>
        <w:t>Un produs fertilizant cu marcaj CE este compus numai din materiile componente care respectă cerințele pentru una sau mai multe categorii de materii componente („CMC”) enumerate în continuare.</w:t>
      </w:r>
    </w:p>
    <w:p>
      <w:pPr>
        <w:rPr>
          <w:noProof/>
        </w:rPr>
      </w:pPr>
      <w:r>
        <w:rPr>
          <w:noProof/>
        </w:rPr>
        <w:t>Materiile componente sau materiile prime utilizate pentru producerea acestora nu trebuie să conțină niciuna dintre substanțele pentru care valorile-limită maxime sunt indicate în anexa I din prezentul regulament în cantități care ar putea compromite conformitatea produsului fertilizant cu marcaj CE cu una dintre cerințele aplicabile menționate în anexa respectivă.</w:t>
      </w:r>
    </w:p>
    <w:p>
      <w:pPr>
        <w:pStyle w:val="SectionTitle"/>
        <w:rPr>
          <w:noProof/>
        </w:rPr>
      </w:pPr>
      <w:bookmarkStart w:id="32" w:name="_Toc432153223"/>
      <w:r>
        <w:rPr>
          <w:noProof/>
        </w:rPr>
        <w:t>Partea I</w:t>
      </w:r>
      <w:r>
        <w:rPr>
          <w:noProof/>
        </w:rPr>
        <w:br/>
        <w:t>Sinteza categoriilor de materii componente</w:t>
      </w:r>
      <w:bookmarkEnd w:id="32"/>
    </w:p>
    <w:p>
      <w:pPr>
        <w:rPr>
          <w:b/>
          <w:noProof/>
        </w:rPr>
      </w:pPr>
      <w:r>
        <w:rPr>
          <w:b/>
          <w:noProof/>
        </w:rPr>
        <w:t xml:space="preserve">CMC 1: Substanțe și amestecuri din materiale virgine </w:t>
      </w:r>
    </w:p>
    <w:p>
      <w:pPr>
        <w:rPr>
          <w:b/>
          <w:noProof/>
        </w:rPr>
      </w:pPr>
      <w:r>
        <w:rPr>
          <w:b/>
          <w:noProof/>
        </w:rPr>
        <w:t>CMC 2: Plante, părți din plante sau extracte din plante neprelucrate sau prelucrate mecanic</w:t>
      </w:r>
    </w:p>
    <w:p>
      <w:pPr>
        <w:rPr>
          <w:b/>
          <w:noProof/>
        </w:rPr>
      </w:pPr>
      <w:r>
        <w:rPr>
          <w:b/>
          <w:noProof/>
        </w:rPr>
        <w:t>CMC 3: Compost</w:t>
      </w:r>
    </w:p>
    <w:p>
      <w:pPr>
        <w:rPr>
          <w:b/>
          <w:noProof/>
        </w:rPr>
      </w:pPr>
      <w:r>
        <w:rPr>
          <w:b/>
          <w:noProof/>
        </w:rPr>
        <w:t>CMC 4: Digestat de culturi energetice</w:t>
      </w:r>
    </w:p>
    <w:p>
      <w:pPr>
        <w:rPr>
          <w:b/>
          <w:noProof/>
        </w:rPr>
      </w:pPr>
      <w:r>
        <w:rPr>
          <w:b/>
          <w:noProof/>
        </w:rPr>
        <w:t>CMC 5: Digestat de alt tip decât de culturi energetice</w:t>
      </w:r>
    </w:p>
    <w:p>
      <w:pPr>
        <w:rPr>
          <w:b/>
          <w:noProof/>
        </w:rPr>
      </w:pPr>
      <w:r>
        <w:rPr>
          <w:b/>
          <w:noProof/>
        </w:rPr>
        <w:t>CMC 6: Subproduse ale industriei alimentare</w:t>
      </w:r>
    </w:p>
    <w:p>
      <w:pPr>
        <w:rPr>
          <w:b/>
          <w:noProof/>
        </w:rPr>
      </w:pPr>
      <w:r>
        <w:rPr>
          <w:b/>
          <w:noProof/>
        </w:rPr>
        <w:t>CMC 7: Microorganisme</w:t>
      </w:r>
    </w:p>
    <w:p>
      <w:pPr>
        <w:rPr>
          <w:b/>
          <w:noProof/>
        </w:rPr>
      </w:pPr>
      <w:r>
        <w:rPr>
          <w:b/>
          <w:noProof/>
        </w:rPr>
        <w:t>CMC 8: Aditivi agronomici</w:t>
      </w:r>
    </w:p>
    <w:p>
      <w:pPr>
        <w:rPr>
          <w:b/>
          <w:noProof/>
        </w:rPr>
      </w:pPr>
      <w:r>
        <w:rPr>
          <w:b/>
          <w:noProof/>
        </w:rPr>
        <w:t>CMC 9: Nutrienți polimerici</w:t>
      </w:r>
    </w:p>
    <w:p>
      <w:pPr>
        <w:rPr>
          <w:b/>
          <w:noProof/>
        </w:rPr>
      </w:pPr>
      <w:r>
        <w:rPr>
          <w:b/>
          <w:noProof/>
        </w:rPr>
        <w:t>CMC 10: Polimeri alții decât nutrienții polimerici</w:t>
      </w:r>
    </w:p>
    <w:p>
      <w:pPr>
        <w:rPr>
          <w:b/>
          <w:noProof/>
        </w:rPr>
      </w:pPr>
      <w:r>
        <w:rPr>
          <w:b/>
          <w:noProof/>
        </w:rPr>
        <w:t>CMC 11: Anumite subproduse de origine animală</w:t>
      </w:r>
    </w:p>
    <w:p>
      <w:pPr>
        <w:pStyle w:val="SectionTitle"/>
        <w:rPr>
          <w:noProof/>
        </w:rPr>
      </w:pPr>
      <w:bookmarkStart w:id="33" w:name="_Toc432153224"/>
      <w:r>
        <w:rPr>
          <w:noProof/>
        </w:rPr>
        <w:t>Partea a II-a</w:t>
      </w:r>
      <w:r>
        <w:rPr>
          <w:noProof/>
        </w:rPr>
        <w:br/>
        <w:t>Cerințe privind categoriile de materii componente</w:t>
      </w:r>
      <w:bookmarkEnd w:id="33"/>
    </w:p>
    <w:p>
      <w:pPr>
        <w:pStyle w:val="Text1"/>
        <w:rPr>
          <w:noProof/>
        </w:rPr>
      </w:pPr>
      <w:r>
        <w:rPr>
          <w:noProof/>
        </w:rPr>
        <w:t>Prezenta parte definește materiile componente din care trebuie să fie compuse în exclusivitate produsele fertilizante cu marcaj CE.</w:t>
      </w:r>
    </w:p>
    <w:p>
      <w:pPr>
        <w:pStyle w:val="ManualHeading1"/>
        <w:rPr>
          <w:noProof/>
        </w:rPr>
      </w:pPr>
      <w:bookmarkStart w:id="34" w:name="_Toc432153225"/>
      <w:r>
        <w:rPr>
          <w:noProof/>
        </w:rPr>
        <w:t xml:space="preserve">CMC 1: Substanțe și </w:t>
      </w:r>
      <w:bookmarkEnd w:id="34"/>
      <w:r>
        <w:rPr>
          <w:noProof/>
        </w:rPr>
        <w:t>amestecuri din materiale virgine</w:t>
      </w:r>
    </w:p>
    <w:p>
      <w:pPr>
        <w:pStyle w:val="NumPar1"/>
        <w:keepNext/>
        <w:numPr>
          <w:ilvl w:val="0"/>
          <w:numId w:val="66"/>
        </w:numPr>
        <w:rPr>
          <w:noProof/>
        </w:rPr>
      </w:pPr>
      <w:r>
        <w:rPr>
          <w:noProof/>
        </w:rPr>
        <w:t>Un produs fertilizant cu marcaj CE poate conține substanțe și amestecuri altele decât</w:t>
      </w:r>
      <w:r>
        <w:rPr>
          <w:rStyle w:val="FootnoteReference"/>
          <w:noProof/>
        </w:rPr>
        <w:footnoteReference w:id="8"/>
      </w:r>
      <w:r>
        <w:rPr>
          <w:noProof/>
        </w:rPr>
        <w:t xml:space="preserve">: </w:t>
      </w:r>
    </w:p>
    <w:p>
      <w:pPr>
        <w:pStyle w:val="Point1letter"/>
        <w:numPr>
          <w:ilvl w:val="3"/>
          <w:numId w:val="67"/>
        </w:numPr>
        <w:rPr>
          <w:noProof/>
        </w:rPr>
      </w:pPr>
      <w:r>
        <w:rPr>
          <w:noProof/>
        </w:rPr>
        <w:t>deșeurile în sensul Directivei 98/2008/CE;</w:t>
      </w:r>
    </w:p>
    <w:p>
      <w:pPr>
        <w:pStyle w:val="Point1letter"/>
        <w:rPr>
          <w:noProof/>
        </w:rPr>
      </w:pPr>
      <w:r>
        <w:rPr>
          <w:noProof/>
        </w:rPr>
        <w:t>subprodusele în sensul Directivei 98/2008/CE;</w:t>
      </w:r>
    </w:p>
    <w:p>
      <w:pPr>
        <w:pStyle w:val="Point1letter"/>
        <w:rPr>
          <w:noProof/>
        </w:rPr>
      </w:pPr>
      <w:r>
        <w:rPr>
          <w:noProof/>
        </w:rPr>
        <w:lastRenderedPageBreak/>
        <w:t xml:space="preserve">materialele care au constituit unul dintre materialele menționate la punctele (a) sau (b); </w:t>
      </w:r>
    </w:p>
    <w:p>
      <w:pPr>
        <w:pStyle w:val="Point1letter"/>
        <w:rPr>
          <w:noProof/>
        </w:rPr>
      </w:pPr>
      <w:r>
        <w:rPr>
          <w:noProof/>
        </w:rPr>
        <w:t xml:space="preserve">subprodusele de origine animală în sensul Regulamentului (CE) nr. 1069/2009; </w:t>
      </w:r>
    </w:p>
    <w:p>
      <w:pPr>
        <w:pStyle w:val="Point1letter"/>
        <w:rPr>
          <w:noProof/>
        </w:rPr>
      </w:pPr>
      <w:r>
        <w:rPr>
          <w:noProof/>
        </w:rPr>
        <w:t>polimeri sau</w:t>
      </w:r>
    </w:p>
    <w:p>
      <w:pPr>
        <w:pStyle w:val="Point1letter"/>
        <w:rPr>
          <w:noProof/>
        </w:rPr>
      </w:pPr>
      <w:r>
        <w:rPr>
          <w:noProof/>
        </w:rPr>
        <w:t>substanțe sau amestecuri menite să îmbunătățească caracteristicile de eliberare a nutrienților ale produsului fertilizant cu marcaj CE în care sunt încorporate.</w:t>
      </w:r>
    </w:p>
    <w:p>
      <w:pPr>
        <w:pStyle w:val="NumPar1"/>
        <w:keepNext/>
        <w:numPr>
          <w:ilvl w:val="0"/>
          <w:numId w:val="12"/>
        </w:numPr>
        <w:ind w:left="851" w:hanging="851"/>
        <w:rPr>
          <w:noProof/>
        </w:rPr>
      </w:pPr>
      <w:r>
        <w:rPr>
          <w:noProof/>
        </w:rPr>
        <w:t>Toate substanțele încorporate în produsul fertilizant cu marcaj CE, ca atare sau într-un amestec, trebuie să fie înregistrate în temeiul Regulamentului (CE) nr. 1907/2006, pe baza unui dosar cuprinzând:</w:t>
      </w:r>
    </w:p>
    <w:p>
      <w:pPr>
        <w:pStyle w:val="Point1letter"/>
        <w:numPr>
          <w:ilvl w:val="3"/>
          <w:numId w:val="68"/>
        </w:numPr>
        <w:rPr>
          <w:noProof/>
        </w:rPr>
      </w:pPr>
      <w:r>
        <w:rPr>
          <w:noProof/>
        </w:rPr>
        <w:t>informațiile prevăzute în anexele VI, VII și VIII la Regulamentul (CE) nr. 1907/2006 și</w:t>
      </w:r>
    </w:p>
    <w:p>
      <w:pPr>
        <w:pStyle w:val="Point1letter"/>
        <w:keepNext/>
        <w:numPr>
          <w:ilvl w:val="3"/>
          <w:numId w:val="10"/>
        </w:numPr>
        <w:ind w:left="1418"/>
        <w:rPr>
          <w:noProof/>
        </w:rPr>
      </w:pPr>
      <w:r>
        <w:rPr>
          <w:noProof/>
        </w:rPr>
        <w:t>un raport de securitate chimică conform articolului 14 din Regulamentul (CE) nr. 1907/2006, care să acopere utilizarea sa ca produs fertilizant,</w:t>
      </w:r>
    </w:p>
    <w:p>
      <w:pPr>
        <w:pStyle w:val="Text1"/>
        <w:rPr>
          <w:noProof/>
        </w:rPr>
      </w:pPr>
      <w:r>
        <w:rPr>
          <w:noProof/>
        </w:rPr>
        <w:t>cu excepția cazului în care substanța este exceptată în mod explicit de obligația de înregistrare prevăzută în anexa IV la regulamentul menționat sau la punctele 6, 7, 8 sau 9 din anexa V la regulamentul menționat.</w:t>
      </w:r>
    </w:p>
    <w:p>
      <w:pPr>
        <w:pStyle w:val="ManualHeading1"/>
        <w:rPr>
          <w:noProof/>
        </w:rPr>
      </w:pPr>
      <w:bookmarkStart w:id="35" w:name="_Toc432153226"/>
      <w:r>
        <w:rPr>
          <w:noProof/>
        </w:rPr>
        <w:t>CMC 2: Plante, părți din plante</w:t>
      </w:r>
      <w:bookmarkEnd w:id="35"/>
      <w:r>
        <w:rPr>
          <w:noProof/>
        </w:rPr>
        <w:t xml:space="preserve"> sau extracte din plante neprelucrate sau prelucrate mecanic</w:t>
      </w:r>
    </w:p>
    <w:p>
      <w:pPr>
        <w:pStyle w:val="NumPar1"/>
        <w:numPr>
          <w:ilvl w:val="0"/>
          <w:numId w:val="69"/>
        </w:numPr>
        <w:rPr>
          <w:noProof/>
        </w:rPr>
      </w:pPr>
      <w:r>
        <w:rPr>
          <w:noProof/>
        </w:rPr>
        <w:t>Un produs fertilizant cu marcaj CE poate să conțină plante, părți din plante sau extracte din plante care nu au suferit nicio altă prelucrare în afară de tăiere, măcinare, centrifugare, presare, uscare, liofilizare sau extracție apoasă.</w:t>
      </w:r>
    </w:p>
    <w:p>
      <w:pPr>
        <w:pStyle w:val="NumPar1"/>
        <w:numPr>
          <w:ilvl w:val="0"/>
          <w:numId w:val="12"/>
        </w:numPr>
        <w:rPr>
          <w:noProof/>
        </w:rPr>
      </w:pPr>
      <w:r>
        <w:rPr>
          <w:noProof/>
        </w:rPr>
        <w:t>În sensul punctului (1), termenul „plante” include algele și exclude cianobacteriile.</w:t>
      </w:r>
    </w:p>
    <w:p>
      <w:pPr>
        <w:pStyle w:val="ManualHeading1"/>
        <w:rPr>
          <w:noProof/>
        </w:rPr>
      </w:pPr>
      <w:bookmarkStart w:id="36" w:name="_Toc432153227"/>
      <w:r>
        <w:rPr>
          <w:noProof/>
        </w:rPr>
        <w:t>CMC 3: Compost</w:t>
      </w:r>
      <w:bookmarkEnd w:id="36"/>
    </w:p>
    <w:p>
      <w:pPr>
        <w:pStyle w:val="NumPar1"/>
        <w:keepNext/>
        <w:numPr>
          <w:ilvl w:val="0"/>
          <w:numId w:val="70"/>
        </w:numPr>
        <w:rPr>
          <w:noProof/>
        </w:rPr>
      </w:pPr>
      <w:r>
        <w:rPr>
          <w:noProof/>
        </w:rPr>
        <w:t>Un produs fertilizant cu marcaj CE poate să conțină compost obținut prin compostarea aerobă exclusiv a unuia sau mai multora dintre materiile prime următoare:</w:t>
      </w:r>
    </w:p>
    <w:p>
      <w:pPr>
        <w:pStyle w:val="Point1letter"/>
        <w:numPr>
          <w:ilvl w:val="3"/>
          <w:numId w:val="71"/>
        </w:numPr>
        <w:rPr>
          <w:noProof/>
        </w:rPr>
      </w:pPr>
      <w:r>
        <w:rPr>
          <w:noProof/>
        </w:rPr>
        <w:t>biodeșeuri în sensul Directivei 98/2008/CE, provenite din biodeșeuri colectate separat la sursă;</w:t>
      </w:r>
    </w:p>
    <w:p>
      <w:pPr>
        <w:pStyle w:val="Point1letter"/>
        <w:numPr>
          <w:ilvl w:val="3"/>
          <w:numId w:val="10"/>
        </w:numPr>
        <w:rPr>
          <w:noProof/>
        </w:rPr>
      </w:pPr>
      <w:r>
        <w:rPr>
          <w:noProof/>
        </w:rPr>
        <w:t>subproduse de origine animală de categoriile 2 și 3, conform Regulamentului (CE) nr. 1069/2009;</w:t>
      </w:r>
    </w:p>
    <w:p>
      <w:pPr>
        <w:pStyle w:val="Point1letter"/>
        <w:keepNext/>
        <w:ind w:left="1418"/>
        <w:rPr>
          <w:noProof/>
        </w:rPr>
      </w:pPr>
      <w:r>
        <w:rPr>
          <w:noProof/>
        </w:rPr>
        <w:t>organisme vii sau moarte sau părți ale acestora, care au fost prelucrate numai cu mijloace manuale, mecanice sau gravitaționale, prin dizolvare în apă, prin flotație, prin extracție apoasă, prin distilare cu vapori sau prin încălzire numai în scopul eliminării apei, sau care sunt extrase din aer prin orice mijloace, cu excepția:</w:t>
      </w:r>
    </w:p>
    <w:p>
      <w:pPr>
        <w:pStyle w:val="Bullet2"/>
        <w:rPr>
          <w:noProof/>
        </w:rPr>
      </w:pPr>
      <w:r>
        <w:rPr>
          <w:noProof/>
        </w:rPr>
        <w:t xml:space="preserve">fracțiunii organice a deșeurilor menajere urbane amestecate, separate prin mijloace mecanice, fizico-chimice, biologice și/sau tratare manuală; </w:t>
      </w:r>
    </w:p>
    <w:p>
      <w:pPr>
        <w:pStyle w:val="Bullet2"/>
        <w:rPr>
          <w:noProof/>
        </w:rPr>
      </w:pPr>
      <w:r>
        <w:rPr>
          <w:noProof/>
        </w:rPr>
        <w:t>nămolului de epurare, nămolului industrial sau nămolului de dragare și</w:t>
      </w:r>
    </w:p>
    <w:p>
      <w:pPr>
        <w:pStyle w:val="Bullet2"/>
        <w:rPr>
          <w:noProof/>
        </w:rPr>
      </w:pPr>
      <w:r>
        <w:rPr>
          <w:noProof/>
        </w:rPr>
        <w:lastRenderedPageBreak/>
        <w:t>subproduselor de origine animală de categoria 1, conform Regulamentului (CE) nr. 1069/2009;</w:t>
      </w:r>
    </w:p>
    <w:p>
      <w:pPr>
        <w:pStyle w:val="Point1letter"/>
        <w:keepNext/>
        <w:ind w:left="1418"/>
        <w:rPr>
          <w:noProof/>
        </w:rPr>
      </w:pPr>
      <w:r>
        <w:rPr>
          <w:noProof/>
        </w:rPr>
        <w:t>aditivi de compostare necesari pentru îmbunătățirea procesului sau a performanței de mediu a procesului de compostare, cu condiția ca:</w:t>
      </w:r>
    </w:p>
    <w:p>
      <w:pPr>
        <w:pStyle w:val="Bullet2"/>
        <w:keepNext/>
        <w:ind w:left="1985"/>
        <w:rPr>
          <w:noProof/>
        </w:rPr>
      </w:pPr>
      <w:r>
        <w:rPr>
          <w:noProof/>
        </w:rPr>
        <w:t>aditivul să fie înregistrat în temeiul Regulamentului (CE) nr. 1907/2006</w:t>
      </w:r>
      <w:r>
        <w:rPr>
          <w:rStyle w:val="FootnoteReference"/>
          <w:noProof/>
        </w:rPr>
        <w:footnoteReference w:id="9"/>
      </w:r>
      <w:r>
        <w:rPr>
          <w:noProof/>
        </w:rPr>
        <w:t>, pe baza unui dosar cuprinzând:</w:t>
      </w:r>
    </w:p>
    <w:p>
      <w:pPr>
        <w:pStyle w:val="Tiret3"/>
        <w:numPr>
          <w:ilvl w:val="0"/>
          <w:numId w:val="21"/>
        </w:numPr>
        <w:rPr>
          <w:noProof/>
        </w:rPr>
      </w:pPr>
      <w:r>
        <w:rPr>
          <w:noProof/>
        </w:rPr>
        <w:t>informațiile prevăzute în anexele VI, VII și VIII la Regulamentul (CE) nr. 1907/2006 și</w:t>
      </w:r>
    </w:p>
    <w:p>
      <w:pPr>
        <w:pStyle w:val="Tiret3"/>
        <w:keepNext/>
        <w:ind w:left="2552"/>
        <w:rPr>
          <w:noProof/>
        </w:rPr>
      </w:pPr>
      <w:r>
        <w:rPr>
          <w:noProof/>
        </w:rPr>
        <w:t>un raport de securitate chimică conform articolului 14 din Regulamentul (CE) nr. 1907/2006, care să acopere utilizarea sa ca produs fertilizant,</w:t>
      </w:r>
      <w:r>
        <w:rPr>
          <w:rStyle w:val="FootnoteReference"/>
          <w:noProof/>
        </w:rPr>
        <w:t xml:space="preserve"> </w:t>
      </w:r>
    </w:p>
    <w:p>
      <w:pPr>
        <w:pStyle w:val="Text3"/>
        <w:rPr>
          <w:noProof/>
        </w:rPr>
      </w:pPr>
      <w:r>
        <w:rPr>
          <w:noProof/>
        </w:rPr>
        <w:t>cu excepția cazului în care substanța este exceptată în mod explicit de obligația de înregistrare prevăzută în anexa IV la regulamentul menționat sau la punctele 6, 7, 8 sau 9 din anexa V la regulamentul menționat și</w:t>
      </w:r>
    </w:p>
    <w:p>
      <w:pPr>
        <w:pStyle w:val="Bullet2"/>
        <w:rPr>
          <w:noProof/>
        </w:rPr>
      </w:pPr>
      <w:r>
        <w:rPr>
          <w:noProof/>
        </w:rPr>
        <w:t>concentrația totală a tuturor aditivilor să nu depășească 5 % din greutatea totală a materiilor prime sau</w:t>
      </w:r>
    </w:p>
    <w:p>
      <w:pPr>
        <w:pStyle w:val="Point1letter"/>
        <w:keepNext/>
        <w:ind w:left="1418"/>
        <w:rPr>
          <w:noProof/>
        </w:rPr>
      </w:pPr>
      <w:r>
        <w:rPr>
          <w:noProof/>
        </w:rPr>
        <w:t xml:space="preserve">orice materie dintre cele enumerate la punctele (a)-(d) care: </w:t>
      </w:r>
    </w:p>
    <w:p>
      <w:pPr>
        <w:pStyle w:val="Bullet2"/>
        <w:rPr>
          <w:noProof/>
        </w:rPr>
      </w:pPr>
      <w:r>
        <w:rPr>
          <w:noProof/>
        </w:rPr>
        <w:t>a fost anterior compostată sau digestată și</w:t>
      </w:r>
    </w:p>
    <w:p>
      <w:pPr>
        <w:pStyle w:val="Bullet2"/>
        <w:rPr>
          <w:noProof/>
        </w:rPr>
      </w:pPr>
      <w:r>
        <w:rPr>
          <w:noProof/>
        </w:rPr>
        <w:t>nu conține mai mult de 6 mg HAP</w:t>
      </w:r>
      <w:r>
        <w:rPr>
          <w:noProof/>
          <w:vertAlign w:val="subscript"/>
        </w:rPr>
        <w:t>16</w:t>
      </w:r>
      <w:r>
        <w:rPr>
          <w:rStyle w:val="FootnoteReference"/>
          <w:noProof/>
        </w:rPr>
        <w:footnoteReference w:id="10"/>
      </w:r>
      <w:r>
        <w:rPr>
          <w:noProof/>
        </w:rPr>
        <w:t>/kg de substanță uscată,</w:t>
      </w:r>
    </w:p>
    <w:p>
      <w:pPr>
        <w:pStyle w:val="NumPar1"/>
        <w:keepNext/>
        <w:numPr>
          <w:ilvl w:val="0"/>
          <w:numId w:val="12"/>
        </w:numPr>
        <w:ind w:left="851" w:hanging="851"/>
        <w:rPr>
          <w:noProof/>
        </w:rPr>
      </w:pPr>
      <w:r>
        <w:rPr>
          <w:noProof/>
        </w:rPr>
        <w:t xml:space="preserve">Compostarea trebuie să aibă loc într-o instalație: </w:t>
      </w:r>
    </w:p>
    <w:p>
      <w:pPr>
        <w:pStyle w:val="Bullet1"/>
        <w:numPr>
          <w:ilvl w:val="0"/>
          <w:numId w:val="14"/>
        </w:numPr>
        <w:rPr>
          <w:noProof/>
        </w:rPr>
      </w:pPr>
      <w:r>
        <w:rPr>
          <w:noProof/>
        </w:rPr>
        <w:t>care prelucrează numai materii prime menționate la punctul 1 de mai sus și</w:t>
      </w:r>
    </w:p>
    <w:p>
      <w:pPr>
        <w:pStyle w:val="Bullet1"/>
        <w:numPr>
          <w:ilvl w:val="0"/>
          <w:numId w:val="13"/>
        </w:numPr>
        <w:rPr>
          <w:noProof/>
        </w:rPr>
      </w:pPr>
      <w:r>
        <w:rPr>
          <w:noProof/>
        </w:rPr>
        <w:t>în care se evită contactul fizic dintre materiile prime și cele de ieșire, inclusiv în timpul depozitării.</w:t>
      </w:r>
    </w:p>
    <w:p>
      <w:pPr>
        <w:pStyle w:val="NumPar1"/>
        <w:keepNext/>
        <w:numPr>
          <w:ilvl w:val="0"/>
          <w:numId w:val="12"/>
        </w:numPr>
        <w:ind w:left="851" w:hanging="851"/>
        <w:rPr>
          <w:noProof/>
        </w:rPr>
      </w:pPr>
      <w:r>
        <w:rPr>
          <w:noProof/>
        </w:rPr>
        <w:t>Compostarea aerobă constă în descompunerea controlată, predominant aerobă, a unor materii biodegradabile și care permite dezvoltarea unor temperaturi adecvate pentru bacteriile termofile ca rezultat al căldurii produse biologic. Toate părțile din fiecare lot trebuie să fie întoarse temeinic și cu regularitate pentru a asigura igienizarea corectă și omogenitatea materiilor. În timpul procesului de compostare, toate părțile din fiecare lot trebuie să aibă unul dintre următoarele profiluri de temperatură-timp:</w:t>
      </w:r>
    </w:p>
    <w:p>
      <w:pPr>
        <w:pStyle w:val="Bullet1"/>
        <w:numPr>
          <w:ilvl w:val="0"/>
          <w:numId w:val="13"/>
        </w:numPr>
        <w:rPr>
          <w:noProof/>
        </w:rPr>
      </w:pPr>
      <w:r>
        <w:rPr>
          <w:noProof/>
        </w:rPr>
        <w:t>65°C sau mai mult timp de cel puțin 5 zile,</w:t>
      </w:r>
    </w:p>
    <w:p>
      <w:pPr>
        <w:pStyle w:val="Bullet1"/>
        <w:numPr>
          <w:ilvl w:val="0"/>
          <w:numId w:val="13"/>
        </w:numPr>
        <w:rPr>
          <w:noProof/>
        </w:rPr>
      </w:pPr>
      <w:r>
        <w:rPr>
          <w:noProof/>
        </w:rPr>
        <w:t>60 °C sau mai mult timp de cel puțin 7 zile sau</w:t>
      </w:r>
    </w:p>
    <w:p>
      <w:pPr>
        <w:pStyle w:val="Bullet1"/>
        <w:numPr>
          <w:ilvl w:val="0"/>
          <w:numId w:val="13"/>
        </w:numPr>
        <w:rPr>
          <w:noProof/>
        </w:rPr>
      </w:pPr>
      <w:r>
        <w:rPr>
          <w:noProof/>
        </w:rPr>
        <w:t>55 °C sau mai mult timp de cel puțin 14 zile.</w:t>
      </w:r>
    </w:p>
    <w:p>
      <w:pPr>
        <w:pStyle w:val="NumPar1"/>
        <w:keepNext/>
        <w:numPr>
          <w:ilvl w:val="0"/>
          <w:numId w:val="12"/>
        </w:numPr>
        <w:ind w:left="851" w:hanging="851"/>
        <w:rPr>
          <w:noProof/>
        </w:rPr>
      </w:pPr>
      <w:r>
        <w:rPr>
          <w:noProof/>
        </w:rPr>
        <w:lastRenderedPageBreak/>
        <w:t xml:space="preserve">Compostul trebuie să conțină: </w:t>
      </w:r>
    </w:p>
    <w:p>
      <w:pPr>
        <w:pStyle w:val="Point1letter"/>
        <w:numPr>
          <w:ilvl w:val="3"/>
          <w:numId w:val="72"/>
        </w:numPr>
        <w:rPr>
          <w:noProof/>
        </w:rPr>
      </w:pPr>
      <w:r>
        <w:rPr>
          <w:noProof/>
        </w:rPr>
        <w:t>nu mai mult de 6 mg HAP</w:t>
      </w:r>
      <w:r>
        <w:rPr>
          <w:noProof/>
          <w:vertAlign w:val="subscript"/>
        </w:rPr>
        <w:t>16</w:t>
      </w:r>
      <w:r>
        <w:rPr>
          <w:rStyle w:val="FootnoteReference"/>
          <w:noProof/>
        </w:rPr>
        <w:footnoteReference w:id="11"/>
      </w:r>
      <w:r>
        <w:rPr>
          <w:noProof/>
        </w:rPr>
        <w:t xml:space="preserve">/kg de substanță uscată și </w:t>
      </w:r>
    </w:p>
    <w:p>
      <w:pPr>
        <w:pStyle w:val="Point1letter"/>
        <w:numPr>
          <w:ilvl w:val="3"/>
          <w:numId w:val="10"/>
        </w:numPr>
        <w:rPr>
          <w:noProof/>
        </w:rPr>
      </w:pPr>
      <w:r>
        <w:rPr>
          <w:noProof/>
        </w:rPr>
        <w:t>nu mai mult de 5 g de impurități macroscopice sub formă de sticlă, metal și plastic cu dimensiuni mai mari de 2 mm/kg de substanță uscată.</w:t>
      </w:r>
    </w:p>
    <w:p>
      <w:pPr>
        <w:pStyle w:val="NumPar1"/>
        <w:numPr>
          <w:ilvl w:val="0"/>
          <w:numId w:val="12"/>
        </w:numPr>
        <w:rPr>
          <w:noProof/>
        </w:rPr>
      </w:pPr>
      <w:r>
        <w:rPr>
          <w:noProof/>
        </w:rPr>
        <w:t>Începând de la [Oficiul pentru Publicații este rugat să introducă data la care se împlinesc 5 ani de la data aplicării prezentului regulament], compostul trebuie să conțină maximum 2,5 g de impurități macroscopice sub formă de plastic cu dimensiuni mai mari de 2 mm/kg de substanță uscată. Până la [Oficiul pentru Publicații este rugat să introducă data la care se împlinesc 8 ani de la data aplicării prezentului regulament], valoarea-limită de 2,5 g/kg de substanță uscată trebuie reevaluată pentru a ține seama de progresele realizate în colectarea separată a biodeșeurilor.</w:t>
      </w:r>
    </w:p>
    <w:p>
      <w:pPr>
        <w:pStyle w:val="NumPar1"/>
        <w:keepNext/>
        <w:numPr>
          <w:ilvl w:val="0"/>
          <w:numId w:val="12"/>
        </w:numPr>
        <w:rPr>
          <w:noProof/>
        </w:rPr>
      </w:pPr>
      <w:r>
        <w:rPr>
          <w:noProof/>
        </w:rPr>
        <w:t>Compostul trebuie să respecte cel puțin unul dintre următoarele criterii de stabilitate:</w:t>
      </w:r>
    </w:p>
    <w:p>
      <w:pPr>
        <w:pStyle w:val="Point1letter"/>
        <w:keepNext/>
        <w:numPr>
          <w:ilvl w:val="3"/>
          <w:numId w:val="73"/>
        </w:numPr>
        <w:rPr>
          <w:noProof/>
        </w:rPr>
      </w:pPr>
      <w:r>
        <w:rPr>
          <w:noProof/>
        </w:rPr>
        <w:t>rata de consum a oxigenului:</w:t>
      </w:r>
    </w:p>
    <w:p>
      <w:pPr>
        <w:pStyle w:val="Bullet2"/>
        <w:rPr>
          <w:noProof/>
        </w:rPr>
      </w:pPr>
      <w:r>
        <w:rPr>
          <w:noProof/>
        </w:rPr>
        <w:t>definiție: indicator al măsurii în care s-a descompus materia organică biodegradabilă într-o anumită perioadă de timp. Metoda nu este adecvată pentru materii cu un conținut de particule cu dimensiuni &gt; 10 mm care depășește 20 %;</w:t>
      </w:r>
    </w:p>
    <w:p>
      <w:pPr>
        <w:pStyle w:val="Bullet2"/>
        <w:rPr>
          <w:noProof/>
        </w:rPr>
      </w:pPr>
      <w:r>
        <w:rPr>
          <w:noProof/>
        </w:rPr>
        <w:t>criteriu: maximum 25 mmol O</w:t>
      </w:r>
      <w:r>
        <w:rPr>
          <w:noProof/>
          <w:vertAlign w:val="subscript"/>
        </w:rPr>
        <w:t>2</w:t>
      </w:r>
      <w:r>
        <w:rPr>
          <w:noProof/>
        </w:rPr>
        <w:t>/kg de substanță organică/h sau</w:t>
      </w:r>
    </w:p>
    <w:p>
      <w:pPr>
        <w:pStyle w:val="Point1letter"/>
        <w:keepNext/>
        <w:ind w:left="1418"/>
        <w:rPr>
          <w:noProof/>
        </w:rPr>
      </w:pPr>
      <w:r>
        <w:rPr>
          <w:noProof/>
        </w:rPr>
        <w:t xml:space="preserve">factor de autoîncălzire: </w:t>
      </w:r>
    </w:p>
    <w:p>
      <w:pPr>
        <w:pStyle w:val="Bullet2"/>
        <w:rPr>
          <w:noProof/>
        </w:rPr>
      </w:pPr>
      <w:r>
        <w:rPr>
          <w:noProof/>
        </w:rPr>
        <w:t>definiție: temperatura maximă atinsă de un compost în condiții standardizate ca indicator al stării activității sale biologice aerobe;</w:t>
      </w:r>
    </w:p>
    <w:p>
      <w:pPr>
        <w:pStyle w:val="Bullet2"/>
        <w:rPr>
          <w:noProof/>
        </w:rPr>
      </w:pPr>
      <w:r>
        <w:rPr>
          <w:noProof/>
        </w:rPr>
        <w:t>criteriu: minimum Rottegrad III.</w:t>
      </w:r>
    </w:p>
    <w:p>
      <w:pPr>
        <w:pStyle w:val="ManualHeading1"/>
        <w:rPr>
          <w:noProof/>
        </w:rPr>
      </w:pPr>
      <w:bookmarkStart w:id="37" w:name="_Toc432153228"/>
      <w:r>
        <w:rPr>
          <w:noProof/>
        </w:rPr>
        <w:t>CMC 4: Digestat de culturi energetice</w:t>
      </w:r>
      <w:bookmarkEnd w:id="37"/>
    </w:p>
    <w:p>
      <w:pPr>
        <w:pStyle w:val="NumPar1"/>
        <w:keepNext/>
        <w:numPr>
          <w:ilvl w:val="0"/>
          <w:numId w:val="74"/>
        </w:numPr>
        <w:rPr>
          <w:noProof/>
        </w:rPr>
      </w:pPr>
      <w:r>
        <w:rPr>
          <w:noProof/>
        </w:rPr>
        <w:t>Un produs fertilizant cu marcaj CE poate să conțină digestat obținut prin digestia anaerobă exclusiv a unuia sau mai multora dintre materiile prime următoare:</w:t>
      </w:r>
    </w:p>
    <w:p>
      <w:pPr>
        <w:pStyle w:val="Point1letter"/>
        <w:numPr>
          <w:ilvl w:val="3"/>
          <w:numId w:val="75"/>
        </w:numPr>
        <w:rPr>
          <w:noProof/>
        </w:rPr>
      </w:pPr>
      <w:r>
        <w:rPr>
          <w:noProof/>
        </w:rPr>
        <w:t>plante care nu au fost utilizate pentru niciun alt scop. În sensul prezentului punct, termenul „plante” include algele și exclude cianobacteriile;</w:t>
      </w:r>
    </w:p>
    <w:p>
      <w:pPr>
        <w:pStyle w:val="Point1letter"/>
        <w:keepNext/>
        <w:ind w:left="1418"/>
        <w:rPr>
          <w:noProof/>
        </w:rPr>
      </w:pPr>
      <w:r>
        <w:rPr>
          <w:noProof/>
        </w:rPr>
        <w:lastRenderedPageBreak/>
        <w:t>aditivi de digestie necesari pentru îmbunătățirea procesului sau a performanței de mediu a procesului de digestie, cu condiția ca:</w:t>
      </w:r>
    </w:p>
    <w:p>
      <w:pPr>
        <w:pStyle w:val="Bullet2"/>
        <w:keepNext/>
        <w:ind w:left="1985"/>
        <w:rPr>
          <w:noProof/>
        </w:rPr>
      </w:pPr>
      <w:r>
        <w:rPr>
          <w:noProof/>
        </w:rPr>
        <w:t>aditivul să fie înregistrat în temeiul Regulamentului (CE) nr. 1907/2006</w:t>
      </w:r>
      <w:r>
        <w:rPr>
          <w:rStyle w:val="FootnoteReference"/>
          <w:noProof/>
        </w:rPr>
        <w:footnoteReference w:id="12"/>
      </w:r>
      <w:r>
        <w:rPr>
          <w:noProof/>
        </w:rPr>
        <w:t>, pe baza unui dosar cuprinzând:</w:t>
      </w:r>
    </w:p>
    <w:p>
      <w:pPr>
        <w:pStyle w:val="Tiret3"/>
        <w:rPr>
          <w:noProof/>
        </w:rPr>
      </w:pPr>
      <w:r>
        <w:rPr>
          <w:noProof/>
        </w:rPr>
        <w:t>informațiile prevăzute în anexele VI, VII și VIII la Regulamentul (CE) nr. 1907/2006 și</w:t>
      </w:r>
    </w:p>
    <w:p>
      <w:pPr>
        <w:pStyle w:val="Tiret3"/>
        <w:keepNext/>
        <w:ind w:left="2552"/>
        <w:rPr>
          <w:noProof/>
        </w:rPr>
      </w:pPr>
      <w:r>
        <w:rPr>
          <w:noProof/>
        </w:rPr>
        <w:t xml:space="preserve">un raport de securitate chimică conform articolului 14 din Regulamentul (CE) nr. 1907/2006, care să acopere utilizarea sa ca produs fertilizant, </w:t>
      </w:r>
    </w:p>
    <w:p>
      <w:pPr>
        <w:pStyle w:val="Text3"/>
        <w:rPr>
          <w:noProof/>
        </w:rPr>
      </w:pPr>
      <w:r>
        <w:rPr>
          <w:noProof/>
        </w:rPr>
        <w:t>cu excepția cazului în care substanța este exceptată în mod explicit de obligația de înregistrare prevăzută în anexa IV la regulamentul menționat sau la punctele 6, 7, 8 sau 9 din anexa V la regulamentul menționat și</w:t>
      </w:r>
    </w:p>
    <w:p>
      <w:pPr>
        <w:pStyle w:val="Bullet2"/>
        <w:rPr>
          <w:noProof/>
        </w:rPr>
      </w:pPr>
      <w:r>
        <w:rPr>
          <w:noProof/>
        </w:rPr>
        <w:t>concentrația totală a tuturor aditivilor să nu depășească 5 % din greutatea totală a materiilor prime sau</w:t>
      </w:r>
    </w:p>
    <w:p>
      <w:pPr>
        <w:pStyle w:val="Point1letter"/>
        <w:rPr>
          <w:noProof/>
        </w:rPr>
      </w:pPr>
      <w:r>
        <w:rPr>
          <w:noProof/>
        </w:rPr>
        <w:t>orice altă materie care figurează la punctele (a)-(b) și care a fost anterior digerată.</w:t>
      </w:r>
    </w:p>
    <w:p>
      <w:pPr>
        <w:pStyle w:val="NumPar1"/>
        <w:keepNext/>
        <w:numPr>
          <w:ilvl w:val="0"/>
          <w:numId w:val="12"/>
        </w:numPr>
        <w:ind w:left="851" w:hanging="851"/>
        <w:rPr>
          <w:noProof/>
        </w:rPr>
      </w:pPr>
      <w:r>
        <w:rPr>
          <w:noProof/>
        </w:rPr>
        <w:t xml:space="preserve">Digestia anaerobă trebuie să aibă loc într-o instalație: </w:t>
      </w:r>
    </w:p>
    <w:p>
      <w:pPr>
        <w:pStyle w:val="Bullet1"/>
        <w:numPr>
          <w:ilvl w:val="0"/>
          <w:numId w:val="13"/>
        </w:numPr>
        <w:rPr>
          <w:noProof/>
        </w:rPr>
      </w:pPr>
      <w:r>
        <w:rPr>
          <w:noProof/>
        </w:rPr>
        <w:t>care prelucrează numai materii prime menționate la punctul 1 de mai sus și</w:t>
      </w:r>
    </w:p>
    <w:p>
      <w:pPr>
        <w:pStyle w:val="Bullet1"/>
        <w:numPr>
          <w:ilvl w:val="0"/>
          <w:numId w:val="13"/>
        </w:numPr>
        <w:rPr>
          <w:noProof/>
        </w:rPr>
      </w:pPr>
      <w:r>
        <w:rPr>
          <w:noProof/>
        </w:rPr>
        <w:t>în care se evită contactul fizic dintre materiile prime și cele de ieșire, inclusiv în timpul depozitării.</w:t>
      </w:r>
    </w:p>
    <w:p>
      <w:pPr>
        <w:pStyle w:val="NumPar1"/>
        <w:keepNext/>
        <w:numPr>
          <w:ilvl w:val="0"/>
          <w:numId w:val="12"/>
        </w:numPr>
        <w:ind w:left="851" w:hanging="851"/>
        <w:rPr>
          <w:noProof/>
        </w:rPr>
      </w:pPr>
      <w:r>
        <w:rPr>
          <w:noProof/>
        </w:rPr>
        <w:t>Digestia anaerobă constă în descompunerea controlată, predominant anaerobă, a unor materii biodegradabile, la temperaturi adecvate pentru dezvoltarea bacteriilor mezofile sau termofile. Toate părțile din fiecare lot trebuie să fie întoarse temeinic și cu regularitate pentru a asigura igienizarea corectă și omogenitatea materiilor. În timpul procesului de digestie, toate părțile din fiecare lot trebuie să aibă unul dintre următoarele profiluri de temperatură-timp:</w:t>
      </w:r>
    </w:p>
    <w:p>
      <w:pPr>
        <w:pStyle w:val="Point1letter"/>
        <w:numPr>
          <w:ilvl w:val="3"/>
          <w:numId w:val="76"/>
        </w:numPr>
        <w:rPr>
          <w:noProof/>
        </w:rPr>
      </w:pPr>
      <w:r>
        <w:rPr>
          <w:noProof/>
        </w:rPr>
        <w:t>digestie anaerobă termofilă la 55°C timp de cel puțin 24h și un timp de retenție hidraulică de cel puțin 20 de zile;</w:t>
      </w:r>
    </w:p>
    <w:p>
      <w:pPr>
        <w:pStyle w:val="Point1letter"/>
        <w:rPr>
          <w:noProof/>
        </w:rPr>
      </w:pPr>
      <w:r>
        <w:rPr>
          <w:noProof/>
        </w:rPr>
        <w:t>digestie anaerobă termofilă la 55°C cu un tratament care include o etapă de pasteurizare (70°C – 1h);</w:t>
      </w:r>
    </w:p>
    <w:p>
      <w:pPr>
        <w:pStyle w:val="Point1letter"/>
        <w:keepNext/>
        <w:ind w:left="1418"/>
        <w:rPr>
          <w:noProof/>
        </w:rPr>
      </w:pPr>
      <w:r>
        <w:rPr>
          <w:noProof/>
        </w:rPr>
        <w:t>digestie anaerobă termofilă la 55°C urmată de compostare la:</w:t>
      </w:r>
    </w:p>
    <w:p>
      <w:pPr>
        <w:pStyle w:val="Bullet2"/>
        <w:rPr>
          <w:noProof/>
        </w:rPr>
      </w:pPr>
      <w:r>
        <w:rPr>
          <w:noProof/>
        </w:rPr>
        <w:t>65°C sau mai mult timp de cel puțin 5 zile,</w:t>
      </w:r>
    </w:p>
    <w:p>
      <w:pPr>
        <w:pStyle w:val="Bullet2"/>
        <w:rPr>
          <w:noProof/>
        </w:rPr>
      </w:pPr>
      <w:r>
        <w:rPr>
          <w:noProof/>
        </w:rPr>
        <w:t>60 °C sau mai mult timp de cel puțin 7 zile sau</w:t>
      </w:r>
    </w:p>
    <w:p>
      <w:pPr>
        <w:pStyle w:val="Bullet2"/>
        <w:rPr>
          <w:noProof/>
        </w:rPr>
      </w:pPr>
      <w:r>
        <w:rPr>
          <w:noProof/>
        </w:rPr>
        <w:t>55 °C sau mai mult timp de cel puțin 14 zile;</w:t>
      </w:r>
    </w:p>
    <w:p>
      <w:pPr>
        <w:pStyle w:val="Point1letter"/>
        <w:rPr>
          <w:noProof/>
        </w:rPr>
      </w:pPr>
      <w:r>
        <w:rPr>
          <w:noProof/>
        </w:rPr>
        <w:t>digestie anaerobă mezofilă la 37-40 °C cu un tratament care include o etapă de pasteurizare (70°C – 1h) sau</w:t>
      </w:r>
    </w:p>
    <w:p>
      <w:pPr>
        <w:pStyle w:val="Point1letter"/>
        <w:keepNext/>
        <w:ind w:left="1418"/>
        <w:rPr>
          <w:noProof/>
        </w:rPr>
      </w:pPr>
      <w:r>
        <w:rPr>
          <w:noProof/>
        </w:rPr>
        <w:lastRenderedPageBreak/>
        <w:t>digestie anaerobă mezofilă la 37-40 °C urmată de compostare la:</w:t>
      </w:r>
    </w:p>
    <w:p>
      <w:pPr>
        <w:pStyle w:val="Bullet2"/>
        <w:rPr>
          <w:noProof/>
        </w:rPr>
      </w:pPr>
      <w:r>
        <w:rPr>
          <w:noProof/>
        </w:rPr>
        <w:t>65°C sau mai mult timp de cel puțin 5 zile,</w:t>
      </w:r>
    </w:p>
    <w:p>
      <w:pPr>
        <w:pStyle w:val="Bullet2"/>
        <w:rPr>
          <w:noProof/>
        </w:rPr>
      </w:pPr>
      <w:r>
        <w:rPr>
          <w:noProof/>
        </w:rPr>
        <w:t>60 °C sau mai mult timp de cel puțin 7 zile sau</w:t>
      </w:r>
    </w:p>
    <w:p>
      <w:pPr>
        <w:pStyle w:val="Bullet2"/>
        <w:rPr>
          <w:noProof/>
        </w:rPr>
      </w:pPr>
      <w:r>
        <w:rPr>
          <w:noProof/>
        </w:rPr>
        <w:t>55 °C sau mai mult timp de cel puțin 14 zile.</w:t>
      </w:r>
    </w:p>
    <w:p>
      <w:pPr>
        <w:pStyle w:val="NumPar1"/>
        <w:keepNext/>
        <w:numPr>
          <w:ilvl w:val="0"/>
          <w:numId w:val="12"/>
        </w:numPr>
        <w:rPr>
          <w:noProof/>
        </w:rPr>
      </w:pPr>
      <w:r>
        <w:rPr>
          <w:noProof/>
        </w:rPr>
        <w:t>Atât partea solidă, cât și cea lichidă din digestat trebuie să respecte cel puțin unul dintre următoarele criterii de stabilitate:</w:t>
      </w:r>
    </w:p>
    <w:p>
      <w:pPr>
        <w:pStyle w:val="Point1letter"/>
        <w:keepNext/>
        <w:numPr>
          <w:ilvl w:val="3"/>
          <w:numId w:val="77"/>
        </w:numPr>
        <w:rPr>
          <w:noProof/>
        </w:rPr>
      </w:pPr>
      <w:r>
        <w:rPr>
          <w:noProof/>
        </w:rPr>
        <w:t>rata de consum a oxigenului:</w:t>
      </w:r>
    </w:p>
    <w:p>
      <w:pPr>
        <w:pStyle w:val="Bullet2"/>
        <w:rPr>
          <w:noProof/>
        </w:rPr>
      </w:pPr>
      <w:r>
        <w:rPr>
          <w:noProof/>
        </w:rPr>
        <w:t>definiție: indicator al măsurii în care s-a descompus materia organică biodegradabilă într-o anumită perioadă de timp. Metoda nu este adecvată pentru materii cu un conținut de particule cu dimensiuni &gt; 10 mm care depășește 20 %;</w:t>
      </w:r>
    </w:p>
    <w:p>
      <w:pPr>
        <w:pStyle w:val="Bullet2"/>
        <w:rPr>
          <w:noProof/>
        </w:rPr>
      </w:pPr>
      <w:r>
        <w:rPr>
          <w:noProof/>
        </w:rPr>
        <w:t>criteriu: maximum 50 mmol O</w:t>
      </w:r>
      <w:r>
        <w:rPr>
          <w:noProof/>
          <w:vertAlign w:val="subscript"/>
        </w:rPr>
        <w:t>2</w:t>
      </w:r>
      <w:r>
        <w:rPr>
          <w:noProof/>
        </w:rPr>
        <w:t>/kg de substanță organică/h sau</w:t>
      </w:r>
    </w:p>
    <w:p>
      <w:pPr>
        <w:pStyle w:val="Point1letter"/>
        <w:keepNext/>
        <w:ind w:left="1418"/>
        <w:rPr>
          <w:noProof/>
        </w:rPr>
      </w:pPr>
      <w:r>
        <w:rPr>
          <w:noProof/>
        </w:rPr>
        <w:t xml:space="preserve">potențial de producție de biogaz rezidual: </w:t>
      </w:r>
    </w:p>
    <w:p>
      <w:pPr>
        <w:pStyle w:val="Bullet2"/>
        <w:rPr>
          <w:noProof/>
        </w:rPr>
      </w:pPr>
      <w:r>
        <w:rPr>
          <w:noProof/>
        </w:rPr>
        <w:t>definiție: indicator al gazului eliberat de un digestat într-o perioadă de 28 de zile și măsurat în raport cu solidele volatile conținute în eșantion. Testul se realizează de trei ori, iar rezultatul mediu este cel utilizat pentru a demonstra conformitatea cu cerința. Solidele volatile sunt materiile solide dintr-un eșantion care se pierd la calcinarea solidelor uscate la 550°C;</w:t>
      </w:r>
    </w:p>
    <w:p>
      <w:pPr>
        <w:pStyle w:val="Bullet2"/>
        <w:rPr>
          <w:noProof/>
        </w:rPr>
      </w:pPr>
      <w:r>
        <w:rPr>
          <w:noProof/>
        </w:rPr>
        <w:t>criteriu: maximum 0,45 l biogaz/g de solide volatile.</w:t>
      </w:r>
    </w:p>
    <w:p>
      <w:pPr>
        <w:pStyle w:val="ManualHeading1"/>
        <w:rPr>
          <w:noProof/>
        </w:rPr>
      </w:pPr>
      <w:bookmarkStart w:id="38" w:name="_Toc432153229"/>
      <w:r>
        <w:rPr>
          <w:noProof/>
        </w:rPr>
        <w:t>CMC 5: Digestat de alt tip decât de culturi energetice</w:t>
      </w:r>
      <w:bookmarkEnd w:id="38"/>
    </w:p>
    <w:p>
      <w:pPr>
        <w:pStyle w:val="NumPar1"/>
        <w:keepNext/>
        <w:numPr>
          <w:ilvl w:val="0"/>
          <w:numId w:val="78"/>
        </w:numPr>
        <w:rPr>
          <w:noProof/>
        </w:rPr>
      </w:pPr>
      <w:r>
        <w:rPr>
          <w:noProof/>
        </w:rPr>
        <w:t>Un produs fertilizant cu marcaj CE poate să conțină digestat obținut prin digestia anaerobă exclusiv a unuia sau mai multora dintre materiile prime următoare:</w:t>
      </w:r>
    </w:p>
    <w:p>
      <w:pPr>
        <w:pStyle w:val="Point1letter"/>
        <w:numPr>
          <w:ilvl w:val="3"/>
          <w:numId w:val="79"/>
        </w:numPr>
        <w:rPr>
          <w:noProof/>
        </w:rPr>
      </w:pPr>
      <w:r>
        <w:rPr>
          <w:noProof/>
        </w:rPr>
        <w:t>biodeșeuri în sensul Directivei 98/2008/CE, provenite din biodeșeuri colectate separat la sursă;</w:t>
      </w:r>
    </w:p>
    <w:p>
      <w:pPr>
        <w:pStyle w:val="Point1letter"/>
        <w:numPr>
          <w:ilvl w:val="3"/>
          <w:numId w:val="10"/>
        </w:numPr>
        <w:rPr>
          <w:noProof/>
        </w:rPr>
      </w:pPr>
      <w:r>
        <w:rPr>
          <w:noProof/>
        </w:rPr>
        <w:t>subproduse de origine animală de categoriile 2 și 3, conform Regulamentului (CE) nr. 1069/2009;</w:t>
      </w:r>
    </w:p>
    <w:p>
      <w:pPr>
        <w:pStyle w:val="Point1letter"/>
        <w:keepNext/>
        <w:ind w:left="1418"/>
        <w:rPr>
          <w:noProof/>
        </w:rPr>
      </w:pPr>
      <w:r>
        <w:rPr>
          <w:noProof/>
        </w:rPr>
        <w:t>organisme vii sau moarte sau părți ale acestora care au fost prelucrate numai cu mijloace manuale, mecanice sau gravitaționale, prin dizolvare în apă, prin flotație, prin extracție apoasă, prin distilare cu vapori sau prin încălzire numai în scopul eliminării apei, sau care sunt extrase din aer prin orice mijloace, cu excepția:</w:t>
      </w:r>
    </w:p>
    <w:p>
      <w:pPr>
        <w:pStyle w:val="Bullet2"/>
        <w:rPr>
          <w:noProof/>
        </w:rPr>
      </w:pPr>
      <w:r>
        <w:rPr>
          <w:noProof/>
        </w:rPr>
        <w:t xml:space="preserve">fracțiunii organice a deșeurilor menajere urbane amestecate, separate prin mijloace mecanice, fizico-chimice, biologice și/sau tratare manuală; </w:t>
      </w:r>
    </w:p>
    <w:p>
      <w:pPr>
        <w:pStyle w:val="Bullet2"/>
        <w:rPr>
          <w:noProof/>
        </w:rPr>
      </w:pPr>
      <w:r>
        <w:rPr>
          <w:noProof/>
        </w:rPr>
        <w:t>nămolului de epurare, nămolului industrial sau nămolului de dragare;</w:t>
      </w:r>
    </w:p>
    <w:p>
      <w:pPr>
        <w:pStyle w:val="Bullet2"/>
        <w:rPr>
          <w:noProof/>
        </w:rPr>
      </w:pPr>
      <w:r>
        <w:rPr>
          <w:noProof/>
        </w:rPr>
        <w:t>subproduselor de origine animală de categoria 1, conform Regulamentului (CE) nr. 1069/2009;</w:t>
      </w:r>
    </w:p>
    <w:p>
      <w:pPr>
        <w:pStyle w:val="Point1letter"/>
        <w:keepNext/>
        <w:rPr>
          <w:noProof/>
        </w:rPr>
      </w:pPr>
      <w:r>
        <w:rPr>
          <w:noProof/>
        </w:rPr>
        <w:lastRenderedPageBreak/>
        <w:t>aditivi de digestie necesari pentru îmbunătățirea procesului sau a performanței de mediu a procesului de digestie, cu condiția ca:</w:t>
      </w:r>
    </w:p>
    <w:p>
      <w:pPr>
        <w:pStyle w:val="Bullet2"/>
        <w:keepNext/>
        <w:rPr>
          <w:noProof/>
        </w:rPr>
      </w:pPr>
      <w:r>
        <w:rPr>
          <w:noProof/>
        </w:rPr>
        <w:t>aditivul să fie înregistrat în temeiul Regulamentului (CE) nr. 1907/2006</w:t>
      </w:r>
      <w:r>
        <w:rPr>
          <w:rStyle w:val="FootnoteReference"/>
          <w:noProof/>
        </w:rPr>
        <w:footnoteReference w:id="13"/>
      </w:r>
      <w:r>
        <w:rPr>
          <w:noProof/>
        </w:rPr>
        <w:t>, pe baza unui dosar cuprinzând:</w:t>
      </w:r>
    </w:p>
    <w:p>
      <w:pPr>
        <w:pStyle w:val="Tiret3"/>
        <w:rPr>
          <w:noProof/>
        </w:rPr>
      </w:pPr>
      <w:r>
        <w:rPr>
          <w:noProof/>
        </w:rPr>
        <w:t>informațiile prevăzute în anexele VI, VII și VIII la Regulamentul (CE) nr. 1907/2006 și</w:t>
      </w:r>
    </w:p>
    <w:p>
      <w:pPr>
        <w:pStyle w:val="Tiret3"/>
        <w:keepNext/>
        <w:ind w:left="2552"/>
        <w:rPr>
          <w:noProof/>
        </w:rPr>
      </w:pPr>
      <w:r>
        <w:rPr>
          <w:noProof/>
        </w:rPr>
        <w:t>un raport de securitate chimică conform articolului 14 din Regulamentul (CE) nr. 1907/2006, care să acopere utilizarea sa ca produs fertilizant,</w:t>
      </w:r>
    </w:p>
    <w:p>
      <w:pPr>
        <w:pStyle w:val="Text3"/>
        <w:rPr>
          <w:noProof/>
        </w:rPr>
      </w:pPr>
      <w:r>
        <w:rPr>
          <w:noProof/>
        </w:rPr>
        <w:t>cu excepția cazului în care substanța este exceptată de obligația de înregistrare prevăzută în anexa IV la regulamentul menționat sau la punctele 6, 7, 8 sau 9 din anexa V la regulamentul menționat și</w:t>
      </w:r>
    </w:p>
    <w:p>
      <w:pPr>
        <w:pStyle w:val="Bullet2"/>
        <w:rPr>
          <w:noProof/>
        </w:rPr>
      </w:pPr>
      <w:r>
        <w:rPr>
          <w:noProof/>
        </w:rPr>
        <w:t>concentrația totală a tuturor aditivilor să nu depășească 5 % din greutatea totală a materiilor prime sau</w:t>
      </w:r>
    </w:p>
    <w:p>
      <w:pPr>
        <w:pStyle w:val="Point1letter"/>
        <w:keepNext/>
        <w:ind w:left="1418"/>
        <w:rPr>
          <w:noProof/>
        </w:rPr>
      </w:pPr>
      <w:r>
        <w:rPr>
          <w:noProof/>
        </w:rPr>
        <w:t xml:space="preserve">orice materie dintre cele enumerate la punctele (a)-(d) care: </w:t>
      </w:r>
    </w:p>
    <w:p>
      <w:pPr>
        <w:pStyle w:val="Bullet2"/>
        <w:rPr>
          <w:noProof/>
        </w:rPr>
      </w:pPr>
      <w:r>
        <w:rPr>
          <w:noProof/>
        </w:rPr>
        <w:t>a fost anterior compostată sau digestată și</w:t>
      </w:r>
    </w:p>
    <w:p>
      <w:pPr>
        <w:pStyle w:val="Bullet2"/>
        <w:rPr>
          <w:noProof/>
        </w:rPr>
      </w:pPr>
      <w:r>
        <w:rPr>
          <w:noProof/>
        </w:rPr>
        <w:t>nu conține mai mult de 6 mg HAP</w:t>
      </w:r>
      <w:r>
        <w:rPr>
          <w:noProof/>
          <w:vertAlign w:val="subscript"/>
        </w:rPr>
        <w:t>16</w:t>
      </w:r>
      <w:r>
        <w:rPr>
          <w:rStyle w:val="FootnoteReference"/>
          <w:noProof/>
        </w:rPr>
        <w:footnoteReference w:id="14"/>
      </w:r>
      <w:r>
        <w:rPr>
          <w:noProof/>
        </w:rPr>
        <w:t>/kg de substanță uscată,</w:t>
      </w:r>
    </w:p>
    <w:p>
      <w:pPr>
        <w:pStyle w:val="NumPar1"/>
        <w:keepNext/>
        <w:numPr>
          <w:ilvl w:val="0"/>
          <w:numId w:val="12"/>
        </w:numPr>
        <w:ind w:left="851" w:hanging="851"/>
        <w:rPr>
          <w:noProof/>
        </w:rPr>
      </w:pPr>
      <w:r>
        <w:rPr>
          <w:noProof/>
        </w:rPr>
        <w:t xml:space="preserve">Digestia anaerobă trebuie să aibă loc într-o instalație: </w:t>
      </w:r>
    </w:p>
    <w:p>
      <w:pPr>
        <w:pStyle w:val="Bullet1"/>
        <w:numPr>
          <w:ilvl w:val="0"/>
          <w:numId w:val="13"/>
        </w:numPr>
        <w:rPr>
          <w:noProof/>
        </w:rPr>
      </w:pPr>
      <w:r>
        <w:rPr>
          <w:noProof/>
        </w:rPr>
        <w:t>care prelucrează numai materii prime menționate la punctul 1 de mai sus și</w:t>
      </w:r>
    </w:p>
    <w:p>
      <w:pPr>
        <w:pStyle w:val="Bullet1"/>
        <w:numPr>
          <w:ilvl w:val="0"/>
          <w:numId w:val="13"/>
        </w:numPr>
        <w:rPr>
          <w:noProof/>
        </w:rPr>
      </w:pPr>
      <w:r>
        <w:rPr>
          <w:noProof/>
        </w:rPr>
        <w:t>în care se evită contactul fizic dintre materiile prime și cele de ieșire, inclusiv în timpul depozitării.</w:t>
      </w:r>
    </w:p>
    <w:p>
      <w:pPr>
        <w:pStyle w:val="NumPar1"/>
        <w:keepNext/>
        <w:numPr>
          <w:ilvl w:val="0"/>
          <w:numId w:val="12"/>
        </w:numPr>
        <w:ind w:left="851" w:hanging="851"/>
        <w:rPr>
          <w:noProof/>
        </w:rPr>
      </w:pPr>
      <w:r>
        <w:rPr>
          <w:noProof/>
        </w:rPr>
        <w:t>Digestia anaerobă constă în descompunerea controlată, predominant anaerobă, a unor materii biodegradabile, la temperaturi adecvate pentru dezvoltarea bacteriilor mezofile sau termofile. Toate părțile din fiecare lot trebuie să fie întoarse temeinic și cu regularitate pentru a asigura igienizarea corectă și omogenitatea materiilor. În timpul procesului de digestie, toate părțile din fiecare lot trebuie să aibă unul dintre următoarele profiluri de temperatură-timp:</w:t>
      </w:r>
    </w:p>
    <w:p>
      <w:pPr>
        <w:pStyle w:val="Point1letter"/>
        <w:numPr>
          <w:ilvl w:val="3"/>
          <w:numId w:val="80"/>
        </w:numPr>
        <w:rPr>
          <w:noProof/>
        </w:rPr>
      </w:pPr>
      <w:r>
        <w:rPr>
          <w:noProof/>
        </w:rPr>
        <w:t>digestie anaerobă termofilă la 55°C timp de cel puțin 24h și un timp de retenție hidraulică de cel puțin 20 de zile;</w:t>
      </w:r>
    </w:p>
    <w:p>
      <w:pPr>
        <w:pStyle w:val="Point1letter"/>
        <w:rPr>
          <w:noProof/>
        </w:rPr>
      </w:pPr>
      <w:r>
        <w:rPr>
          <w:noProof/>
        </w:rPr>
        <w:t>digestie anaerobă termofilă la 55°C cu un tratament care include o etapă de pasteurizare (70°C – 1h);</w:t>
      </w:r>
    </w:p>
    <w:p>
      <w:pPr>
        <w:pStyle w:val="Point1letter"/>
        <w:keepNext/>
        <w:ind w:left="1418"/>
        <w:rPr>
          <w:noProof/>
        </w:rPr>
      </w:pPr>
      <w:r>
        <w:rPr>
          <w:noProof/>
        </w:rPr>
        <w:t>digestie anaerobă termofilă la 55°C urmată de compostare la:</w:t>
      </w:r>
    </w:p>
    <w:p>
      <w:pPr>
        <w:pStyle w:val="Bullet2"/>
        <w:rPr>
          <w:noProof/>
        </w:rPr>
      </w:pPr>
      <w:r>
        <w:rPr>
          <w:noProof/>
        </w:rPr>
        <w:t>65°C sau mai mult timp de cel puțin 5 zile,</w:t>
      </w:r>
    </w:p>
    <w:p>
      <w:pPr>
        <w:pStyle w:val="Bullet2"/>
        <w:rPr>
          <w:noProof/>
        </w:rPr>
      </w:pPr>
      <w:r>
        <w:rPr>
          <w:noProof/>
        </w:rPr>
        <w:lastRenderedPageBreak/>
        <w:t>60 °C sau mai mult timp de cel puțin 7 zile sau</w:t>
      </w:r>
    </w:p>
    <w:p>
      <w:pPr>
        <w:pStyle w:val="Bullet2"/>
        <w:rPr>
          <w:noProof/>
        </w:rPr>
      </w:pPr>
      <w:r>
        <w:rPr>
          <w:noProof/>
        </w:rPr>
        <w:t>55 °C sau mai mult timp de cel puțin 14 zile;</w:t>
      </w:r>
    </w:p>
    <w:p>
      <w:pPr>
        <w:pStyle w:val="Point1letter"/>
        <w:rPr>
          <w:noProof/>
        </w:rPr>
      </w:pPr>
      <w:r>
        <w:rPr>
          <w:noProof/>
        </w:rPr>
        <w:t>digestie anaerobă mezofilă la 37-40 °C cu un tratament care include o etapă de pasteurizare (70°C – 1h) sau</w:t>
      </w:r>
    </w:p>
    <w:p>
      <w:pPr>
        <w:pStyle w:val="Point1letter"/>
        <w:keepNext/>
        <w:ind w:left="1418"/>
        <w:rPr>
          <w:noProof/>
        </w:rPr>
      </w:pPr>
      <w:r>
        <w:rPr>
          <w:noProof/>
        </w:rPr>
        <w:t>digestie anaerobă mezofilă la 37-40 °C urmată de compostare la:</w:t>
      </w:r>
    </w:p>
    <w:p>
      <w:pPr>
        <w:pStyle w:val="Bullet2"/>
        <w:rPr>
          <w:noProof/>
        </w:rPr>
      </w:pPr>
      <w:r>
        <w:rPr>
          <w:noProof/>
        </w:rPr>
        <w:t>65°C sau mai mult timp de cel puțin 5 zile,</w:t>
      </w:r>
    </w:p>
    <w:p>
      <w:pPr>
        <w:pStyle w:val="Bullet2"/>
        <w:rPr>
          <w:noProof/>
        </w:rPr>
      </w:pPr>
      <w:r>
        <w:rPr>
          <w:noProof/>
        </w:rPr>
        <w:t>60 °C sau mai mult timp de cel puțin 7 zile sau</w:t>
      </w:r>
    </w:p>
    <w:p>
      <w:pPr>
        <w:pStyle w:val="Bullet2"/>
        <w:rPr>
          <w:noProof/>
        </w:rPr>
      </w:pPr>
      <w:r>
        <w:rPr>
          <w:noProof/>
        </w:rPr>
        <w:t>55 °C sau mai mult timp de cel puțin 14 zile.</w:t>
      </w:r>
    </w:p>
    <w:p>
      <w:pPr>
        <w:pStyle w:val="NumPar1"/>
        <w:numPr>
          <w:ilvl w:val="0"/>
          <w:numId w:val="12"/>
        </w:numPr>
        <w:rPr>
          <w:noProof/>
        </w:rPr>
      </w:pPr>
      <w:r>
        <w:rPr>
          <w:noProof/>
        </w:rPr>
        <w:t>Nici partea solidă, nici partea lichidă din digestat nu trebuie să conțină mai mult de 6 mg HAP</w:t>
      </w:r>
      <w:r>
        <w:rPr>
          <w:noProof/>
          <w:vertAlign w:val="subscript"/>
        </w:rPr>
        <w:t>16</w:t>
      </w:r>
      <w:r>
        <w:rPr>
          <w:rStyle w:val="FootnoteReference"/>
          <w:noProof/>
        </w:rPr>
        <w:footnoteReference w:id="15"/>
      </w:r>
      <w:r>
        <w:rPr>
          <w:noProof/>
        </w:rPr>
        <w:t xml:space="preserve">/kg de substanță uscată. </w:t>
      </w:r>
    </w:p>
    <w:p>
      <w:pPr>
        <w:pStyle w:val="NumPar1"/>
        <w:numPr>
          <w:ilvl w:val="0"/>
          <w:numId w:val="12"/>
        </w:numPr>
        <w:rPr>
          <w:noProof/>
        </w:rPr>
      </w:pPr>
      <w:r>
        <w:rPr>
          <w:noProof/>
        </w:rPr>
        <w:t>Digestatul nu trebuie să conțină mai mult de 5 g de impurități macroscopice sub formă de sticlă, metal și plastic cu dimensiuni mai mari de 2 mm/kg de substanță uscată.</w:t>
      </w:r>
    </w:p>
    <w:p>
      <w:pPr>
        <w:pStyle w:val="NumPar1"/>
        <w:numPr>
          <w:ilvl w:val="0"/>
          <w:numId w:val="12"/>
        </w:numPr>
        <w:rPr>
          <w:noProof/>
        </w:rPr>
      </w:pPr>
      <w:r>
        <w:rPr>
          <w:noProof/>
        </w:rPr>
        <w:t>Începând de la [Oficiul pentru Publicații este rugat să introducă data la care se împlinesc 5 ani de la data aplicării prezentului regulament], digestatul trebuie să conțină maximum 2,5 g de impurități macroscopice sub formă de plastic cu dimensiuni mai mari de 2 mm/kg de substanță uscată. Până la [Oficiul pentru Publicații este rugat să introducă data la care se împlinesc 8 ani de la data aplicării prezentului regulament], valoarea-limită de 2,5 g/kg de substanță uscată trebuie reevaluată pentru a ține seama de progresele realizate în colectarea separată a biodeșeurilor.</w:t>
      </w:r>
    </w:p>
    <w:p>
      <w:pPr>
        <w:pStyle w:val="NumPar1"/>
        <w:keepNext/>
        <w:numPr>
          <w:ilvl w:val="0"/>
          <w:numId w:val="12"/>
        </w:numPr>
        <w:rPr>
          <w:noProof/>
        </w:rPr>
      </w:pPr>
      <w:r>
        <w:rPr>
          <w:noProof/>
        </w:rPr>
        <w:t>Atât partea solidă, cât și cea lichidă din digestat trebuie să respecte cel puțin unul dintre următoarele criterii de stabilitate:</w:t>
      </w:r>
    </w:p>
    <w:p>
      <w:pPr>
        <w:pStyle w:val="Point1letter"/>
        <w:keepNext/>
        <w:numPr>
          <w:ilvl w:val="3"/>
          <w:numId w:val="81"/>
        </w:numPr>
        <w:rPr>
          <w:noProof/>
        </w:rPr>
      </w:pPr>
      <w:r>
        <w:rPr>
          <w:noProof/>
        </w:rPr>
        <w:t>rata de consum a oxigenului:</w:t>
      </w:r>
    </w:p>
    <w:p>
      <w:pPr>
        <w:pStyle w:val="Bullet2"/>
        <w:rPr>
          <w:noProof/>
        </w:rPr>
      </w:pPr>
      <w:r>
        <w:rPr>
          <w:noProof/>
        </w:rPr>
        <w:t>definiție: indicator al măsurii în care s-a descompus materia organică biodegradabilă într-o anumită perioadă de timp. Metoda nu este adecvată pentru materii cu un conținut de particule cu dimensiuni &gt; 10 mm care depășește 20 %;</w:t>
      </w:r>
    </w:p>
    <w:p>
      <w:pPr>
        <w:pStyle w:val="Bullet2"/>
        <w:rPr>
          <w:noProof/>
        </w:rPr>
      </w:pPr>
      <w:r>
        <w:rPr>
          <w:noProof/>
        </w:rPr>
        <w:t>criteriu: maximum 50 mmol O</w:t>
      </w:r>
      <w:r>
        <w:rPr>
          <w:noProof/>
          <w:vertAlign w:val="subscript"/>
        </w:rPr>
        <w:t>2</w:t>
      </w:r>
      <w:r>
        <w:rPr>
          <w:noProof/>
        </w:rPr>
        <w:t>/kg de substanță organică/h sau</w:t>
      </w:r>
    </w:p>
    <w:p>
      <w:pPr>
        <w:pStyle w:val="Point1letter"/>
        <w:keepNext/>
        <w:ind w:left="1418"/>
        <w:rPr>
          <w:noProof/>
        </w:rPr>
      </w:pPr>
      <w:r>
        <w:rPr>
          <w:noProof/>
        </w:rPr>
        <w:t xml:space="preserve">potențial de producție de biogaz rezidual: </w:t>
      </w:r>
    </w:p>
    <w:p>
      <w:pPr>
        <w:pStyle w:val="Bullet2"/>
        <w:rPr>
          <w:noProof/>
        </w:rPr>
      </w:pPr>
      <w:r>
        <w:rPr>
          <w:noProof/>
        </w:rPr>
        <w:t>definiție: indicator al gazului eliberat de un digestat într-o perioadă de 28 de zile și măsurat în raport cu solidele volatile conținute în eșantion. Testul se realizează de trei ori, iar rezultatul mediu este cel utilizat pentru a demonstra conformitatea cu cerința. Solidele volatile sunt materiile solide dintr-un eșantion care se pierd la calcinarea solidelor uscate la 550°C;</w:t>
      </w:r>
    </w:p>
    <w:p>
      <w:pPr>
        <w:pStyle w:val="Bullet2"/>
        <w:rPr>
          <w:noProof/>
        </w:rPr>
      </w:pPr>
      <w:r>
        <w:rPr>
          <w:noProof/>
        </w:rPr>
        <w:t>criteriu: maximum 0,45 l biogaz/g de solide volatile.</w:t>
      </w:r>
    </w:p>
    <w:p>
      <w:pPr>
        <w:pStyle w:val="ManualHeading1"/>
        <w:rPr>
          <w:noProof/>
        </w:rPr>
      </w:pPr>
      <w:bookmarkStart w:id="39" w:name="_Toc432153230"/>
      <w:r>
        <w:rPr>
          <w:noProof/>
        </w:rPr>
        <w:lastRenderedPageBreak/>
        <w:t xml:space="preserve">CMC 6: Subproduse ale </w:t>
      </w:r>
      <w:bookmarkEnd w:id="39"/>
      <w:r>
        <w:rPr>
          <w:noProof/>
        </w:rPr>
        <w:t>industriei alimentare</w:t>
      </w:r>
    </w:p>
    <w:p>
      <w:pPr>
        <w:pStyle w:val="NumPar1"/>
        <w:keepNext/>
        <w:numPr>
          <w:ilvl w:val="0"/>
          <w:numId w:val="82"/>
        </w:numPr>
        <w:rPr>
          <w:noProof/>
        </w:rPr>
      </w:pPr>
      <w:r>
        <w:rPr>
          <w:noProof/>
        </w:rPr>
        <w:t xml:space="preserve">Un produs fertilizant cu marcaj CE poate conține materii componente constituite din una sau mai multe dintre substanțele următoare: </w:t>
      </w:r>
    </w:p>
    <w:p>
      <w:pPr>
        <w:pStyle w:val="Point1letter"/>
        <w:numPr>
          <w:ilvl w:val="3"/>
          <w:numId w:val="83"/>
        </w:numPr>
        <w:rPr>
          <w:noProof/>
        </w:rPr>
      </w:pPr>
      <w:r>
        <w:rPr>
          <w:noProof/>
        </w:rPr>
        <w:t>nămol de carbonatare din industria alimentară, respectiv materii provenite din industria agroalimentară prin carbonatarea materiilor organice, cu utilizarea exclusivă a varului nestins din surse naturale;</w:t>
      </w:r>
    </w:p>
    <w:p>
      <w:pPr>
        <w:pStyle w:val="Point1letter"/>
        <w:numPr>
          <w:ilvl w:val="3"/>
          <w:numId w:val="10"/>
        </w:numPr>
        <w:rPr>
          <w:noProof/>
        </w:rPr>
      </w:pPr>
      <w:r>
        <w:rPr>
          <w:noProof/>
        </w:rPr>
        <w:t>melasă, respectiv un subprodus vâscos al rafinării zahărului provenit din trestie de zahăr sau din sfeclă de zahăr sau</w:t>
      </w:r>
    </w:p>
    <w:p>
      <w:pPr>
        <w:pStyle w:val="Point1letter"/>
        <w:numPr>
          <w:ilvl w:val="3"/>
          <w:numId w:val="10"/>
        </w:numPr>
        <w:rPr>
          <w:noProof/>
        </w:rPr>
      </w:pPr>
      <w:r>
        <w:rPr>
          <w:noProof/>
        </w:rPr>
        <w:t>vinasă, respectiv un subprodus vâscos al procesului de fermentare a melasei pentru transformarea în etanol, acid ascorbic sau alte produse.</w:t>
      </w:r>
    </w:p>
    <w:p>
      <w:pPr>
        <w:pStyle w:val="NumPar1"/>
        <w:keepNext/>
        <w:numPr>
          <w:ilvl w:val="0"/>
          <w:numId w:val="12"/>
        </w:numPr>
        <w:ind w:left="851" w:hanging="851"/>
        <w:rPr>
          <w:noProof/>
        </w:rPr>
      </w:pPr>
      <w:r>
        <w:rPr>
          <w:noProof/>
        </w:rPr>
        <w:t>Substanța trebuie să fie înregistrată în temeiul Regulamentului (CE) nr. 1907/2006</w:t>
      </w:r>
      <w:r>
        <w:rPr>
          <w:rStyle w:val="FootnoteReference"/>
          <w:noProof/>
        </w:rPr>
        <w:footnoteReference w:id="16"/>
      </w:r>
      <w:r>
        <w:rPr>
          <w:noProof/>
        </w:rPr>
        <w:t>, pe baza unui dosar cuprinzând:</w:t>
      </w:r>
    </w:p>
    <w:p>
      <w:pPr>
        <w:pStyle w:val="Point1letter"/>
        <w:numPr>
          <w:ilvl w:val="3"/>
          <w:numId w:val="84"/>
        </w:numPr>
        <w:rPr>
          <w:noProof/>
        </w:rPr>
      </w:pPr>
      <w:r>
        <w:rPr>
          <w:noProof/>
        </w:rPr>
        <w:t>informațiile prevăzute în anexele VI, VII și VIII la Regulamentul (CE) nr. 1907/2006 și</w:t>
      </w:r>
    </w:p>
    <w:p>
      <w:pPr>
        <w:pStyle w:val="Point1letter"/>
        <w:keepNext/>
        <w:numPr>
          <w:ilvl w:val="3"/>
          <w:numId w:val="10"/>
        </w:numPr>
        <w:ind w:left="1418"/>
        <w:rPr>
          <w:noProof/>
        </w:rPr>
      </w:pPr>
      <w:r>
        <w:rPr>
          <w:noProof/>
        </w:rPr>
        <w:t>un raport de securitate chimică conform articolului 14 din Regulamentul (CE) nr. 1907/2006, care să acopere utilizarea sa ca produs fertilizant,</w:t>
      </w:r>
    </w:p>
    <w:p>
      <w:pPr>
        <w:pStyle w:val="Text1"/>
        <w:rPr>
          <w:noProof/>
        </w:rPr>
      </w:pPr>
      <w:r>
        <w:rPr>
          <w:noProof/>
        </w:rPr>
        <w:t>cu excepția cazului în care substanța este exceptată în mod explicit de obligația de înregistrare prevăzută în anexa IV la regulamentul menționat sau la punctele 6, 7, 8 sau 9 din anexa V la regulamentul menționat.</w:t>
      </w:r>
    </w:p>
    <w:p>
      <w:pPr>
        <w:pStyle w:val="ManualHeading1"/>
        <w:rPr>
          <w:noProof/>
        </w:rPr>
      </w:pPr>
      <w:bookmarkStart w:id="40" w:name="_Toc432153237"/>
      <w:r>
        <w:rPr>
          <w:noProof/>
        </w:rPr>
        <w:t>CMC 7: Microorganisme</w:t>
      </w:r>
      <w:bookmarkEnd w:id="40"/>
    </w:p>
    <w:p>
      <w:pPr>
        <w:pStyle w:val="Text1"/>
        <w:keepNext/>
        <w:ind w:left="851"/>
        <w:rPr>
          <w:noProof/>
        </w:rPr>
      </w:pPr>
      <w:r>
        <w:rPr>
          <w:noProof/>
        </w:rPr>
        <w:t>Un produs fertilizant cu marcaj CE poate conține microorganisme, inclusiv microorganisme moarte sau pereți celulari lipsiți de microorganisme și elemente reziduale nedăunătoare din mediul în care s-au dezvoltate, care:</w:t>
      </w:r>
    </w:p>
    <w:p>
      <w:pPr>
        <w:pStyle w:val="Bullet1"/>
        <w:numPr>
          <w:ilvl w:val="0"/>
          <w:numId w:val="13"/>
        </w:numPr>
        <w:rPr>
          <w:noProof/>
        </w:rPr>
      </w:pPr>
      <w:r>
        <w:rPr>
          <w:noProof/>
        </w:rPr>
        <w:t>nu au suportat alt tratament decât uscarea sau liofilizarea și</w:t>
      </w:r>
    </w:p>
    <w:p>
      <w:pPr>
        <w:pStyle w:val="Bullet1"/>
        <w:keepNext/>
        <w:numPr>
          <w:ilvl w:val="0"/>
          <w:numId w:val="13"/>
        </w:numPr>
        <w:ind w:left="1418"/>
        <w:rPr>
          <w:noProof/>
        </w:rPr>
      </w:pPr>
      <w:r>
        <w:rPr>
          <w:noProof/>
        </w:rPr>
        <w:t>sunt enumerate în tabelul de mai jos:</w:t>
      </w:r>
    </w:p>
    <w:tbl>
      <w:tblPr>
        <w:tblStyle w:val="TableGrid"/>
        <w:tblW w:w="0" w:type="auto"/>
        <w:tblInd w:w="959" w:type="dxa"/>
        <w:tblLook w:val="04A0" w:firstRow="1" w:lastRow="0" w:firstColumn="1" w:lastColumn="0" w:noHBand="0" w:noVBand="1"/>
      </w:tblPr>
      <w:tblGrid>
        <w:gridCol w:w="4536"/>
      </w:tblGrid>
      <w:tr>
        <w:tc>
          <w:tcPr>
            <w:tcW w:w="4536" w:type="dxa"/>
          </w:tcPr>
          <w:p>
            <w:pPr>
              <w:rPr>
                <w:i/>
                <w:noProof/>
              </w:rPr>
            </w:pPr>
            <w:r>
              <w:rPr>
                <w:i/>
                <w:noProof/>
              </w:rPr>
              <w:t>Azotobacter spp.</w:t>
            </w:r>
          </w:p>
        </w:tc>
      </w:tr>
      <w:tr>
        <w:tc>
          <w:tcPr>
            <w:tcW w:w="4536" w:type="dxa"/>
          </w:tcPr>
          <w:p>
            <w:pPr>
              <w:rPr>
                <w:i/>
                <w:noProof/>
              </w:rPr>
            </w:pPr>
            <w:r>
              <w:rPr>
                <w:i/>
                <w:noProof/>
              </w:rPr>
              <w:t xml:space="preserve">Mycorrhizal fungi </w:t>
            </w:r>
          </w:p>
        </w:tc>
      </w:tr>
      <w:tr>
        <w:tc>
          <w:tcPr>
            <w:tcW w:w="4536" w:type="dxa"/>
          </w:tcPr>
          <w:p>
            <w:pPr>
              <w:rPr>
                <w:i/>
                <w:noProof/>
              </w:rPr>
            </w:pPr>
            <w:r>
              <w:rPr>
                <w:i/>
                <w:noProof/>
              </w:rPr>
              <w:t>Rhizobium spp.</w:t>
            </w:r>
          </w:p>
        </w:tc>
      </w:tr>
      <w:tr>
        <w:tc>
          <w:tcPr>
            <w:tcW w:w="4536" w:type="dxa"/>
          </w:tcPr>
          <w:p>
            <w:pPr>
              <w:rPr>
                <w:i/>
                <w:noProof/>
              </w:rPr>
            </w:pPr>
            <w:r>
              <w:rPr>
                <w:i/>
                <w:noProof/>
              </w:rPr>
              <w:t>Azospirillum spp.</w:t>
            </w:r>
          </w:p>
        </w:tc>
      </w:tr>
    </w:tbl>
    <w:p>
      <w:pPr>
        <w:pStyle w:val="ManualHeading1"/>
        <w:rPr>
          <w:noProof/>
        </w:rPr>
      </w:pPr>
      <w:r>
        <w:rPr>
          <w:noProof/>
        </w:rPr>
        <w:lastRenderedPageBreak/>
        <w:t>CMC 8: Aditivi agronomici</w:t>
      </w:r>
    </w:p>
    <w:p>
      <w:pPr>
        <w:pStyle w:val="NumPar1"/>
        <w:numPr>
          <w:ilvl w:val="0"/>
          <w:numId w:val="85"/>
        </w:numPr>
        <w:rPr>
          <w:noProof/>
        </w:rPr>
      </w:pPr>
      <w:r>
        <w:rPr>
          <w:noProof/>
        </w:rPr>
        <w:t>Un produs fertilizant cu marcaj CE poate conține o substanță sau un amestec menit să îmbunătățească caracteristicile de eliberare a nutrienților ale produsului fertilizant, dar numai dacă conformitatea substanței sau amestecului respectiv cu cerințele prezentului regulament în ceea ce privește produsele din categoria CFP 5 din anexa I a fost demonstrată conform procedurii de evaluare a conformității aplicabile acelui aditiv agronomic.</w:t>
      </w:r>
    </w:p>
    <w:p>
      <w:pPr>
        <w:pStyle w:val="NumPar1"/>
        <w:keepNext/>
        <w:numPr>
          <w:ilvl w:val="0"/>
          <w:numId w:val="12"/>
        </w:numPr>
        <w:ind w:left="851" w:hanging="851"/>
        <w:rPr>
          <w:noProof/>
        </w:rPr>
      </w:pPr>
      <w:r>
        <w:rPr>
          <w:noProof/>
        </w:rPr>
        <w:t xml:space="preserve">Cantitatea de aditiv agronomic conform din produsul fertilizant cu marcaj CE trebuie să fie astfel încât: </w:t>
      </w:r>
    </w:p>
    <w:p>
      <w:pPr>
        <w:pStyle w:val="Point1letter"/>
        <w:numPr>
          <w:ilvl w:val="3"/>
          <w:numId w:val="86"/>
        </w:numPr>
        <w:rPr>
          <w:noProof/>
        </w:rPr>
      </w:pPr>
      <w:r>
        <w:rPr>
          <w:noProof/>
        </w:rPr>
        <w:t>să producă efectul specificat în informațiile furnizate utilizatorilor de produse fertilizante cu marcaj CE și</w:t>
      </w:r>
    </w:p>
    <w:p>
      <w:pPr>
        <w:pStyle w:val="Point1letter"/>
        <w:rPr>
          <w:noProof/>
        </w:rPr>
      </w:pPr>
      <w:r>
        <w:rPr>
          <w:noProof/>
        </w:rPr>
        <w:t>să nu aibă un efect general advers asupra sănătății oamenilor, a animalelor sau a plantelor, asupra securității sau asupra mediului, în condiții previzibile în mod rezonabil de depozitare sau de utilizare a produsului fertilizant cu marcaj CE.</w:t>
      </w:r>
    </w:p>
    <w:p>
      <w:pPr>
        <w:pStyle w:val="NumPar1"/>
        <w:numPr>
          <w:ilvl w:val="0"/>
          <w:numId w:val="12"/>
        </w:numPr>
        <w:rPr>
          <w:noProof/>
        </w:rPr>
      </w:pPr>
      <w:r>
        <w:rPr>
          <w:noProof/>
        </w:rPr>
        <w:t>Un produs fertilizant cu marcaj CE poate conține un inhibitor de nitrificare conform din categoria CFP 5(A)(I) din anexa I, cu condiția ca cel puțin 50 % din conținutul total de azot (N) al produsului fertilizant să fie sub formă de amoniu (NH</w:t>
      </w:r>
      <w:r>
        <w:rPr>
          <w:noProof/>
          <w:vertAlign w:val="subscript"/>
        </w:rPr>
        <w:t>4</w:t>
      </w:r>
      <w:r>
        <w:rPr>
          <w:noProof/>
        </w:rPr>
        <w:t>+) și de uree (CH</w:t>
      </w:r>
      <w:r>
        <w:rPr>
          <w:noProof/>
          <w:vertAlign w:val="subscript"/>
        </w:rPr>
        <w:t>4</w:t>
      </w:r>
      <w:r>
        <w:rPr>
          <w:noProof/>
        </w:rPr>
        <w:t>N</w:t>
      </w:r>
      <w:r>
        <w:rPr>
          <w:noProof/>
          <w:vertAlign w:val="subscript"/>
        </w:rPr>
        <w:t>2</w:t>
      </w:r>
      <w:r>
        <w:rPr>
          <w:noProof/>
        </w:rPr>
        <w:t>O).</w:t>
      </w:r>
    </w:p>
    <w:p>
      <w:pPr>
        <w:pStyle w:val="NumPar1"/>
        <w:numPr>
          <w:ilvl w:val="0"/>
          <w:numId w:val="12"/>
        </w:numPr>
        <w:rPr>
          <w:noProof/>
        </w:rPr>
      </w:pPr>
      <w:r>
        <w:rPr>
          <w:noProof/>
        </w:rPr>
        <w:t>Un produs fertilizant cu marcaj CE poate conține un inhibitor de urează conform din categoria CFP 5(A)(II) din anexa I, cu condiția ca cel puțin 50 % din conținutul total de azot (N) al produsului fertilizant să fie sub formă de uree(CH</w:t>
      </w:r>
      <w:r>
        <w:rPr>
          <w:noProof/>
          <w:vertAlign w:val="subscript"/>
        </w:rPr>
        <w:t>4</w:t>
      </w:r>
      <w:r>
        <w:rPr>
          <w:noProof/>
        </w:rPr>
        <w:t>N</w:t>
      </w:r>
      <w:r>
        <w:rPr>
          <w:noProof/>
          <w:vertAlign w:val="subscript"/>
        </w:rPr>
        <w:t>2</w:t>
      </w:r>
      <w:r>
        <w:rPr>
          <w:noProof/>
        </w:rPr>
        <w:t>O).</w:t>
      </w:r>
    </w:p>
    <w:p>
      <w:pPr>
        <w:pStyle w:val="NumPar1"/>
        <w:numPr>
          <w:ilvl w:val="0"/>
          <w:numId w:val="12"/>
        </w:numPr>
        <w:rPr>
          <w:noProof/>
        </w:rPr>
      </w:pPr>
      <w:r>
        <w:rPr>
          <w:noProof/>
        </w:rPr>
        <w:t>Producătorul produsului fertilizant cu marcaj CE trebuie să fie în posesia declarației de conformitate UE pentru aditivul agronomic conform.</w:t>
      </w:r>
    </w:p>
    <w:p>
      <w:pPr>
        <w:pStyle w:val="NumPar1"/>
        <w:keepNext/>
        <w:numPr>
          <w:ilvl w:val="0"/>
          <w:numId w:val="12"/>
        </w:numPr>
        <w:ind w:left="851" w:hanging="851"/>
        <w:rPr>
          <w:noProof/>
        </w:rPr>
      </w:pPr>
      <w:r>
        <w:rPr>
          <w:noProof/>
        </w:rPr>
        <w:t>Operatorii economici care pun la dispoziție pe piață produsul fertilizant cu marcaj CE respectă următoarele dispoziții ale prezentului regulament în ceea ce privește declarația de conformitate UE atât pentru produsul fertilizant cu marcaj UE, cât și pentru aditivul agronomic conform:</w:t>
      </w:r>
    </w:p>
    <w:p>
      <w:pPr>
        <w:pStyle w:val="Point1letter"/>
        <w:numPr>
          <w:ilvl w:val="3"/>
          <w:numId w:val="87"/>
        </w:numPr>
        <w:rPr>
          <w:noProof/>
        </w:rPr>
      </w:pPr>
      <w:r>
        <w:rPr>
          <w:noProof/>
        </w:rPr>
        <w:t>articolul 6 alineatul (3) (obligația producătorilor de a păstra declarația de conformitate UE);</w:t>
      </w:r>
    </w:p>
    <w:p>
      <w:pPr>
        <w:pStyle w:val="Point1letter"/>
        <w:rPr>
          <w:noProof/>
        </w:rPr>
      </w:pPr>
      <w:r>
        <w:rPr>
          <w:noProof/>
        </w:rPr>
        <w:t>articolul 7 alineatul (2) litera (a) (obligația reprezentanților autorizați de a păstra declarația de conformitate UE);</w:t>
      </w:r>
    </w:p>
    <w:p>
      <w:pPr>
        <w:pStyle w:val="Point1letter"/>
        <w:rPr>
          <w:noProof/>
        </w:rPr>
      </w:pPr>
      <w:r>
        <w:rPr>
          <w:noProof/>
        </w:rPr>
        <w:t>articolul 8 alineatul (2) (obligația importatorilor de a se asigura că produsul fertilizant cu marcaj CE este însoțit de declarația de conformitate UE);</w:t>
      </w:r>
    </w:p>
    <w:p>
      <w:pPr>
        <w:pStyle w:val="Point1letter"/>
        <w:rPr>
          <w:noProof/>
        </w:rPr>
      </w:pPr>
      <w:r>
        <w:rPr>
          <w:noProof/>
        </w:rPr>
        <w:t>articolul 8 alineatul (8) (obligația importatorilor de a păstra o copie a declarației de conformitate UE la dispoziția autorităților de supraveghere a pieței ), precum și</w:t>
      </w:r>
    </w:p>
    <w:p>
      <w:pPr>
        <w:pStyle w:val="Point1letter"/>
        <w:rPr>
          <w:noProof/>
        </w:rPr>
      </w:pPr>
      <w:r>
        <w:rPr>
          <w:noProof/>
        </w:rPr>
        <w:t>articolul 9 alineatul (2) (obligația distribuitorilor de a verifica că produsul fertilizant cu marcaj CE este însoțit de declarația de conformitate UE).</w:t>
      </w:r>
    </w:p>
    <w:p>
      <w:pPr>
        <w:pStyle w:val="ManualHeading1"/>
        <w:rPr>
          <w:noProof/>
        </w:rPr>
      </w:pPr>
      <w:r>
        <w:rPr>
          <w:noProof/>
        </w:rPr>
        <w:lastRenderedPageBreak/>
        <w:t>CMC 9: Nutrienți polimerici</w:t>
      </w:r>
    </w:p>
    <w:p>
      <w:pPr>
        <w:pStyle w:val="NumPar1"/>
        <w:numPr>
          <w:ilvl w:val="0"/>
          <w:numId w:val="88"/>
        </w:numPr>
        <w:rPr>
          <w:noProof/>
        </w:rPr>
      </w:pPr>
      <w:r>
        <w:rPr>
          <w:noProof/>
        </w:rPr>
        <w:t>Un produs fertilizant cu marcaj CE poate conține polimeri compuși exclusiv din substanțe monomere care respectă descrierea de la CMC 1, unde scopul polimerizării este controlul eliberării nutrienților din una sau mai multe substanțe monomere.</w:t>
      </w:r>
    </w:p>
    <w:p>
      <w:pPr>
        <w:pStyle w:val="NumPar1"/>
        <w:numPr>
          <w:ilvl w:val="0"/>
          <w:numId w:val="12"/>
        </w:numPr>
        <w:rPr>
          <w:noProof/>
        </w:rPr>
      </w:pPr>
      <w:r>
        <w:rPr>
          <w:noProof/>
        </w:rPr>
        <w:t>Cel puțin 3/5 din polimeri trebuie să fie solubili în apă fierbinte.</w:t>
      </w:r>
    </w:p>
    <w:p>
      <w:pPr>
        <w:pStyle w:val="NumPar1"/>
        <w:numPr>
          <w:ilvl w:val="0"/>
          <w:numId w:val="12"/>
        </w:numPr>
        <w:rPr>
          <w:noProof/>
        </w:rPr>
      </w:pPr>
      <w:r>
        <w:rPr>
          <w:noProof/>
        </w:rPr>
        <w:t>Polimerii nu trebuie să conțină formaldehidă.</w:t>
      </w:r>
    </w:p>
    <w:p>
      <w:pPr>
        <w:pStyle w:val="ManualHeading1"/>
        <w:rPr>
          <w:noProof/>
        </w:rPr>
      </w:pPr>
      <w:r>
        <w:rPr>
          <w:noProof/>
        </w:rPr>
        <w:t>CMC 10: Polimeri alții decât nutrienții polimerici</w:t>
      </w:r>
    </w:p>
    <w:p>
      <w:pPr>
        <w:pStyle w:val="NumPar1"/>
        <w:keepNext/>
        <w:numPr>
          <w:ilvl w:val="0"/>
          <w:numId w:val="91"/>
        </w:numPr>
        <w:rPr>
          <w:noProof/>
        </w:rPr>
      </w:pPr>
      <w:r>
        <w:rPr>
          <w:noProof/>
        </w:rPr>
        <w:t xml:space="preserve">Un produs fertilizant cu marcaj CE poate conține alți polimeri decât nutrienții polimerici numai în cazul în care scopul polimerului este: </w:t>
      </w:r>
    </w:p>
    <w:p>
      <w:pPr>
        <w:pStyle w:val="Point1letter"/>
        <w:numPr>
          <w:ilvl w:val="3"/>
          <w:numId w:val="89"/>
        </w:numPr>
        <w:rPr>
          <w:noProof/>
        </w:rPr>
      </w:pPr>
      <w:r>
        <w:rPr>
          <w:noProof/>
        </w:rPr>
        <w:t>să controleze pătrunderea apei în particulele de elemente nutritive și, astfel, eliberarea nutrienților (caz în care polimerul este denumit de obicei „agent de glazurare”) sau</w:t>
      </w:r>
    </w:p>
    <w:p>
      <w:pPr>
        <w:pStyle w:val="Point1letter"/>
        <w:rPr>
          <w:noProof/>
        </w:rPr>
      </w:pPr>
      <w:r>
        <w:rPr>
          <w:noProof/>
        </w:rPr>
        <w:t>să crească capacitatea de retenție a apei a produsului fertilizant cu marcaj CE.</w:t>
      </w:r>
    </w:p>
    <w:p>
      <w:pPr>
        <w:pStyle w:val="NumPar1"/>
        <w:keepNext/>
        <w:numPr>
          <w:ilvl w:val="0"/>
          <w:numId w:val="15"/>
        </w:numPr>
        <w:ind w:left="851" w:hanging="851"/>
        <w:rPr>
          <w:noProof/>
        </w:rPr>
      </w:pPr>
      <w:r>
        <w:rPr>
          <w:noProof/>
        </w:rPr>
        <w:t>Începând de la [Oficiul pentru Publicații este rugat să introducă data la care se împlinesc trei ani de la data aplicării prezentului regulament], trebuie respectat următorul criteriu. Polimerul trebuie să fie capabil să suporte o descompunere fizică sau biologică, astfel încât cvasitotalitatea sa să se descompună în final în dioxid de carbon(CO</w:t>
      </w:r>
      <w:r>
        <w:rPr>
          <w:noProof/>
          <w:vertAlign w:val="subscript"/>
        </w:rPr>
        <w:t>2</w:t>
      </w:r>
      <w:r>
        <w:rPr>
          <w:noProof/>
        </w:rPr>
        <w:t>), biomasă și apă. Cel puțin 90 % din carbonul organic pe care îl conține trebuie să se transforme în CO</w:t>
      </w:r>
      <w:r>
        <w:rPr>
          <w:noProof/>
          <w:vertAlign w:val="subscript"/>
        </w:rPr>
        <w:t>2</w:t>
      </w:r>
      <w:r>
        <w:rPr>
          <w:noProof/>
        </w:rPr>
        <w:t xml:space="preserve"> în maximum 24 de luni, într-un test de biodegradabilitate precum cel descris la punctele (a)-(c) de mai jos.</w:t>
      </w:r>
    </w:p>
    <w:p>
      <w:pPr>
        <w:pStyle w:val="Point1letter"/>
        <w:numPr>
          <w:ilvl w:val="3"/>
          <w:numId w:val="90"/>
        </w:numPr>
        <w:rPr>
          <w:noProof/>
        </w:rPr>
      </w:pPr>
      <w:r>
        <w:rPr>
          <w:noProof/>
        </w:rPr>
        <w:t>Testul se efectuează la o temperatură de 25°C ± 2°C.</w:t>
      </w:r>
    </w:p>
    <w:p>
      <w:pPr>
        <w:pStyle w:val="Point1letter"/>
        <w:rPr>
          <w:noProof/>
        </w:rPr>
      </w:pPr>
      <w:r>
        <w:rPr>
          <w:noProof/>
        </w:rPr>
        <w:t>Testul se efectuează conform unei metode de determinare a biodegradabilității aerobe finale a materialelor plastice în sol prin măsurarea consumului chimic de oxigen sau a cantității de dioxid de carbon degajat.</w:t>
      </w:r>
    </w:p>
    <w:p>
      <w:pPr>
        <w:pStyle w:val="Point1letter"/>
        <w:rPr>
          <w:noProof/>
        </w:rPr>
      </w:pPr>
      <w:r>
        <w:rPr>
          <w:noProof/>
        </w:rPr>
        <w:t>Materialul de referință utilizat în cadrul testului este o pulbere de celuloză microcristalină cu aceeași dimensiune ca și materialul de testare.</w:t>
      </w:r>
    </w:p>
    <w:p>
      <w:pPr>
        <w:pStyle w:val="Point1letter"/>
        <w:rPr>
          <w:noProof/>
        </w:rPr>
      </w:pPr>
      <w:r>
        <w:rPr>
          <w:noProof/>
        </w:rPr>
        <w:t>Înainte de test, materialul de testare nu trebuie supus unor condiții sau proceduri menite să accelereze degradarea peliculei, cum ar fi expunerea la căldură sau la lumină.</w:t>
      </w:r>
    </w:p>
    <w:p>
      <w:pPr>
        <w:pStyle w:val="NumPar1"/>
        <w:keepNext/>
        <w:numPr>
          <w:ilvl w:val="0"/>
          <w:numId w:val="12"/>
        </w:numPr>
        <w:ind w:left="851" w:hanging="851"/>
        <w:rPr>
          <w:noProof/>
        </w:rPr>
      </w:pPr>
      <w:r>
        <w:rPr>
          <w:noProof/>
        </w:rPr>
        <w:t>Nici polimerul și nici subprodusele degradării sale nu trebuie să prezinte niciun fel de efecte adverse globale asupra sănătății animalelor sau a plantelor sau asupra mediului, în condiții previzibile în mod rezonabil de utilizare a produsului fertilizant cu marcaj CE. Polimerul trebuie să treacă cu succes un test de toxicitate acută asupra creșterii plantelor și un test de inhibare a nitrificării în prezența microorganismelor din sol, după cum urmează:</w:t>
      </w:r>
    </w:p>
    <w:p>
      <w:pPr>
        <w:pStyle w:val="Point1letter"/>
        <w:numPr>
          <w:ilvl w:val="3"/>
          <w:numId w:val="92"/>
        </w:numPr>
        <w:rPr>
          <w:noProof/>
        </w:rPr>
      </w:pPr>
      <w:r>
        <w:rPr>
          <w:noProof/>
        </w:rPr>
        <w:t xml:space="preserve">în cadrul testului de toxicitate acută asupra creșterii plantelor, rata de germinare și biomasa vegetală a speciei vegetale cultivate pe solul expus la materialul de testare trebuie să fie de peste 90 % din rata de germinare și din biomasa vegetală a aceleiași specii vegetale cultivate pe un sol-martor corespunzător care nu a fost expus la materialul de testare; </w:t>
      </w:r>
    </w:p>
    <w:p>
      <w:pPr>
        <w:pStyle w:val="Point1letter"/>
        <w:keepNext/>
        <w:numPr>
          <w:ilvl w:val="3"/>
          <w:numId w:val="10"/>
        </w:numPr>
        <w:rPr>
          <w:noProof/>
        </w:rPr>
      </w:pPr>
      <w:r>
        <w:rPr>
          <w:noProof/>
        </w:rPr>
        <w:lastRenderedPageBreak/>
        <w:t>rezultatele se consideră valabile numai dacă în martori (respectiv în solul-martor):</w:t>
      </w:r>
    </w:p>
    <w:p>
      <w:pPr>
        <w:pStyle w:val="Bullet2"/>
        <w:rPr>
          <w:noProof/>
        </w:rPr>
      </w:pPr>
      <w:r>
        <w:rPr>
          <w:noProof/>
        </w:rPr>
        <w:t>apariția plantulelor este de cel puțin 70 %;</w:t>
      </w:r>
    </w:p>
    <w:p>
      <w:pPr>
        <w:pStyle w:val="Bullet2"/>
        <w:rPr>
          <w:noProof/>
        </w:rPr>
      </w:pPr>
      <w:r>
        <w:rPr>
          <w:noProof/>
        </w:rPr>
        <w:t>plantulele nu prezintă efecte fitotoxice vizibile (de exemplu cloroză, necroză, ofilire, deformări ale frunzelor și tulpinilor), iar plantele prezintă doar o variație normală a creșterii și morfologiei pentru respectiva specie;</w:t>
      </w:r>
    </w:p>
    <w:p>
      <w:pPr>
        <w:pStyle w:val="Bullet2"/>
        <w:rPr>
          <w:noProof/>
        </w:rPr>
      </w:pPr>
      <w:r>
        <w:rPr>
          <w:noProof/>
        </w:rPr>
        <w:t>media de supraviețuire a plantulelor de control apărute este de cel puțin 90 % pe durata studiului, și</w:t>
      </w:r>
    </w:p>
    <w:p>
      <w:pPr>
        <w:pStyle w:val="Bullet2"/>
        <w:rPr>
          <w:noProof/>
        </w:rPr>
      </w:pPr>
      <w:r>
        <w:rPr>
          <w:noProof/>
        </w:rPr>
        <w:t>condițiile de mediu pentru o anumită specie sunt identice, iar substraturile de cultură conțin aceeași cantitate de matrice de sol, mediu de susținere sau substrat din aceeași sursă.</w:t>
      </w:r>
    </w:p>
    <w:p>
      <w:pPr>
        <w:pStyle w:val="Point1letter"/>
        <w:keepNext/>
        <w:numPr>
          <w:ilvl w:val="3"/>
          <w:numId w:val="10"/>
        </w:numPr>
        <w:rPr>
          <w:noProof/>
        </w:rPr>
      </w:pPr>
      <w:r>
        <w:rPr>
          <w:noProof/>
        </w:rPr>
        <w:t>În cadrul testului de toxicitate acută asupra râmelor, mortalitatea observată și biomasa râmelor supraviețuitoare într-un sol expus la materialul de testare nu trebuie să difere cu mai mult de 10 % în raport cu cele dintr-un sol-martor corespunzător care nu a fost expus la materialul de testare. Rezultatele se consideră valabile dacă:</w:t>
      </w:r>
    </w:p>
    <w:p>
      <w:pPr>
        <w:pStyle w:val="Bullet2"/>
        <w:rPr>
          <w:noProof/>
        </w:rPr>
      </w:pPr>
      <w:r>
        <w:rPr>
          <w:noProof/>
        </w:rPr>
        <w:t>rata mortalității observată în solul-martor este &lt; 10 % și</w:t>
      </w:r>
    </w:p>
    <w:p>
      <w:pPr>
        <w:pStyle w:val="Bullet2"/>
        <w:rPr>
          <w:noProof/>
        </w:rPr>
      </w:pPr>
      <w:r>
        <w:rPr>
          <w:noProof/>
        </w:rPr>
        <w:t>pierderea media a biomasei (greutatea medie) râmelor din solul-martor nu depășește 20 %.</w:t>
      </w:r>
    </w:p>
    <w:p>
      <w:pPr>
        <w:pStyle w:val="Point1letter"/>
        <w:numPr>
          <w:ilvl w:val="3"/>
          <w:numId w:val="10"/>
        </w:numPr>
        <w:rPr>
          <w:noProof/>
        </w:rPr>
      </w:pPr>
      <w:r>
        <w:rPr>
          <w:noProof/>
        </w:rPr>
        <w:t>În cadrul testului de inhibare a nitrificării în prezența microorganismelor din sol, formarea de nitriți într-un sol expus la materialul de testare nu trebuie să depășească 90 % din cea dintr-un sol-martor corespunzător care nu a fost expus la materialul de testare. Rezultatele se consideră valabile dacă variația dintre eșantioanele de control (sol-martor) și eșantioanele de este mai mică de ± 20 %.</w:t>
      </w:r>
    </w:p>
    <w:p>
      <w:pPr>
        <w:pStyle w:val="ManualHeading1"/>
        <w:rPr>
          <w:noProof/>
        </w:rPr>
      </w:pPr>
      <w:r>
        <w:rPr>
          <w:noProof/>
        </w:rPr>
        <w:t>CMC 11: Anumite subproduse de origine animală</w:t>
      </w:r>
    </w:p>
    <w:p>
      <w:pPr>
        <w:pStyle w:val="Text1"/>
        <w:keepNext/>
        <w:ind w:left="851"/>
        <w:rPr>
          <w:noProof/>
        </w:rPr>
      </w:pPr>
      <w:r>
        <w:rPr>
          <w:noProof/>
        </w:rPr>
        <w:t>Un produs fertilizant cu marcaj CE poate conține subprodusele de origine animală în sensul Regulamentului (CE) nr. 1069/2009, la punctul final al lanțului de producție determinat în conformitate cu regulamentul respectiv, astfel cum sunt menționate și descrise în tabelul de mai jos:</w:t>
      </w:r>
    </w:p>
    <w:tbl>
      <w:tblPr>
        <w:tblStyle w:val="TableGrid"/>
        <w:tblW w:w="0" w:type="auto"/>
        <w:tblInd w:w="108" w:type="dxa"/>
        <w:tblLook w:val="04A0" w:firstRow="1" w:lastRow="0" w:firstColumn="1" w:lastColumn="0" w:noHBand="0" w:noVBand="1"/>
      </w:tblPr>
      <w:tblGrid>
        <w:gridCol w:w="9181"/>
      </w:tblGrid>
      <w:tr>
        <w:tc>
          <w:tcPr>
            <w:tcW w:w="9181" w:type="dxa"/>
          </w:tcPr>
          <w:p>
            <w:pPr>
              <w:rPr>
                <w:noProof/>
              </w:rPr>
            </w:pPr>
          </w:p>
        </w:tc>
      </w:tr>
    </w:tbl>
    <w:p>
      <w:pPr>
        <w:pStyle w:val="Text1"/>
        <w:ind w:left="0"/>
        <w:rPr>
          <w:noProof/>
        </w:rPr>
      </w:pPr>
    </w:p>
    <w:p>
      <w:pPr>
        <w:pStyle w:val="ManualHeading1"/>
        <w:rPr>
          <w:noProof/>
        </w:rPr>
        <w:sectPr>
          <w:pgSz w:w="11907" w:h="16839"/>
          <w:pgMar w:top="1134" w:right="1417" w:bottom="1134" w:left="1417" w:header="709" w:footer="709" w:gutter="0"/>
          <w:cols w:space="720"/>
          <w:docGrid w:linePitch="360"/>
        </w:sectPr>
      </w:pPr>
    </w:p>
    <w:p>
      <w:pPr>
        <w:pStyle w:val="Annexetitre"/>
        <w:rPr>
          <w:noProof/>
        </w:rPr>
      </w:pPr>
      <w:bookmarkStart w:id="41" w:name="_Toc432153276"/>
      <w:bookmarkStart w:id="42" w:name="_Toc432153239"/>
      <w:r>
        <w:rPr>
          <w:noProof/>
        </w:rPr>
        <w:lastRenderedPageBreak/>
        <w:t>ANEXA III</w:t>
      </w:r>
      <w:r>
        <w:rPr>
          <w:noProof/>
        </w:rPr>
        <w:br/>
        <w:t>Cerințe de etichetare</w:t>
      </w:r>
      <w:bookmarkEnd w:id="41"/>
    </w:p>
    <w:p>
      <w:pPr>
        <w:pStyle w:val="Text1"/>
        <w:rPr>
          <w:noProof/>
        </w:rPr>
      </w:pPr>
      <w:r>
        <w:rPr>
          <w:noProof/>
        </w:rPr>
        <w:t>Prezenta anexă stabilește cerințele de etichetare pentru produse fertilizante cu marcaj CE. Cerințele stabilite în partea 2 și în partea 3 din cadrul prezentei anexe pentru o anumită categorie funcțională de produse (CFP), conform specificațiilor din anexa I, se aplică produselor fertilizante cu marcaj CE din toate subcategoriile din CFP respectivă.</w:t>
      </w:r>
    </w:p>
    <w:p>
      <w:pPr>
        <w:pStyle w:val="SectionTitle"/>
        <w:rPr>
          <w:noProof/>
        </w:rPr>
      </w:pPr>
      <w:bookmarkStart w:id="43" w:name="_Toc432153277"/>
      <w:r>
        <w:rPr>
          <w:noProof/>
        </w:rPr>
        <w:t>Partea 1</w:t>
      </w:r>
      <w:r>
        <w:rPr>
          <w:noProof/>
        </w:rPr>
        <w:br/>
        <w:t>Cerințe generale privind etichetarea</w:t>
      </w:r>
      <w:bookmarkEnd w:id="43"/>
    </w:p>
    <w:p>
      <w:pPr>
        <w:pStyle w:val="NumPar1"/>
        <w:numPr>
          <w:ilvl w:val="0"/>
          <w:numId w:val="93"/>
        </w:numPr>
        <w:rPr>
          <w:noProof/>
        </w:rPr>
      </w:pPr>
      <w:r>
        <w:rPr>
          <w:noProof/>
        </w:rPr>
        <w:t>Elementele de informare cerute conform prezentului regulament trebuie să fie clar separate de orice alte elemente de informare.</w:t>
      </w:r>
    </w:p>
    <w:p>
      <w:pPr>
        <w:pStyle w:val="NumPar1"/>
        <w:keepNext/>
        <w:numPr>
          <w:ilvl w:val="0"/>
          <w:numId w:val="15"/>
        </w:numPr>
        <w:ind w:left="851" w:hanging="851"/>
        <w:rPr>
          <w:noProof/>
        </w:rPr>
      </w:pPr>
      <w:r>
        <w:rPr>
          <w:noProof/>
        </w:rPr>
        <w:t>Se furnizează următoarele elemente de informare:</w:t>
      </w:r>
    </w:p>
    <w:p>
      <w:pPr>
        <w:pStyle w:val="Point1letter"/>
        <w:numPr>
          <w:ilvl w:val="3"/>
          <w:numId w:val="94"/>
        </w:numPr>
        <w:rPr>
          <w:noProof/>
        </w:rPr>
      </w:pPr>
      <w:r>
        <w:rPr>
          <w:noProof/>
        </w:rPr>
        <w:t>denumirea categoriei funcționale de produse (CFP), astfel cum sunt indicate în partea I din anexa I;</w:t>
      </w:r>
    </w:p>
    <w:p>
      <w:pPr>
        <w:pStyle w:val="Point1letter"/>
        <w:numPr>
          <w:ilvl w:val="3"/>
          <w:numId w:val="10"/>
        </w:numPr>
        <w:rPr>
          <w:noProof/>
        </w:rPr>
      </w:pPr>
      <w:r>
        <w:rPr>
          <w:noProof/>
        </w:rPr>
        <w:t>cantitatea de produs fertilizant cu marcaj CE, indicată în greutate sau în volum;</w:t>
      </w:r>
    </w:p>
    <w:p>
      <w:pPr>
        <w:pStyle w:val="Point1letter"/>
        <w:numPr>
          <w:ilvl w:val="3"/>
          <w:numId w:val="10"/>
        </w:numPr>
        <w:rPr>
          <w:noProof/>
        </w:rPr>
      </w:pPr>
      <w:r>
        <w:rPr>
          <w:noProof/>
        </w:rPr>
        <w:t>instrucțiuni privind utilizarea prevăzută, inclusiv doza de aplicare prevăzută și plantele-țintă vizate;</w:t>
      </w:r>
    </w:p>
    <w:p>
      <w:pPr>
        <w:pStyle w:val="Point1letter"/>
        <w:numPr>
          <w:ilvl w:val="3"/>
          <w:numId w:val="10"/>
        </w:numPr>
        <w:rPr>
          <w:noProof/>
        </w:rPr>
      </w:pPr>
      <w:r>
        <w:rPr>
          <w:noProof/>
        </w:rPr>
        <w:t>orice informații relevante privind măsurile recomandate pentru gestionarea riscurilor pentru sănătatea oamenilor, a animalelor și a plantelor, precum și a riscurilor pentru mediu și</w:t>
      </w:r>
    </w:p>
    <w:p>
      <w:pPr>
        <w:pStyle w:val="Point1letter"/>
        <w:numPr>
          <w:ilvl w:val="3"/>
          <w:numId w:val="10"/>
        </w:numPr>
        <w:rPr>
          <w:noProof/>
        </w:rPr>
      </w:pPr>
      <w:r>
        <w:rPr>
          <w:noProof/>
        </w:rPr>
        <w:t>o descriere a tuturor componentelor care reprezintă peste 5 % din greutatea produsului, în ordinea descrescătoare a greutății substanței uscate, inclusiv cu indicarea categoriilor de materii componente (CMC), astfel cum sunt specificate în anexa II.</w:t>
      </w:r>
    </w:p>
    <w:p>
      <w:pPr>
        <w:pStyle w:val="NumPar1"/>
        <w:numPr>
          <w:ilvl w:val="0"/>
          <w:numId w:val="12"/>
        </w:numPr>
        <w:rPr>
          <w:noProof/>
        </w:rPr>
      </w:pPr>
      <w:r>
        <w:rPr>
          <w:noProof/>
        </w:rPr>
        <w:t>În cazul în care procedura de evaluare a conformității a implicat un organism notificat, se indică și numărul de identificare a organismului notificat.</w:t>
      </w:r>
    </w:p>
    <w:p>
      <w:pPr>
        <w:pStyle w:val="NumPar1"/>
        <w:numPr>
          <w:ilvl w:val="0"/>
          <w:numId w:val="12"/>
        </w:numPr>
        <w:rPr>
          <w:noProof/>
        </w:rPr>
      </w:pPr>
      <w:r>
        <w:rPr>
          <w:noProof/>
        </w:rPr>
        <w:t>În cazul în care produsul fertilizant cu marcaj CE conține subproduse de origine animală în sensul Regulamentului (CE) nr. 1069/2009, altele decât gunoi de grajd, pe produs trebuie să figureze următoarele instrucțiuni de utilizare: „Animalele de fermă nu trebuie hrănite, nici direct, nici indirect prin pășunare, cu iarbă provenind de pe soluri pe care a fost aplicat acest produs, cu excepția cazului în care tăierea ierbii sau pășunarea are loc după expirarea unei perioade de așteptare de cel puțin 21 de zile”.</w:t>
      </w:r>
    </w:p>
    <w:p>
      <w:pPr>
        <w:pStyle w:val="NumPar1"/>
        <w:numPr>
          <w:ilvl w:val="0"/>
          <w:numId w:val="12"/>
        </w:numPr>
        <w:rPr>
          <w:noProof/>
        </w:rPr>
      </w:pPr>
      <w:r>
        <w:rPr>
          <w:noProof/>
        </w:rPr>
        <w:t>În cazul în care produsul fertilizant cu marcaj CE conține o substanță pentru care s-a stabilit o limită maximă de reziduuri în alimente și hrana pentru animale în conformitate cu Regulamentul (CEE) nr. 315/93, cu Regulamentul (CE) nr. 396/2005, cu Regulamentul (CE) nr. 470/2009 sau cu Directiva 2002/32/EC, instrucțiunile menționate la punctul 2 litera (c) trebuie să garanteze că utilizarea prevăzută pentru produsul fertilizant cu marcaj CE nu duce la depășirea limitelor respective în alimente sau în hrana pentru animale.</w:t>
      </w:r>
    </w:p>
    <w:p>
      <w:pPr>
        <w:pStyle w:val="NumPar1"/>
        <w:numPr>
          <w:ilvl w:val="0"/>
          <w:numId w:val="12"/>
        </w:numPr>
        <w:rPr>
          <w:noProof/>
        </w:rPr>
      </w:pPr>
      <w:r>
        <w:rPr>
          <w:noProof/>
        </w:rPr>
        <w:t xml:space="preserve">Denumirea unei categorii funcționale de produse (CFP), astfel cum este indicată în anexa I, nu trebuie indicată pe un produs fertilizant cu marcaj CE care nu a fost </w:t>
      </w:r>
      <w:r>
        <w:rPr>
          <w:noProof/>
        </w:rPr>
        <w:lastRenderedPageBreak/>
        <w:t>supus, cu succes, unei evaluări a conformității, conform dispozițiilor prezentului regulament pentru CFP respectivă.</w:t>
      </w:r>
    </w:p>
    <w:p>
      <w:pPr>
        <w:pStyle w:val="NumPar1"/>
        <w:keepNext/>
        <w:numPr>
          <w:ilvl w:val="0"/>
          <w:numId w:val="12"/>
        </w:numPr>
        <w:ind w:left="851" w:hanging="851"/>
        <w:rPr>
          <w:noProof/>
        </w:rPr>
      </w:pPr>
      <w:r>
        <w:rPr>
          <w:noProof/>
        </w:rPr>
        <w:t>Elementele de informare altele decât cele cerute conform punctelor 2-6:</w:t>
      </w:r>
    </w:p>
    <w:p>
      <w:pPr>
        <w:pStyle w:val="Point2letter"/>
        <w:rPr>
          <w:noProof/>
        </w:rPr>
      </w:pPr>
      <w:r>
        <w:rPr>
          <w:noProof/>
        </w:rPr>
        <w:t>nu trebuie să inducă în eroare utilizatorul, de exemplu atribuind produsului proprietăți pe care acesta nu le are sau sugerând că produsul posedă caracteristici unice, pe care produsele similare le prezintă de asemenea;</w:t>
      </w:r>
    </w:p>
    <w:p>
      <w:pPr>
        <w:pStyle w:val="Point2letter"/>
        <w:rPr>
          <w:noProof/>
        </w:rPr>
      </w:pPr>
      <w:r>
        <w:rPr>
          <w:noProof/>
        </w:rPr>
        <w:t>trebuie să se raporteze la factori verificabili și</w:t>
      </w:r>
    </w:p>
    <w:p>
      <w:pPr>
        <w:pStyle w:val="Point2letter"/>
        <w:rPr>
          <w:noProof/>
        </w:rPr>
      </w:pPr>
      <w:r>
        <w:rPr>
          <w:noProof/>
        </w:rPr>
        <w:t>nu trebuie să facă afirmații precum „produs durabil” sau „prietenos cu mediul” decât dacă aceste afirmații pot fi verificate în mod obiectiv conform unor ghiduri, standarde sau sisteme general recunoscute.</w:t>
      </w:r>
    </w:p>
    <w:p>
      <w:pPr>
        <w:pStyle w:val="NumPar1"/>
        <w:numPr>
          <w:ilvl w:val="0"/>
          <w:numId w:val="12"/>
        </w:numPr>
        <w:rPr>
          <w:noProof/>
        </w:rPr>
      </w:pPr>
      <w:r>
        <w:rPr>
          <w:noProof/>
        </w:rPr>
        <w:t>Mențiunea „cu conținut scăzut de clor” sau altele similare poate fi utilizată numai dacă conținutul de clor (Cl</w:t>
      </w:r>
      <w:r>
        <w:rPr>
          <w:noProof/>
          <w:vertAlign w:val="superscript"/>
        </w:rPr>
        <w:t>-</w:t>
      </w:r>
      <w:r>
        <w:rPr>
          <w:noProof/>
        </w:rPr>
        <w:t>) este de sub 30 g/kg.</w:t>
      </w:r>
    </w:p>
    <w:p>
      <w:pPr>
        <w:pStyle w:val="SectionTitle"/>
        <w:rPr>
          <w:noProof/>
        </w:rPr>
      </w:pPr>
      <w:bookmarkStart w:id="44" w:name="_Toc432153278"/>
      <w:r>
        <w:rPr>
          <w:noProof/>
        </w:rPr>
        <w:t>Partea 2</w:t>
      </w:r>
      <w:r>
        <w:rPr>
          <w:noProof/>
        </w:rPr>
        <w:br/>
        <w:t>Cerințe specifice privind etichetarea</w:t>
      </w:r>
      <w:bookmarkEnd w:id="44"/>
    </w:p>
    <w:p>
      <w:pPr>
        <w:pStyle w:val="ManualHeading1"/>
        <w:rPr>
          <w:noProof/>
        </w:rPr>
      </w:pPr>
      <w:bookmarkStart w:id="45" w:name="_Toc432153279"/>
      <w:r>
        <w:rPr>
          <w:noProof/>
        </w:rPr>
        <w:t>CFP 1: Îngrășământ</w:t>
      </w:r>
      <w:bookmarkEnd w:id="45"/>
    </w:p>
    <w:p>
      <w:pPr>
        <w:pStyle w:val="NumPar1"/>
        <w:numPr>
          <w:ilvl w:val="0"/>
          <w:numId w:val="95"/>
        </w:numPr>
        <w:rPr>
          <w:noProof/>
        </w:rPr>
      </w:pPr>
      <w:r>
        <w:rPr>
          <w:noProof/>
        </w:rPr>
        <w:t>Conținutul de azot (N), fosfor (P) și potasiu (K) se declară numai atunci când nutrienții respectivi sunt prezenți în produsul fertilizant cu marcaj CE în cantitatea minimă specificată în anexa I pentru categoria funcțională de produse (CFP) corespunzătoare.</w:t>
      </w:r>
    </w:p>
    <w:p>
      <w:pPr>
        <w:pStyle w:val="NumPar1"/>
        <w:keepNext/>
        <w:numPr>
          <w:ilvl w:val="0"/>
          <w:numId w:val="12"/>
        </w:numPr>
        <w:ind w:left="851" w:hanging="851"/>
        <w:rPr>
          <w:noProof/>
        </w:rPr>
      </w:pPr>
      <w:r>
        <w:rPr>
          <w:noProof/>
        </w:rPr>
        <w:t>Următoarele norme se aplică îngrășămintelor care conțin inhibitori de nitrificare sau de urează, conform specificațiilor de la punctele 3 și 4 de la categoria de materii componente (CMC) 8 din anexa II:</w:t>
      </w:r>
    </w:p>
    <w:p>
      <w:pPr>
        <w:pStyle w:val="Point1letter"/>
        <w:numPr>
          <w:ilvl w:val="3"/>
          <w:numId w:val="96"/>
        </w:numPr>
        <w:rPr>
          <w:noProof/>
        </w:rPr>
      </w:pPr>
      <w:r>
        <w:rPr>
          <w:noProof/>
        </w:rPr>
        <w:t>eticheta conține mențiunea „inhibitor de nitrificare” sau „inhibitor de urează”, după caz, precum și numărul de identificare a organismului notificat care a examinat evaluarea conformității inhibitorului de nitrificare sau a inhibitorului de urează;</w:t>
      </w:r>
    </w:p>
    <w:p>
      <w:pPr>
        <w:pStyle w:val="Point1letter"/>
        <w:rPr>
          <w:noProof/>
        </w:rPr>
      </w:pPr>
      <w:r>
        <w:rPr>
          <w:noProof/>
        </w:rPr>
        <w:t>conținutul de inhibitor de nitrificare se exprimă ca procent din masa azotului (N) total prezent sub formă de azot amoniacal (NH</w:t>
      </w:r>
      <w:r>
        <w:rPr>
          <w:noProof/>
          <w:vertAlign w:val="subscript"/>
        </w:rPr>
        <w:t>4</w:t>
      </w:r>
      <w:r>
        <w:rPr>
          <w:noProof/>
        </w:rPr>
        <w:t>+) și de azot ureic (CH</w:t>
      </w:r>
      <w:r>
        <w:rPr>
          <w:noProof/>
          <w:vertAlign w:val="subscript"/>
        </w:rPr>
        <w:t>4</w:t>
      </w:r>
      <w:r>
        <w:rPr>
          <w:noProof/>
        </w:rPr>
        <w:t>N</w:t>
      </w:r>
      <w:r>
        <w:rPr>
          <w:noProof/>
          <w:vertAlign w:val="subscript"/>
        </w:rPr>
        <w:t>2</w:t>
      </w:r>
      <w:r>
        <w:rPr>
          <w:noProof/>
        </w:rPr>
        <w:t>O);</w:t>
      </w:r>
    </w:p>
    <w:p>
      <w:pPr>
        <w:pStyle w:val="Point1letter"/>
        <w:rPr>
          <w:noProof/>
        </w:rPr>
      </w:pPr>
      <w:r>
        <w:rPr>
          <w:noProof/>
        </w:rPr>
        <w:t>conținutul de inhibitor de urează se exprimă ca procent din masa azotului (N) total prezent sub formă de azot ureic (CH</w:t>
      </w:r>
      <w:r>
        <w:rPr>
          <w:noProof/>
          <w:vertAlign w:val="subscript"/>
        </w:rPr>
        <w:t>4</w:t>
      </w:r>
      <w:r>
        <w:rPr>
          <w:noProof/>
        </w:rPr>
        <w:t>N</w:t>
      </w:r>
      <w:r>
        <w:rPr>
          <w:noProof/>
          <w:vertAlign w:val="subscript"/>
        </w:rPr>
        <w:t>2</w:t>
      </w:r>
      <w:r>
        <w:rPr>
          <w:noProof/>
        </w:rPr>
        <w:t>O);</w:t>
      </w:r>
    </w:p>
    <w:p>
      <w:pPr>
        <w:pStyle w:val="Point1letter"/>
        <w:rPr>
          <w:noProof/>
        </w:rPr>
      </w:pPr>
      <w:r>
        <w:rPr>
          <w:noProof/>
        </w:rPr>
        <w:t>se furnizează informații tehnice care să îi permită utilizatorului să determine dozele și calendarul aplicării în funcție de cultura căreia i se aplică produsul.</w:t>
      </w:r>
    </w:p>
    <w:p>
      <w:pPr>
        <w:pStyle w:val="ManualHeading2"/>
        <w:rPr>
          <w:noProof/>
        </w:rPr>
      </w:pPr>
      <w:bookmarkStart w:id="46" w:name="_Toc432153280"/>
      <w:r>
        <w:rPr>
          <w:noProof/>
        </w:rPr>
        <w:t>CFP 1(A): Îngrășământ organic</w:t>
      </w:r>
      <w:bookmarkEnd w:id="46"/>
    </w:p>
    <w:p>
      <w:pPr>
        <w:pStyle w:val="Text1"/>
        <w:keepNext/>
        <w:ind w:left="851"/>
        <w:rPr>
          <w:noProof/>
        </w:rPr>
      </w:pPr>
      <w:r>
        <w:rPr>
          <w:noProof/>
        </w:rPr>
        <w:t>Pe etichetă, figurează următoarele elemente de informare:</w:t>
      </w:r>
    </w:p>
    <w:p>
      <w:pPr>
        <w:pStyle w:val="Point1letter"/>
        <w:numPr>
          <w:ilvl w:val="3"/>
          <w:numId w:val="97"/>
        </w:numPr>
        <w:rPr>
          <w:noProof/>
        </w:rPr>
      </w:pPr>
      <w:r>
        <w:rPr>
          <w:noProof/>
        </w:rPr>
        <w:t>nutrienții declarați azot (N), fosfor (P) sau potasiu (K), sub forma simbolurilor lor chimice, în ordinea N-K-P;</w:t>
      </w:r>
    </w:p>
    <w:p>
      <w:pPr>
        <w:pStyle w:val="Point1letter"/>
        <w:numPr>
          <w:ilvl w:val="3"/>
          <w:numId w:val="10"/>
        </w:numPr>
        <w:rPr>
          <w:noProof/>
        </w:rPr>
      </w:pPr>
      <w:r>
        <w:rPr>
          <w:noProof/>
        </w:rPr>
        <w:t>nutrienții declarați magneziu (Mg), calciu (Ca), sulf (S) sau sodiu (Na), sub forma simbolurilor lor chimice, în ordinea Mg-Ca-S-Na;</w:t>
      </w:r>
    </w:p>
    <w:p>
      <w:pPr>
        <w:pStyle w:val="Point1letter"/>
        <w:numPr>
          <w:ilvl w:val="3"/>
          <w:numId w:val="10"/>
        </w:numPr>
        <w:rPr>
          <w:noProof/>
        </w:rPr>
      </w:pPr>
      <w:r>
        <w:rPr>
          <w:noProof/>
        </w:rPr>
        <w:lastRenderedPageBreak/>
        <w:t>cifre care indică conținutul total din nutrienții declarați azot (N), fosfor (P) sau potasiu (K), urmate de numere între paranteze drepte care indică conținutul total din nutrienții declarați magneziu (Mg), calciu (Ca), sulf (S) sau sodiu (Na);</w:t>
      </w:r>
    </w:p>
    <w:p>
      <w:pPr>
        <w:pStyle w:val="Point1letter"/>
        <w:keepNext/>
        <w:numPr>
          <w:ilvl w:val="3"/>
          <w:numId w:val="10"/>
        </w:numPr>
        <w:rPr>
          <w:noProof/>
        </w:rPr>
      </w:pPr>
      <w:r>
        <w:rPr>
          <w:noProof/>
        </w:rPr>
        <w:t xml:space="preserve">conținutul din următorii nutrienți declarați și alți parametri, în ordinea următoare și ca procent din masa îngrășământului: </w:t>
      </w:r>
    </w:p>
    <w:p>
      <w:pPr>
        <w:pStyle w:val="Bullet2"/>
        <w:keepNext/>
        <w:rPr>
          <w:noProof/>
        </w:rPr>
      </w:pPr>
      <w:r>
        <w:rPr>
          <w:noProof/>
        </w:rPr>
        <w:t>azot (N) total</w:t>
      </w:r>
    </w:p>
    <w:p>
      <w:pPr>
        <w:pStyle w:val="Tiret3"/>
        <w:numPr>
          <w:ilvl w:val="0"/>
          <w:numId w:val="21"/>
        </w:numPr>
        <w:rPr>
          <w:noProof/>
        </w:rPr>
      </w:pPr>
      <w:r>
        <w:rPr>
          <w:noProof/>
        </w:rPr>
        <w:t>cantitatea minimă de azot (N) organic, urmată de o descriere a originii materiei organice utilizate;</w:t>
      </w:r>
    </w:p>
    <w:p>
      <w:pPr>
        <w:pStyle w:val="Tiret3"/>
        <w:numPr>
          <w:ilvl w:val="0"/>
          <w:numId w:val="21"/>
        </w:numPr>
        <w:rPr>
          <w:noProof/>
        </w:rPr>
      </w:pPr>
      <w:r>
        <w:rPr>
          <w:noProof/>
        </w:rPr>
        <w:t>azot (N) sub formă de azot amoniacal;</w:t>
      </w:r>
    </w:p>
    <w:p>
      <w:pPr>
        <w:pStyle w:val="Bullet2"/>
        <w:rPr>
          <w:noProof/>
        </w:rPr>
      </w:pPr>
      <w:r>
        <w:rPr>
          <w:noProof/>
        </w:rPr>
        <w:t>pentaoxid de fosfor (P</w:t>
      </w:r>
      <w:r>
        <w:rPr>
          <w:noProof/>
          <w:vertAlign w:val="subscript"/>
        </w:rPr>
        <w:t>2</w:t>
      </w:r>
      <w:r>
        <w:rPr>
          <w:noProof/>
        </w:rPr>
        <w:t>O</w:t>
      </w:r>
      <w:r>
        <w:rPr>
          <w:noProof/>
          <w:vertAlign w:val="subscript"/>
        </w:rPr>
        <w:t>5</w:t>
      </w:r>
      <w:r>
        <w:rPr>
          <w:noProof/>
        </w:rPr>
        <w:t>) total;</w:t>
      </w:r>
    </w:p>
    <w:p>
      <w:pPr>
        <w:pStyle w:val="Bullet2"/>
        <w:rPr>
          <w:noProof/>
        </w:rPr>
      </w:pPr>
      <w:r>
        <w:rPr>
          <w:noProof/>
        </w:rPr>
        <w:t>oxid de potasiu (K</w:t>
      </w:r>
      <w:r>
        <w:rPr>
          <w:noProof/>
          <w:vertAlign w:val="subscript"/>
        </w:rPr>
        <w:t>2</w:t>
      </w:r>
      <w:r>
        <w:rPr>
          <w:noProof/>
        </w:rPr>
        <w:t>O) total;</w:t>
      </w:r>
    </w:p>
    <w:p>
      <w:pPr>
        <w:pStyle w:val="Bullet2"/>
        <w:keepNext/>
        <w:ind w:left="1985"/>
        <w:rPr>
          <w:noProof/>
        </w:rPr>
      </w:pPr>
      <w:r>
        <w:rPr>
          <w:noProof/>
        </w:rPr>
        <w:t>oxid de magneziu (MgO), oxid de calciu (CaO), trioxid de sulf (SO</w:t>
      </w:r>
      <w:r>
        <w:rPr>
          <w:noProof/>
          <w:vertAlign w:val="subscript"/>
        </w:rPr>
        <w:t>3</w:t>
      </w:r>
      <w:r>
        <w:rPr>
          <w:noProof/>
        </w:rPr>
        <w:t>) și oxid de sodiu (Na</w:t>
      </w:r>
      <w:r>
        <w:rPr>
          <w:noProof/>
          <w:vertAlign w:val="subscript"/>
        </w:rPr>
        <w:t>2</w:t>
      </w:r>
      <w:r>
        <w:rPr>
          <w:noProof/>
        </w:rPr>
        <w:t>O), exprimate astfel:</w:t>
      </w:r>
    </w:p>
    <w:p>
      <w:pPr>
        <w:pStyle w:val="Tiret3"/>
        <w:rPr>
          <w:noProof/>
        </w:rPr>
      </w:pPr>
      <w:r>
        <w:rPr>
          <w:noProof/>
        </w:rPr>
        <w:t>dacă nutrienții respectivi sunt total solubili în apă, numai ca și conținut solubil în apă;</w:t>
      </w:r>
    </w:p>
    <w:p>
      <w:pPr>
        <w:pStyle w:val="Tiret3"/>
        <w:rPr>
          <w:noProof/>
        </w:rPr>
      </w:pPr>
      <w:r>
        <w:rPr>
          <w:noProof/>
        </w:rPr>
        <w:t>dacă conținutul solubil al nutrienților respectivi reprezintă cel puțin un sfert din conținutul total al nutrienților, ca și conținut total și ca și conținut solubil în apă și</w:t>
      </w:r>
    </w:p>
    <w:p>
      <w:pPr>
        <w:pStyle w:val="Tiret3"/>
        <w:rPr>
          <w:noProof/>
        </w:rPr>
      </w:pPr>
      <w:r>
        <w:rPr>
          <w:noProof/>
        </w:rPr>
        <w:t>în toate celelalte cazuri, ca și conținut total;</w:t>
      </w:r>
    </w:p>
    <w:p>
      <w:pPr>
        <w:pStyle w:val="Bullet2"/>
        <w:rPr>
          <w:noProof/>
        </w:rPr>
      </w:pPr>
      <w:r>
        <w:rPr>
          <w:noProof/>
        </w:rPr>
        <w:t>cupru (Cu) și zinc (Zn) total, dacă depășesc un conținut de 200, respectiv 600 mg/kg substanță uscată;</w:t>
      </w:r>
    </w:p>
    <w:p>
      <w:pPr>
        <w:pStyle w:val="Bullet2"/>
        <w:rPr>
          <w:noProof/>
        </w:rPr>
      </w:pPr>
      <w:r>
        <w:rPr>
          <w:noProof/>
        </w:rPr>
        <w:t>carbon (C) organic și</w:t>
      </w:r>
    </w:p>
    <w:p>
      <w:pPr>
        <w:pStyle w:val="Bullet2"/>
        <w:rPr>
          <w:noProof/>
        </w:rPr>
      </w:pPr>
      <w:r>
        <w:rPr>
          <w:noProof/>
        </w:rPr>
        <w:t>substanță uscată.</w:t>
      </w:r>
    </w:p>
    <w:p>
      <w:pPr>
        <w:pStyle w:val="ManualHeading2"/>
        <w:rPr>
          <w:noProof/>
        </w:rPr>
      </w:pPr>
      <w:bookmarkStart w:id="47" w:name="_Toc432153281"/>
      <w:r>
        <w:rPr>
          <w:noProof/>
        </w:rPr>
        <w:t>CFP 1(B): Îngrășământ organo-mineral</w:t>
      </w:r>
    </w:p>
    <w:p>
      <w:pPr>
        <w:pStyle w:val="NumPar1"/>
        <w:keepNext/>
        <w:numPr>
          <w:ilvl w:val="0"/>
          <w:numId w:val="98"/>
        </w:numPr>
        <w:rPr>
          <w:noProof/>
        </w:rPr>
      </w:pPr>
      <w:r>
        <w:rPr>
          <w:noProof/>
        </w:rPr>
        <w:t>Pe etichetă, figurează următoarele elemente de informare referitoare la macroelemente:</w:t>
      </w:r>
    </w:p>
    <w:p>
      <w:pPr>
        <w:pStyle w:val="Point1letter"/>
        <w:numPr>
          <w:ilvl w:val="3"/>
          <w:numId w:val="99"/>
        </w:numPr>
        <w:rPr>
          <w:noProof/>
        </w:rPr>
      </w:pPr>
      <w:r>
        <w:rPr>
          <w:noProof/>
        </w:rPr>
        <w:t>nutrienții declarați azot (N), fosfor (P) sau potasiu (K), sub forma simbolurilor lor chimice, în ordinea N-K-P;</w:t>
      </w:r>
    </w:p>
    <w:p>
      <w:pPr>
        <w:pStyle w:val="Point1letter"/>
        <w:numPr>
          <w:ilvl w:val="3"/>
          <w:numId w:val="10"/>
        </w:numPr>
        <w:rPr>
          <w:noProof/>
        </w:rPr>
      </w:pPr>
      <w:r>
        <w:rPr>
          <w:noProof/>
        </w:rPr>
        <w:t>nutrienții declarați magneziu (Mg), calciu (Ca), sulf (S) sau sodiu (Na), sub forma simbolurilor lor chimice, în ordinea Mg-Ca-S-Na;</w:t>
      </w:r>
    </w:p>
    <w:p>
      <w:pPr>
        <w:pStyle w:val="Point1letter"/>
        <w:numPr>
          <w:ilvl w:val="3"/>
          <w:numId w:val="10"/>
        </w:numPr>
        <w:rPr>
          <w:noProof/>
        </w:rPr>
      </w:pPr>
      <w:r>
        <w:rPr>
          <w:noProof/>
        </w:rPr>
        <w:t>numere care indică conținutul total din nutrienții declarați azot (N), fosfor (P) sau potasiu (K), urmate de numere între paranteze drepte care indică conținutul total din nutrienții declarați magneziu (Mg), calciu (Ca), sulf (S) sau sodiu (Na);</w:t>
      </w:r>
    </w:p>
    <w:p>
      <w:pPr>
        <w:pStyle w:val="Point1letter"/>
        <w:keepNext/>
        <w:numPr>
          <w:ilvl w:val="3"/>
          <w:numId w:val="10"/>
        </w:numPr>
        <w:rPr>
          <w:noProof/>
        </w:rPr>
      </w:pPr>
      <w:r>
        <w:rPr>
          <w:noProof/>
        </w:rPr>
        <w:t>conținutul din următorii nutrienți declarați, în ordinea următoare și ca procent din masa îngrășământului:</w:t>
      </w:r>
    </w:p>
    <w:p>
      <w:pPr>
        <w:pStyle w:val="Bullet2"/>
        <w:keepNext/>
        <w:rPr>
          <w:noProof/>
        </w:rPr>
      </w:pPr>
      <w:r>
        <w:rPr>
          <w:noProof/>
        </w:rPr>
        <w:t>azot (N) total</w:t>
      </w:r>
    </w:p>
    <w:p>
      <w:pPr>
        <w:pStyle w:val="Tiret3"/>
        <w:rPr>
          <w:noProof/>
        </w:rPr>
      </w:pPr>
      <w:r>
        <w:rPr>
          <w:noProof/>
        </w:rPr>
        <w:t>cantitatea minimă de azot (N) organic, urmată de o descriere a originii materiei organice utilizate;</w:t>
      </w:r>
    </w:p>
    <w:p>
      <w:pPr>
        <w:pStyle w:val="Tiret3"/>
        <w:rPr>
          <w:noProof/>
        </w:rPr>
      </w:pPr>
      <w:r>
        <w:rPr>
          <w:noProof/>
        </w:rPr>
        <w:t>azot (N) sub formă de nitriți;</w:t>
      </w:r>
    </w:p>
    <w:p>
      <w:pPr>
        <w:pStyle w:val="Tiret3"/>
        <w:rPr>
          <w:noProof/>
        </w:rPr>
      </w:pPr>
      <w:r>
        <w:rPr>
          <w:noProof/>
        </w:rPr>
        <w:t>azot (N) sub formă de azot amoniacal;</w:t>
      </w:r>
    </w:p>
    <w:p>
      <w:pPr>
        <w:pStyle w:val="Tiret3"/>
        <w:rPr>
          <w:noProof/>
        </w:rPr>
      </w:pPr>
      <w:r>
        <w:rPr>
          <w:noProof/>
        </w:rPr>
        <w:t>azot (N) sub formă de azot ureic;</w:t>
      </w:r>
    </w:p>
    <w:p>
      <w:pPr>
        <w:pStyle w:val="Bullet2"/>
        <w:keepNext/>
        <w:ind w:left="1985"/>
        <w:rPr>
          <w:noProof/>
        </w:rPr>
      </w:pPr>
      <w:r>
        <w:rPr>
          <w:noProof/>
        </w:rPr>
        <w:t>pentaoxid de fosfor (P</w:t>
      </w:r>
      <w:r>
        <w:rPr>
          <w:noProof/>
          <w:vertAlign w:val="subscript"/>
        </w:rPr>
        <w:t>2</w:t>
      </w:r>
      <w:r>
        <w:rPr>
          <w:noProof/>
        </w:rPr>
        <w:t>O</w:t>
      </w:r>
      <w:r>
        <w:rPr>
          <w:noProof/>
          <w:vertAlign w:val="subscript"/>
        </w:rPr>
        <w:t>5</w:t>
      </w:r>
      <w:r>
        <w:rPr>
          <w:noProof/>
        </w:rPr>
        <w:t>) total;</w:t>
      </w:r>
    </w:p>
    <w:p>
      <w:pPr>
        <w:pStyle w:val="Tiret3"/>
        <w:rPr>
          <w:noProof/>
        </w:rPr>
      </w:pPr>
      <w:r>
        <w:rPr>
          <w:noProof/>
        </w:rPr>
        <w:t>pentaoxid de fosfor (P</w:t>
      </w:r>
      <w:r>
        <w:rPr>
          <w:noProof/>
          <w:vertAlign w:val="subscript"/>
        </w:rPr>
        <w:t>2</w:t>
      </w:r>
      <w:r>
        <w:rPr>
          <w:noProof/>
        </w:rPr>
        <w:t>O</w:t>
      </w:r>
      <w:r>
        <w:rPr>
          <w:noProof/>
          <w:vertAlign w:val="subscript"/>
        </w:rPr>
        <w:t>5</w:t>
      </w:r>
      <w:r>
        <w:rPr>
          <w:noProof/>
        </w:rPr>
        <w:t>) solubil în apă;</w:t>
      </w:r>
    </w:p>
    <w:p>
      <w:pPr>
        <w:pStyle w:val="Tiret3"/>
        <w:rPr>
          <w:noProof/>
        </w:rPr>
      </w:pPr>
      <w:r>
        <w:rPr>
          <w:noProof/>
        </w:rPr>
        <w:t>pentaoxid de fosfor (P</w:t>
      </w:r>
      <w:r>
        <w:rPr>
          <w:noProof/>
          <w:vertAlign w:val="subscript"/>
        </w:rPr>
        <w:t>2</w:t>
      </w:r>
      <w:r>
        <w:rPr>
          <w:noProof/>
        </w:rPr>
        <w:t>O</w:t>
      </w:r>
      <w:r>
        <w:rPr>
          <w:noProof/>
          <w:vertAlign w:val="subscript"/>
        </w:rPr>
        <w:t>5</w:t>
      </w:r>
      <w:r>
        <w:rPr>
          <w:noProof/>
        </w:rPr>
        <w:t>) solubil în citrat de amoniu neutru;</w:t>
      </w:r>
    </w:p>
    <w:p>
      <w:pPr>
        <w:pStyle w:val="Tiret3"/>
        <w:rPr>
          <w:noProof/>
        </w:rPr>
      </w:pPr>
      <w:r>
        <w:rPr>
          <w:noProof/>
        </w:rPr>
        <w:t>în prezența fosfatului natural moale, pentaoxid de fosfor (P</w:t>
      </w:r>
      <w:r>
        <w:rPr>
          <w:noProof/>
          <w:vertAlign w:val="subscript"/>
        </w:rPr>
        <w:t>2</w:t>
      </w:r>
      <w:r>
        <w:rPr>
          <w:noProof/>
        </w:rPr>
        <w:t>O</w:t>
      </w:r>
      <w:r>
        <w:rPr>
          <w:noProof/>
          <w:vertAlign w:val="subscript"/>
        </w:rPr>
        <w:t>5</w:t>
      </w:r>
      <w:r>
        <w:rPr>
          <w:noProof/>
        </w:rPr>
        <w:t>) solubil în acid formic;</w:t>
      </w:r>
    </w:p>
    <w:p>
      <w:pPr>
        <w:pStyle w:val="Bullet2"/>
        <w:keepNext/>
        <w:ind w:left="1985"/>
        <w:rPr>
          <w:noProof/>
        </w:rPr>
      </w:pPr>
      <w:r>
        <w:rPr>
          <w:noProof/>
        </w:rPr>
        <w:t>oxid de potasiu (K</w:t>
      </w:r>
      <w:r>
        <w:rPr>
          <w:noProof/>
          <w:vertAlign w:val="subscript"/>
        </w:rPr>
        <w:t>2</w:t>
      </w:r>
      <w:r>
        <w:rPr>
          <w:noProof/>
        </w:rPr>
        <w:t>O) total;</w:t>
      </w:r>
    </w:p>
    <w:p>
      <w:pPr>
        <w:pStyle w:val="Tiret3"/>
        <w:rPr>
          <w:noProof/>
        </w:rPr>
      </w:pPr>
      <w:r>
        <w:rPr>
          <w:noProof/>
        </w:rPr>
        <w:t>oxid de potasiu (K</w:t>
      </w:r>
      <w:r>
        <w:rPr>
          <w:noProof/>
          <w:vertAlign w:val="subscript"/>
        </w:rPr>
        <w:t>2</w:t>
      </w:r>
      <w:r>
        <w:rPr>
          <w:noProof/>
        </w:rPr>
        <w:t>O) solubil în apă;</w:t>
      </w:r>
    </w:p>
    <w:p>
      <w:pPr>
        <w:pStyle w:val="Bullet2"/>
        <w:rPr>
          <w:noProof/>
        </w:rPr>
      </w:pPr>
      <w:r>
        <w:rPr>
          <w:noProof/>
        </w:rPr>
        <w:t>oxid de magneziu (MgO), oxid de calciu (CaO), trioxid de sulf (SO</w:t>
      </w:r>
      <w:r>
        <w:rPr>
          <w:noProof/>
          <w:vertAlign w:val="subscript"/>
        </w:rPr>
        <w:t>3</w:t>
      </w:r>
      <w:r>
        <w:rPr>
          <w:noProof/>
        </w:rPr>
        <w:t>) și oxid de sodiu (Na</w:t>
      </w:r>
      <w:r>
        <w:rPr>
          <w:noProof/>
          <w:vertAlign w:val="subscript"/>
        </w:rPr>
        <w:t>2</w:t>
      </w:r>
      <w:r>
        <w:rPr>
          <w:noProof/>
        </w:rPr>
        <w:t>O), exprimate astfel:</w:t>
      </w:r>
    </w:p>
    <w:p>
      <w:pPr>
        <w:pStyle w:val="Tiret3"/>
        <w:rPr>
          <w:noProof/>
        </w:rPr>
      </w:pPr>
      <w:r>
        <w:rPr>
          <w:noProof/>
        </w:rPr>
        <w:t>dacă nutrienții respectivi sunt total solubili în apă, numai ca și conținut solubil în apă;</w:t>
      </w:r>
    </w:p>
    <w:p>
      <w:pPr>
        <w:pStyle w:val="Tiret3"/>
        <w:rPr>
          <w:noProof/>
        </w:rPr>
      </w:pPr>
      <w:r>
        <w:rPr>
          <w:noProof/>
        </w:rPr>
        <w:t>dacă conținutul solubil al nutrienților respectivi reprezintă cel puțin un sfert din conținutul total al nutrienților, ca și conținut total și ca și conținut solubil în apă</w:t>
      </w:r>
    </w:p>
    <w:p>
      <w:pPr>
        <w:pStyle w:val="Tiret3"/>
        <w:rPr>
          <w:noProof/>
        </w:rPr>
      </w:pPr>
      <w:r>
        <w:rPr>
          <w:noProof/>
        </w:rPr>
        <w:t>în toate celelalte cazuri, ca și conținut total și</w:t>
      </w:r>
    </w:p>
    <w:p>
      <w:pPr>
        <w:pStyle w:val="Point1letter"/>
        <w:rPr>
          <w:noProof/>
        </w:rPr>
      </w:pPr>
      <w:r>
        <w:rPr>
          <w:noProof/>
        </w:rPr>
        <w:t>în prezența ureei (CH</w:t>
      </w:r>
      <w:r>
        <w:rPr>
          <w:noProof/>
          <w:vertAlign w:val="subscript"/>
        </w:rPr>
        <w:t>4</w:t>
      </w:r>
      <w:r>
        <w:rPr>
          <w:noProof/>
        </w:rPr>
        <w:t>N</w:t>
      </w:r>
      <w:r>
        <w:rPr>
          <w:noProof/>
          <w:vertAlign w:val="subscript"/>
        </w:rPr>
        <w:t>2</w:t>
      </w:r>
      <w:r>
        <w:rPr>
          <w:noProof/>
        </w:rPr>
        <w:t>O), informații privind impactul posibil asupra calității aerului al eliberării de amoniac în urma utilizării îngrășământului și o invitație ca utilizatorii să aplice măsurile de remediere adecvate.</w:t>
      </w:r>
    </w:p>
    <w:p>
      <w:pPr>
        <w:pStyle w:val="NumPar1"/>
        <w:keepNext/>
        <w:numPr>
          <w:ilvl w:val="0"/>
          <w:numId w:val="12"/>
        </w:numPr>
        <w:ind w:left="851" w:hanging="851"/>
        <w:rPr>
          <w:noProof/>
        </w:rPr>
      </w:pPr>
      <w:r>
        <w:rPr>
          <w:noProof/>
        </w:rPr>
        <w:t>Următoarele alte elemente trebuie indicate ca procent din masa produsului fertilizant cu marcaj CE:</w:t>
      </w:r>
    </w:p>
    <w:p>
      <w:pPr>
        <w:pStyle w:val="Bullet2"/>
        <w:rPr>
          <w:noProof/>
        </w:rPr>
      </w:pPr>
      <w:r>
        <w:rPr>
          <w:noProof/>
        </w:rPr>
        <w:t>conținutul de carbon (C) organic și</w:t>
      </w:r>
    </w:p>
    <w:p>
      <w:pPr>
        <w:pStyle w:val="Bullet2"/>
        <w:rPr>
          <w:noProof/>
        </w:rPr>
      </w:pPr>
      <w:r>
        <w:rPr>
          <w:noProof/>
        </w:rPr>
        <w:t>conținutul de substanță uscată.</w:t>
      </w:r>
    </w:p>
    <w:p>
      <w:pPr>
        <w:pStyle w:val="ManualHeading3"/>
        <w:rPr>
          <w:noProof/>
        </w:rPr>
      </w:pPr>
      <w:r>
        <w:rPr>
          <w:noProof/>
        </w:rPr>
        <w:t>CFP 1(B)(I): Îngrășământ organo-mineral solid</w:t>
      </w:r>
    </w:p>
    <w:p>
      <w:pPr>
        <w:pStyle w:val="Text1"/>
        <w:keepNext/>
        <w:ind w:left="851"/>
        <w:rPr>
          <w:noProof/>
        </w:rPr>
      </w:pPr>
      <w:r>
        <w:rPr>
          <w:noProof/>
        </w:rPr>
        <w:t>În cazul în care unul sau mai multe dintre oligoelementele următoare: bor (B), cobalt (Co), cupru (Cu), fier (Fe), mangan (Mn), molibden (Mo) și zinc (Z) sunt prezente în cantitatea minimă indicată ca procent de masă în tabelul următor, acestea:</w:t>
      </w:r>
    </w:p>
    <w:p>
      <w:pPr>
        <w:pStyle w:val="Bullet1"/>
        <w:numPr>
          <w:ilvl w:val="0"/>
          <w:numId w:val="13"/>
        </w:numPr>
        <w:rPr>
          <w:noProof/>
        </w:rPr>
      </w:pPr>
      <w:r>
        <w:rPr>
          <w:noProof/>
        </w:rPr>
        <w:t xml:space="preserve">trebuie declarate, dacă au fost adăugate intenționat la produsul fertilizant cu marcaj CE, și </w:t>
      </w:r>
    </w:p>
    <w:p>
      <w:pPr>
        <w:pStyle w:val="Bullet1"/>
        <w:keepNext/>
        <w:numPr>
          <w:ilvl w:val="0"/>
          <w:numId w:val="13"/>
        </w:numPr>
        <w:ind w:left="1418"/>
        <w:rPr>
          <w:noProof/>
        </w:rPr>
      </w:pPr>
      <w:r>
        <w:rPr>
          <w:noProof/>
        </w:rPr>
        <w:t>pot fi declarate în celelalte cazuri:</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2944"/>
      </w:tblGrid>
      <w:tr>
        <w:tc>
          <w:tcPr>
            <w:tcW w:w="1984" w:type="dxa"/>
            <w:shd w:val="clear" w:color="auto" w:fill="auto"/>
          </w:tcPr>
          <w:p>
            <w:pPr>
              <w:keepNext/>
              <w:jc w:val="left"/>
              <w:rPr>
                <w:b/>
                <w:bCs/>
                <w:noProof/>
              </w:rPr>
            </w:pPr>
            <w:r>
              <w:rPr>
                <w:b/>
                <w:noProof/>
              </w:rPr>
              <w:t>Oligoelementul</w:t>
            </w:r>
          </w:p>
        </w:tc>
        <w:tc>
          <w:tcPr>
            <w:tcW w:w="3402" w:type="dxa"/>
          </w:tcPr>
          <w:p>
            <w:pPr>
              <w:keepNext/>
              <w:jc w:val="left"/>
              <w:rPr>
                <w:b/>
                <w:bCs/>
                <w:noProof/>
              </w:rPr>
            </w:pPr>
            <w:r>
              <w:rPr>
                <w:b/>
                <w:noProof/>
              </w:rPr>
              <w:t>Pentru utilizare pe culturi sau pajiști</w:t>
            </w:r>
          </w:p>
        </w:tc>
        <w:tc>
          <w:tcPr>
            <w:tcW w:w="2944" w:type="dxa"/>
            <w:shd w:val="clear" w:color="auto" w:fill="auto"/>
          </w:tcPr>
          <w:p>
            <w:pPr>
              <w:keepNext/>
              <w:jc w:val="left"/>
              <w:rPr>
                <w:b/>
                <w:bCs/>
                <w:noProof/>
              </w:rPr>
            </w:pPr>
            <w:r>
              <w:rPr>
                <w:b/>
                <w:noProof/>
              </w:rPr>
              <w:t xml:space="preserve">Pentru uz horticol </w:t>
            </w:r>
          </w:p>
        </w:tc>
      </w:tr>
      <w:tr>
        <w:tc>
          <w:tcPr>
            <w:tcW w:w="1984" w:type="dxa"/>
            <w:shd w:val="clear" w:color="auto" w:fill="auto"/>
          </w:tcPr>
          <w:p>
            <w:pPr>
              <w:jc w:val="left"/>
              <w:rPr>
                <w:noProof/>
              </w:rPr>
            </w:pPr>
            <w:r>
              <w:rPr>
                <w:noProof/>
              </w:rPr>
              <w:t>bor (B)</w:t>
            </w:r>
          </w:p>
        </w:tc>
        <w:tc>
          <w:tcPr>
            <w:tcW w:w="3402" w:type="dxa"/>
          </w:tcPr>
          <w:p>
            <w:pPr>
              <w:jc w:val="left"/>
              <w:rPr>
                <w:noProof/>
              </w:rPr>
            </w:pPr>
            <w:r>
              <w:rPr>
                <w:noProof/>
              </w:rPr>
              <w:t>0,01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cobalt (Co)</w:t>
            </w:r>
          </w:p>
        </w:tc>
        <w:tc>
          <w:tcPr>
            <w:tcW w:w="3402" w:type="dxa"/>
          </w:tcPr>
          <w:p>
            <w:pPr>
              <w:jc w:val="left"/>
              <w:rPr>
                <w:noProof/>
              </w:rPr>
            </w:pPr>
            <w:r>
              <w:rPr>
                <w:noProof/>
              </w:rPr>
              <w:t>0,002</w:t>
            </w:r>
          </w:p>
        </w:tc>
        <w:tc>
          <w:tcPr>
            <w:tcW w:w="2944" w:type="dxa"/>
            <w:shd w:val="clear" w:color="auto" w:fill="auto"/>
          </w:tcPr>
          <w:p>
            <w:pPr>
              <w:jc w:val="left"/>
              <w:rPr>
                <w:noProof/>
              </w:rPr>
            </w:pPr>
            <w:r>
              <w:rPr>
                <w:noProof/>
              </w:rPr>
              <w:t>n.a.</w:t>
            </w:r>
          </w:p>
        </w:tc>
      </w:tr>
      <w:tr>
        <w:tc>
          <w:tcPr>
            <w:tcW w:w="1984" w:type="dxa"/>
            <w:shd w:val="clear" w:color="auto" w:fill="auto"/>
          </w:tcPr>
          <w:p>
            <w:pPr>
              <w:jc w:val="left"/>
              <w:rPr>
                <w:noProof/>
              </w:rPr>
            </w:pPr>
            <w:r>
              <w:rPr>
                <w:noProof/>
              </w:rPr>
              <w:t>cupru (Cu)</w:t>
            </w:r>
          </w:p>
        </w:tc>
        <w:tc>
          <w:tcPr>
            <w:tcW w:w="3402" w:type="dxa"/>
          </w:tcPr>
          <w:p>
            <w:pPr>
              <w:jc w:val="left"/>
              <w:rPr>
                <w:noProof/>
              </w:rPr>
            </w:pPr>
            <w:r>
              <w:rPr>
                <w:noProof/>
              </w:rPr>
              <w:t>0,01</w:t>
            </w:r>
          </w:p>
        </w:tc>
        <w:tc>
          <w:tcPr>
            <w:tcW w:w="2944" w:type="dxa"/>
            <w:shd w:val="clear" w:color="auto" w:fill="auto"/>
          </w:tcPr>
          <w:p>
            <w:pPr>
              <w:jc w:val="left"/>
              <w:rPr>
                <w:noProof/>
              </w:rPr>
            </w:pPr>
            <w:r>
              <w:rPr>
                <w:noProof/>
              </w:rPr>
              <w:t>0,002</w:t>
            </w:r>
          </w:p>
        </w:tc>
      </w:tr>
      <w:tr>
        <w:tc>
          <w:tcPr>
            <w:tcW w:w="1984" w:type="dxa"/>
            <w:shd w:val="clear" w:color="auto" w:fill="auto"/>
          </w:tcPr>
          <w:p>
            <w:pPr>
              <w:jc w:val="left"/>
              <w:rPr>
                <w:noProof/>
              </w:rPr>
            </w:pPr>
            <w:r>
              <w:rPr>
                <w:noProof/>
              </w:rPr>
              <w:t>fier (Fe)</w:t>
            </w:r>
          </w:p>
        </w:tc>
        <w:tc>
          <w:tcPr>
            <w:tcW w:w="3402" w:type="dxa"/>
          </w:tcPr>
          <w:p>
            <w:pPr>
              <w:jc w:val="left"/>
              <w:rPr>
                <w:noProof/>
              </w:rPr>
            </w:pPr>
            <w:r>
              <w:rPr>
                <w:noProof/>
              </w:rPr>
              <w:t>0,5</w:t>
            </w:r>
          </w:p>
        </w:tc>
        <w:tc>
          <w:tcPr>
            <w:tcW w:w="2944" w:type="dxa"/>
            <w:shd w:val="clear" w:color="auto" w:fill="auto"/>
          </w:tcPr>
          <w:p>
            <w:pPr>
              <w:jc w:val="left"/>
              <w:rPr>
                <w:noProof/>
              </w:rPr>
            </w:pPr>
            <w:r>
              <w:rPr>
                <w:noProof/>
              </w:rPr>
              <w:t>0,02</w:t>
            </w:r>
          </w:p>
        </w:tc>
      </w:tr>
      <w:tr>
        <w:tc>
          <w:tcPr>
            <w:tcW w:w="1984" w:type="dxa"/>
            <w:shd w:val="clear" w:color="auto" w:fill="auto"/>
          </w:tcPr>
          <w:p>
            <w:pPr>
              <w:jc w:val="left"/>
              <w:rPr>
                <w:noProof/>
              </w:rPr>
            </w:pPr>
            <w:r>
              <w:rPr>
                <w:noProof/>
              </w:rPr>
              <w:t>mangan (Mn)</w:t>
            </w:r>
          </w:p>
        </w:tc>
        <w:tc>
          <w:tcPr>
            <w:tcW w:w="3402" w:type="dxa"/>
          </w:tcPr>
          <w:p>
            <w:pPr>
              <w:jc w:val="left"/>
              <w:rPr>
                <w:noProof/>
              </w:rPr>
            </w:pPr>
            <w:r>
              <w:rPr>
                <w:noProof/>
              </w:rPr>
              <w:t>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molibden (Mo)</w:t>
            </w:r>
          </w:p>
        </w:tc>
        <w:tc>
          <w:tcPr>
            <w:tcW w:w="3402" w:type="dxa"/>
          </w:tcPr>
          <w:p>
            <w:pPr>
              <w:jc w:val="left"/>
              <w:rPr>
                <w:noProof/>
              </w:rPr>
            </w:pPr>
            <w:r>
              <w:rPr>
                <w:noProof/>
              </w:rPr>
              <w:t>0,001</w:t>
            </w:r>
          </w:p>
        </w:tc>
        <w:tc>
          <w:tcPr>
            <w:tcW w:w="2944" w:type="dxa"/>
            <w:shd w:val="clear" w:color="auto" w:fill="auto"/>
          </w:tcPr>
          <w:p>
            <w:pPr>
              <w:jc w:val="left"/>
              <w:rPr>
                <w:noProof/>
              </w:rPr>
            </w:pPr>
            <w:r>
              <w:rPr>
                <w:noProof/>
              </w:rPr>
              <w:t>0.001</w:t>
            </w:r>
          </w:p>
        </w:tc>
      </w:tr>
      <w:tr>
        <w:tc>
          <w:tcPr>
            <w:tcW w:w="1984" w:type="dxa"/>
            <w:shd w:val="clear" w:color="auto" w:fill="auto"/>
          </w:tcPr>
          <w:p>
            <w:pPr>
              <w:keepNext/>
              <w:jc w:val="left"/>
              <w:rPr>
                <w:noProof/>
              </w:rPr>
            </w:pPr>
            <w:r>
              <w:rPr>
                <w:noProof/>
              </w:rPr>
              <w:t>zinc</w:t>
            </w:r>
          </w:p>
        </w:tc>
        <w:tc>
          <w:tcPr>
            <w:tcW w:w="3402" w:type="dxa"/>
          </w:tcPr>
          <w:p>
            <w:pPr>
              <w:keepNext/>
              <w:jc w:val="left"/>
              <w:rPr>
                <w:noProof/>
              </w:rPr>
            </w:pPr>
            <w:r>
              <w:rPr>
                <w:noProof/>
              </w:rPr>
              <w:t>0,01</w:t>
            </w:r>
          </w:p>
        </w:tc>
        <w:tc>
          <w:tcPr>
            <w:tcW w:w="2944" w:type="dxa"/>
            <w:shd w:val="clear" w:color="auto" w:fill="auto"/>
          </w:tcPr>
          <w:p>
            <w:pPr>
              <w:keepNext/>
              <w:jc w:val="left"/>
              <w:rPr>
                <w:noProof/>
              </w:rPr>
            </w:pPr>
            <w:r>
              <w:rPr>
                <w:noProof/>
              </w:rPr>
              <w:t>0,002</w:t>
            </w:r>
          </w:p>
        </w:tc>
      </w:tr>
    </w:tbl>
    <w:p>
      <w:pPr>
        <w:pStyle w:val="Text1"/>
        <w:keepNext/>
        <w:ind w:left="851"/>
        <w:rPr>
          <w:noProof/>
        </w:rPr>
      </w:pPr>
      <w:r>
        <w:rPr>
          <w:noProof/>
        </w:rPr>
        <w:t>Acestea se declară după informațiile privind macroelementele. Pe etichetă, figurează următoarele elemente de informare:</w:t>
      </w:r>
    </w:p>
    <w:p>
      <w:pPr>
        <w:pStyle w:val="Point1letter"/>
        <w:numPr>
          <w:ilvl w:val="3"/>
          <w:numId w:val="100"/>
        </w:numPr>
        <w:rPr>
          <w:noProof/>
        </w:rPr>
      </w:pPr>
      <w:r>
        <w:rPr>
          <w:noProof/>
        </w:rPr>
        <w:t>indicarea denumirii și a simbolurilor chimice ale oligoelementelor declarate, în ordinea următoare: bor (B), cobalt (Co), cupru (Cu), fier (Fe), mangan (Mn), molibden (Mo) și zinc (Zn), urmate de numele contraionilor;</w:t>
      </w:r>
    </w:p>
    <w:p>
      <w:pPr>
        <w:pStyle w:val="Point1letter"/>
        <w:keepNext/>
        <w:ind w:left="1418"/>
        <w:rPr>
          <w:noProof/>
        </w:rPr>
      </w:pPr>
      <w:r>
        <w:rPr>
          <w:noProof/>
        </w:rPr>
        <w:t>conținutul total de oligoelemente exprimat în procente din masa îngrășământului:</w:t>
      </w:r>
    </w:p>
    <w:p>
      <w:pPr>
        <w:pStyle w:val="Tiret2"/>
        <w:rPr>
          <w:noProof/>
        </w:rPr>
      </w:pPr>
      <w:r>
        <w:rPr>
          <w:noProof/>
        </w:rPr>
        <w:t>dacă nutrienții respectivi sunt total solubili în apă, numai ca și conținut solubil în apă;</w:t>
      </w:r>
    </w:p>
    <w:p>
      <w:pPr>
        <w:pStyle w:val="Tiret2"/>
        <w:rPr>
          <w:noProof/>
        </w:rPr>
      </w:pPr>
      <w:r>
        <w:rPr>
          <w:noProof/>
        </w:rPr>
        <w:t>dacă conținutul solubil al nutrienților respectivi reprezintă cel puțin un sfert din conținutul total al nutrienților, ca și conținut total și ca și conținut solubil în apă și</w:t>
      </w:r>
    </w:p>
    <w:p>
      <w:pPr>
        <w:pStyle w:val="Tiret2"/>
        <w:rPr>
          <w:noProof/>
        </w:rPr>
      </w:pPr>
      <w:r>
        <w:rPr>
          <w:noProof/>
        </w:rPr>
        <w:t>în toate celelalte cazuri, ca și conținut total;</w:t>
      </w:r>
    </w:p>
    <w:p>
      <w:pPr>
        <w:pStyle w:val="Point1letter"/>
        <w:keepNext/>
        <w:ind w:left="1418"/>
        <w:rPr>
          <w:noProof/>
        </w:rPr>
      </w:pPr>
      <w:r>
        <w:rPr>
          <w:noProof/>
        </w:rPr>
        <w:t>în cazul în care oligoelementul (oligoelementele) este (sunt) chelat(e), următorul calificativ după numele și formula chimică a oligoelementului:</w:t>
      </w:r>
    </w:p>
    <w:p>
      <w:pPr>
        <w:pStyle w:val="Tiret2"/>
        <w:rPr>
          <w:noProof/>
        </w:rPr>
      </w:pPr>
      <w:r>
        <w:rPr>
          <w:noProof/>
        </w:rPr>
        <w:t>„chelat cu...” numele agentului de chelare sau abrevierea acestuia și cantitatea de oligoelement chelat ca procent din masa produsului fertilizant cu marcaj CE;</w:t>
      </w:r>
    </w:p>
    <w:p>
      <w:pPr>
        <w:pStyle w:val="Point1letter"/>
        <w:keepNext/>
        <w:ind w:left="1418"/>
        <w:rPr>
          <w:noProof/>
        </w:rPr>
      </w:pPr>
      <w:r>
        <w:rPr>
          <w:noProof/>
        </w:rPr>
        <w:t>în cazul în care produsul fertilizant cu marcaj CE conține oligoelemente complexate cu agenți de complexare:</w:t>
      </w:r>
    </w:p>
    <w:p>
      <w:pPr>
        <w:pStyle w:val="Tiret2"/>
        <w:rPr>
          <w:noProof/>
        </w:rPr>
      </w:pPr>
      <w:r>
        <w:rPr>
          <w:noProof/>
        </w:rPr>
        <w:t>următorul calificativ după numele și formula chimică a oligoelementului: „complexat cu...” și cantitatea de oligoelement complexat ca procent din masa produsului fertilizant cu marcaj CE și</w:t>
      </w:r>
    </w:p>
    <w:p>
      <w:pPr>
        <w:pStyle w:val="Tiret2"/>
        <w:rPr>
          <w:noProof/>
        </w:rPr>
      </w:pPr>
      <w:r>
        <w:rPr>
          <w:noProof/>
        </w:rPr>
        <w:t>numele agentului de complexare sau abrevierea acestuia.</w:t>
      </w:r>
    </w:p>
    <w:p>
      <w:pPr>
        <w:pStyle w:val="Point1letter"/>
        <w:rPr>
          <w:noProof/>
        </w:rPr>
      </w:pPr>
      <w:r>
        <w:rPr>
          <w:noProof/>
        </w:rPr>
        <w:t>declarația următoare: „A se utiliza exclusiv în caz de necesitate recunoscută. A nu se depăși doza adecvată”.</w:t>
      </w:r>
    </w:p>
    <w:p>
      <w:pPr>
        <w:pStyle w:val="ManualHeading3"/>
        <w:rPr>
          <w:noProof/>
        </w:rPr>
      </w:pPr>
      <w:r>
        <w:rPr>
          <w:noProof/>
        </w:rPr>
        <w:t>CFP 1(B)(II): Îngrășământ organo-mineral lichid</w:t>
      </w:r>
    </w:p>
    <w:p>
      <w:pPr>
        <w:pStyle w:val="Text1"/>
        <w:keepNext/>
        <w:ind w:left="851"/>
        <w:rPr>
          <w:noProof/>
        </w:rPr>
      </w:pPr>
      <w:r>
        <w:rPr>
          <w:noProof/>
        </w:rPr>
        <w:t>În cazul în care unul sau mai multe dintre oligoelementele următoare: bor (B), cobalt (Co), cupru (Cu), fier (Fe), mangan (Mn), molibden (Mo) și zinc (Z) sunt prezente în cantitatea minimă indicată ca procent de masă în tabelul următor, acestea:</w:t>
      </w:r>
    </w:p>
    <w:p>
      <w:pPr>
        <w:pStyle w:val="Bullet1"/>
        <w:numPr>
          <w:ilvl w:val="0"/>
          <w:numId w:val="13"/>
        </w:numPr>
        <w:rPr>
          <w:noProof/>
        </w:rPr>
      </w:pPr>
      <w:r>
        <w:rPr>
          <w:noProof/>
        </w:rPr>
        <w:t xml:space="preserve">trebuie declarate, dacă au fost adăugate intenționat la produsul fertilizant cu marcaj CE, și </w:t>
      </w:r>
    </w:p>
    <w:p>
      <w:pPr>
        <w:pStyle w:val="Bullet1"/>
        <w:keepNext/>
        <w:numPr>
          <w:ilvl w:val="0"/>
          <w:numId w:val="13"/>
        </w:numPr>
        <w:ind w:left="1418"/>
        <w:rPr>
          <w:noProof/>
        </w:rPr>
      </w:pPr>
      <w:r>
        <w:rPr>
          <w:noProof/>
        </w:rPr>
        <w:t>pot fi declarate în celelalte cazuri:</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11"/>
      </w:tblGrid>
      <w:tr>
        <w:tc>
          <w:tcPr>
            <w:tcW w:w="2268" w:type="dxa"/>
            <w:shd w:val="clear" w:color="auto" w:fill="auto"/>
          </w:tcPr>
          <w:p>
            <w:pPr>
              <w:keepNext/>
              <w:jc w:val="left"/>
              <w:rPr>
                <w:b/>
                <w:bCs/>
                <w:noProof/>
              </w:rPr>
            </w:pPr>
            <w:r>
              <w:rPr>
                <w:b/>
                <w:noProof/>
              </w:rPr>
              <w:t>Oligoelementul</w:t>
            </w:r>
          </w:p>
        </w:tc>
        <w:tc>
          <w:tcPr>
            <w:tcW w:w="4811" w:type="dxa"/>
          </w:tcPr>
          <w:p>
            <w:pPr>
              <w:keepNext/>
              <w:jc w:val="left"/>
              <w:rPr>
                <w:b/>
                <w:bCs/>
                <w:noProof/>
              </w:rPr>
            </w:pPr>
            <w:r>
              <w:rPr>
                <w:b/>
                <w:noProof/>
              </w:rPr>
              <w:t>Procent din masă</w:t>
            </w:r>
          </w:p>
        </w:tc>
      </w:tr>
      <w:tr>
        <w:tc>
          <w:tcPr>
            <w:tcW w:w="2268" w:type="dxa"/>
            <w:shd w:val="clear" w:color="auto" w:fill="auto"/>
          </w:tcPr>
          <w:p>
            <w:pPr>
              <w:jc w:val="left"/>
              <w:rPr>
                <w:noProof/>
              </w:rPr>
            </w:pPr>
            <w:r>
              <w:rPr>
                <w:noProof/>
              </w:rPr>
              <w:t>bor (B)</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cobalt (Co)</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cupru (Cu)</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fier (Fe)</w:t>
            </w:r>
          </w:p>
        </w:tc>
        <w:tc>
          <w:tcPr>
            <w:tcW w:w="4811" w:type="dxa"/>
          </w:tcPr>
          <w:p>
            <w:pPr>
              <w:jc w:val="left"/>
              <w:rPr>
                <w:noProof/>
              </w:rPr>
            </w:pPr>
            <w:r>
              <w:rPr>
                <w:noProof/>
              </w:rPr>
              <w:t>0,02</w:t>
            </w:r>
          </w:p>
        </w:tc>
      </w:tr>
      <w:tr>
        <w:tc>
          <w:tcPr>
            <w:tcW w:w="2268" w:type="dxa"/>
            <w:shd w:val="clear" w:color="auto" w:fill="auto"/>
          </w:tcPr>
          <w:p>
            <w:pPr>
              <w:jc w:val="left"/>
              <w:rPr>
                <w:noProof/>
              </w:rPr>
            </w:pPr>
            <w:r>
              <w:rPr>
                <w:noProof/>
              </w:rPr>
              <w:t>mangan (Mn)</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molibden (Mo)</w:t>
            </w:r>
          </w:p>
        </w:tc>
        <w:tc>
          <w:tcPr>
            <w:tcW w:w="4811" w:type="dxa"/>
          </w:tcPr>
          <w:p>
            <w:pPr>
              <w:jc w:val="left"/>
              <w:rPr>
                <w:noProof/>
              </w:rPr>
            </w:pPr>
            <w:r>
              <w:rPr>
                <w:noProof/>
              </w:rPr>
              <w:t>0,001</w:t>
            </w:r>
          </w:p>
        </w:tc>
      </w:tr>
      <w:tr>
        <w:tc>
          <w:tcPr>
            <w:tcW w:w="2268" w:type="dxa"/>
            <w:shd w:val="clear" w:color="auto" w:fill="auto"/>
          </w:tcPr>
          <w:p>
            <w:pPr>
              <w:keepNext/>
              <w:jc w:val="left"/>
              <w:rPr>
                <w:noProof/>
              </w:rPr>
            </w:pPr>
            <w:r>
              <w:rPr>
                <w:noProof/>
              </w:rPr>
              <w:t>zinc</w:t>
            </w:r>
          </w:p>
        </w:tc>
        <w:tc>
          <w:tcPr>
            <w:tcW w:w="4811" w:type="dxa"/>
          </w:tcPr>
          <w:p>
            <w:pPr>
              <w:keepNext/>
              <w:jc w:val="left"/>
              <w:rPr>
                <w:noProof/>
              </w:rPr>
            </w:pPr>
            <w:r>
              <w:rPr>
                <w:noProof/>
              </w:rPr>
              <w:t>0,002</w:t>
            </w:r>
          </w:p>
        </w:tc>
      </w:tr>
    </w:tbl>
    <w:p>
      <w:pPr>
        <w:pStyle w:val="Text1"/>
        <w:keepNext/>
        <w:ind w:left="851"/>
        <w:rPr>
          <w:noProof/>
        </w:rPr>
      </w:pPr>
      <w:r>
        <w:rPr>
          <w:noProof/>
        </w:rPr>
        <w:t>Acestea se declară după informațiile privind macroelementele. Pe etichetă, figurează următoarele elemente de informare:</w:t>
      </w:r>
    </w:p>
    <w:p>
      <w:pPr>
        <w:pStyle w:val="Point1letter"/>
        <w:numPr>
          <w:ilvl w:val="3"/>
          <w:numId w:val="101"/>
        </w:numPr>
        <w:rPr>
          <w:noProof/>
        </w:rPr>
      </w:pPr>
      <w:r>
        <w:rPr>
          <w:noProof/>
        </w:rPr>
        <w:t>indicarea denumirii și a simbolurilor chimice ale oligoelementelor declarate, în ordinea următoare: bor (B), cobalt (Co), cupru (Cu), fier (Fe), mangan (Mn), molibden (Mo) și zinc (Zn), urmate de numele contraionilor;</w:t>
      </w:r>
    </w:p>
    <w:p>
      <w:pPr>
        <w:pStyle w:val="Point1letter"/>
        <w:keepNext/>
        <w:ind w:left="1418"/>
        <w:rPr>
          <w:noProof/>
        </w:rPr>
      </w:pPr>
      <w:r>
        <w:rPr>
          <w:noProof/>
        </w:rPr>
        <w:t>conținutul total de oligoelemente exprimat în procente din masa îngrășământului:</w:t>
      </w:r>
    </w:p>
    <w:p>
      <w:pPr>
        <w:pStyle w:val="Tiret2"/>
        <w:rPr>
          <w:noProof/>
        </w:rPr>
      </w:pPr>
      <w:r>
        <w:rPr>
          <w:noProof/>
        </w:rPr>
        <w:t>dacă nutrienții respectivi sunt total solubili în apă, numai ca și conținut solubil în apă;</w:t>
      </w:r>
    </w:p>
    <w:p>
      <w:pPr>
        <w:pStyle w:val="Tiret2"/>
        <w:rPr>
          <w:noProof/>
        </w:rPr>
      </w:pPr>
      <w:r>
        <w:rPr>
          <w:noProof/>
        </w:rPr>
        <w:t>dacă conținutul solubil al nutrienților respectivi reprezintă cel puțin un sfert din conținutul total al nutrienților, ca și conținut total și ca și conținut solubil în apă și</w:t>
      </w:r>
    </w:p>
    <w:p>
      <w:pPr>
        <w:pStyle w:val="Tiret2"/>
        <w:rPr>
          <w:noProof/>
        </w:rPr>
      </w:pPr>
      <w:r>
        <w:rPr>
          <w:noProof/>
        </w:rPr>
        <w:t>în toate celelalte cazuri, ca și conținut total;</w:t>
      </w:r>
    </w:p>
    <w:p>
      <w:pPr>
        <w:pStyle w:val="Point1letter"/>
        <w:keepNext/>
        <w:ind w:left="1418"/>
        <w:rPr>
          <w:noProof/>
        </w:rPr>
      </w:pPr>
      <w:r>
        <w:rPr>
          <w:noProof/>
        </w:rPr>
        <w:t>în cazul în care oligoelementul (oligoelementele) este (sunt) chelat(e), următorul calificativ după numele și formula chimică a oligoelementului:</w:t>
      </w:r>
    </w:p>
    <w:p>
      <w:pPr>
        <w:pStyle w:val="Tiret2"/>
        <w:rPr>
          <w:noProof/>
        </w:rPr>
      </w:pPr>
      <w:r>
        <w:rPr>
          <w:noProof/>
        </w:rPr>
        <w:t>„chelat cu...” numele agentului de chelare sau abrevierea acestuia și cantitatea de oligoelement chelat ca procent din masa produsului fertilizant cu marcaj CE;</w:t>
      </w:r>
    </w:p>
    <w:p>
      <w:pPr>
        <w:pStyle w:val="Point1letter"/>
        <w:keepNext/>
        <w:ind w:left="1418"/>
        <w:rPr>
          <w:noProof/>
        </w:rPr>
      </w:pPr>
      <w:r>
        <w:rPr>
          <w:noProof/>
        </w:rPr>
        <w:t>în cazul în care produsul fertilizant cu marcaj CE conține oligoelemente complexate cu agenți de complexare:</w:t>
      </w:r>
    </w:p>
    <w:p>
      <w:pPr>
        <w:pStyle w:val="Tiret2"/>
        <w:rPr>
          <w:noProof/>
        </w:rPr>
      </w:pPr>
      <w:r>
        <w:rPr>
          <w:noProof/>
        </w:rPr>
        <w:t>următorul calificativ după numele și formula chimică a oligoelementului: „complexat cu...” și cantitatea de oligoelement complexat ca procent din masa produsului fertilizant cu marcaj CE și</w:t>
      </w:r>
    </w:p>
    <w:p>
      <w:pPr>
        <w:pStyle w:val="Tiret2"/>
        <w:rPr>
          <w:noProof/>
        </w:rPr>
      </w:pPr>
      <w:r>
        <w:rPr>
          <w:noProof/>
        </w:rPr>
        <w:t>numele agentului de complexare sau abrevierea acestuia.</w:t>
      </w:r>
    </w:p>
    <w:p>
      <w:pPr>
        <w:pStyle w:val="Point1letter"/>
        <w:rPr>
          <w:noProof/>
        </w:rPr>
      </w:pPr>
      <w:r>
        <w:rPr>
          <w:noProof/>
        </w:rPr>
        <w:t>declarația următoare: „A se utiliza exclusiv în caz de necesitate recunoscută. A nu se depăși doza adecvată”.</w:t>
      </w:r>
      <w:bookmarkEnd w:id="42"/>
      <w:bookmarkEnd w:id="47"/>
    </w:p>
    <w:p>
      <w:pPr>
        <w:pStyle w:val="ManualHeading2"/>
        <w:rPr>
          <w:noProof/>
        </w:rPr>
      </w:pPr>
      <w:r>
        <w:rPr>
          <w:noProof/>
        </w:rPr>
        <w:t>CFP 1(C): Îngrășământ anorganic</w:t>
      </w:r>
    </w:p>
    <w:p>
      <w:pPr>
        <w:pStyle w:val="ManualHeading3"/>
        <w:rPr>
          <w:b/>
          <w:noProof/>
        </w:rPr>
      </w:pPr>
      <w:bookmarkStart w:id="48" w:name="_Toc432153282"/>
      <w:r>
        <w:rPr>
          <w:b/>
          <w:noProof/>
        </w:rPr>
        <w:t>CFP 1(C)(I): Îngrășământ anorganic cu macroelemente</w:t>
      </w:r>
      <w:bookmarkEnd w:id="48"/>
    </w:p>
    <w:p>
      <w:pPr>
        <w:pStyle w:val="NumPar1"/>
        <w:keepNext/>
        <w:numPr>
          <w:ilvl w:val="0"/>
          <w:numId w:val="102"/>
        </w:numPr>
        <w:rPr>
          <w:noProof/>
        </w:rPr>
      </w:pPr>
      <w:r>
        <w:rPr>
          <w:noProof/>
        </w:rPr>
        <w:t>Următoarele elemente de informare referitoare la macroelemente trebuie să figureze pe etichetă:</w:t>
      </w:r>
    </w:p>
    <w:p>
      <w:pPr>
        <w:pStyle w:val="Point1letter"/>
        <w:numPr>
          <w:ilvl w:val="3"/>
          <w:numId w:val="103"/>
        </w:numPr>
        <w:rPr>
          <w:noProof/>
        </w:rPr>
      </w:pPr>
      <w:r>
        <w:rPr>
          <w:noProof/>
        </w:rPr>
        <w:t>nutrienții declarați azot (N), fosfor (P) sau potasiu (K), sub forma simbolurilor lor chimice, în ordinea N-K-P;</w:t>
      </w:r>
    </w:p>
    <w:p>
      <w:pPr>
        <w:pStyle w:val="Point1letter"/>
        <w:numPr>
          <w:ilvl w:val="3"/>
          <w:numId w:val="10"/>
        </w:numPr>
        <w:rPr>
          <w:noProof/>
        </w:rPr>
      </w:pPr>
      <w:r>
        <w:rPr>
          <w:noProof/>
        </w:rPr>
        <w:t>nutrienții declarați magneziu (Mg), calciu (Ca), sulf (S) sau sodiu (Na), sub forma simbolurilor lor chimice, în ordinea Mg-Ca-S-Na;</w:t>
      </w:r>
    </w:p>
    <w:p>
      <w:pPr>
        <w:pStyle w:val="Point1letter"/>
        <w:numPr>
          <w:ilvl w:val="3"/>
          <w:numId w:val="10"/>
        </w:numPr>
        <w:rPr>
          <w:noProof/>
        </w:rPr>
      </w:pPr>
      <w:r>
        <w:rPr>
          <w:noProof/>
        </w:rPr>
        <w:t>cifre care indică conținutul total din nutrienții declarați azot (N), fosfor (P) sau potasiu (K), urmate de cifre între paranteze drepte care indică conținutul total din nutrienții declarați magneziu (Mg), calciu (Ca), sulf (S) sau sodiu (Na);</w:t>
      </w:r>
    </w:p>
    <w:p>
      <w:pPr>
        <w:pStyle w:val="Point1letter"/>
        <w:keepNext/>
        <w:numPr>
          <w:ilvl w:val="3"/>
          <w:numId w:val="10"/>
        </w:numPr>
        <w:rPr>
          <w:noProof/>
        </w:rPr>
      </w:pPr>
      <w:r>
        <w:rPr>
          <w:noProof/>
        </w:rPr>
        <w:t xml:space="preserve">conținutul din următorii nutrienți declarați, în ordinea următoare și ca procent din masa îngrășământului: </w:t>
      </w:r>
    </w:p>
    <w:p>
      <w:pPr>
        <w:pStyle w:val="Bullet2"/>
        <w:keepNext/>
        <w:rPr>
          <w:noProof/>
        </w:rPr>
      </w:pPr>
      <w:r>
        <w:rPr>
          <w:noProof/>
        </w:rPr>
        <w:t>azot (N) total;</w:t>
      </w:r>
    </w:p>
    <w:p>
      <w:pPr>
        <w:pStyle w:val="Tiret3"/>
        <w:rPr>
          <w:noProof/>
        </w:rPr>
      </w:pPr>
      <w:r>
        <w:rPr>
          <w:noProof/>
        </w:rPr>
        <w:t>azot (N) sub formă de nitriți;</w:t>
      </w:r>
    </w:p>
    <w:p>
      <w:pPr>
        <w:pStyle w:val="Tiret3"/>
        <w:rPr>
          <w:noProof/>
        </w:rPr>
      </w:pPr>
      <w:r>
        <w:rPr>
          <w:noProof/>
        </w:rPr>
        <w:t>azot (N) sub formă de azot amoniacal;</w:t>
      </w:r>
    </w:p>
    <w:p>
      <w:pPr>
        <w:pStyle w:val="Tiret3"/>
        <w:rPr>
          <w:noProof/>
        </w:rPr>
      </w:pPr>
      <w:r>
        <w:rPr>
          <w:noProof/>
        </w:rPr>
        <w:t>azot (N) sub formă de azot ureic;</w:t>
      </w:r>
    </w:p>
    <w:p>
      <w:pPr>
        <w:pStyle w:val="Tiret3"/>
        <w:rPr>
          <w:noProof/>
        </w:rPr>
      </w:pPr>
      <w:r>
        <w:rPr>
          <w:noProof/>
        </w:rPr>
        <w:t>azot (N) din ureoformaldehidă, din izobutiliden-diuree, din crotoniliden-diuree;</w:t>
      </w:r>
    </w:p>
    <w:p>
      <w:pPr>
        <w:pStyle w:val="Tiret3"/>
        <w:rPr>
          <w:noProof/>
        </w:rPr>
      </w:pPr>
      <w:r>
        <w:rPr>
          <w:noProof/>
        </w:rPr>
        <w:t>azot (N) din azot cianamidic;</w:t>
      </w:r>
    </w:p>
    <w:p>
      <w:pPr>
        <w:pStyle w:val="Bullet2"/>
        <w:keepNext/>
        <w:ind w:left="1985"/>
        <w:rPr>
          <w:noProof/>
        </w:rPr>
      </w:pPr>
      <w:r>
        <w:rPr>
          <w:noProof/>
        </w:rPr>
        <w:t>pentaoxid de fosfor (P</w:t>
      </w:r>
      <w:r>
        <w:rPr>
          <w:noProof/>
          <w:vertAlign w:val="subscript"/>
        </w:rPr>
        <w:t>2</w:t>
      </w:r>
      <w:r>
        <w:rPr>
          <w:noProof/>
        </w:rPr>
        <w:t>O</w:t>
      </w:r>
      <w:r>
        <w:rPr>
          <w:noProof/>
          <w:vertAlign w:val="subscript"/>
        </w:rPr>
        <w:t>5</w:t>
      </w:r>
      <w:r>
        <w:rPr>
          <w:noProof/>
        </w:rPr>
        <w:t>) total;</w:t>
      </w:r>
    </w:p>
    <w:p>
      <w:pPr>
        <w:pStyle w:val="Tiret3"/>
        <w:rPr>
          <w:noProof/>
        </w:rPr>
      </w:pPr>
      <w:r>
        <w:rPr>
          <w:noProof/>
        </w:rPr>
        <w:t>pentaoxid de fosfor (P</w:t>
      </w:r>
      <w:r>
        <w:rPr>
          <w:noProof/>
          <w:vertAlign w:val="subscript"/>
        </w:rPr>
        <w:t>2</w:t>
      </w:r>
      <w:r>
        <w:rPr>
          <w:noProof/>
        </w:rPr>
        <w:t>O</w:t>
      </w:r>
      <w:r>
        <w:rPr>
          <w:noProof/>
          <w:vertAlign w:val="subscript"/>
        </w:rPr>
        <w:t>5</w:t>
      </w:r>
      <w:r>
        <w:rPr>
          <w:noProof/>
        </w:rPr>
        <w:t>) solubil în apă;</w:t>
      </w:r>
    </w:p>
    <w:p>
      <w:pPr>
        <w:pStyle w:val="Tiret3"/>
        <w:rPr>
          <w:noProof/>
        </w:rPr>
      </w:pPr>
      <w:r>
        <w:rPr>
          <w:noProof/>
        </w:rPr>
        <w:t>pentaoxid de fosfor (P</w:t>
      </w:r>
      <w:r>
        <w:rPr>
          <w:noProof/>
          <w:vertAlign w:val="subscript"/>
        </w:rPr>
        <w:t>2</w:t>
      </w:r>
      <w:r>
        <w:rPr>
          <w:noProof/>
        </w:rPr>
        <w:t>O</w:t>
      </w:r>
      <w:r>
        <w:rPr>
          <w:noProof/>
          <w:vertAlign w:val="subscript"/>
        </w:rPr>
        <w:t>5</w:t>
      </w:r>
      <w:r>
        <w:rPr>
          <w:noProof/>
        </w:rPr>
        <w:t>) solubil în citrat de amoniu neutru;</w:t>
      </w:r>
    </w:p>
    <w:p>
      <w:pPr>
        <w:pStyle w:val="Tiret3"/>
        <w:rPr>
          <w:noProof/>
        </w:rPr>
      </w:pPr>
      <w:r>
        <w:rPr>
          <w:noProof/>
        </w:rPr>
        <w:t>în prezența fosfatului natural moale, pentaoxid de fosfor (P</w:t>
      </w:r>
      <w:r>
        <w:rPr>
          <w:noProof/>
          <w:vertAlign w:val="subscript"/>
        </w:rPr>
        <w:t>2</w:t>
      </w:r>
      <w:r>
        <w:rPr>
          <w:noProof/>
        </w:rPr>
        <w:t>O</w:t>
      </w:r>
      <w:r>
        <w:rPr>
          <w:noProof/>
          <w:vertAlign w:val="subscript"/>
        </w:rPr>
        <w:t>5</w:t>
      </w:r>
      <w:r>
        <w:rPr>
          <w:noProof/>
        </w:rPr>
        <w:t>) solubil în acid formic;</w:t>
      </w:r>
    </w:p>
    <w:p>
      <w:pPr>
        <w:pStyle w:val="Bullet2"/>
        <w:rPr>
          <w:noProof/>
        </w:rPr>
      </w:pPr>
      <w:r>
        <w:rPr>
          <w:noProof/>
        </w:rPr>
        <w:t>oxid de potasiu (K</w:t>
      </w:r>
      <w:r>
        <w:rPr>
          <w:noProof/>
          <w:vertAlign w:val="subscript"/>
        </w:rPr>
        <w:t>2</w:t>
      </w:r>
      <w:r>
        <w:rPr>
          <w:noProof/>
        </w:rPr>
        <w:t>O) solubil în apă;</w:t>
      </w:r>
    </w:p>
    <w:p>
      <w:pPr>
        <w:pStyle w:val="Bullet2"/>
        <w:keepNext/>
        <w:ind w:left="1985"/>
        <w:rPr>
          <w:noProof/>
        </w:rPr>
      </w:pPr>
      <w:r>
        <w:rPr>
          <w:noProof/>
        </w:rPr>
        <w:t>oxid de magneziu (MgO), oxid de calciu (CaO), trioxid de sulf (SO</w:t>
      </w:r>
      <w:r>
        <w:rPr>
          <w:noProof/>
          <w:vertAlign w:val="subscript"/>
        </w:rPr>
        <w:t>3</w:t>
      </w:r>
      <w:r>
        <w:rPr>
          <w:noProof/>
        </w:rPr>
        <w:t>) și oxid de sodiu (Na</w:t>
      </w:r>
      <w:r>
        <w:rPr>
          <w:noProof/>
          <w:vertAlign w:val="subscript"/>
        </w:rPr>
        <w:t>2</w:t>
      </w:r>
      <w:r>
        <w:rPr>
          <w:noProof/>
        </w:rPr>
        <w:t>O), exprimate astfel:</w:t>
      </w:r>
    </w:p>
    <w:p>
      <w:pPr>
        <w:pStyle w:val="Tiret3"/>
        <w:rPr>
          <w:noProof/>
        </w:rPr>
      </w:pPr>
      <w:r>
        <w:rPr>
          <w:noProof/>
        </w:rPr>
        <w:t>dacă nutrienții respectivi sunt complet solubili în apă, numai ca și conținut solubil în apă;</w:t>
      </w:r>
    </w:p>
    <w:p>
      <w:pPr>
        <w:pStyle w:val="Tiret3"/>
        <w:rPr>
          <w:noProof/>
        </w:rPr>
      </w:pPr>
      <w:r>
        <w:rPr>
          <w:noProof/>
        </w:rPr>
        <w:t>dacă conținutul solubil al nutrienților respectivi reprezintă cel puțin un sfert din conținutul total al nutrienților, ca și conținut total și conținut solubil în apă și</w:t>
      </w:r>
    </w:p>
    <w:p>
      <w:pPr>
        <w:pStyle w:val="Tiret3"/>
        <w:rPr>
          <w:noProof/>
        </w:rPr>
      </w:pPr>
      <w:r>
        <w:rPr>
          <w:noProof/>
        </w:rPr>
        <w:t>în toate celelalte cazuri, ca și conținut total și</w:t>
      </w:r>
    </w:p>
    <w:p>
      <w:pPr>
        <w:pStyle w:val="Point1letter"/>
        <w:rPr>
          <w:noProof/>
        </w:rPr>
      </w:pPr>
      <w:r>
        <w:rPr>
          <w:noProof/>
        </w:rPr>
        <w:t>în prezența ureei (CH</w:t>
      </w:r>
      <w:r>
        <w:rPr>
          <w:noProof/>
          <w:vertAlign w:val="subscript"/>
        </w:rPr>
        <w:t>4</w:t>
      </w:r>
      <w:r>
        <w:rPr>
          <w:noProof/>
        </w:rPr>
        <w:t>N</w:t>
      </w:r>
      <w:r>
        <w:rPr>
          <w:noProof/>
          <w:vertAlign w:val="subscript"/>
        </w:rPr>
        <w:t>2</w:t>
      </w:r>
      <w:r>
        <w:rPr>
          <w:noProof/>
        </w:rPr>
        <w:t>O), informații privind impactul posibil asupra calității aerului al eliberării de amoniac în urma utilizării îngrășământului și o invitație ca utilizatorii să aplice măsurile de remediere adecvate.</w:t>
      </w:r>
    </w:p>
    <w:p>
      <w:pPr>
        <w:pStyle w:val="ManualHeading4"/>
        <w:rPr>
          <w:noProof/>
        </w:rPr>
      </w:pPr>
      <w:r>
        <w:rPr>
          <w:noProof/>
        </w:rPr>
        <w:t>PFC 1(C)(I)(a): Îngrășăminte anorganice solide cu macroelemente</w:t>
      </w:r>
    </w:p>
    <w:p>
      <w:pPr>
        <w:pStyle w:val="NumPar1"/>
        <w:keepNext/>
        <w:numPr>
          <w:ilvl w:val="0"/>
          <w:numId w:val="104"/>
        </w:numPr>
        <w:rPr>
          <w:noProof/>
        </w:rPr>
      </w:pPr>
      <w:r>
        <w:rPr>
          <w:noProof/>
        </w:rPr>
        <w:t>Îngrășământul trebuie să fie etichetat astfel:</w:t>
      </w:r>
    </w:p>
    <w:p>
      <w:pPr>
        <w:pStyle w:val="Point1letter"/>
        <w:numPr>
          <w:ilvl w:val="3"/>
          <w:numId w:val="105"/>
        </w:numPr>
        <w:rPr>
          <w:noProof/>
        </w:rPr>
      </w:pPr>
      <w:r>
        <w:rPr>
          <w:noProof/>
        </w:rPr>
        <w:t>„complex”, când fiecare particulă conține toți nutrienții declarați în conținutul declarat al acestora, și</w:t>
      </w:r>
    </w:p>
    <w:p>
      <w:pPr>
        <w:pStyle w:val="Point1letter"/>
        <w:numPr>
          <w:ilvl w:val="3"/>
          <w:numId w:val="10"/>
        </w:numPr>
        <w:rPr>
          <w:noProof/>
        </w:rPr>
      </w:pPr>
      <w:r>
        <w:rPr>
          <w:noProof/>
        </w:rPr>
        <w:t>„amestec” în celelalte cazuri.</w:t>
      </w:r>
    </w:p>
    <w:p>
      <w:pPr>
        <w:pStyle w:val="NumPar1"/>
        <w:numPr>
          <w:ilvl w:val="0"/>
          <w:numId w:val="15"/>
        </w:numPr>
        <w:rPr>
          <w:noProof/>
        </w:rPr>
      </w:pPr>
      <w:r>
        <w:rPr>
          <w:noProof/>
        </w:rPr>
        <w:t>Granulometria îngrășământului trebuie indicată și exprimată în procente de produs care trece printr-o sită cu ochiuri cu o anumită deschidere .</w:t>
      </w:r>
    </w:p>
    <w:p>
      <w:pPr>
        <w:pStyle w:val="NumPar1"/>
        <w:keepNext/>
        <w:numPr>
          <w:ilvl w:val="0"/>
          <w:numId w:val="15"/>
        </w:numPr>
        <w:ind w:left="851" w:hanging="851"/>
        <w:rPr>
          <w:noProof/>
        </w:rPr>
      </w:pPr>
      <w:r>
        <w:rPr>
          <w:noProof/>
        </w:rPr>
        <w:t>Forma particulelor trebuie să fie precizată printr-una dintre următoarele mențiuni:</w:t>
      </w:r>
    </w:p>
    <w:p>
      <w:pPr>
        <w:pStyle w:val="Point1letter"/>
        <w:numPr>
          <w:ilvl w:val="3"/>
          <w:numId w:val="106"/>
        </w:numPr>
        <w:rPr>
          <w:noProof/>
        </w:rPr>
      </w:pPr>
      <w:r>
        <w:rPr>
          <w:noProof/>
        </w:rPr>
        <w:t xml:space="preserve">granule, </w:t>
      </w:r>
    </w:p>
    <w:p>
      <w:pPr>
        <w:pStyle w:val="Point1letter"/>
        <w:numPr>
          <w:ilvl w:val="3"/>
          <w:numId w:val="10"/>
        </w:numPr>
        <w:rPr>
          <w:noProof/>
        </w:rPr>
      </w:pPr>
      <w:r>
        <w:rPr>
          <w:noProof/>
        </w:rPr>
        <w:t xml:space="preserve">pelete, </w:t>
      </w:r>
    </w:p>
    <w:p>
      <w:pPr>
        <w:pStyle w:val="Point1letter"/>
        <w:numPr>
          <w:ilvl w:val="3"/>
          <w:numId w:val="10"/>
        </w:numPr>
        <w:rPr>
          <w:noProof/>
        </w:rPr>
      </w:pPr>
      <w:r>
        <w:rPr>
          <w:noProof/>
        </w:rPr>
        <w:t>pulbere, în cazul în care cel puțin 90% din produs poate trece printr-o sită cu ochiuri de 10 mm sau</w:t>
      </w:r>
    </w:p>
    <w:p>
      <w:pPr>
        <w:pStyle w:val="Point1letter"/>
        <w:numPr>
          <w:ilvl w:val="3"/>
          <w:numId w:val="10"/>
        </w:numPr>
        <w:rPr>
          <w:noProof/>
        </w:rPr>
      </w:pPr>
      <w:r>
        <w:rPr>
          <w:noProof/>
        </w:rPr>
        <w:t>cristale.</w:t>
      </w:r>
    </w:p>
    <w:p>
      <w:pPr>
        <w:pStyle w:val="NumPar1"/>
        <w:keepNext/>
        <w:numPr>
          <w:ilvl w:val="0"/>
          <w:numId w:val="12"/>
        </w:numPr>
        <w:ind w:left="851" w:hanging="851"/>
        <w:rPr>
          <w:noProof/>
        </w:rPr>
      </w:pPr>
      <w:r>
        <w:rPr>
          <w:noProof/>
        </w:rPr>
        <w:t>Pentru îngrășămintele peliculate, trebuie precizate denumirea tipului (tipurilor) de peliculă și procentajul de îngrășăminte acoperite de fiecare tip de peliculă, urmate de:</w:t>
      </w:r>
    </w:p>
    <w:p>
      <w:pPr>
        <w:pStyle w:val="Point1letter"/>
        <w:numPr>
          <w:ilvl w:val="3"/>
          <w:numId w:val="107"/>
        </w:numPr>
        <w:rPr>
          <w:noProof/>
        </w:rPr>
      </w:pPr>
      <w:r>
        <w:rPr>
          <w:noProof/>
        </w:rPr>
        <w:t>timpul de eliberare definit în luni din fracțiunea (fracțiunile) cu peliculă, urmat de procentul de nutrienți eliberați în această perioadă pentru fiecare fracțiune;</w:t>
      </w:r>
    </w:p>
    <w:p>
      <w:pPr>
        <w:pStyle w:val="Point1letter"/>
        <w:numPr>
          <w:ilvl w:val="3"/>
          <w:numId w:val="10"/>
        </w:numPr>
        <w:rPr>
          <w:noProof/>
        </w:rPr>
      </w:pPr>
      <w:r>
        <w:rPr>
          <w:noProof/>
        </w:rPr>
        <w:t>denumirea mediului (solvent sau substrat) utilizat în cadrul testelor efectuate de către producător pentru a stabili timpul de eliberare;</w:t>
      </w:r>
    </w:p>
    <w:p>
      <w:pPr>
        <w:pStyle w:val="Point1letter"/>
        <w:numPr>
          <w:ilvl w:val="3"/>
          <w:numId w:val="10"/>
        </w:numPr>
        <w:rPr>
          <w:noProof/>
        </w:rPr>
      </w:pPr>
      <w:r>
        <w:rPr>
          <w:noProof/>
        </w:rPr>
        <w:t xml:space="preserve">temperatura la care a fost efectuat testul; </w:t>
      </w:r>
    </w:p>
    <w:p>
      <w:pPr>
        <w:pStyle w:val="Point1letter"/>
        <w:numPr>
          <w:ilvl w:val="3"/>
          <w:numId w:val="10"/>
        </w:numPr>
        <w:rPr>
          <w:noProof/>
        </w:rPr>
      </w:pPr>
      <w:r>
        <w:rPr>
          <w:noProof/>
        </w:rPr>
        <w:t>pentru îngrășămintele cu peliculă de polimeri, următorul marcaj: „Rata de eliberare a nutrienților poate varia în funcție de temperatura substratului. Poate fi necesară o ajustare a procesului de fertilizare.” și</w:t>
      </w:r>
    </w:p>
    <w:p>
      <w:pPr>
        <w:pStyle w:val="Point1letter"/>
        <w:numPr>
          <w:ilvl w:val="3"/>
          <w:numId w:val="10"/>
        </w:numPr>
        <w:rPr>
          <w:noProof/>
        </w:rPr>
      </w:pPr>
      <w:r>
        <w:rPr>
          <w:noProof/>
        </w:rPr>
        <w:t>pentru îngrășămintele cu peliculă de sulf (S) și îngrășămintele cu peliculă de sulf (S)/polimeri, următorul marcaj: „Rata de eliberare a nutrienților poate varia în funcție de temperatura substratului și de activitatea biologică. Poate fi necesară o ajustare a procesului de fertilizare”.</w:t>
      </w:r>
    </w:p>
    <w:p>
      <w:pPr>
        <w:pStyle w:val="NumPar1"/>
        <w:keepNext/>
        <w:numPr>
          <w:ilvl w:val="0"/>
          <w:numId w:val="15"/>
        </w:numPr>
        <w:rPr>
          <w:noProof/>
        </w:rPr>
      </w:pPr>
      <w:r>
        <w:rPr>
          <w:noProof/>
        </w:rPr>
        <w:t>În cazul în care unul sau mai multe dintre oligoelementele următoare: bor (B), cobalt (Co), cupru (Cu), fier (Fe), mangan (Mn), molibden (Mo) și zinc (Z) sunt prezente în cantitatea minimă indicată mai jos ca procent de masă, acestea:</w:t>
      </w:r>
    </w:p>
    <w:p>
      <w:pPr>
        <w:pStyle w:val="Bullet1"/>
        <w:numPr>
          <w:ilvl w:val="0"/>
          <w:numId w:val="13"/>
        </w:numPr>
        <w:rPr>
          <w:noProof/>
        </w:rPr>
      </w:pPr>
      <w:r>
        <w:rPr>
          <w:noProof/>
        </w:rPr>
        <w:t xml:space="preserve">trebuie declarate, dacă au fost adăugate intenționat la produsul fertilizant cu marcaj CE, și </w:t>
      </w:r>
    </w:p>
    <w:p>
      <w:pPr>
        <w:pStyle w:val="Bullet1"/>
        <w:keepNext/>
        <w:numPr>
          <w:ilvl w:val="0"/>
          <w:numId w:val="13"/>
        </w:numPr>
        <w:ind w:left="1418"/>
        <w:rPr>
          <w:noProof/>
        </w:rPr>
      </w:pPr>
      <w:r>
        <w:rPr>
          <w:noProof/>
        </w:rPr>
        <w:t>pot fi declarate în celelalte cazuri:</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2944"/>
      </w:tblGrid>
      <w:tr>
        <w:tc>
          <w:tcPr>
            <w:tcW w:w="1984" w:type="dxa"/>
            <w:shd w:val="clear" w:color="auto" w:fill="auto"/>
          </w:tcPr>
          <w:p>
            <w:pPr>
              <w:keepNext/>
              <w:jc w:val="left"/>
              <w:rPr>
                <w:b/>
                <w:bCs/>
                <w:noProof/>
              </w:rPr>
            </w:pPr>
            <w:r>
              <w:rPr>
                <w:b/>
                <w:noProof/>
              </w:rPr>
              <w:t>Oligoelementul</w:t>
            </w:r>
          </w:p>
        </w:tc>
        <w:tc>
          <w:tcPr>
            <w:tcW w:w="3402" w:type="dxa"/>
          </w:tcPr>
          <w:p>
            <w:pPr>
              <w:keepNext/>
              <w:jc w:val="left"/>
              <w:rPr>
                <w:b/>
                <w:bCs/>
                <w:noProof/>
              </w:rPr>
            </w:pPr>
            <w:r>
              <w:rPr>
                <w:b/>
                <w:noProof/>
              </w:rPr>
              <w:t xml:space="preserve">Pentru utilizare pe culturi sau pajiști </w:t>
            </w:r>
          </w:p>
        </w:tc>
        <w:tc>
          <w:tcPr>
            <w:tcW w:w="2944" w:type="dxa"/>
            <w:shd w:val="clear" w:color="auto" w:fill="auto"/>
          </w:tcPr>
          <w:p>
            <w:pPr>
              <w:keepNext/>
              <w:jc w:val="left"/>
              <w:rPr>
                <w:b/>
                <w:bCs/>
                <w:noProof/>
              </w:rPr>
            </w:pPr>
            <w:r>
              <w:rPr>
                <w:b/>
                <w:noProof/>
              </w:rPr>
              <w:t xml:space="preserve">Pentru uz horticol </w:t>
            </w:r>
          </w:p>
        </w:tc>
      </w:tr>
      <w:tr>
        <w:tc>
          <w:tcPr>
            <w:tcW w:w="1984" w:type="dxa"/>
            <w:shd w:val="clear" w:color="auto" w:fill="auto"/>
          </w:tcPr>
          <w:p>
            <w:pPr>
              <w:jc w:val="left"/>
              <w:rPr>
                <w:noProof/>
              </w:rPr>
            </w:pPr>
            <w:r>
              <w:rPr>
                <w:noProof/>
              </w:rPr>
              <w:t>bor (B)</w:t>
            </w:r>
          </w:p>
        </w:tc>
        <w:tc>
          <w:tcPr>
            <w:tcW w:w="3402" w:type="dxa"/>
          </w:tcPr>
          <w:p>
            <w:pPr>
              <w:jc w:val="left"/>
              <w:rPr>
                <w:noProof/>
              </w:rPr>
            </w:pPr>
            <w:r>
              <w:rPr>
                <w:noProof/>
              </w:rPr>
              <w:t>0,01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cobalt (Co)</w:t>
            </w:r>
          </w:p>
        </w:tc>
        <w:tc>
          <w:tcPr>
            <w:tcW w:w="3402" w:type="dxa"/>
          </w:tcPr>
          <w:p>
            <w:pPr>
              <w:jc w:val="left"/>
              <w:rPr>
                <w:noProof/>
              </w:rPr>
            </w:pPr>
            <w:r>
              <w:rPr>
                <w:noProof/>
              </w:rPr>
              <w:t>0,002</w:t>
            </w:r>
          </w:p>
        </w:tc>
        <w:tc>
          <w:tcPr>
            <w:tcW w:w="2944" w:type="dxa"/>
            <w:shd w:val="clear" w:color="auto" w:fill="auto"/>
          </w:tcPr>
          <w:p>
            <w:pPr>
              <w:jc w:val="left"/>
              <w:rPr>
                <w:noProof/>
              </w:rPr>
            </w:pPr>
            <w:r>
              <w:rPr>
                <w:noProof/>
              </w:rPr>
              <w:t xml:space="preserve">nu se aplică </w:t>
            </w:r>
          </w:p>
        </w:tc>
      </w:tr>
      <w:tr>
        <w:tc>
          <w:tcPr>
            <w:tcW w:w="1984" w:type="dxa"/>
            <w:shd w:val="clear" w:color="auto" w:fill="auto"/>
          </w:tcPr>
          <w:p>
            <w:pPr>
              <w:jc w:val="left"/>
              <w:rPr>
                <w:noProof/>
              </w:rPr>
            </w:pPr>
            <w:r>
              <w:rPr>
                <w:noProof/>
              </w:rPr>
              <w:t>cupru (Cu)</w:t>
            </w:r>
          </w:p>
        </w:tc>
        <w:tc>
          <w:tcPr>
            <w:tcW w:w="3402" w:type="dxa"/>
          </w:tcPr>
          <w:p>
            <w:pPr>
              <w:jc w:val="left"/>
              <w:rPr>
                <w:noProof/>
              </w:rPr>
            </w:pPr>
            <w:r>
              <w:rPr>
                <w:noProof/>
              </w:rPr>
              <w:t>0,01</w:t>
            </w:r>
          </w:p>
        </w:tc>
        <w:tc>
          <w:tcPr>
            <w:tcW w:w="2944" w:type="dxa"/>
            <w:shd w:val="clear" w:color="auto" w:fill="auto"/>
          </w:tcPr>
          <w:p>
            <w:pPr>
              <w:jc w:val="left"/>
              <w:rPr>
                <w:noProof/>
              </w:rPr>
            </w:pPr>
            <w:r>
              <w:rPr>
                <w:noProof/>
              </w:rPr>
              <w:t>0,002</w:t>
            </w:r>
          </w:p>
        </w:tc>
      </w:tr>
      <w:tr>
        <w:tc>
          <w:tcPr>
            <w:tcW w:w="1984" w:type="dxa"/>
            <w:shd w:val="clear" w:color="auto" w:fill="auto"/>
          </w:tcPr>
          <w:p>
            <w:pPr>
              <w:jc w:val="left"/>
              <w:rPr>
                <w:noProof/>
              </w:rPr>
            </w:pPr>
            <w:r>
              <w:rPr>
                <w:noProof/>
              </w:rPr>
              <w:t>fier (Fe)</w:t>
            </w:r>
          </w:p>
        </w:tc>
        <w:tc>
          <w:tcPr>
            <w:tcW w:w="3402" w:type="dxa"/>
          </w:tcPr>
          <w:p>
            <w:pPr>
              <w:jc w:val="left"/>
              <w:rPr>
                <w:noProof/>
              </w:rPr>
            </w:pPr>
            <w:r>
              <w:rPr>
                <w:noProof/>
              </w:rPr>
              <w:t>0,5</w:t>
            </w:r>
          </w:p>
        </w:tc>
        <w:tc>
          <w:tcPr>
            <w:tcW w:w="2944" w:type="dxa"/>
            <w:shd w:val="clear" w:color="auto" w:fill="auto"/>
          </w:tcPr>
          <w:p>
            <w:pPr>
              <w:jc w:val="left"/>
              <w:rPr>
                <w:noProof/>
              </w:rPr>
            </w:pPr>
            <w:r>
              <w:rPr>
                <w:noProof/>
              </w:rPr>
              <w:t>0,02</w:t>
            </w:r>
          </w:p>
        </w:tc>
      </w:tr>
      <w:tr>
        <w:tc>
          <w:tcPr>
            <w:tcW w:w="1984" w:type="dxa"/>
            <w:shd w:val="clear" w:color="auto" w:fill="auto"/>
          </w:tcPr>
          <w:p>
            <w:pPr>
              <w:jc w:val="left"/>
              <w:rPr>
                <w:noProof/>
              </w:rPr>
            </w:pPr>
            <w:r>
              <w:rPr>
                <w:noProof/>
              </w:rPr>
              <w:t>mangan (Mn)</w:t>
            </w:r>
          </w:p>
        </w:tc>
        <w:tc>
          <w:tcPr>
            <w:tcW w:w="3402" w:type="dxa"/>
          </w:tcPr>
          <w:p>
            <w:pPr>
              <w:jc w:val="left"/>
              <w:rPr>
                <w:noProof/>
              </w:rPr>
            </w:pPr>
            <w:r>
              <w:rPr>
                <w:noProof/>
              </w:rPr>
              <w:t>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molibden (Mo)</w:t>
            </w:r>
          </w:p>
        </w:tc>
        <w:tc>
          <w:tcPr>
            <w:tcW w:w="3402" w:type="dxa"/>
          </w:tcPr>
          <w:p>
            <w:pPr>
              <w:jc w:val="left"/>
              <w:rPr>
                <w:noProof/>
              </w:rPr>
            </w:pPr>
            <w:r>
              <w:rPr>
                <w:noProof/>
              </w:rPr>
              <w:t>0,001</w:t>
            </w:r>
          </w:p>
        </w:tc>
        <w:tc>
          <w:tcPr>
            <w:tcW w:w="2944" w:type="dxa"/>
            <w:shd w:val="clear" w:color="auto" w:fill="auto"/>
          </w:tcPr>
          <w:p>
            <w:pPr>
              <w:jc w:val="left"/>
              <w:rPr>
                <w:noProof/>
              </w:rPr>
            </w:pPr>
            <w:r>
              <w:rPr>
                <w:noProof/>
              </w:rPr>
              <w:t>0,001</w:t>
            </w:r>
          </w:p>
        </w:tc>
      </w:tr>
      <w:tr>
        <w:tc>
          <w:tcPr>
            <w:tcW w:w="1984" w:type="dxa"/>
            <w:shd w:val="clear" w:color="auto" w:fill="auto"/>
          </w:tcPr>
          <w:p>
            <w:pPr>
              <w:keepNext/>
              <w:jc w:val="left"/>
              <w:rPr>
                <w:noProof/>
              </w:rPr>
            </w:pPr>
            <w:r>
              <w:rPr>
                <w:noProof/>
              </w:rPr>
              <w:t>zinc</w:t>
            </w:r>
          </w:p>
        </w:tc>
        <w:tc>
          <w:tcPr>
            <w:tcW w:w="3402" w:type="dxa"/>
          </w:tcPr>
          <w:p>
            <w:pPr>
              <w:keepNext/>
              <w:jc w:val="left"/>
              <w:rPr>
                <w:noProof/>
              </w:rPr>
            </w:pPr>
            <w:r>
              <w:rPr>
                <w:noProof/>
              </w:rPr>
              <w:t>0,01</w:t>
            </w:r>
          </w:p>
        </w:tc>
        <w:tc>
          <w:tcPr>
            <w:tcW w:w="2944" w:type="dxa"/>
            <w:shd w:val="clear" w:color="auto" w:fill="auto"/>
          </w:tcPr>
          <w:p>
            <w:pPr>
              <w:keepNext/>
              <w:jc w:val="left"/>
              <w:rPr>
                <w:noProof/>
              </w:rPr>
            </w:pPr>
            <w:r>
              <w:rPr>
                <w:noProof/>
              </w:rPr>
              <w:t>0,002</w:t>
            </w:r>
          </w:p>
        </w:tc>
      </w:tr>
    </w:tbl>
    <w:p>
      <w:pPr>
        <w:pStyle w:val="Text1"/>
        <w:keepNext/>
        <w:ind w:left="851"/>
        <w:rPr>
          <w:noProof/>
        </w:rPr>
      </w:pPr>
      <w:r>
        <w:rPr>
          <w:noProof/>
        </w:rPr>
        <w:t>Acestea sunt declarate după informațiile privind macroelementele. Pe etichetă trebuie să figureze următoarele elemente de informare:</w:t>
      </w:r>
    </w:p>
    <w:p>
      <w:pPr>
        <w:pStyle w:val="Point1letter"/>
        <w:numPr>
          <w:ilvl w:val="3"/>
          <w:numId w:val="108"/>
        </w:numPr>
        <w:rPr>
          <w:noProof/>
        </w:rPr>
      </w:pPr>
      <w:r>
        <w:rPr>
          <w:noProof/>
        </w:rPr>
        <w:t>indicarea denumirii și a simbolurilor chimice ale oligoelementelor declarate, în ordinea următoare: bor (B), cobalt (Co), cupru (Cu), fier (Fe), mangan (Mn), molibden (Mo) și zinc (Zn), urmate de numele contraionilor;</w:t>
      </w:r>
    </w:p>
    <w:p>
      <w:pPr>
        <w:pStyle w:val="Point1letter"/>
        <w:keepNext/>
        <w:ind w:left="1418"/>
        <w:rPr>
          <w:noProof/>
        </w:rPr>
      </w:pPr>
      <w:r>
        <w:rPr>
          <w:noProof/>
        </w:rPr>
        <w:t>conținutul total de oligoelemente exprimat în procente din masa îngrășământului:</w:t>
      </w:r>
    </w:p>
    <w:p>
      <w:pPr>
        <w:pStyle w:val="Tiret2"/>
        <w:rPr>
          <w:noProof/>
        </w:rPr>
      </w:pPr>
      <w:r>
        <w:rPr>
          <w:noProof/>
        </w:rPr>
        <w:t>dacă nutrienții respectivi sunt complet solubili în apă, numai ca și conținut solubil în apă;</w:t>
      </w:r>
    </w:p>
    <w:p>
      <w:pPr>
        <w:pStyle w:val="Tiret2"/>
        <w:rPr>
          <w:noProof/>
        </w:rPr>
      </w:pPr>
      <w:r>
        <w:rPr>
          <w:noProof/>
        </w:rPr>
        <w:t>dacă conținutul solubil al nutrienților respectivi reprezintă cel puțin un sfert din conținutul total al nutrienților, ca și conținut total și conținut solubil în apă și</w:t>
      </w:r>
    </w:p>
    <w:p>
      <w:pPr>
        <w:pStyle w:val="Tiret2"/>
        <w:rPr>
          <w:noProof/>
        </w:rPr>
      </w:pPr>
      <w:r>
        <w:rPr>
          <w:noProof/>
        </w:rPr>
        <w:t>în toate celelalte cazuri, ca și conținut total;</w:t>
      </w:r>
    </w:p>
    <w:p>
      <w:pPr>
        <w:pStyle w:val="Point1letter"/>
        <w:keepNext/>
        <w:ind w:left="1418"/>
        <w:rPr>
          <w:noProof/>
        </w:rPr>
      </w:pPr>
      <w:r>
        <w:rPr>
          <w:noProof/>
        </w:rPr>
        <w:t>în cazul în care oligoelementul (oligoelementele) este (sunt) chelat(e), următorul calificativ după numele și formula chimică a oligoelementului:</w:t>
      </w:r>
    </w:p>
    <w:p>
      <w:pPr>
        <w:pStyle w:val="Tiret2"/>
        <w:rPr>
          <w:noProof/>
        </w:rPr>
      </w:pPr>
      <w:r>
        <w:rPr>
          <w:noProof/>
        </w:rPr>
        <w:t>„chelat cu...” numele agentului de chelare sau abrevierea acestuia și cantitatea de oligoelement chelat ca procent din masa produsului fertilizant cu marcaj CE;</w:t>
      </w:r>
    </w:p>
    <w:p>
      <w:pPr>
        <w:pStyle w:val="Point1letter"/>
        <w:keepNext/>
        <w:ind w:left="1418"/>
        <w:rPr>
          <w:noProof/>
        </w:rPr>
      </w:pPr>
      <w:r>
        <w:rPr>
          <w:noProof/>
        </w:rPr>
        <w:t>în cazul în care produsul fertilizant cu marcaj CE conține oligoelemente complexate cu agenți de complexare:</w:t>
      </w:r>
    </w:p>
    <w:p>
      <w:pPr>
        <w:pStyle w:val="Tiret2"/>
        <w:rPr>
          <w:noProof/>
        </w:rPr>
      </w:pPr>
      <w:r>
        <w:rPr>
          <w:noProof/>
        </w:rPr>
        <w:t>următorul calificativ după numele și formula chimică a oligoelementului: „complexat cu...” și cantitatea de oligoelement complexat ca procent din masa produsului fertilizant cu marcaj CE și</w:t>
      </w:r>
    </w:p>
    <w:p>
      <w:pPr>
        <w:pStyle w:val="Tiret2"/>
        <w:rPr>
          <w:noProof/>
        </w:rPr>
      </w:pPr>
      <w:r>
        <w:rPr>
          <w:noProof/>
        </w:rPr>
        <w:t>numele agentului de complexare sau abrevierea acestuia;</w:t>
      </w:r>
    </w:p>
    <w:p>
      <w:pPr>
        <w:pStyle w:val="Point1letter"/>
        <w:rPr>
          <w:noProof/>
        </w:rPr>
      </w:pPr>
      <w:r>
        <w:rPr>
          <w:noProof/>
        </w:rPr>
        <w:t>declarația următoare: „A se utiliza exclusiv în caz de necesitate recunoscută. A nu se depăși doza adecvată”.</w:t>
      </w:r>
    </w:p>
    <w:p>
      <w:pPr>
        <w:pStyle w:val="ManualHeading4"/>
        <w:rPr>
          <w:noProof/>
        </w:rPr>
      </w:pPr>
      <w:r>
        <w:rPr>
          <w:noProof/>
        </w:rPr>
        <w:t>CFP 1(C)(I)(b): Îngrășământ anorganic lichid cu macroelemente</w:t>
      </w:r>
    </w:p>
    <w:p>
      <w:pPr>
        <w:pStyle w:val="NumPar1"/>
        <w:keepNext/>
        <w:numPr>
          <w:ilvl w:val="0"/>
          <w:numId w:val="109"/>
        </w:numPr>
        <w:rPr>
          <w:noProof/>
        </w:rPr>
      </w:pPr>
      <w:r>
        <w:rPr>
          <w:noProof/>
        </w:rPr>
        <w:t>Eticheta trebuie să indice dacă îngrășământul este în suspensie sau în soluție, unde:</w:t>
      </w:r>
    </w:p>
    <w:p>
      <w:pPr>
        <w:pStyle w:val="Bullet1"/>
        <w:numPr>
          <w:ilvl w:val="0"/>
          <w:numId w:val="13"/>
        </w:numPr>
        <w:rPr>
          <w:noProof/>
        </w:rPr>
      </w:pPr>
      <w:r>
        <w:rPr>
          <w:noProof/>
        </w:rPr>
        <w:t>„suspensie” înseamnă o dispersie în două faze în care particulele solide sunt menținute în suspensie în faza lichidă și</w:t>
      </w:r>
    </w:p>
    <w:p>
      <w:pPr>
        <w:pStyle w:val="Bullet1"/>
        <w:numPr>
          <w:ilvl w:val="0"/>
          <w:numId w:val="13"/>
        </w:numPr>
        <w:rPr>
          <w:noProof/>
        </w:rPr>
      </w:pPr>
      <w:r>
        <w:rPr>
          <w:noProof/>
        </w:rPr>
        <w:t>„soluție” înseamnă un lichid care nu conține particule solide.</w:t>
      </w:r>
    </w:p>
    <w:p>
      <w:pPr>
        <w:pStyle w:val="NumPar1"/>
        <w:numPr>
          <w:ilvl w:val="0"/>
          <w:numId w:val="15"/>
        </w:numPr>
        <w:rPr>
          <w:noProof/>
        </w:rPr>
      </w:pPr>
      <w:r>
        <w:rPr>
          <w:noProof/>
        </w:rPr>
        <w:t>Conținutul nutrientului trebuie indicat ca procent din masa sau volumul produsului fertilizant cu marcaj CE.</w:t>
      </w:r>
    </w:p>
    <w:p>
      <w:pPr>
        <w:pStyle w:val="NumPar1"/>
        <w:keepNext/>
        <w:numPr>
          <w:ilvl w:val="0"/>
          <w:numId w:val="15"/>
        </w:numPr>
        <w:rPr>
          <w:noProof/>
        </w:rPr>
      </w:pPr>
      <w:r>
        <w:rPr>
          <w:noProof/>
        </w:rPr>
        <w:t>În cazul în care unul sau mai multe dintre oligoelementele următoare: bor (B), cobalt (Co), cupru (Cu), fier (Fe), mangan (Mn), molibden (Mo) și zinc (Z) sunt prezente în cantitatea minimă indicată mai jos ca procent de masă, acestea:</w:t>
      </w:r>
    </w:p>
    <w:p>
      <w:pPr>
        <w:pStyle w:val="Bullet1"/>
        <w:numPr>
          <w:ilvl w:val="0"/>
          <w:numId w:val="13"/>
        </w:numPr>
        <w:rPr>
          <w:noProof/>
        </w:rPr>
      </w:pPr>
      <w:r>
        <w:rPr>
          <w:noProof/>
        </w:rPr>
        <w:t xml:space="preserve">trebuie declarate, dacă au fost adăugate intenționat la produsul fertilizant cu marcaj CE, și </w:t>
      </w:r>
    </w:p>
    <w:p>
      <w:pPr>
        <w:pStyle w:val="Bullet1"/>
        <w:keepNext/>
        <w:numPr>
          <w:ilvl w:val="0"/>
          <w:numId w:val="13"/>
        </w:numPr>
        <w:ind w:left="1418"/>
        <w:rPr>
          <w:noProof/>
        </w:rPr>
      </w:pPr>
      <w:r>
        <w:rPr>
          <w:noProof/>
        </w:rPr>
        <w:t>pot fi declarate în celelalte cazuri:</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11"/>
      </w:tblGrid>
      <w:tr>
        <w:tc>
          <w:tcPr>
            <w:tcW w:w="2268" w:type="dxa"/>
            <w:shd w:val="clear" w:color="auto" w:fill="auto"/>
          </w:tcPr>
          <w:p>
            <w:pPr>
              <w:keepNext/>
              <w:jc w:val="left"/>
              <w:rPr>
                <w:b/>
                <w:bCs/>
                <w:noProof/>
              </w:rPr>
            </w:pPr>
            <w:r>
              <w:rPr>
                <w:b/>
                <w:noProof/>
              </w:rPr>
              <w:t>Oligoelementul</w:t>
            </w:r>
          </w:p>
        </w:tc>
        <w:tc>
          <w:tcPr>
            <w:tcW w:w="4811" w:type="dxa"/>
          </w:tcPr>
          <w:p>
            <w:pPr>
              <w:keepNext/>
              <w:jc w:val="left"/>
              <w:rPr>
                <w:b/>
                <w:bCs/>
                <w:noProof/>
              </w:rPr>
            </w:pPr>
            <w:r>
              <w:rPr>
                <w:b/>
                <w:noProof/>
              </w:rPr>
              <w:t>Procent din masă</w:t>
            </w:r>
          </w:p>
        </w:tc>
      </w:tr>
      <w:tr>
        <w:tc>
          <w:tcPr>
            <w:tcW w:w="2268" w:type="dxa"/>
            <w:shd w:val="clear" w:color="auto" w:fill="auto"/>
          </w:tcPr>
          <w:p>
            <w:pPr>
              <w:jc w:val="left"/>
              <w:rPr>
                <w:noProof/>
              </w:rPr>
            </w:pPr>
            <w:r>
              <w:rPr>
                <w:noProof/>
              </w:rPr>
              <w:t>bor (B)</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cobalt (Co)</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cupru (Cu)</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fier (Fe)</w:t>
            </w:r>
          </w:p>
        </w:tc>
        <w:tc>
          <w:tcPr>
            <w:tcW w:w="4811" w:type="dxa"/>
          </w:tcPr>
          <w:p>
            <w:pPr>
              <w:jc w:val="left"/>
              <w:rPr>
                <w:noProof/>
              </w:rPr>
            </w:pPr>
            <w:r>
              <w:rPr>
                <w:noProof/>
              </w:rPr>
              <w:t>0,02</w:t>
            </w:r>
          </w:p>
        </w:tc>
      </w:tr>
      <w:tr>
        <w:tc>
          <w:tcPr>
            <w:tcW w:w="2268" w:type="dxa"/>
            <w:shd w:val="clear" w:color="auto" w:fill="auto"/>
          </w:tcPr>
          <w:p>
            <w:pPr>
              <w:jc w:val="left"/>
              <w:rPr>
                <w:noProof/>
              </w:rPr>
            </w:pPr>
            <w:r>
              <w:rPr>
                <w:noProof/>
              </w:rPr>
              <w:t>mangan (Mn)</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molibden (Mo)</w:t>
            </w:r>
          </w:p>
        </w:tc>
        <w:tc>
          <w:tcPr>
            <w:tcW w:w="4811" w:type="dxa"/>
          </w:tcPr>
          <w:p>
            <w:pPr>
              <w:jc w:val="left"/>
              <w:rPr>
                <w:noProof/>
              </w:rPr>
            </w:pPr>
            <w:r>
              <w:rPr>
                <w:noProof/>
              </w:rPr>
              <w:t>0,001</w:t>
            </w:r>
          </w:p>
        </w:tc>
      </w:tr>
      <w:tr>
        <w:tc>
          <w:tcPr>
            <w:tcW w:w="2268" w:type="dxa"/>
            <w:shd w:val="clear" w:color="auto" w:fill="auto"/>
          </w:tcPr>
          <w:p>
            <w:pPr>
              <w:keepNext/>
              <w:jc w:val="left"/>
              <w:rPr>
                <w:noProof/>
              </w:rPr>
            </w:pPr>
            <w:r>
              <w:rPr>
                <w:noProof/>
              </w:rPr>
              <w:t>zinc</w:t>
            </w:r>
          </w:p>
        </w:tc>
        <w:tc>
          <w:tcPr>
            <w:tcW w:w="4811" w:type="dxa"/>
          </w:tcPr>
          <w:p>
            <w:pPr>
              <w:keepNext/>
              <w:jc w:val="left"/>
              <w:rPr>
                <w:noProof/>
              </w:rPr>
            </w:pPr>
            <w:r>
              <w:rPr>
                <w:noProof/>
              </w:rPr>
              <w:t>0,002</w:t>
            </w:r>
          </w:p>
        </w:tc>
      </w:tr>
    </w:tbl>
    <w:p>
      <w:pPr>
        <w:pStyle w:val="Text1"/>
        <w:keepNext/>
        <w:ind w:left="851"/>
        <w:rPr>
          <w:noProof/>
        </w:rPr>
      </w:pPr>
      <w:r>
        <w:rPr>
          <w:noProof/>
        </w:rPr>
        <w:t>Acestea sunt declarate după informațiile privind macroelementele. Pe etichetă trebuie să figureze următoarele elemente de informare:</w:t>
      </w:r>
    </w:p>
    <w:p>
      <w:pPr>
        <w:pStyle w:val="Point1letter"/>
        <w:numPr>
          <w:ilvl w:val="3"/>
          <w:numId w:val="110"/>
        </w:numPr>
        <w:rPr>
          <w:noProof/>
        </w:rPr>
      </w:pPr>
      <w:r>
        <w:rPr>
          <w:noProof/>
        </w:rPr>
        <w:t>indicarea denumirii și a simbolurilor chimice ale oligoelementelor declarate, în ordinea următoare: bor (B), cobalt (Co), cupru (Cu), fier (Fe), mangan (Mn), molibden (Mo) și zinc (Zn), urmate de numele contraionilor;</w:t>
      </w:r>
    </w:p>
    <w:p>
      <w:pPr>
        <w:pStyle w:val="Point1letter"/>
        <w:keepNext/>
        <w:ind w:left="1418"/>
        <w:rPr>
          <w:noProof/>
        </w:rPr>
      </w:pPr>
      <w:r>
        <w:rPr>
          <w:noProof/>
        </w:rPr>
        <w:t>conținutul total de oligoelemente exprimat în procente din masa îngrășământului:</w:t>
      </w:r>
    </w:p>
    <w:p>
      <w:pPr>
        <w:pStyle w:val="Tiret2"/>
        <w:rPr>
          <w:noProof/>
        </w:rPr>
      </w:pPr>
      <w:r>
        <w:rPr>
          <w:noProof/>
        </w:rPr>
        <w:t>dacă nutrienții respectivi sunt complet solubili în apă, numai ca și conținut solubil în apă;</w:t>
      </w:r>
    </w:p>
    <w:p>
      <w:pPr>
        <w:pStyle w:val="Tiret2"/>
        <w:rPr>
          <w:noProof/>
        </w:rPr>
      </w:pPr>
      <w:r>
        <w:rPr>
          <w:noProof/>
        </w:rPr>
        <w:t>dacă conținutul solubil al nutrienților respectivi reprezintă cel puțin un sfert din conținutul total al nutrienților, ca și conținut total și conținut solubil în apă și</w:t>
      </w:r>
    </w:p>
    <w:p>
      <w:pPr>
        <w:pStyle w:val="Tiret2"/>
        <w:rPr>
          <w:noProof/>
        </w:rPr>
      </w:pPr>
      <w:r>
        <w:rPr>
          <w:noProof/>
        </w:rPr>
        <w:t>în toate celelalte cazuri, ca și conținut total;</w:t>
      </w:r>
    </w:p>
    <w:p>
      <w:pPr>
        <w:pStyle w:val="Point1letter"/>
        <w:keepNext/>
        <w:ind w:left="1418"/>
        <w:rPr>
          <w:noProof/>
        </w:rPr>
      </w:pPr>
      <w:r>
        <w:rPr>
          <w:noProof/>
        </w:rPr>
        <w:t>în cazul în care oligoelementul (oligoelementele) este (sunt) chelat(e), următorul calificativ după numele și formula chimică a oligoelementului:</w:t>
      </w:r>
    </w:p>
    <w:p>
      <w:pPr>
        <w:pStyle w:val="Tiret2"/>
        <w:rPr>
          <w:noProof/>
        </w:rPr>
      </w:pPr>
      <w:r>
        <w:rPr>
          <w:noProof/>
        </w:rPr>
        <w:t xml:space="preserve">„chelat cu...” numele agentului de chelare sau abrevierea acestuia și cantitatea de oligoelement chelat ca procent din masa produsului fertilizant cu marcaj CE; </w:t>
      </w:r>
    </w:p>
    <w:p>
      <w:pPr>
        <w:pStyle w:val="Point1letter"/>
        <w:keepNext/>
        <w:ind w:left="1418"/>
        <w:rPr>
          <w:noProof/>
        </w:rPr>
      </w:pPr>
      <w:r>
        <w:rPr>
          <w:noProof/>
        </w:rPr>
        <w:t>în cazul în care produsul fertilizant cu marcaj CE conține oligoelemente complexate cu agenți de complexare:</w:t>
      </w:r>
    </w:p>
    <w:p>
      <w:pPr>
        <w:pStyle w:val="Tiret2"/>
        <w:rPr>
          <w:noProof/>
        </w:rPr>
      </w:pPr>
      <w:r>
        <w:rPr>
          <w:noProof/>
        </w:rPr>
        <w:t>următorul calificativ după numele și formula chimică a oligoelementului: „complexat cu...” și cantitatea de oligoelement complexat ca procent din masa produsului fertilizant cu marcaj CE și</w:t>
      </w:r>
    </w:p>
    <w:p>
      <w:pPr>
        <w:pStyle w:val="Tiret2"/>
        <w:rPr>
          <w:noProof/>
        </w:rPr>
      </w:pPr>
      <w:r>
        <w:rPr>
          <w:noProof/>
        </w:rPr>
        <w:t>numele agentului de complexare sau abrevierea acestuia.</w:t>
      </w:r>
    </w:p>
    <w:p>
      <w:pPr>
        <w:pStyle w:val="Point1letter"/>
        <w:rPr>
          <w:noProof/>
        </w:rPr>
      </w:pPr>
      <w:r>
        <w:rPr>
          <w:noProof/>
        </w:rPr>
        <w:t>declarația următoare: „A se utiliza exclusiv în caz de necesitate recunoscută. A nu se depăși doza adecvată”.</w:t>
      </w:r>
    </w:p>
    <w:p>
      <w:pPr>
        <w:pStyle w:val="ManualHeading3"/>
        <w:rPr>
          <w:noProof/>
        </w:rPr>
      </w:pPr>
      <w:bookmarkStart w:id="49" w:name="_Toc432153283"/>
      <w:r>
        <w:rPr>
          <w:noProof/>
        </w:rPr>
        <w:t>CFP 1(C)(II): Îngrășământ anorganic cu oligoelemente</w:t>
      </w:r>
      <w:bookmarkEnd w:id="49"/>
    </w:p>
    <w:p>
      <w:pPr>
        <w:pStyle w:val="NumPar1"/>
        <w:numPr>
          <w:ilvl w:val="0"/>
          <w:numId w:val="111"/>
        </w:numPr>
        <w:rPr>
          <w:noProof/>
        </w:rPr>
      </w:pPr>
      <w:r>
        <w:rPr>
          <w:noProof/>
        </w:rPr>
        <w:t xml:space="preserve">Oligoelementele declarate din produsele fertilizante cu marcaj CE se enumeră cu denumirile lor și cu simbolurile chimice, în următoarea ordine: bor (B), cobalt (Co), cupru (Cu), fier (Fe), mangan (Mn), molibden (Mo) și zinc (Zn), urmate de numele contraionilor, </w:t>
      </w:r>
    </w:p>
    <w:p>
      <w:pPr>
        <w:pStyle w:val="NumPar1"/>
        <w:keepNext/>
        <w:numPr>
          <w:ilvl w:val="0"/>
          <w:numId w:val="12"/>
        </w:numPr>
        <w:ind w:left="851" w:hanging="851"/>
        <w:rPr>
          <w:noProof/>
        </w:rPr>
      </w:pPr>
      <w:r>
        <w:rPr>
          <w:noProof/>
        </w:rPr>
        <w:t>În cazul în care oligoelementul (oligoelementele) este (sunt) chelat(e) cu agent (agenți) de chelare, iar fiecare agent de chelare poate fi identificat și cuantificat și chelează cel puțin 1% din oligoelementul solubil în apă, se adaugă următorul calificativ după denumirea și identificatorul chimic ale oligoelementului:</w:t>
      </w:r>
    </w:p>
    <w:p>
      <w:pPr>
        <w:pStyle w:val="Tiret1"/>
        <w:numPr>
          <w:ilvl w:val="0"/>
          <w:numId w:val="22"/>
        </w:numPr>
        <w:rPr>
          <w:noProof/>
        </w:rPr>
      </w:pPr>
      <w:r>
        <w:rPr>
          <w:noProof/>
        </w:rPr>
        <w:t>„chelat cu...” numele agentului de chelare sau abrevierea acestuia și cantitatea de oligoelement chelat ca procent din masa produsului fertilizant cu marcaj CE;</w:t>
      </w:r>
    </w:p>
    <w:p>
      <w:pPr>
        <w:pStyle w:val="NumPar1"/>
        <w:keepNext/>
        <w:numPr>
          <w:ilvl w:val="0"/>
          <w:numId w:val="12"/>
        </w:numPr>
        <w:ind w:left="851" w:hanging="851"/>
        <w:rPr>
          <w:noProof/>
        </w:rPr>
      </w:pPr>
      <w:r>
        <w:rPr>
          <w:noProof/>
        </w:rPr>
        <w:t xml:space="preserve">în cazul în care oligoelementul (oligoelementele) declarat(e) este (sunt) complexat(e) de un agent (agenți) de complexare, se adaugă următorul calificativ după denumirea și identificatorul chimic ale oligoelementului: </w:t>
      </w:r>
    </w:p>
    <w:p>
      <w:pPr>
        <w:pStyle w:val="Tiret1"/>
        <w:rPr>
          <w:noProof/>
        </w:rPr>
      </w:pPr>
      <w:r>
        <w:rPr>
          <w:noProof/>
        </w:rPr>
        <w:t>„complexat cu...” și cantitatea de oligoelement complexat ca procent din masa produsului fertilizant cu marcaj CE, și</w:t>
      </w:r>
    </w:p>
    <w:p>
      <w:pPr>
        <w:pStyle w:val="Tiret1"/>
        <w:rPr>
          <w:noProof/>
        </w:rPr>
      </w:pPr>
      <w:r>
        <w:rPr>
          <w:noProof/>
        </w:rPr>
        <w:t>numele agentului de complexare sau abrevierea acestuia.</w:t>
      </w:r>
    </w:p>
    <w:p>
      <w:pPr>
        <w:pStyle w:val="NumPar1"/>
        <w:numPr>
          <w:ilvl w:val="0"/>
          <w:numId w:val="12"/>
        </w:numPr>
        <w:rPr>
          <w:noProof/>
        </w:rPr>
      </w:pPr>
      <w:r>
        <w:rPr>
          <w:noProof/>
        </w:rPr>
        <w:t>Următoarea mențiune trebuie să figureze pe etichetă: „A se utiliza exclusiv în caz de necesitate recunoscută. A nu se depăși doza adecvată”.</w:t>
      </w:r>
    </w:p>
    <w:p>
      <w:pPr>
        <w:pStyle w:val="ManualHeading3"/>
        <w:rPr>
          <w:noProof/>
        </w:rPr>
      </w:pPr>
      <w:r>
        <w:rPr>
          <w:noProof/>
        </w:rPr>
        <w:t>CFP 1(C)(II)(a): Îngrășământ anorganic simplu cu oligoelemente</w:t>
      </w:r>
    </w:p>
    <w:p>
      <w:pPr>
        <w:pStyle w:val="NumPar1"/>
        <w:numPr>
          <w:ilvl w:val="0"/>
          <w:numId w:val="112"/>
        </w:numPr>
        <w:rPr>
          <w:noProof/>
        </w:rPr>
      </w:pPr>
      <w:r>
        <w:rPr>
          <w:noProof/>
        </w:rPr>
        <w:t>Eticheta trebuie să indice tipologia relevantă, astfel cum se menționează în tabelul de la CFP 1(C)(II)(a) din partea II din anexa I.</w:t>
      </w:r>
    </w:p>
    <w:p>
      <w:pPr>
        <w:pStyle w:val="NumPar1"/>
        <w:keepNext/>
        <w:numPr>
          <w:ilvl w:val="0"/>
          <w:numId w:val="12"/>
        </w:numPr>
        <w:ind w:left="851" w:hanging="851"/>
        <w:rPr>
          <w:noProof/>
        </w:rPr>
      </w:pPr>
      <w:r>
        <w:rPr>
          <w:noProof/>
        </w:rPr>
        <w:t>Conținutul total de oligoelemente trebuie exprimat în procente din masa îngrășământului:</w:t>
      </w:r>
    </w:p>
    <w:p>
      <w:pPr>
        <w:pStyle w:val="Tiret1"/>
        <w:rPr>
          <w:noProof/>
        </w:rPr>
      </w:pPr>
      <w:r>
        <w:rPr>
          <w:noProof/>
        </w:rPr>
        <w:t>dacă oligoelementul respectiv este complet solubil în apă, numai ca și conținut solubil în apă;</w:t>
      </w:r>
    </w:p>
    <w:p>
      <w:pPr>
        <w:pStyle w:val="Tiret1"/>
        <w:rPr>
          <w:noProof/>
        </w:rPr>
      </w:pPr>
      <w:r>
        <w:rPr>
          <w:noProof/>
        </w:rPr>
        <w:t>dacă conținutul solubil al oligoelementului respectiv reprezintă cel puțin un sfert din conținutul total al nutrientului respectiv, ca și conținut total și conținut solubil în apă și</w:t>
      </w:r>
    </w:p>
    <w:p>
      <w:pPr>
        <w:pStyle w:val="Tiret1"/>
        <w:rPr>
          <w:noProof/>
        </w:rPr>
      </w:pPr>
      <w:r>
        <w:rPr>
          <w:noProof/>
        </w:rPr>
        <w:t>în toate celelalte cazuri, ca și conținut total.</w:t>
      </w:r>
    </w:p>
    <w:p>
      <w:pPr>
        <w:pStyle w:val="ManualHeading3"/>
        <w:rPr>
          <w:noProof/>
        </w:rPr>
      </w:pPr>
      <w:r>
        <w:rPr>
          <w:noProof/>
        </w:rPr>
        <w:t>CFP 1(C)(II)(b): Îngrășământ anorganic compus cu oligoelemente</w:t>
      </w:r>
    </w:p>
    <w:p>
      <w:pPr>
        <w:pStyle w:val="NumPar1"/>
        <w:keepNext/>
        <w:numPr>
          <w:ilvl w:val="0"/>
          <w:numId w:val="113"/>
        </w:numPr>
        <w:rPr>
          <w:noProof/>
        </w:rPr>
      </w:pPr>
      <w:r>
        <w:rPr>
          <w:noProof/>
        </w:rPr>
        <w:t>Oligoelementele pot fi declarate numai dacă sunt prezente în îngrășământ în următoarele cantități: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2944"/>
      </w:tblGrid>
      <w:tr>
        <w:tc>
          <w:tcPr>
            <w:tcW w:w="2835" w:type="dxa"/>
            <w:shd w:val="clear" w:color="auto" w:fill="auto"/>
          </w:tcPr>
          <w:p>
            <w:pPr>
              <w:keepNext/>
              <w:jc w:val="left"/>
              <w:rPr>
                <w:b/>
                <w:bCs/>
                <w:noProof/>
              </w:rPr>
            </w:pPr>
            <w:r>
              <w:rPr>
                <w:b/>
                <w:noProof/>
              </w:rPr>
              <w:t>Oligoelementul</w:t>
            </w:r>
          </w:p>
        </w:tc>
        <w:tc>
          <w:tcPr>
            <w:tcW w:w="3402" w:type="dxa"/>
          </w:tcPr>
          <w:p>
            <w:pPr>
              <w:keepNext/>
              <w:jc w:val="left"/>
              <w:rPr>
                <w:b/>
                <w:bCs/>
                <w:noProof/>
              </w:rPr>
            </w:pPr>
            <w:r>
              <w:rPr>
                <w:b/>
                <w:noProof/>
              </w:rPr>
              <w:t>Nechelat, necomplexat</w:t>
            </w:r>
          </w:p>
        </w:tc>
        <w:tc>
          <w:tcPr>
            <w:tcW w:w="2944" w:type="dxa"/>
            <w:shd w:val="clear" w:color="auto" w:fill="auto"/>
          </w:tcPr>
          <w:p>
            <w:pPr>
              <w:keepNext/>
              <w:jc w:val="left"/>
              <w:rPr>
                <w:b/>
                <w:bCs/>
                <w:noProof/>
              </w:rPr>
            </w:pPr>
            <w:r>
              <w:rPr>
                <w:b/>
                <w:noProof/>
              </w:rPr>
              <w:t>Chelat sau complexat</w:t>
            </w:r>
          </w:p>
        </w:tc>
      </w:tr>
      <w:tr>
        <w:tc>
          <w:tcPr>
            <w:tcW w:w="2835" w:type="dxa"/>
            <w:shd w:val="clear" w:color="auto" w:fill="auto"/>
          </w:tcPr>
          <w:p>
            <w:pPr>
              <w:jc w:val="left"/>
              <w:rPr>
                <w:noProof/>
              </w:rPr>
            </w:pPr>
            <w:r>
              <w:rPr>
                <w:noProof/>
              </w:rPr>
              <w:t>bor (B)</w:t>
            </w:r>
          </w:p>
        </w:tc>
        <w:tc>
          <w:tcPr>
            <w:tcW w:w="3402" w:type="dxa"/>
          </w:tcPr>
          <w:p>
            <w:pPr>
              <w:jc w:val="left"/>
              <w:rPr>
                <w:noProof/>
              </w:rPr>
            </w:pPr>
            <w:r>
              <w:rPr>
                <w:noProof/>
              </w:rPr>
              <w:t>0,2</w:t>
            </w:r>
          </w:p>
        </w:tc>
        <w:tc>
          <w:tcPr>
            <w:tcW w:w="2944" w:type="dxa"/>
            <w:shd w:val="clear" w:color="auto" w:fill="auto"/>
          </w:tcPr>
          <w:p>
            <w:pPr>
              <w:jc w:val="left"/>
              <w:rPr>
                <w:noProof/>
              </w:rPr>
            </w:pPr>
            <w:r>
              <w:rPr>
                <w:noProof/>
              </w:rPr>
              <w:t>nu se aplică</w:t>
            </w:r>
          </w:p>
        </w:tc>
      </w:tr>
      <w:tr>
        <w:tc>
          <w:tcPr>
            <w:tcW w:w="2835" w:type="dxa"/>
            <w:shd w:val="clear" w:color="auto" w:fill="auto"/>
          </w:tcPr>
          <w:p>
            <w:pPr>
              <w:jc w:val="left"/>
              <w:rPr>
                <w:noProof/>
              </w:rPr>
            </w:pPr>
            <w:r>
              <w:rPr>
                <w:noProof/>
              </w:rPr>
              <w:t>cobalt (Co)</w:t>
            </w:r>
          </w:p>
        </w:tc>
        <w:tc>
          <w:tcPr>
            <w:tcW w:w="3402" w:type="dxa"/>
          </w:tcPr>
          <w:p>
            <w:pPr>
              <w:jc w:val="left"/>
              <w:rPr>
                <w:noProof/>
              </w:rPr>
            </w:pPr>
            <w:r>
              <w:rPr>
                <w:noProof/>
              </w:rPr>
              <w:t>0,02</w:t>
            </w:r>
          </w:p>
        </w:tc>
        <w:tc>
          <w:tcPr>
            <w:tcW w:w="2944" w:type="dxa"/>
            <w:shd w:val="clear" w:color="auto" w:fill="auto"/>
          </w:tcPr>
          <w:p>
            <w:pPr>
              <w:jc w:val="left"/>
              <w:rPr>
                <w:noProof/>
              </w:rPr>
            </w:pPr>
            <w:r>
              <w:rPr>
                <w:noProof/>
              </w:rPr>
              <w:t>0,02</w:t>
            </w:r>
          </w:p>
        </w:tc>
      </w:tr>
      <w:tr>
        <w:tc>
          <w:tcPr>
            <w:tcW w:w="2835" w:type="dxa"/>
            <w:shd w:val="clear" w:color="auto" w:fill="auto"/>
          </w:tcPr>
          <w:p>
            <w:pPr>
              <w:jc w:val="left"/>
              <w:rPr>
                <w:noProof/>
              </w:rPr>
            </w:pPr>
            <w:r>
              <w:rPr>
                <w:noProof/>
              </w:rPr>
              <w:t>cupru (Cu)</w:t>
            </w:r>
          </w:p>
        </w:tc>
        <w:tc>
          <w:tcPr>
            <w:tcW w:w="3402" w:type="dxa"/>
          </w:tcPr>
          <w:p>
            <w:pPr>
              <w:jc w:val="left"/>
              <w:rPr>
                <w:noProof/>
              </w:rPr>
            </w:pPr>
            <w:r>
              <w:rPr>
                <w:noProof/>
              </w:rPr>
              <w:t>0,5</w:t>
            </w:r>
          </w:p>
        </w:tc>
        <w:tc>
          <w:tcPr>
            <w:tcW w:w="2944" w:type="dxa"/>
            <w:shd w:val="clear" w:color="auto" w:fill="auto"/>
          </w:tcPr>
          <w:p>
            <w:pPr>
              <w:jc w:val="left"/>
              <w:rPr>
                <w:noProof/>
              </w:rPr>
            </w:pPr>
            <w:r>
              <w:rPr>
                <w:noProof/>
              </w:rPr>
              <w:t>0,1</w:t>
            </w:r>
          </w:p>
        </w:tc>
      </w:tr>
      <w:tr>
        <w:tc>
          <w:tcPr>
            <w:tcW w:w="2835" w:type="dxa"/>
            <w:shd w:val="clear" w:color="auto" w:fill="auto"/>
          </w:tcPr>
          <w:p>
            <w:pPr>
              <w:jc w:val="left"/>
              <w:rPr>
                <w:noProof/>
              </w:rPr>
            </w:pPr>
            <w:r>
              <w:rPr>
                <w:noProof/>
              </w:rPr>
              <w:t>fier (Fe)</w:t>
            </w:r>
          </w:p>
        </w:tc>
        <w:tc>
          <w:tcPr>
            <w:tcW w:w="3402" w:type="dxa"/>
          </w:tcPr>
          <w:p>
            <w:pPr>
              <w:jc w:val="left"/>
              <w:rPr>
                <w:noProof/>
              </w:rPr>
            </w:pPr>
            <w:r>
              <w:rPr>
                <w:noProof/>
              </w:rPr>
              <w:t>2</w:t>
            </w:r>
          </w:p>
        </w:tc>
        <w:tc>
          <w:tcPr>
            <w:tcW w:w="2944" w:type="dxa"/>
            <w:shd w:val="clear" w:color="auto" w:fill="auto"/>
          </w:tcPr>
          <w:p>
            <w:pPr>
              <w:jc w:val="left"/>
              <w:rPr>
                <w:noProof/>
              </w:rPr>
            </w:pPr>
            <w:r>
              <w:rPr>
                <w:noProof/>
              </w:rPr>
              <w:t>0,3</w:t>
            </w:r>
          </w:p>
        </w:tc>
      </w:tr>
      <w:tr>
        <w:tc>
          <w:tcPr>
            <w:tcW w:w="2835" w:type="dxa"/>
            <w:shd w:val="clear" w:color="auto" w:fill="auto"/>
          </w:tcPr>
          <w:p>
            <w:pPr>
              <w:jc w:val="left"/>
              <w:rPr>
                <w:noProof/>
              </w:rPr>
            </w:pPr>
            <w:r>
              <w:rPr>
                <w:noProof/>
              </w:rPr>
              <w:t>mangan (Mn)</w:t>
            </w:r>
          </w:p>
        </w:tc>
        <w:tc>
          <w:tcPr>
            <w:tcW w:w="3402" w:type="dxa"/>
          </w:tcPr>
          <w:p>
            <w:pPr>
              <w:jc w:val="left"/>
              <w:rPr>
                <w:noProof/>
              </w:rPr>
            </w:pPr>
            <w:r>
              <w:rPr>
                <w:noProof/>
              </w:rPr>
              <w:t>0,5</w:t>
            </w:r>
          </w:p>
        </w:tc>
        <w:tc>
          <w:tcPr>
            <w:tcW w:w="2944" w:type="dxa"/>
            <w:shd w:val="clear" w:color="auto" w:fill="auto"/>
          </w:tcPr>
          <w:p>
            <w:pPr>
              <w:jc w:val="left"/>
              <w:rPr>
                <w:noProof/>
              </w:rPr>
            </w:pPr>
            <w:r>
              <w:rPr>
                <w:noProof/>
              </w:rPr>
              <w:t>0,1</w:t>
            </w:r>
          </w:p>
        </w:tc>
      </w:tr>
      <w:tr>
        <w:tc>
          <w:tcPr>
            <w:tcW w:w="2835" w:type="dxa"/>
            <w:shd w:val="clear" w:color="auto" w:fill="auto"/>
          </w:tcPr>
          <w:p>
            <w:pPr>
              <w:jc w:val="left"/>
              <w:rPr>
                <w:noProof/>
              </w:rPr>
            </w:pPr>
            <w:r>
              <w:rPr>
                <w:noProof/>
              </w:rPr>
              <w:t>molibden (Mo)</w:t>
            </w:r>
          </w:p>
        </w:tc>
        <w:tc>
          <w:tcPr>
            <w:tcW w:w="3402" w:type="dxa"/>
          </w:tcPr>
          <w:p>
            <w:pPr>
              <w:jc w:val="left"/>
              <w:rPr>
                <w:noProof/>
              </w:rPr>
            </w:pPr>
            <w:r>
              <w:rPr>
                <w:noProof/>
              </w:rPr>
              <w:t>0,02</w:t>
            </w:r>
          </w:p>
        </w:tc>
        <w:tc>
          <w:tcPr>
            <w:tcW w:w="2944" w:type="dxa"/>
            <w:shd w:val="clear" w:color="auto" w:fill="auto"/>
          </w:tcPr>
          <w:p>
            <w:pPr>
              <w:jc w:val="left"/>
              <w:rPr>
                <w:noProof/>
              </w:rPr>
            </w:pPr>
            <w:r>
              <w:rPr>
                <w:noProof/>
              </w:rPr>
              <w:t>nu se aplică</w:t>
            </w:r>
          </w:p>
        </w:tc>
      </w:tr>
      <w:tr>
        <w:tc>
          <w:tcPr>
            <w:tcW w:w="2835" w:type="dxa"/>
            <w:shd w:val="clear" w:color="auto" w:fill="auto"/>
          </w:tcPr>
          <w:p>
            <w:pPr>
              <w:jc w:val="left"/>
              <w:rPr>
                <w:noProof/>
              </w:rPr>
            </w:pPr>
            <w:r>
              <w:rPr>
                <w:noProof/>
              </w:rPr>
              <w:t>zinc</w:t>
            </w:r>
          </w:p>
        </w:tc>
        <w:tc>
          <w:tcPr>
            <w:tcW w:w="3402" w:type="dxa"/>
          </w:tcPr>
          <w:p>
            <w:pPr>
              <w:jc w:val="left"/>
              <w:rPr>
                <w:noProof/>
              </w:rPr>
            </w:pPr>
            <w:r>
              <w:rPr>
                <w:noProof/>
              </w:rPr>
              <w:t>0,5</w:t>
            </w:r>
          </w:p>
        </w:tc>
        <w:tc>
          <w:tcPr>
            <w:tcW w:w="2944" w:type="dxa"/>
            <w:shd w:val="clear" w:color="auto" w:fill="auto"/>
          </w:tcPr>
          <w:p>
            <w:pPr>
              <w:jc w:val="left"/>
              <w:rPr>
                <w:noProof/>
              </w:rPr>
            </w:pPr>
            <w:r>
              <w:rPr>
                <w:noProof/>
              </w:rPr>
              <w:t>0,1</w:t>
            </w:r>
          </w:p>
        </w:tc>
      </w:tr>
    </w:tbl>
    <w:p>
      <w:pPr>
        <w:pStyle w:val="NumPar1"/>
        <w:numPr>
          <w:ilvl w:val="0"/>
          <w:numId w:val="12"/>
        </w:numPr>
        <w:rPr>
          <w:noProof/>
        </w:rPr>
      </w:pPr>
      <w:r>
        <w:rPr>
          <w:noProof/>
        </w:rPr>
        <w:t>Dacă îngrășământul este în suspensie sau în soluție, eticheta trebuie să indice „în suspensie” sau „în soluție”, după caz.</w:t>
      </w:r>
    </w:p>
    <w:p>
      <w:pPr>
        <w:pStyle w:val="NumPar1"/>
        <w:keepNext/>
        <w:numPr>
          <w:ilvl w:val="0"/>
          <w:numId w:val="12"/>
        </w:numPr>
        <w:ind w:left="851" w:hanging="851"/>
        <w:rPr>
          <w:noProof/>
        </w:rPr>
      </w:pPr>
      <w:r>
        <w:rPr>
          <w:noProof/>
        </w:rPr>
        <w:t>Conținutul total de oligoelemente trebuie exprimat în procente din masa îngrășământului:</w:t>
      </w:r>
    </w:p>
    <w:p>
      <w:pPr>
        <w:pStyle w:val="Tiret1"/>
        <w:rPr>
          <w:noProof/>
        </w:rPr>
      </w:pPr>
      <w:r>
        <w:rPr>
          <w:noProof/>
        </w:rPr>
        <w:t>dacă oligoelementele respective sunt complet solubile în apă, numai ca și conținut solubil în apă;</w:t>
      </w:r>
    </w:p>
    <w:p>
      <w:pPr>
        <w:pStyle w:val="Tiret1"/>
        <w:rPr>
          <w:noProof/>
        </w:rPr>
      </w:pPr>
      <w:r>
        <w:rPr>
          <w:noProof/>
        </w:rPr>
        <w:t>dacă conținutul solubil al oligoelementelor respective reprezintă cel puțin jumătate din conținutul total al nutrienților respectivi, ca și conținut total și conținut solubil în apă și</w:t>
      </w:r>
    </w:p>
    <w:p>
      <w:pPr>
        <w:pStyle w:val="Tiret1"/>
        <w:rPr>
          <w:noProof/>
        </w:rPr>
      </w:pPr>
      <w:r>
        <w:rPr>
          <w:noProof/>
        </w:rPr>
        <w:t>în toate celelalte cazuri, ca și conținut total.</w:t>
      </w:r>
    </w:p>
    <w:p>
      <w:pPr>
        <w:pStyle w:val="ManualHeading1"/>
        <w:rPr>
          <w:noProof/>
        </w:rPr>
      </w:pPr>
      <w:bookmarkStart w:id="50" w:name="_Toc432153284"/>
      <w:r>
        <w:rPr>
          <w:noProof/>
        </w:rPr>
        <w:t>CFP 2: Amendamente minerale bazice</w:t>
      </w:r>
      <w:bookmarkEnd w:id="50"/>
    </w:p>
    <w:p>
      <w:pPr>
        <w:keepNext/>
        <w:rPr>
          <w:noProof/>
        </w:rPr>
      </w:pPr>
      <w:r>
        <w:rPr>
          <w:noProof/>
        </w:rPr>
        <w:t>Următorii parametri trebuie declarați în ordinea următoare:</w:t>
      </w:r>
    </w:p>
    <w:p>
      <w:pPr>
        <w:pStyle w:val="Tiret0"/>
        <w:numPr>
          <w:ilvl w:val="0"/>
          <w:numId w:val="23"/>
        </w:numPr>
        <w:jc w:val="left"/>
        <w:rPr>
          <w:noProof/>
        </w:rPr>
      </w:pPr>
      <w:r>
        <w:rPr>
          <w:noProof/>
        </w:rPr>
        <w:t>valoarea neutralizantă;</w:t>
      </w:r>
    </w:p>
    <w:p>
      <w:pPr>
        <w:pStyle w:val="Tiret0"/>
        <w:jc w:val="left"/>
        <w:rPr>
          <w:noProof/>
        </w:rPr>
      </w:pPr>
      <w:r>
        <w:rPr>
          <w:noProof/>
        </w:rPr>
        <w:t>granulometria, exprimată în procentul dintr-un produs care trece printr-o sită cu ochiuri cu o anumită deschidere;</w:t>
      </w:r>
    </w:p>
    <w:p>
      <w:pPr>
        <w:pStyle w:val="Tiret0"/>
        <w:rPr>
          <w:noProof/>
        </w:rPr>
      </w:pPr>
      <w:r>
        <w:rPr>
          <w:noProof/>
        </w:rPr>
        <w:t>CaO total, exprimat în procente din masa produsului fertilizant cu marcaj CE;</w:t>
      </w:r>
    </w:p>
    <w:p>
      <w:pPr>
        <w:pStyle w:val="Tiret0"/>
        <w:jc w:val="left"/>
        <w:rPr>
          <w:noProof/>
        </w:rPr>
      </w:pPr>
      <w:r>
        <w:rPr>
          <w:noProof/>
        </w:rPr>
        <w:t>MgO total, exprimat în procente din masa produsului fertilizant cu marcaj CE;</w:t>
      </w:r>
    </w:p>
    <w:p>
      <w:pPr>
        <w:pStyle w:val="Tiret0"/>
        <w:rPr>
          <w:strike/>
          <w:noProof/>
        </w:rPr>
      </w:pPr>
      <w:r>
        <w:rPr>
          <w:noProof/>
        </w:rPr>
        <w:t>reactivitatea, cu excepția amendamentelor minerale bazice care conțin oxizi și hidroxizi și</w:t>
      </w:r>
    </w:p>
    <w:p>
      <w:pPr>
        <w:pStyle w:val="Tiret0"/>
        <w:rPr>
          <w:strike/>
          <w:noProof/>
        </w:rPr>
      </w:pPr>
      <w:r>
        <w:rPr>
          <w:noProof/>
        </w:rPr>
        <w:t>pentru zguri și carbonați de origine naturală: metoda de determinare a reactivității.</w:t>
      </w:r>
    </w:p>
    <w:p>
      <w:pPr>
        <w:pStyle w:val="ManualHeading1"/>
        <w:rPr>
          <w:noProof/>
        </w:rPr>
      </w:pPr>
      <w:bookmarkStart w:id="51" w:name="_Toc432153285"/>
      <w:r>
        <w:rPr>
          <w:noProof/>
        </w:rPr>
        <w:t>CFP 3: Ameliorator de sol</w:t>
      </w:r>
      <w:bookmarkEnd w:id="51"/>
    </w:p>
    <w:p>
      <w:pPr>
        <w:keepNext/>
        <w:rPr>
          <w:noProof/>
        </w:rPr>
      </w:pPr>
      <w:r>
        <w:rPr>
          <w:noProof/>
        </w:rPr>
        <w:t>Următorii parametri trebuie să apară în ordinea de mai jos, exprimați ca procent din masă produsului fertilizant cu marcaj CE:</w:t>
      </w:r>
    </w:p>
    <w:p>
      <w:pPr>
        <w:pStyle w:val="Tiret0"/>
        <w:jc w:val="left"/>
        <w:rPr>
          <w:noProof/>
        </w:rPr>
      </w:pPr>
      <w:r>
        <w:rPr>
          <w:noProof/>
        </w:rPr>
        <w:t>substanță uscată;</w:t>
      </w:r>
    </w:p>
    <w:p>
      <w:pPr>
        <w:pStyle w:val="Tiret0"/>
        <w:jc w:val="left"/>
        <w:rPr>
          <w:noProof/>
        </w:rPr>
      </w:pPr>
      <w:r>
        <w:rPr>
          <w:noProof/>
        </w:rPr>
        <w:t>conținutul de carbon (C) organic;</w:t>
      </w:r>
    </w:p>
    <w:p>
      <w:pPr>
        <w:pStyle w:val="Tiret0"/>
        <w:jc w:val="left"/>
        <w:rPr>
          <w:noProof/>
        </w:rPr>
      </w:pPr>
      <w:r>
        <w:rPr>
          <w:noProof/>
        </w:rPr>
        <w:t>conținutul de azot (N) total;</w:t>
      </w:r>
    </w:p>
    <w:p>
      <w:pPr>
        <w:pStyle w:val="Tiret0"/>
        <w:jc w:val="left"/>
        <w:rPr>
          <w:noProof/>
        </w:rPr>
      </w:pPr>
      <w:r>
        <w:rPr>
          <w:noProof/>
        </w:rPr>
        <w:t>conținutul de pentaoxid de fosfor (P</w:t>
      </w:r>
      <w:r>
        <w:rPr>
          <w:noProof/>
          <w:vertAlign w:val="subscript"/>
        </w:rPr>
        <w:t>2</w:t>
      </w:r>
      <w:r>
        <w:rPr>
          <w:noProof/>
        </w:rPr>
        <w:t>O</w:t>
      </w:r>
      <w:r>
        <w:rPr>
          <w:noProof/>
          <w:vertAlign w:val="subscript"/>
        </w:rPr>
        <w:t>5</w:t>
      </w:r>
      <w:r>
        <w:rPr>
          <w:noProof/>
        </w:rPr>
        <w:t>) total;</w:t>
      </w:r>
    </w:p>
    <w:p>
      <w:pPr>
        <w:pStyle w:val="Tiret0"/>
        <w:jc w:val="left"/>
        <w:rPr>
          <w:noProof/>
        </w:rPr>
      </w:pPr>
      <w:r>
        <w:rPr>
          <w:noProof/>
        </w:rPr>
        <w:t>conținutul de oxid de potasiu (K</w:t>
      </w:r>
      <w:r>
        <w:rPr>
          <w:noProof/>
          <w:vertAlign w:val="subscript"/>
        </w:rPr>
        <w:t>2</w:t>
      </w:r>
      <w:r>
        <w:rPr>
          <w:noProof/>
        </w:rPr>
        <w:t>O) total;</w:t>
      </w:r>
    </w:p>
    <w:p>
      <w:pPr>
        <w:pStyle w:val="Tiret0"/>
        <w:jc w:val="left"/>
        <w:rPr>
          <w:noProof/>
        </w:rPr>
      </w:pPr>
      <w:r>
        <w:rPr>
          <w:noProof/>
        </w:rPr>
        <w:t>conținutul de cupru (Cu) și zinc (Zn) total, dacă depășesc 200, respectiv 600 mg/kg de substanță uscată și</w:t>
      </w:r>
    </w:p>
    <w:p>
      <w:pPr>
        <w:pStyle w:val="Tiret0"/>
        <w:jc w:val="left"/>
        <w:rPr>
          <w:noProof/>
        </w:rPr>
      </w:pPr>
      <w:r>
        <w:rPr>
          <w:noProof/>
        </w:rPr>
        <w:t>pH-ul.</w:t>
      </w:r>
    </w:p>
    <w:p>
      <w:pPr>
        <w:pStyle w:val="ManualHeading1"/>
        <w:rPr>
          <w:noProof/>
        </w:rPr>
      </w:pPr>
      <w:bookmarkStart w:id="52" w:name="_Toc432153286"/>
      <w:r>
        <w:rPr>
          <w:noProof/>
        </w:rPr>
        <w:t>CFP 4: Substraturi de cultură</w:t>
      </w:r>
      <w:bookmarkEnd w:id="52"/>
    </w:p>
    <w:p>
      <w:pPr>
        <w:keepNext/>
        <w:rPr>
          <w:noProof/>
        </w:rPr>
      </w:pPr>
      <w:r>
        <w:rPr>
          <w:noProof/>
        </w:rPr>
        <w:t>Parametrii se declară în următoarea ordine:</w:t>
      </w:r>
    </w:p>
    <w:p>
      <w:pPr>
        <w:pStyle w:val="Tiret0"/>
        <w:rPr>
          <w:noProof/>
        </w:rPr>
      </w:pPr>
      <w:r>
        <w:rPr>
          <w:noProof/>
        </w:rPr>
        <w:t>conductivitatea electrică, cu excepția vatei minerale;</w:t>
      </w:r>
    </w:p>
    <w:p>
      <w:pPr>
        <w:pStyle w:val="Tiret0"/>
        <w:rPr>
          <w:noProof/>
        </w:rPr>
      </w:pPr>
      <w:r>
        <w:rPr>
          <w:noProof/>
        </w:rPr>
        <w:t>pH-ul;</w:t>
      </w:r>
    </w:p>
    <w:p>
      <w:pPr>
        <w:pStyle w:val="Tiret0"/>
        <w:keepNext/>
        <w:ind w:left="851" w:hanging="851"/>
        <w:rPr>
          <w:noProof/>
        </w:rPr>
      </w:pPr>
      <w:r>
        <w:rPr>
          <w:noProof/>
        </w:rPr>
        <w:t xml:space="preserve">cantitatea: </w:t>
      </w:r>
    </w:p>
    <w:p>
      <w:pPr>
        <w:pStyle w:val="Bullet1"/>
        <w:numPr>
          <w:ilvl w:val="0"/>
          <w:numId w:val="13"/>
        </w:numPr>
        <w:rPr>
          <w:noProof/>
        </w:rPr>
      </w:pPr>
      <w:r>
        <w:rPr>
          <w:noProof/>
        </w:rPr>
        <w:t>pentru lână minerală, exprimată în număr de bucăți, precum și în cele trei dimensiuni lungime, înălțime, lățime;</w:t>
      </w:r>
    </w:p>
    <w:p>
      <w:pPr>
        <w:pStyle w:val="Bullet1"/>
        <w:numPr>
          <w:ilvl w:val="0"/>
          <w:numId w:val="13"/>
        </w:numPr>
        <w:rPr>
          <w:noProof/>
        </w:rPr>
      </w:pPr>
      <w:r>
        <w:rPr>
          <w:noProof/>
        </w:rPr>
        <w:t>pentru alte substraturi de cultură preformate, exprimată ca mărime în cel puțin două dimensiuni și</w:t>
      </w:r>
    </w:p>
    <w:p>
      <w:pPr>
        <w:pStyle w:val="Bullet1"/>
        <w:numPr>
          <w:ilvl w:val="0"/>
          <w:numId w:val="13"/>
        </w:numPr>
        <w:rPr>
          <w:noProof/>
        </w:rPr>
      </w:pPr>
      <w:r>
        <w:rPr>
          <w:noProof/>
        </w:rPr>
        <w:t>pentru alte substraturi de cultură, exprimată ca volum total;</w:t>
      </w:r>
    </w:p>
    <w:p>
      <w:pPr>
        <w:pStyle w:val="Tiret0"/>
        <w:rPr>
          <w:noProof/>
        </w:rPr>
      </w:pPr>
      <w:r>
        <w:rPr>
          <w:noProof/>
        </w:rPr>
        <w:t>cu excepția substraturilor de cultură preformate, cantitatea exprimată ca volum de materie cu o dimensiune a particulelor mai mare de 60 mm;</w:t>
      </w:r>
    </w:p>
    <w:p>
      <w:pPr>
        <w:pStyle w:val="Tiret0"/>
        <w:rPr>
          <w:noProof/>
        </w:rPr>
      </w:pPr>
      <w:r>
        <w:rPr>
          <w:noProof/>
        </w:rPr>
        <w:t>azotul (N) total;</w:t>
      </w:r>
    </w:p>
    <w:p>
      <w:pPr>
        <w:pStyle w:val="Tiret0"/>
        <w:rPr>
          <w:noProof/>
        </w:rPr>
      </w:pPr>
      <w:r>
        <w:rPr>
          <w:noProof/>
        </w:rPr>
        <w:t>pentaoxidul de fosfor (P</w:t>
      </w:r>
      <w:r>
        <w:rPr>
          <w:noProof/>
          <w:vertAlign w:val="subscript"/>
        </w:rPr>
        <w:t>2</w:t>
      </w:r>
      <w:r>
        <w:rPr>
          <w:noProof/>
        </w:rPr>
        <w:t>O</w:t>
      </w:r>
      <w:r>
        <w:rPr>
          <w:noProof/>
          <w:vertAlign w:val="subscript"/>
        </w:rPr>
        <w:t>5</w:t>
      </w:r>
      <w:r>
        <w:rPr>
          <w:noProof/>
        </w:rPr>
        <w:t>) total și</w:t>
      </w:r>
    </w:p>
    <w:p>
      <w:pPr>
        <w:pStyle w:val="Tiret0"/>
        <w:rPr>
          <w:noProof/>
        </w:rPr>
      </w:pPr>
      <w:r>
        <w:rPr>
          <w:noProof/>
        </w:rPr>
        <w:t>oxidul de potasiu (K</w:t>
      </w:r>
      <w:r>
        <w:rPr>
          <w:noProof/>
          <w:vertAlign w:val="subscript"/>
        </w:rPr>
        <w:t>2</w:t>
      </w:r>
      <w:r>
        <w:rPr>
          <w:noProof/>
        </w:rPr>
        <w:t>O) total.</w:t>
      </w:r>
    </w:p>
    <w:p>
      <w:pPr>
        <w:pStyle w:val="ManualHeading1"/>
        <w:rPr>
          <w:noProof/>
        </w:rPr>
      </w:pPr>
      <w:bookmarkStart w:id="53" w:name="_Toc432153287"/>
      <w:r>
        <w:rPr>
          <w:noProof/>
        </w:rPr>
        <w:t xml:space="preserve">CFP 5: </w:t>
      </w:r>
      <w:bookmarkEnd w:id="53"/>
      <w:r>
        <w:rPr>
          <w:noProof/>
        </w:rPr>
        <w:t>Aditiv agronomic</w:t>
      </w:r>
    </w:p>
    <w:p>
      <w:pPr>
        <w:pStyle w:val="Text1"/>
        <w:rPr>
          <w:noProof/>
        </w:rPr>
      </w:pPr>
      <w:r>
        <w:rPr>
          <w:noProof/>
        </w:rPr>
        <w:t>Acestei CFP i se aplică doar cerințele generale de etichetare.</w:t>
      </w:r>
    </w:p>
    <w:p>
      <w:pPr>
        <w:pStyle w:val="ManualHeading1"/>
        <w:rPr>
          <w:noProof/>
        </w:rPr>
      </w:pPr>
      <w:r>
        <w:rPr>
          <w:noProof/>
        </w:rPr>
        <w:t>CFP 6: Biostimulator de creștere a plantelor</w:t>
      </w:r>
    </w:p>
    <w:p>
      <w:pPr>
        <w:pStyle w:val="Text1"/>
        <w:keepNext/>
        <w:ind w:left="851"/>
        <w:rPr>
          <w:noProof/>
        </w:rPr>
      </w:pPr>
      <w:r>
        <w:rPr>
          <w:noProof/>
        </w:rPr>
        <w:t>Pe etichetă trebuie să figureze următoarele elemente de informare:</w:t>
      </w:r>
    </w:p>
    <w:p>
      <w:pPr>
        <w:pStyle w:val="Point1letter"/>
        <w:numPr>
          <w:ilvl w:val="3"/>
          <w:numId w:val="114"/>
        </w:numPr>
        <w:rPr>
          <w:noProof/>
        </w:rPr>
      </w:pPr>
      <w:r>
        <w:rPr>
          <w:noProof/>
        </w:rPr>
        <w:t>forma fizică;</w:t>
      </w:r>
    </w:p>
    <w:p>
      <w:pPr>
        <w:pStyle w:val="Point1letter"/>
        <w:rPr>
          <w:noProof/>
        </w:rPr>
      </w:pPr>
      <w:r>
        <w:rPr>
          <w:noProof/>
        </w:rPr>
        <w:t>data producției și data expirării;</w:t>
      </w:r>
    </w:p>
    <w:p>
      <w:pPr>
        <w:pStyle w:val="Point1letter"/>
        <w:rPr>
          <w:noProof/>
        </w:rPr>
      </w:pPr>
      <w:r>
        <w:rPr>
          <w:noProof/>
        </w:rPr>
        <w:t>condițiile de depozitare;</w:t>
      </w:r>
    </w:p>
    <w:p>
      <w:pPr>
        <w:pStyle w:val="Point1letter"/>
        <w:rPr>
          <w:noProof/>
        </w:rPr>
      </w:pPr>
      <w:r>
        <w:rPr>
          <w:noProof/>
        </w:rPr>
        <w:t>metoda (metodele) de aplicare;</w:t>
      </w:r>
    </w:p>
    <w:p>
      <w:pPr>
        <w:pStyle w:val="Point1letter"/>
        <w:rPr>
          <w:noProof/>
        </w:rPr>
      </w:pPr>
      <w:r>
        <w:rPr>
          <w:noProof/>
        </w:rPr>
        <w:t>doza, perioada (etapa de dezvoltare a plantelor) și frecvența de aplicare;</w:t>
      </w:r>
    </w:p>
    <w:p>
      <w:pPr>
        <w:pStyle w:val="Point1letter"/>
        <w:rPr>
          <w:noProof/>
        </w:rPr>
      </w:pPr>
      <w:r>
        <w:rPr>
          <w:noProof/>
        </w:rPr>
        <w:t>efectul declarat pentru fiecare plantă vizată și</w:t>
      </w:r>
    </w:p>
    <w:p>
      <w:pPr>
        <w:pStyle w:val="Point1letter"/>
        <w:rPr>
          <w:noProof/>
        </w:rPr>
      </w:pPr>
      <w:r>
        <w:rPr>
          <w:noProof/>
        </w:rPr>
        <w:t>orice alte instrucțiuni relevante referitoare la eficacitatea produsului, inclusiv practici de gestionare a solului, îngrășăminte chimice, incompatibilitatea cu produsele de protecție a plantelor, dimensiunea recomandată a duzelor de pulverizare și presiunea de pulverizare recomandată.</w:t>
      </w:r>
    </w:p>
    <w:p>
      <w:pPr>
        <w:pStyle w:val="ManualHeading3"/>
        <w:rPr>
          <w:noProof/>
        </w:rPr>
      </w:pPr>
      <w:r>
        <w:rPr>
          <w:noProof/>
        </w:rPr>
        <w:t>CFP 6(A): Biostimulator microbian al plantelor</w:t>
      </w:r>
    </w:p>
    <w:p>
      <w:pPr>
        <w:pStyle w:val="Text1"/>
        <w:rPr>
          <w:noProof/>
        </w:rPr>
      </w:pPr>
      <w:r>
        <w:rPr>
          <w:noProof/>
        </w:rPr>
        <w:t>Pe etichetă se menționează următoarea frază: „Microorganismele pot provoca reacții de sensibilizare.”</w:t>
      </w:r>
    </w:p>
    <w:p>
      <w:pPr>
        <w:pStyle w:val="ManualHeading1"/>
        <w:rPr>
          <w:noProof/>
        </w:rPr>
      </w:pPr>
      <w:bookmarkStart w:id="54" w:name="_Toc432153288"/>
      <w:r>
        <w:rPr>
          <w:noProof/>
        </w:rPr>
        <w:t>CFP 7: Amestec de produse fertilizante</w:t>
      </w:r>
      <w:bookmarkEnd w:id="54"/>
    </w:p>
    <w:p>
      <w:pPr>
        <w:pStyle w:val="Text1"/>
        <w:rPr>
          <w:noProof/>
        </w:rPr>
      </w:pPr>
      <w:r>
        <w:rPr>
          <w:noProof/>
        </w:rPr>
        <w:t>Toate cerințele de etichetare aplicabile tuturor componentelor produselor fertilizante cu marcaj CE se aplică amestecurilor de produse fertilizante cu marcaj CE și se exprimă în funcție de amestecul final de produse fertilizante cu marcaj CE.</w:t>
      </w:r>
    </w:p>
    <w:p>
      <w:pPr>
        <w:pStyle w:val="SectionTitle"/>
        <w:rPr>
          <w:noProof/>
        </w:rPr>
      </w:pPr>
      <w:bookmarkStart w:id="55" w:name="_Toc432153290"/>
      <w:r>
        <w:rPr>
          <w:noProof/>
        </w:rPr>
        <w:t>Partea 3</w:t>
      </w:r>
      <w:r>
        <w:rPr>
          <w:noProof/>
        </w:rPr>
        <w:br/>
        <w:t>Toleranțe</w:t>
      </w:r>
      <w:bookmarkEnd w:id="55"/>
    </w:p>
    <w:p>
      <w:pPr>
        <w:pStyle w:val="NumPar1"/>
        <w:numPr>
          <w:ilvl w:val="0"/>
          <w:numId w:val="115"/>
        </w:numPr>
        <w:rPr>
          <w:noProof/>
        </w:rPr>
      </w:pPr>
      <w:r>
        <w:rPr>
          <w:noProof/>
        </w:rPr>
        <w:t>Conținutul de nutrienți declarat sau caracteristicile fizico-chimice ale produselor fertilizante cu marcaj CE se pot abate de la valoarea reală numai în conformitate cu toleranțele stabilite în prezenta parte pentru categoria funcțională de produse în cauză. Toleranțele sunt prevăzute pentru a ține seama de variațiile în procesul de fabricație, în prelevarea probelor și în efectuarea de analize.</w:t>
      </w:r>
    </w:p>
    <w:p>
      <w:pPr>
        <w:pStyle w:val="NumPar1"/>
        <w:numPr>
          <w:ilvl w:val="0"/>
          <w:numId w:val="15"/>
        </w:numPr>
        <w:rPr>
          <w:noProof/>
        </w:rPr>
      </w:pPr>
      <w:r>
        <w:rPr>
          <w:noProof/>
        </w:rPr>
        <w:t xml:space="preserve">Toleranțele admise în ceea ce privește parametrii declarați indicați în prezenta parte sunt valori pozitive și negative exprimate în procente de masă. </w:t>
      </w:r>
    </w:p>
    <w:p>
      <w:pPr>
        <w:pStyle w:val="NumPar1"/>
        <w:numPr>
          <w:ilvl w:val="0"/>
          <w:numId w:val="15"/>
        </w:numPr>
        <w:rPr>
          <w:noProof/>
        </w:rPr>
      </w:pPr>
      <w:r>
        <w:rPr>
          <w:noProof/>
        </w:rPr>
        <w:t>Producătorul, importatorul sau distribuitorul nu trebuie să profite sistematic de aceste toleranțe.</w:t>
      </w:r>
    </w:p>
    <w:p>
      <w:pPr>
        <w:pStyle w:val="NumPar1"/>
        <w:numPr>
          <w:ilvl w:val="0"/>
          <w:numId w:val="15"/>
        </w:numPr>
        <w:rPr>
          <w:noProof/>
        </w:rPr>
      </w:pPr>
      <w:r>
        <w:rPr>
          <w:noProof/>
        </w:rPr>
        <w:t>Prin derogare de la punctul 1, conținutul real al unui produs fertilizant cu marcaj CE de o componentă pentru care este specificat un conținut minim sau maxim în anexa I sau anexa II nu poate fi niciodată mai mic decât conținutul minim sau nu poate depăși niciodată conținutul maxim.</w:t>
      </w:r>
    </w:p>
    <w:p>
      <w:pPr>
        <w:pStyle w:val="ManualHeading1"/>
        <w:rPr>
          <w:noProof/>
        </w:rPr>
      </w:pPr>
      <w:r>
        <w:rPr>
          <w:noProof/>
        </w:rPr>
        <w:t>CFP 1: Îngrășământ</w:t>
      </w:r>
    </w:p>
    <w:p>
      <w:pPr>
        <w:pStyle w:val="ManualHeading2"/>
        <w:rPr>
          <w:noProof/>
        </w:rPr>
      </w:pPr>
      <w:r>
        <w:rPr>
          <w:noProof/>
        </w:rPr>
        <w:t>CFP 1(A): Îngrășământ organic</w:t>
      </w:r>
    </w:p>
    <w:tbl>
      <w:tblPr>
        <w:tblW w:w="88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5499"/>
      </w:tblGrid>
      <w:tr>
        <w:tc>
          <w:tcPr>
            <w:tcW w:w="3381" w:type="dxa"/>
            <w:shd w:val="clear" w:color="auto" w:fill="auto"/>
          </w:tcPr>
          <w:p>
            <w:pPr>
              <w:keepNext/>
              <w:spacing w:before="0" w:after="240"/>
              <w:rPr>
                <w:rFonts w:eastAsia="Times New Roman"/>
                <w:b/>
                <w:noProof/>
                <w:szCs w:val="20"/>
              </w:rPr>
            </w:pPr>
          </w:p>
        </w:tc>
        <w:tc>
          <w:tcPr>
            <w:tcW w:w="5499" w:type="dxa"/>
            <w:shd w:val="clear" w:color="auto" w:fill="auto"/>
          </w:tcPr>
          <w:p>
            <w:pPr>
              <w:keepNext/>
              <w:spacing w:before="0" w:after="240"/>
              <w:rPr>
                <w:rFonts w:eastAsia="Times New Roman"/>
                <w:b/>
                <w:noProof/>
                <w:szCs w:val="20"/>
              </w:rPr>
            </w:pPr>
            <w:r>
              <w:rPr>
                <w:b/>
                <w:noProof/>
              </w:rPr>
              <w:t>Toleranța admisă pentru conținutul de nutrienți declarat și alți parametri declarați</w:t>
            </w:r>
          </w:p>
        </w:tc>
      </w:tr>
      <w:tr>
        <w:tc>
          <w:tcPr>
            <w:tcW w:w="3381" w:type="dxa"/>
            <w:shd w:val="clear" w:color="auto" w:fill="auto"/>
          </w:tcPr>
          <w:p>
            <w:pPr>
              <w:spacing w:before="0"/>
              <w:rPr>
                <w:rFonts w:eastAsia="Times New Roman"/>
                <w:noProof/>
                <w:szCs w:val="20"/>
              </w:rPr>
            </w:pPr>
            <w:r>
              <w:rPr>
                <w:noProof/>
              </w:rPr>
              <w:t>Carbon (C) organic</w:t>
            </w:r>
          </w:p>
        </w:tc>
        <w:tc>
          <w:tcPr>
            <w:tcW w:w="5499" w:type="dxa"/>
            <w:shd w:val="clear" w:color="auto" w:fill="auto"/>
          </w:tcPr>
          <w:p>
            <w:pPr>
              <w:spacing w:before="0"/>
              <w:rPr>
                <w:rFonts w:eastAsia="Times New Roman"/>
                <w:noProof/>
                <w:szCs w:val="20"/>
              </w:rPr>
            </w:pPr>
            <w:r>
              <w:rPr>
                <w:noProof/>
              </w:rPr>
              <w:t xml:space="preserve">Deviație relativă de ± 20 % din valoarea declarată, până la o valoare maximă de 2,0 puncte procentuale în termeni absoluți </w:t>
            </w:r>
          </w:p>
        </w:tc>
      </w:tr>
      <w:tr>
        <w:tc>
          <w:tcPr>
            <w:tcW w:w="3381" w:type="dxa"/>
            <w:shd w:val="clear" w:color="auto" w:fill="auto"/>
          </w:tcPr>
          <w:p>
            <w:pPr>
              <w:spacing w:before="0"/>
              <w:rPr>
                <w:rFonts w:eastAsia="Times New Roman"/>
                <w:noProof/>
                <w:szCs w:val="20"/>
              </w:rPr>
            </w:pPr>
            <w:r>
              <w:rPr>
                <w:noProof/>
              </w:rPr>
              <w:t>Conținutul de substanță uscată</w:t>
            </w:r>
          </w:p>
        </w:tc>
        <w:tc>
          <w:tcPr>
            <w:tcW w:w="5499" w:type="dxa"/>
            <w:shd w:val="clear" w:color="auto" w:fill="auto"/>
          </w:tcPr>
          <w:p>
            <w:pPr>
              <w:spacing w:before="0"/>
              <w:rPr>
                <w:rFonts w:eastAsia="Times New Roman"/>
                <w:noProof/>
                <w:szCs w:val="20"/>
              </w:rPr>
            </w:pPr>
            <w:r>
              <w:rPr>
                <w:noProof/>
              </w:rPr>
              <w:t>± 5,0 puncte procentuale în termeni absoluți</w:t>
            </w:r>
          </w:p>
        </w:tc>
      </w:tr>
      <w:tr>
        <w:tc>
          <w:tcPr>
            <w:tcW w:w="3381" w:type="dxa"/>
            <w:shd w:val="clear" w:color="auto" w:fill="auto"/>
          </w:tcPr>
          <w:p>
            <w:pPr>
              <w:spacing w:before="0"/>
              <w:rPr>
                <w:rFonts w:eastAsia="Times New Roman"/>
                <w:noProof/>
                <w:szCs w:val="20"/>
              </w:rPr>
            </w:pPr>
            <w:r>
              <w:rPr>
                <w:noProof/>
              </w:rPr>
              <w:t>Azot (N) total</w:t>
            </w:r>
          </w:p>
        </w:tc>
        <w:tc>
          <w:tcPr>
            <w:tcW w:w="5499" w:type="dxa"/>
            <w:shd w:val="clear" w:color="auto" w:fill="auto"/>
          </w:tcPr>
          <w:p>
            <w:pPr>
              <w:spacing w:before="0"/>
              <w:rPr>
                <w:rFonts w:eastAsia="Times New Roman"/>
                <w:noProof/>
                <w:szCs w:val="20"/>
              </w:rPr>
            </w:pPr>
            <w:r>
              <w:rPr>
                <w:noProof/>
              </w:rPr>
              <w:t>Deviație relativă de ± 50 % din valoarea declarată, până la o valoare maximă de 1,0 puncte procentuale în termeni absoluți</w:t>
            </w:r>
          </w:p>
        </w:tc>
      </w:tr>
      <w:tr>
        <w:tc>
          <w:tcPr>
            <w:tcW w:w="3381" w:type="dxa"/>
            <w:shd w:val="clear" w:color="auto" w:fill="auto"/>
          </w:tcPr>
          <w:p>
            <w:pPr>
              <w:spacing w:before="0"/>
              <w:rPr>
                <w:rFonts w:eastAsia="Times New Roman"/>
                <w:noProof/>
                <w:szCs w:val="20"/>
              </w:rPr>
            </w:pPr>
            <w:r>
              <w:rPr>
                <w:noProof/>
              </w:rPr>
              <w:t>Azot organic (N)</w:t>
            </w:r>
          </w:p>
        </w:tc>
        <w:tc>
          <w:tcPr>
            <w:tcW w:w="5499" w:type="dxa"/>
            <w:shd w:val="clear" w:color="auto" w:fill="auto"/>
          </w:tcPr>
          <w:p>
            <w:pPr>
              <w:spacing w:before="0"/>
              <w:rPr>
                <w:rFonts w:eastAsia="Times New Roman"/>
                <w:noProof/>
                <w:szCs w:val="20"/>
              </w:rPr>
            </w:pPr>
            <w:r>
              <w:rPr>
                <w:noProof/>
              </w:rPr>
              <w:t>Deviație relativă de ± 50 % din valoarea declarată, până la o valoare maximă de 1,0 puncte procentuale în termeni absoluți</w:t>
            </w:r>
          </w:p>
        </w:tc>
      </w:tr>
      <w:tr>
        <w:trPr>
          <w:trHeight w:val="263"/>
        </w:trPr>
        <w:tc>
          <w:tcPr>
            <w:tcW w:w="3381" w:type="dxa"/>
            <w:shd w:val="clear" w:color="auto" w:fill="auto"/>
          </w:tcPr>
          <w:p>
            <w:pPr>
              <w:spacing w:before="0"/>
              <w:rPr>
                <w:rFonts w:eastAsia="Times New Roman"/>
                <w:noProof/>
                <w:szCs w:val="20"/>
              </w:rPr>
            </w:pPr>
            <w:r>
              <w:rPr>
                <w:noProof/>
              </w:rPr>
              <w:t>Pentaoxid de fosfor (P</w:t>
            </w:r>
            <w:r>
              <w:rPr>
                <w:noProof/>
                <w:vertAlign w:val="subscript"/>
              </w:rPr>
              <w:t>2</w:t>
            </w:r>
            <w:r>
              <w:rPr>
                <w:noProof/>
              </w:rPr>
              <w:t>O</w:t>
            </w:r>
            <w:r>
              <w:rPr>
                <w:noProof/>
                <w:vertAlign w:val="subscript"/>
              </w:rPr>
              <w:t>5</w:t>
            </w:r>
            <w:r>
              <w:rPr>
                <w:noProof/>
              </w:rPr>
              <w:t>) total</w:t>
            </w:r>
          </w:p>
        </w:tc>
        <w:tc>
          <w:tcPr>
            <w:tcW w:w="5499" w:type="dxa"/>
            <w:shd w:val="clear" w:color="auto" w:fill="auto"/>
          </w:tcPr>
          <w:p>
            <w:pPr>
              <w:spacing w:before="0"/>
              <w:rPr>
                <w:rFonts w:eastAsia="Times New Roman"/>
                <w:noProof/>
                <w:szCs w:val="20"/>
              </w:rPr>
            </w:pPr>
            <w:r>
              <w:rPr>
                <w:noProof/>
              </w:rPr>
              <w:t>Deviație relativă de ± 50 % din valoarea declarată, până la o valoare maximă de 1,0 puncte procentuale în termeni absoluți</w:t>
            </w:r>
          </w:p>
        </w:tc>
      </w:tr>
      <w:tr>
        <w:trPr>
          <w:trHeight w:val="263"/>
        </w:trPr>
        <w:tc>
          <w:tcPr>
            <w:tcW w:w="3381" w:type="dxa"/>
            <w:shd w:val="clear" w:color="auto" w:fill="auto"/>
          </w:tcPr>
          <w:p>
            <w:pPr>
              <w:spacing w:before="0"/>
              <w:rPr>
                <w:rFonts w:eastAsia="Times New Roman"/>
                <w:noProof/>
                <w:szCs w:val="20"/>
              </w:rPr>
            </w:pPr>
            <w:r>
              <w:rPr>
                <w:noProof/>
              </w:rPr>
              <w:t>Oxid de potasiu (K</w:t>
            </w:r>
            <w:r>
              <w:rPr>
                <w:noProof/>
                <w:vertAlign w:val="subscript"/>
              </w:rPr>
              <w:t>2</w:t>
            </w:r>
            <w:r>
              <w:rPr>
                <w:noProof/>
              </w:rPr>
              <w:t>O) total</w:t>
            </w:r>
          </w:p>
        </w:tc>
        <w:tc>
          <w:tcPr>
            <w:tcW w:w="5499" w:type="dxa"/>
            <w:shd w:val="clear" w:color="auto" w:fill="auto"/>
          </w:tcPr>
          <w:p>
            <w:pPr>
              <w:spacing w:before="0"/>
              <w:rPr>
                <w:rFonts w:eastAsia="Times New Roman"/>
                <w:noProof/>
                <w:szCs w:val="20"/>
              </w:rPr>
            </w:pPr>
            <w:r>
              <w:rPr>
                <w:noProof/>
              </w:rPr>
              <w:t>Deviație relativă de ± 50 % din valoarea declarată, până la o valoare maximă de 1,0 puncte procentuale în termeni absoluți</w:t>
            </w:r>
          </w:p>
        </w:tc>
      </w:tr>
      <w:tr>
        <w:trPr>
          <w:trHeight w:val="263"/>
        </w:trPr>
        <w:tc>
          <w:tcPr>
            <w:tcW w:w="3381" w:type="dxa"/>
            <w:shd w:val="clear" w:color="auto" w:fill="auto"/>
          </w:tcPr>
          <w:p>
            <w:pPr>
              <w:keepNext/>
              <w:spacing w:before="0"/>
              <w:rPr>
                <w:rFonts w:eastAsia="Times New Roman"/>
                <w:noProof/>
                <w:szCs w:val="20"/>
              </w:rPr>
            </w:pPr>
            <w:r>
              <w:rPr>
                <w:noProof/>
              </w:rPr>
              <w:t>Oxid de magneziu, oxid de calciu, trioxid de sulf și oxid de sodiu totali și solubili în apă</w:t>
            </w:r>
          </w:p>
        </w:tc>
        <w:tc>
          <w:tcPr>
            <w:tcW w:w="5499" w:type="dxa"/>
            <w:shd w:val="clear" w:color="auto" w:fill="auto"/>
          </w:tcPr>
          <w:p>
            <w:pPr>
              <w:keepNext/>
              <w:spacing w:before="0"/>
              <w:rPr>
                <w:rFonts w:eastAsia="Times New Roman"/>
                <w:noProof/>
                <w:szCs w:val="20"/>
              </w:rPr>
            </w:pPr>
            <w:r>
              <w:rPr>
                <w:noProof/>
              </w:rPr>
              <w:t>Deviație relativă de ± 25 % din conținutul declarat de respectivii nutrienți, până la o valoare maximă de 1,5 puncte procentuale în termeni absoluți</w:t>
            </w:r>
          </w:p>
        </w:tc>
      </w:tr>
      <w:tr>
        <w:trPr>
          <w:trHeight w:val="263"/>
        </w:trPr>
        <w:tc>
          <w:tcPr>
            <w:tcW w:w="3381" w:type="dxa"/>
            <w:shd w:val="clear" w:color="auto" w:fill="auto"/>
          </w:tcPr>
          <w:p>
            <w:pPr>
              <w:spacing w:before="0"/>
              <w:rPr>
                <w:rFonts w:eastAsia="Times New Roman"/>
                <w:noProof/>
                <w:szCs w:val="20"/>
              </w:rPr>
            </w:pPr>
            <w:r>
              <w:rPr>
                <w:noProof/>
              </w:rPr>
              <w:t xml:space="preserve">Cupru (Cu) total </w:t>
            </w:r>
          </w:p>
        </w:tc>
        <w:tc>
          <w:tcPr>
            <w:tcW w:w="5499" w:type="dxa"/>
            <w:shd w:val="clear" w:color="auto" w:fill="auto"/>
          </w:tcPr>
          <w:p>
            <w:pPr>
              <w:spacing w:before="0"/>
              <w:rPr>
                <w:rFonts w:eastAsia="Times New Roman"/>
                <w:noProof/>
                <w:szCs w:val="20"/>
              </w:rPr>
            </w:pPr>
            <w:r>
              <w:rPr>
                <w:noProof/>
              </w:rPr>
              <w:t xml:space="preserve">Deviație relativă de ± 50 % din valoarea declarată, până la o valoare maximă de 2,5 puncte procentuale în termeni absoluți </w:t>
            </w:r>
          </w:p>
        </w:tc>
      </w:tr>
      <w:tr>
        <w:trPr>
          <w:trHeight w:val="263"/>
        </w:trPr>
        <w:tc>
          <w:tcPr>
            <w:tcW w:w="3381" w:type="dxa"/>
            <w:shd w:val="clear" w:color="auto" w:fill="auto"/>
          </w:tcPr>
          <w:p>
            <w:pPr>
              <w:spacing w:before="0"/>
              <w:rPr>
                <w:rFonts w:eastAsia="Times New Roman"/>
                <w:noProof/>
                <w:szCs w:val="20"/>
              </w:rPr>
            </w:pPr>
            <w:r>
              <w:rPr>
                <w:noProof/>
              </w:rPr>
              <w:t>Zinc (Zn) total</w:t>
            </w:r>
          </w:p>
        </w:tc>
        <w:tc>
          <w:tcPr>
            <w:tcW w:w="5499" w:type="dxa"/>
            <w:shd w:val="clear" w:color="auto" w:fill="auto"/>
          </w:tcPr>
          <w:p>
            <w:pPr>
              <w:spacing w:before="0"/>
              <w:rPr>
                <w:rFonts w:eastAsia="Times New Roman"/>
                <w:noProof/>
                <w:szCs w:val="20"/>
              </w:rPr>
            </w:pPr>
            <w:r>
              <w:rPr>
                <w:noProof/>
              </w:rPr>
              <w:t>Deviație relativă de ± 50 % din valoarea declarată, până la o valoare maximă de 2,0 puncte procentuale în termeni absoluți</w:t>
            </w:r>
          </w:p>
        </w:tc>
      </w:tr>
      <w:tr>
        <w:trPr>
          <w:trHeight w:val="263"/>
        </w:trPr>
        <w:tc>
          <w:tcPr>
            <w:tcW w:w="3381" w:type="dxa"/>
            <w:shd w:val="clear" w:color="auto" w:fill="auto"/>
          </w:tcPr>
          <w:p>
            <w:pPr>
              <w:spacing w:before="0"/>
              <w:rPr>
                <w:rFonts w:eastAsia="Times New Roman"/>
                <w:noProof/>
                <w:szCs w:val="20"/>
              </w:rPr>
            </w:pPr>
            <w:r>
              <w:rPr>
                <w:noProof/>
              </w:rPr>
              <w:t>Cantitate</w:t>
            </w:r>
          </w:p>
        </w:tc>
        <w:tc>
          <w:tcPr>
            <w:tcW w:w="5499" w:type="dxa"/>
            <w:shd w:val="clear" w:color="auto" w:fill="auto"/>
          </w:tcPr>
          <w:p>
            <w:pPr>
              <w:spacing w:before="0"/>
              <w:rPr>
                <w:rFonts w:eastAsia="Times New Roman"/>
                <w:noProof/>
                <w:szCs w:val="20"/>
              </w:rPr>
            </w:pPr>
            <w:r>
              <w:rPr>
                <w:noProof/>
              </w:rPr>
              <w:t>Deviație relativă de - 5 % față de valoarea declarată</w:t>
            </w:r>
          </w:p>
        </w:tc>
      </w:tr>
    </w:tbl>
    <w:p>
      <w:pPr>
        <w:pStyle w:val="ManualHeading2"/>
        <w:rPr>
          <w:noProof/>
        </w:rPr>
      </w:pPr>
      <w:r>
        <w:rPr>
          <w:noProof/>
        </w:rPr>
        <w:t>CFP 1(B): Îngrășământ organo-mineral</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960"/>
        <w:gridCol w:w="1320"/>
        <w:gridCol w:w="1320"/>
        <w:gridCol w:w="1080"/>
        <w:gridCol w:w="1200"/>
        <w:gridCol w:w="2160"/>
      </w:tblGrid>
      <w:tr>
        <w:tc>
          <w:tcPr>
            <w:tcW w:w="8988" w:type="dxa"/>
            <w:gridSpan w:val="7"/>
            <w:shd w:val="clear" w:color="auto" w:fill="auto"/>
          </w:tcPr>
          <w:p>
            <w:pPr>
              <w:keepNext/>
              <w:spacing w:before="0"/>
              <w:rPr>
                <w:rFonts w:eastAsia="Times New Roman"/>
                <w:noProof/>
                <w:szCs w:val="20"/>
              </w:rPr>
            </w:pPr>
            <w:r>
              <w:rPr>
                <w:b/>
                <w:noProof/>
              </w:rPr>
              <w:t>Toleranța admisă pentru conținutul declarat de macroelemente anorganice sub diferite forme</w:t>
            </w:r>
          </w:p>
        </w:tc>
      </w:tr>
      <w:tr>
        <w:tc>
          <w:tcPr>
            <w:tcW w:w="948" w:type="dxa"/>
            <w:shd w:val="clear" w:color="auto" w:fill="auto"/>
          </w:tcPr>
          <w:p>
            <w:pPr>
              <w:keepNext/>
              <w:spacing w:before="0"/>
              <w:rPr>
                <w:rFonts w:eastAsia="Times New Roman"/>
                <w:noProof/>
                <w:szCs w:val="20"/>
              </w:rPr>
            </w:pPr>
            <w:r>
              <w:rPr>
                <w:noProof/>
              </w:rPr>
              <w:t>N</w:t>
            </w:r>
          </w:p>
        </w:tc>
        <w:tc>
          <w:tcPr>
            <w:tcW w:w="960" w:type="dxa"/>
            <w:shd w:val="clear" w:color="auto" w:fill="auto"/>
          </w:tcPr>
          <w:p>
            <w:pPr>
              <w:keepNext/>
              <w:spacing w:before="0"/>
              <w:rPr>
                <w:rFonts w:eastAsia="Times New Roman"/>
                <w:noProof/>
                <w:szCs w:val="20"/>
              </w:rPr>
            </w:pPr>
            <w:r>
              <w:rPr>
                <w:noProof/>
              </w:rPr>
              <w:t>P</w:t>
            </w:r>
            <w:r>
              <w:rPr>
                <w:noProof/>
                <w:vertAlign w:val="subscript"/>
              </w:rPr>
              <w:t>2</w:t>
            </w:r>
            <w:r>
              <w:rPr>
                <w:noProof/>
              </w:rPr>
              <w:t>O</w:t>
            </w:r>
            <w:r>
              <w:rPr>
                <w:noProof/>
                <w:vertAlign w:val="subscript"/>
              </w:rPr>
              <w:t>5</w:t>
            </w:r>
          </w:p>
        </w:tc>
        <w:tc>
          <w:tcPr>
            <w:tcW w:w="1320" w:type="dxa"/>
            <w:shd w:val="clear" w:color="auto" w:fill="auto"/>
          </w:tcPr>
          <w:p>
            <w:pPr>
              <w:keepNext/>
              <w:spacing w:before="0"/>
              <w:rPr>
                <w:rFonts w:eastAsia="Times New Roman"/>
                <w:noProof/>
                <w:szCs w:val="20"/>
              </w:rPr>
            </w:pPr>
            <w:r>
              <w:rPr>
                <w:noProof/>
              </w:rPr>
              <w:t>K</w:t>
            </w:r>
            <w:r>
              <w:rPr>
                <w:noProof/>
                <w:vertAlign w:val="subscript"/>
              </w:rPr>
              <w:t>2</w:t>
            </w:r>
            <w:r>
              <w:rPr>
                <w:noProof/>
              </w:rPr>
              <w:t>O</w:t>
            </w:r>
          </w:p>
        </w:tc>
        <w:tc>
          <w:tcPr>
            <w:tcW w:w="1320" w:type="dxa"/>
            <w:shd w:val="clear" w:color="auto" w:fill="auto"/>
          </w:tcPr>
          <w:p>
            <w:pPr>
              <w:keepNext/>
              <w:spacing w:before="0"/>
              <w:rPr>
                <w:rFonts w:eastAsia="Times New Roman"/>
                <w:noProof/>
                <w:szCs w:val="20"/>
              </w:rPr>
            </w:pPr>
            <w:r>
              <w:rPr>
                <w:noProof/>
              </w:rPr>
              <w:t>MgO</w:t>
            </w:r>
          </w:p>
        </w:tc>
        <w:tc>
          <w:tcPr>
            <w:tcW w:w="1080" w:type="dxa"/>
            <w:shd w:val="clear" w:color="auto" w:fill="auto"/>
          </w:tcPr>
          <w:p>
            <w:pPr>
              <w:keepNext/>
              <w:spacing w:before="0"/>
              <w:rPr>
                <w:rFonts w:eastAsia="Times New Roman"/>
                <w:noProof/>
                <w:szCs w:val="20"/>
              </w:rPr>
            </w:pPr>
            <w:r>
              <w:rPr>
                <w:noProof/>
              </w:rPr>
              <w:t>CaO</w:t>
            </w:r>
          </w:p>
        </w:tc>
        <w:tc>
          <w:tcPr>
            <w:tcW w:w="1200" w:type="dxa"/>
            <w:shd w:val="clear" w:color="auto" w:fill="auto"/>
          </w:tcPr>
          <w:p>
            <w:pPr>
              <w:keepNext/>
              <w:spacing w:before="0"/>
              <w:rPr>
                <w:rFonts w:eastAsia="Times New Roman"/>
                <w:noProof/>
                <w:szCs w:val="20"/>
              </w:rPr>
            </w:pPr>
            <w:r>
              <w:rPr>
                <w:noProof/>
              </w:rPr>
              <w:t>SO</w:t>
            </w:r>
            <w:r>
              <w:rPr>
                <w:noProof/>
                <w:vertAlign w:val="subscript"/>
              </w:rPr>
              <w:t>3</w:t>
            </w:r>
            <w:r>
              <w:rPr>
                <w:noProof/>
              </w:rPr>
              <w:t xml:space="preserve"> </w:t>
            </w:r>
          </w:p>
        </w:tc>
        <w:tc>
          <w:tcPr>
            <w:tcW w:w="2160" w:type="dxa"/>
            <w:shd w:val="clear" w:color="auto" w:fill="auto"/>
          </w:tcPr>
          <w:p>
            <w:pPr>
              <w:keepNext/>
              <w:spacing w:before="0"/>
              <w:rPr>
                <w:rFonts w:eastAsia="Times New Roman"/>
                <w:noProof/>
                <w:szCs w:val="20"/>
              </w:rPr>
            </w:pPr>
            <w:r>
              <w:rPr>
                <w:noProof/>
              </w:rPr>
              <w:t>Na</w:t>
            </w:r>
            <w:r>
              <w:rPr>
                <w:noProof/>
                <w:vertAlign w:val="subscript"/>
              </w:rPr>
              <w:t>2</w:t>
            </w:r>
            <w:r>
              <w:rPr>
                <w:noProof/>
              </w:rPr>
              <w:t xml:space="preserve">O </w:t>
            </w:r>
          </w:p>
        </w:tc>
      </w:tr>
      <w:tr>
        <w:tc>
          <w:tcPr>
            <w:tcW w:w="3228" w:type="dxa"/>
            <w:gridSpan w:val="3"/>
            <w:shd w:val="clear" w:color="auto" w:fill="auto"/>
          </w:tcPr>
          <w:p>
            <w:pPr>
              <w:spacing w:before="0"/>
              <w:rPr>
                <w:rFonts w:eastAsia="Times New Roman"/>
                <w:noProof/>
                <w:szCs w:val="20"/>
              </w:rPr>
            </w:pPr>
            <w:r>
              <w:rPr>
                <w:noProof/>
              </w:rPr>
              <w:t>Deviație relativă de ± 25 % din conținutul declarat de forme de nutrienți prezente, până la o valoare maximă de 2 puncte procentuale în termeni absoluți.</w:t>
            </w:r>
          </w:p>
        </w:tc>
        <w:tc>
          <w:tcPr>
            <w:tcW w:w="3600" w:type="dxa"/>
            <w:gridSpan w:val="3"/>
            <w:shd w:val="clear" w:color="auto" w:fill="auto"/>
          </w:tcPr>
          <w:p>
            <w:pPr>
              <w:spacing w:before="0"/>
              <w:rPr>
                <w:rFonts w:eastAsia="Times New Roman"/>
                <w:noProof/>
                <w:szCs w:val="20"/>
              </w:rPr>
            </w:pPr>
            <w:r>
              <w:rPr>
                <w:noProof/>
              </w:rPr>
              <w:t>Deviație relativă de ± 25 % din conținutul declarat de respectivii nutrienți, până la o valoare maximă de 1,5 puncte procentuale în termeni absoluți.</w:t>
            </w:r>
          </w:p>
        </w:tc>
        <w:tc>
          <w:tcPr>
            <w:tcW w:w="2160" w:type="dxa"/>
            <w:shd w:val="clear" w:color="auto" w:fill="auto"/>
          </w:tcPr>
          <w:p>
            <w:pPr>
              <w:spacing w:before="0"/>
              <w:rPr>
                <w:rFonts w:eastAsia="Times New Roman"/>
                <w:noProof/>
                <w:sz w:val="22"/>
              </w:rPr>
            </w:pPr>
            <w:r>
              <w:rPr>
                <w:noProof/>
              </w:rPr>
              <w:t>Deviație relativă de ± 25 % din conținutul declarat, până la o valoare maximă de 0,9 puncte procentuale în termeni absoluți</w:t>
            </w:r>
          </w:p>
        </w:tc>
      </w:tr>
    </w:tbl>
    <w:p>
      <w:pPr>
        <w:rPr>
          <w:noProof/>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5148"/>
      </w:tblGrid>
      <w:tr>
        <w:trPr>
          <w:trHeight w:val="996"/>
        </w:trPr>
        <w:tc>
          <w:tcPr>
            <w:tcW w:w="3749" w:type="dxa"/>
            <w:shd w:val="clear" w:color="auto" w:fill="auto"/>
          </w:tcPr>
          <w:p>
            <w:pPr>
              <w:keepNext/>
              <w:spacing w:before="0" w:after="240"/>
              <w:rPr>
                <w:rFonts w:eastAsia="Times New Roman"/>
                <w:b/>
                <w:noProof/>
                <w:szCs w:val="20"/>
              </w:rPr>
            </w:pPr>
            <w:r>
              <w:rPr>
                <w:b/>
                <w:noProof/>
              </w:rPr>
              <w:t xml:space="preserve">Îngrășăminte cu oligoelemente </w:t>
            </w:r>
          </w:p>
        </w:tc>
        <w:tc>
          <w:tcPr>
            <w:tcW w:w="5148" w:type="dxa"/>
            <w:shd w:val="clear" w:color="auto" w:fill="auto"/>
          </w:tcPr>
          <w:p>
            <w:pPr>
              <w:keepNext/>
              <w:tabs>
                <w:tab w:val="left" w:pos="2160"/>
              </w:tabs>
              <w:spacing w:before="0" w:after="240"/>
              <w:ind w:right="648"/>
              <w:jc w:val="center"/>
              <w:rPr>
                <w:rFonts w:eastAsia="Times New Roman"/>
                <w:b/>
                <w:noProof/>
                <w:szCs w:val="20"/>
              </w:rPr>
            </w:pPr>
            <w:r>
              <w:rPr>
                <w:b/>
                <w:noProof/>
              </w:rPr>
              <w:t>Toleranța admisă pentru conținutul declarat de oligoelemente sub diferite forme</w:t>
            </w:r>
          </w:p>
        </w:tc>
      </w:tr>
      <w:tr>
        <w:tc>
          <w:tcPr>
            <w:tcW w:w="3749" w:type="dxa"/>
            <w:shd w:val="clear" w:color="auto" w:fill="auto"/>
          </w:tcPr>
          <w:p>
            <w:pPr>
              <w:spacing w:before="0" w:after="240"/>
              <w:rPr>
                <w:rFonts w:eastAsia="Times New Roman"/>
                <w:noProof/>
                <w:szCs w:val="20"/>
              </w:rPr>
            </w:pPr>
            <w:r>
              <w:rPr>
                <w:noProof/>
              </w:rPr>
              <w:t>Concentrație mai mică sau egală cu 2 %</w:t>
            </w:r>
          </w:p>
        </w:tc>
        <w:tc>
          <w:tcPr>
            <w:tcW w:w="5148" w:type="dxa"/>
            <w:shd w:val="clear" w:color="auto" w:fill="auto"/>
          </w:tcPr>
          <w:p>
            <w:pPr>
              <w:tabs>
                <w:tab w:val="left" w:pos="2160"/>
              </w:tabs>
              <w:spacing w:before="0" w:after="240"/>
              <w:jc w:val="center"/>
              <w:rPr>
                <w:rFonts w:eastAsia="Times New Roman"/>
                <w:noProof/>
                <w:szCs w:val="20"/>
              </w:rPr>
            </w:pPr>
            <w:r>
              <w:rPr>
                <w:noProof/>
              </w:rPr>
              <w:t xml:space="preserve"> ± 20 % din valoarea declarată </w:t>
            </w:r>
          </w:p>
        </w:tc>
      </w:tr>
      <w:tr>
        <w:tc>
          <w:tcPr>
            <w:tcW w:w="3749" w:type="dxa"/>
            <w:shd w:val="clear" w:color="auto" w:fill="auto"/>
          </w:tcPr>
          <w:p>
            <w:pPr>
              <w:spacing w:before="0" w:after="240"/>
              <w:rPr>
                <w:rFonts w:eastAsia="Times New Roman"/>
                <w:noProof/>
                <w:szCs w:val="20"/>
              </w:rPr>
            </w:pPr>
            <w:r>
              <w:rPr>
                <w:noProof/>
              </w:rPr>
              <w:t xml:space="preserve">Concentrație între 2,1 % și 10 % </w:t>
            </w:r>
          </w:p>
        </w:tc>
        <w:tc>
          <w:tcPr>
            <w:tcW w:w="5148" w:type="dxa"/>
            <w:shd w:val="clear" w:color="auto" w:fill="auto"/>
          </w:tcPr>
          <w:p>
            <w:pPr>
              <w:tabs>
                <w:tab w:val="left" w:pos="2160"/>
              </w:tabs>
              <w:spacing w:before="0" w:after="240"/>
              <w:jc w:val="center"/>
              <w:rPr>
                <w:rFonts w:eastAsia="Times New Roman"/>
                <w:noProof/>
                <w:szCs w:val="20"/>
              </w:rPr>
            </w:pPr>
            <w:r>
              <w:rPr>
                <w:noProof/>
              </w:rPr>
              <w:t>± 0,3 puncte procentuale în termeni absoluți</w:t>
            </w:r>
          </w:p>
        </w:tc>
      </w:tr>
      <w:tr>
        <w:tc>
          <w:tcPr>
            <w:tcW w:w="3749" w:type="dxa"/>
            <w:shd w:val="clear" w:color="auto" w:fill="auto"/>
          </w:tcPr>
          <w:p>
            <w:pPr>
              <w:spacing w:before="0" w:after="240"/>
              <w:rPr>
                <w:rFonts w:eastAsia="Times New Roman"/>
                <w:noProof/>
                <w:szCs w:val="20"/>
              </w:rPr>
            </w:pPr>
            <w:r>
              <w:rPr>
                <w:noProof/>
              </w:rPr>
              <w:t xml:space="preserve">Concentrație de peste 10 % </w:t>
            </w:r>
          </w:p>
        </w:tc>
        <w:tc>
          <w:tcPr>
            <w:tcW w:w="5148" w:type="dxa"/>
            <w:shd w:val="clear" w:color="auto" w:fill="auto"/>
          </w:tcPr>
          <w:p>
            <w:pPr>
              <w:tabs>
                <w:tab w:val="left" w:pos="2160"/>
              </w:tabs>
              <w:spacing w:before="0" w:after="240"/>
              <w:jc w:val="center"/>
              <w:rPr>
                <w:rFonts w:eastAsia="Times New Roman"/>
                <w:noProof/>
                <w:szCs w:val="20"/>
              </w:rPr>
            </w:pPr>
            <w:r>
              <w:rPr>
                <w:noProof/>
              </w:rPr>
              <w:t>± 1,0 puncte procentuale în termeni absoluți</w:t>
            </w:r>
          </w:p>
        </w:tc>
      </w:tr>
    </w:tbl>
    <w:p>
      <w:pPr>
        <w:rPr>
          <w:rFonts w:eastAsia="Times New Roman"/>
          <w:noProof/>
          <w:szCs w:val="20"/>
        </w:rPr>
      </w:pPr>
      <w:r>
        <w:rPr>
          <w:noProof/>
        </w:rPr>
        <w:t xml:space="preserve">Carbon organic: Deviație relativă de ± 20 % din valoarea declarată, până la o valoare maximă de 2,0 puncte procentuale în termeni absoluți </w:t>
      </w:r>
    </w:p>
    <w:p>
      <w:pPr>
        <w:rPr>
          <w:rFonts w:eastAsia="Times New Roman"/>
          <w:noProof/>
          <w:szCs w:val="20"/>
        </w:rPr>
      </w:pPr>
      <w:r>
        <w:rPr>
          <w:noProof/>
        </w:rPr>
        <w:t>Azot organic: Deviație relativă de ± 50 % din valoarea declarată, până la o valoare maximă de 1,0 puncte procentuale în termeni absoluți</w:t>
      </w:r>
    </w:p>
    <w:p>
      <w:pPr>
        <w:rPr>
          <w:noProof/>
        </w:rPr>
      </w:pPr>
      <w:r>
        <w:rPr>
          <w:noProof/>
        </w:rPr>
        <w:t xml:space="preserve">Cupru (Cu) total </w:t>
      </w:r>
      <w:r>
        <w:rPr>
          <w:noProof/>
        </w:rPr>
        <w:tab/>
        <w:t>Deviație relativă de ± 50 % din valoarea declarată, până la o valoare maximă de 2,5 puncte procentuale în termeni absoluți</w:t>
      </w:r>
    </w:p>
    <w:p>
      <w:pPr>
        <w:rPr>
          <w:noProof/>
        </w:rPr>
      </w:pPr>
      <w:r>
        <w:rPr>
          <w:noProof/>
        </w:rPr>
        <w:t>Zinc (Zn) total</w:t>
      </w:r>
      <w:r>
        <w:rPr>
          <w:noProof/>
        </w:rPr>
        <w:tab/>
        <w:t>Deviație relativă de ± 50 % din valoarea declarată, până la o valoare maximă de 2,0 puncte procentuale în termeni absoluți</w:t>
      </w:r>
    </w:p>
    <w:p>
      <w:pPr>
        <w:rPr>
          <w:rFonts w:eastAsia="Times New Roman"/>
          <w:noProof/>
          <w:szCs w:val="20"/>
        </w:rPr>
      </w:pPr>
      <w:r>
        <w:rPr>
          <w:noProof/>
        </w:rPr>
        <w:t>Conținutul de substanță uscată: ± 5,0 puncte procentuale în termeni absoluți</w:t>
      </w:r>
    </w:p>
    <w:p>
      <w:pPr>
        <w:rPr>
          <w:noProof/>
        </w:rPr>
      </w:pPr>
      <w:r>
        <w:rPr>
          <w:noProof/>
        </w:rPr>
        <w:t>Cantitate: Deviație relativă de -5 % față de valoarea declarată</w:t>
      </w:r>
    </w:p>
    <w:p>
      <w:pPr>
        <w:pStyle w:val="ManualHeading2"/>
        <w:rPr>
          <w:noProof/>
        </w:rPr>
      </w:pPr>
      <w:r>
        <w:rPr>
          <w:noProof/>
        </w:rPr>
        <w:t>CFP 1(C): Îngrășământ anorganic</w:t>
      </w:r>
    </w:p>
    <w:p>
      <w:pPr>
        <w:pStyle w:val="ManualHeading3"/>
        <w:rPr>
          <w:noProof/>
        </w:rPr>
      </w:pPr>
      <w:r>
        <w:rPr>
          <w:b/>
          <w:noProof/>
        </w:rPr>
        <w:t>CFP 1(C)(I): Îngrășământ anorganic cu macroelemente</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960"/>
        <w:gridCol w:w="1320"/>
        <w:gridCol w:w="1320"/>
        <w:gridCol w:w="1080"/>
        <w:gridCol w:w="1200"/>
        <w:gridCol w:w="2160"/>
      </w:tblGrid>
      <w:tr>
        <w:tc>
          <w:tcPr>
            <w:tcW w:w="8988" w:type="dxa"/>
            <w:gridSpan w:val="7"/>
            <w:shd w:val="clear" w:color="auto" w:fill="auto"/>
          </w:tcPr>
          <w:p>
            <w:pPr>
              <w:keepNext/>
              <w:spacing w:before="0"/>
              <w:rPr>
                <w:rFonts w:eastAsia="Times New Roman"/>
                <w:noProof/>
                <w:szCs w:val="20"/>
              </w:rPr>
            </w:pPr>
            <w:r>
              <w:rPr>
                <w:b/>
                <w:noProof/>
              </w:rPr>
              <w:t>Toleranța admisă pentru conținutul declarat de macroelemente sub diferite forme</w:t>
            </w:r>
          </w:p>
        </w:tc>
      </w:tr>
      <w:tr>
        <w:tc>
          <w:tcPr>
            <w:tcW w:w="948" w:type="dxa"/>
            <w:shd w:val="clear" w:color="auto" w:fill="auto"/>
          </w:tcPr>
          <w:p>
            <w:pPr>
              <w:keepNext/>
              <w:spacing w:before="0"/>
              <w:rPr>
                <w:rFonts w:eastAsia="Times New Roman"/>
                <w:noProof/>
                <w:szCs w:val="20"/>
              </w:rPr>
            </w:pPr>
            <w:r>
              <w:rPr>
                <w:noProof/>
              </w:rPr>
              <w:t>N</w:t>
            </w:r>
          </w:p>
        </w:tc>
        <w:tc>
          <w:tcPr>
            <w:tcW w:w="960" w:type="dxa"/>
            <w:shd w:val="clear" w:color="auto" w:fill="auto"/>
          </w:tcPr>
          <w:p>
            <w:pPr>
              <w:keepNext/>
              <w:spacing w:before="0"/>
              <w:rPr>
                <w:rFonts w:eastAsia="Times New Roman"/>
                <w:noProof/>
                <w:szCs w:val="20"/>
              </w:rPr>
            </w:pPr>
            <w:r>
              <w:rPr>
                <w:noProof/>
              </w:rPr>
              <w:t>P</w:t>
            </w:r>
            <w:r>
              <w:rPr>
                <w:noProof/>
                <w:vertAlign w:val="subscript"/>
              </w:rPr>
              <w:t>2</w:t>
            </w:r>
            <w:r>
              <w:rPr>
                <w:noProof/>
              </w:rPr>
              <w:t>O</w:t>
            </w:r>
            <w:r>
              <w:rPr>
                <w:noProof/>
                <w:vertAlign w:val="subscript"/>
              </w:rPr>
              <w:t>5</w:t>
            </w:r>
          </w:p>
        </w:tc>
        <w:tc>
          <w:tcPr>
            <w:tcW w:w="1320" w:type="dxa"/>
            <w:shd w:val="clear" w:color="auto" w:fill="auto"/>
          </w:tcPr>
          <w:p>
            <w:pPr>
              <w:keepNext/>
              <w:spacing w:before="0"/>
              <w:rPr>
                <w:rFonts w:eastAsia="Times New Roman"/>
                <w:noProof/>
                <w:szCs w:val="20"/>
              </w:rPr>
            </w:pPr>
            <w:r>
              <w:rPr>
                <w:noProof/>
              </w:rPr>
              <w:t>K</w:t>
            </w:r>
            <w:r>
              <w:rPr>
                <w:noProof/>
                <w:vertAlign w:val="subscript"/>
              </w:rPr>
              <w:t>2</w:t>
            </w:r>
            <w:r>
              <w:rPr>
                <w:noProof/>
              </w:rPr>
              <w:t>O</w:t>
            </w:r>
          </w:p>
        </w:tc>
        <w:tc>
          <w:tcPr>
            <w:tcW w:w="1320" w:type="dxa"/>
            <w:shd w:val="clear" w:color="auto" w:fill="auto"/>
          </w:tcPr>
          <w:p>
            <w:pPr>
              <w:keepNext/>
              <w:spacing w:before="0"/>
              <w:rPr>
                <w:rFonts w:eastAsia="Times New Roman"/>
                <w:noProof/>
                <w:szCs w:val="20"/>
              </w:rPr>
            </w:pPr>
            <w:r>
              <w:rPr>
                <w:noProof/>
              </w:rPr>
              <w:t>MgO</w:t>
            </w:r>
          </w:p>
        </w:tc>
        <w:tc>
          <w:tcPr>
            <w:tcW w:w="1080" w:type="dxa"/>
            <w:shd w:val="clear" w:color="auto" w:fill="auto"/>
          </w:tcPr>
          <w:p>
            <w:pPr>
              <w:keepNext/>
              <w:spacing w:before="0"/>
              <w:rPr>
                <w:rFonts w:eastAsia="Times New Roman"/>
                <w:noProof/>
                <w:szCs w:val="20"/>
              </w:rPr>
            </w:pPr>
            <w:r>
              <w:rPr>
                <w:noProof/>
              </w:rPr>
              <w:t>CaO</w:t>
            </w:r>
          </w:p>
        </w:tc>
        <w:tc>
          <w:tcPr>
            <w:tcW w:w="1200" w:type="dxa"/>
            <w:shd w:val="clear" w:color="auto" w:fill="auto"/>
          </w:tcPr>
          <w:p>
            <w:pPr>
              <w:keepNext/>
              <w:spacing w:before="0"/>
              <w:rPr>
                <w:rFonts w:eastAsia="Times New Roman"/>
                <w:noProof/>
                <w:szCs w:val="20"/>
              </w:rPr>
            </w:pPr>
            <w:r>
              <w:rPr>
                <w:noProof/>
              </w:rPr>
              <w:t>SO</w:t>
            </w:r>
            <w:r>
              <w:rPr>
                <w:noProof/>
                <w:vertAlign w:val="subscript"/>
              </w:rPr>
              <w:t>3</w:t>
            </w:r>
            <w:r>
              <w:rPr>
                <w:noProof/>
              </w:rPr>
              <w:t xml:space="preserve"> </w:t>
            </w:r>
          </w:p>
        </w:tc>
        <w:tc>
          <w:tcPr>
            <w:tcW w:w="2160" w:type="dxa"/>
            <w:shd w:val="clear" w:color="auto" w:fill="auto"/>
          </w:tcPr>
          <w:p>
            <w:pPr>
              <w:keepNext/>
              <w:spacing w:before="0"/>
              <w:rPr>
                <w:rFonts w:eastAsia="Times New Roman"/>
                <w:noProof/>
                <w:szCs w:val="20"/>
              </w:rPr>
            </w:pPr>
            <w:r>
              <w:rPr>
                <w:noProof/>
              </w:rPr>
              <w:t>Na</w:t>
            </w:r>
            <w:r>
              <w:rPr>
                <w:noProof/>
                <w:vertAlign w:val="subscript"/>
              </w:rPr>
              <w:t>2</w:t>
            </w:r>
            <w:r>
              <w:rPr>
                <w:noProof/>
              </w:rPr>
              <w:t xml:space="preserve">O </w:t>
            </w:r>
          </w:p>
        </w:tc>
      </w:tr>
      <w:tr>
        <w:tc>
          <w:tcPr>
            <w:tcW w:w="3228" w:type="dxa"/>
            <w:gridSpan w:val="3"/>
            <w:shd w:val="clear" w:color="auto" w:fill="auto"/>
          </w:tcPr>
          <w:p>
            <w:pPr>
              <w:spacing w:before="0"/>
              <w:rPr>
                <w:rFonts w:eastAsia="Times New Roman"/>
                <w:noProof/>
                <w:szCs w:val="20"/>
              </w:rPr>
            </w:pPr>
            <w:r>
              <w:rPr>
                <w:noProof/>
              </w:rPr>
              <w:t>Deviație relativă de ± 25 % din conținutul declarat de forme de nutrienți prezente, până la o valoare maximă de 2 puncte procentuale în termeni absoluți.</w:t>
            </w:r>
          </w:p>
        </w:tc>
        <w:tc>
          <w:tcPr>
            <w:tcW w:w="3600" w:type="dxa"/>
            <w:gridSpan w:val="3"/>
            <w:shd w:val="clear" w:color="auto" w:fill="auto"/>
          </w:tcPr>
          <w:p>
            <w:pPr>
              <w:spacing w:before="0"/>
              <w:rPr>
                <w:rFonts w:eastAsia="Times New Roman"/>
                <w:noProof/>
                <w:szCs w:val="20"/>
              </w:rPr>
            </w:pPr>
            <w:r>
              <w:rPr>
                <w:noProof/>
              </w:rPr>
              <w:t>Deviație relativă de ± 25 % din conținutul declarat de respectivii nutrienți, până la o valoare maximă de 1,5 puncte procentuale în termeni absoluți.</w:t>
            </w:r>
          </w:p>
        </w:tc>
        <w:tc>
          <w:tcPr>
            <w:tcW w:w="2160" w:type="dxa"/>
            <w:shd w:val="clear" w:color="auto" w:fill="auto"/>
          </w:tcPr>
          <w:p>
            <w:pPr>
              <w:spacing w:before="0"/>
              <w:rPr>
                <w:rFonts w:eastAsia="Times New Roman"/>
                <w:noProof/>
                <w:sz w:val="22"/>
              </w:rPr>
            </w:pPr>
            <w:r>
              <w:rPr>
                <w:noProof/>
              </w:rPr>
              <w:t>Deviație relativă de ± 25 % din conținutul declarat, până la o valoare maximă de 0,9 puncte procentuale în termeni absoluți</w:t>
            </w:r>
          </w:p>
        </w:tc>
      </w:tr>
    </w:tbl>
    <w:p>
      <w:pPr>
        <w:spacing w:before="240" w:after="240"/>
        <w:outlineLvl w:val="1"/>
        <w:rPr>
          <w:rFonts w:eastAsia="Times New Roman"/>
          <w:noProof/>
          <w:szCs w:val="20"/>
        </w:rPr>
      </w:pPr>
      <w:r>
        <w:rPr>
          <w:noProof/>
        </w:rPr>
        <w:t>Granulometrie: Deviație relativă de ± 10 % aplicabilă procentului declarat de materie care trece printr-o sită specifică</w:t>
      </w:r>
    </w:p>
    <w:p>
      <w:pPr>
        <w:spacing w:before="240" w:after="240"/>
        <w:outlineLvl w:val="1"/>
        <w:rPr>
          <w:rFonts w:eastAsia="Times New Roman"/>
          <w:noProof/>
          <w:szCs w:val="20"/>
        </w:rPr>
      </w:pPr>
      <w:r>
        <w:rPr>
          <w:noProof/>
        </w:rPr>
        <w:t>Cantitate: Deviație relativă de ± 5 % față de valoarea declarată</w:t>
      </w:r>
    </w:p>
    <w:p>
      <w:pPr>
        <w:pStyle w:val="ManualHeading3"/>
        <w:rPr>
          <w:noProof/>
        </w:rPr>
      </w:pPr>
      <w:r>
        <w:rPr>
          <w:b/>
          <w:noProof/>
        </w:rPr>
        <w:t>CFP 1(C)(II): Îngrășământ anorganic cu oligoelemente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5148"/>
      </w:tblGrid>
      <w:tr>
        <w:trPr>
          <w:trHeight w:val="996"/>
        </w:trPr>
        <w:tc>
          <w:tcPr>
            <w:tcW w:w="3749" w:type="dxa"/>
            <w:shd w:val="clear" w:color="auto" w:fill="auto"/>
          </w:tcPr>
          <w:p>
            <w:pPr>
              <w:keepNext/>
              <w:spacing w:before="0" w:after="240"/>
              <w:rPr>
                <w:rFonts w:eastAsia="Times New Roman"/>
                <w:b/>
                <w:noProof/>
                <w:szCs w:val="20"/>
              </w:rPr>
            </w:pPr>
            <w:r>
              <w:rPr>
                <w:b/>
                <w:noProof/>
              </w:rPr>
              <w:t xml:space="preserve">Îngrășăminte cu oligoelemente </w:t>
            </w:r>
          </w:p>
        </w:tc>
        <w:tc>
          <w:tcPr>
            <w:tcW w:w="5148" w:type="dxa"/>
            <w:shd w:val="clear" w:color="auto" w:fill="auto"/>
          </w:tcPr>
          <w:p>
            <w:pPr>
              <w:keepNext/>
              <w:tabs>
                <w:tab w:val="left" w:pos="2160"/>
              </w:tabs>
              <w:spacing w:before="0" w:after="240"/>
              <w:ind w:right="648"/>
              <w:jc w:val="center"/>
              <w:rPr>
                <w:rFonts w:eastAsia="Times New Roman"/>
                <w:b/>
                <w:noProof/>
                <w:szCs w:val="20"/>
              </w:rPr>
            </w:pPr>
            <w:r>
              <w:rPr>
                <w:b/>
                <w:noProof/>
              </w:rPr>
              <w:t xml:space="preserve">Toleranța admisă pentru conținutul declarat de oligoelemente sub diferite forme </w:t>
            </w:r>
          </w:p>
        </w:tc>
      </w:tr>
      <w:tr>
        <w:tc>
          <w:tcPr>
            <w:tcW w:w="3749" w:type="dxa"/>
            <w:shd w:val="clear" w:color="auto" w:fill="auto"/>
          </w:tcPr>
          <w:p>
            <w:pPr>
              <w:spacing w:before="0" w:after="240"/>
              <w:rPr>
                <w:rFonts w:eastAsia="Times New Roman"/>
                <w:noProof/>
                <w:szCs w:val="20"/>
              </w:rPr>
            </w:pPr>
            <w:r>
              <w:rPr>
                <w:noProof/>
              </w:rPr>
              <w:t>Concentrație mai mică sau egală cu 2 %</w:t>
            </w:r>
          </w:p>
        </w:tc>
        <w:tc>
          <w:tcPr>
            <w:tcW w:w="5148" w:type="dxa"/>
            <w:shd w:val="clear" w:color="auto" w:fill="auto"/>
          </w:tcPr>
          <w:p>
            <w:pPr>
              <w:tabs>
                <w:tab w:val="left" w:pos="2160"/>
              </w:tabs>
              <w:spacing w:before="0" w:after="240"/>
              <w:jc w:val="center"/>
              <w:rPr>
                <w:rFonts w:eastAsia="Times New Roman"/>
                <w:noProof/>
                <w:szCs w:val="20"/>
              </w:rPr>
            </w:pPr>
            <w:r>
              <w:rPr>
                <w:noProof/>
              </w:rPr>
              <w:t xml:space="preserve"> ± 20 % din valoarea declarată</w:t>
            </w:r>
          </w:p>
        </w:tc>
      </w:tr>
      <w:tr>
        <w:tc>
          <w:tcPr>
            <w:tcW w:w="3749" w:type="dxa"/>
            <w:shd w:val="clear" w:color="auto" w:fill="auto"/>
          </w:tcPr>
          <w:p>
            <w:pPr>
              <w:spacing w:before="0" w:after="240"/>
              <w:rPr>
                <w:rFonts w:eastAsia="Times New Roman"/>
                <w:noProof/>
                <w:szCs w:val="20"/>
              </w:rPr>
            </w:pPr>
            <w:r>
              <w:rPr>
                <w:noProof/>
              </w:rPr>
              <w:t>Concentrație între 2,1 % și 10 %</w:t>
            </w:r>
          </w:p>
        </w:tc>
        <w:tc>
          <w:tcPr>
            <w:tcW w:w="5148" w:type="dxa"/>
            <w:shd w:val="clear" w:color="auto" w:fill="auto"/>
          </w:tcPr>
          <w:p>
            <w:pPr>
              <w:tabs>
                <w:tab w:val="left" w:pos="2160"/>
              </w:tabs>
              <w:spacing w:before="0" w:after="240"/>
              <w:jc w:val="center"/>
              <w:rPr>
                <w:rFonts w:eastAsia="Times New Roman"/>
                <w:noProof/>
                <w:szCs w:val="20"/>
              </w:rPr>
            </w:pPr>
            <w:r>
              <w:rPr>
                <w:noProof/>
              </w:rPr>
              <w:t>± 0,3 puncte procentuale în termeni absoluți</w:t>
            </w:r>
          </w:p>
        </w:tc>
      </w:tr>
      <w:tr>
        <w:tc>
          <w:tcPr>
            <w:tcW w:w="3749" w:type="dxa"/>
            <w:shd w:val="clear" w:color="auto" w:fill="auto"/>
          </w:tcPr>
          <w:p>
            <w:pPr>
              <w:spacing w:before="0" w:after="240"/>
              <w:rPr>
                <w:rFonts w:eastAsia="Times New Roman"/>
                <w:noProof/>
                <w:szCs w:val="20"/>
              </w:rPr>
            </w:pPr>
            <w:r>
              <w:rPr>
                <w:noProof/>
              </w:rPr>
              <w:t>Concentrație de peste 10 %</w:t>
            </w:r>
          </w:p>
        </w:tc>
        <w:tc>
          <w:tcPr>
            <w:tcW w:w="5148" w:type="dxa"/>
            <w:shd w:val="clear" w:color="auto" w:fill="auto"/>
          </w:tcPr>
          <w:p>
            <w:pPr>
              <w:tabs>
                <w:tab w:val="left" w:pos="2160"/>
              </w:tabs>
              <w:spacing w:before="0" w:after="240"/>
              <w:jc w:val="center"/>
              <w:rPr>
                <w:rFonts w:eastAsia="Times New Roman"/>
                <w:noProof/>
                <w:szCs w:val="20"/>
              </w:rPr>
            </w:pPr>
            <w:r>
              <w:rPr>
                <w:noProof/>
              </w:rPr>
              <w:t>± 1,0 puncte procentuale în termeni absoluți</w:t>
            </w:r>
          </w:p>
        </w:tc>
      </w:tr>
    </w:tbl>
    <w:p>
      <w:pPr>
        <w:spacing w:before="240" w:after="240"/>
        <w:outlineLvl w:val="1"/>
        <w:rPr>
          <w:rFonts w:eastAsia="Times New Roman"/>
          <w:noProof/>
          <w:szCs w:val="20"/>
        </w:rPr>
      </w:pPr>
      <w:r>
        <w:rPr>
          <w:noProof/>
        </w:rPr>
        <w:t>Cantitate: Deviație relativă de ± 5 % față de valoarea declarată</w:t>
      </w:r>
    </w:p>
    <w:p>
      <w:pPr>
        <w:pStyle w:val="ManualHeading1"/>
        <w:rPr>
          <w:noProof/>
        </w:rPr>
      </w:pPr>
      <w:r>
        <w:rPr>
          <w:noProof/>
        </w:rPr>
        <w:t>CFP 2: Amendamente minerale bazice</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394"/>
      </w:tblGrid>
      <w:tr>
        <w:tc>
          <w:tcPr>
            <w:tcW w:w="4537" w:type="dxa"/>
            <w:shd w:val="clear" w:color="auto" w:fill="auto"/>
          </w:tcPr>
          <w:p>
            <w:pPr>
              <w:keepNext/>
              <w:spacing w:before="0" w:after="240"/>
              <w:rPr>
                <w:rFonts w:eastAsia="Times New Roman"/>
                <w:b/>
                <w:noProof/>
                <w:szCs w:val="20"/>
              </w:rPr>
            </w:pPr>
          </w:p>
        </w:tc>
        <w:tc>
          <w:tcPr>
            <w:tcW w:w="4394" w:type="dxa"/>
            <w:shd w:val="clear" w:color="auto" w:fill="auto"/>
          </w:tcPr>
          <w:p>
            <w:pPr>
              <w:keepNext/>
              <w:spacing w:before="0" w:after="240"/>
              <w:rPr>
                <w:rFonts w:eastAsia="Times New Roman"/>
                <w:b/>
                <w:noProof/>
                <w:szCs w:val="20"/>
              </w:rPr>
            </w:pPr>
            <w:r>
              <w:rPr>
                <w:b/>
                <w:noProof/>
              </w:rPr>
              <w:t>Toleranțe admise pentru parametrul declarat</w:t>
            </w:r>
          </w:p>
        </w:tc>
      </w:tr>
      <w:tr>
        <w:tc>
          <w:tcPr>
            <w:tcW w:w="4537" w:type="dxa"/>
            <w:shd w:val="clear" w:color="auto" w:fill="auto"/>
          </w:tcPr>
          <w:p>
            <w:pPr>
              <w:spacing w:before="0"/>
              <w:rPr>
                <w:rFonts w:eastAsia="Times New Roman"/>
                <w:noProof/>
                <w:szCs w:val="20"/>
              </w:rPr>
            </w:pPr>
            <w:r>
              <w:rPr>
                <w:noProof/>
              </w:rPr>
              <w:t>Valoare neutralizantă</w:t>
            </w:r>
          </w:p>
        </w:tc>
        <w:tc>
          <w:tcPr>
            <w:tcW w:w="4394" w:type="dxa"/>
            <w:shd w:val="clear" w:color="auto" w:fill="auto"/>
          </w:tcPr>
          <w:p>
            <w:pPr>
              <w:spacing w:before="0"/>
              <w:rPr>
                <w:rFonts w:eastAsia="Times New Roman"/>
                <w:noProof/>
                <w:szCs w:val="20"/>
              </w:rPr>
            </w:pPr>
            <w:r>
              <w:rPr>
                <w:noProof/>
              </w:rPr>
              <w:t>± 3</w:t>
            </w:r>
          </w:p>
        </w:tc>
      </w:tr>
      <w:tr>
        <w:tc>
          <w:tcPr>
            <w:tcW w:w="4537" w:type="dxa"/>
            <w:shd w:val="clear" w:color="auto" w:fill="auto"/>
          </w:tcPr>
          <w:p>
            <w:pPr>
              <w:spacing w:before="0"/>
              <w:rPr>
                <w:rFonts w:eastAsia="Times New Roman"/>
                <w:noProof/>
                <w:szCs w:val="20"/>
              </w:rPr>
            </w:pPr>
            <w:r>
              <w:rPr>
                <w:noProof/>
              </w:rPr>
              <w:t>Granulometrie</w:t>
            </w:r>
          </w:p>
        </w:tc>
        <w:tc>
          <w:tcPr>
            <w:tcW w:w="4394" w:type="dxa"/>
            <w:shd w:val="clear" w:color="auto" w:fill="auto"/>
          </w:tcPr>
          <w:p>
            <w:pPr>
              <w:spacing w:before="0"/>
              <w:rPr>
                <w:rFonts w:eastAsia="Times New Roman"/>
                <w:noProof/>
                <w:szCs w:val="20"/>
              </w:rPr>
            </w:pPr>
            <w:r>
              <w:rPr>
                <w:noProof/>
              </w:rPr>
              <w:t>Deviație relativă de ± 10 % aplicabilă procentului declarat de materie care trece printr-o sită specifică.</w:t>
            </w:r>
          </w:p>
        </w:tc>
      </w:tr>
      <w:tr>
        <w:trPr>
          <w:trHeight w:val="263"/>
        </w:trPr>
        <w:tc>
          <w:tcPr>
            <w:tcW w:w="4537" w:type="dxa"/>
            <w:shd w:val="clear" w:color="auto" w:fill="auto"/>
          </w:tcPr>
          <w:p>
            <w:pPr>
              <w:spacing w:before="0"/>
              <w:rPr>
                <w:rFonts w:eastAsia="Times New Roman"/>
                <w:noProof/>
                <w:szCs w:val="20"/>
              </w:rPr>
            </w:pPr>
            <w:r>
              <w:rPr>
                <w:noProof/>
              </w:rPr>
              <w:t>Oxid de calciu total</w:t>
            </w:r>
          </w:p>
        </w:tc>
        <w:tc>
          <w:tcPr>
            <w:tcW w:w="4394" w:type="dxa"/>
            <w:shd w:val="clear" w:color="auto" w:fill="auto"/>
          </w:tcPr>
          <w:p>
            <w:pPr>
              <w:spacing w:before="0"/>
              <w:rPr>
                <w:rFonts w:eastAsia="Times New Roman"/>
                <w:noProof/>
                <w:szCs w:val="20"/>
              </w:rPr>
            </w:pPr>
            <w:r>
              <w:rPr>
                <w:noProof/>
              </w:rPr>
              <w:t>± 3 puncte procentuale în termeni absoluți</w:t>
            </w:r>
          </w:p>
        </w:tc>
      </w:tr>
      <w:tr>
        <w:trPr>
          <w:trHeight w:val="263"/>
        </w:trPr>
        <w:tc>
          <w:tcPr>
            <w:tcW w:w="4537" w:type="dxa"/>
            <w:shd w:val="clear" w:color="auto" w:fill="auto"/>
          </w:tcPr>
          <w:p>
            <w:pPr>
              <w:spacing w:before="0"/>
              <w:rPr>
                <w:rFonts w:eastAsia="Times New Roman"/>
                <w:noProof/>
                <w:szCs w:val="20"/>
              </w:rPr>
            </w:pPr>
            <w:r>
              <w:rPr>
                <w:noProof/>
              </w:rPr>
              <w:t>Oxid de magneziu total</w:t>
            </w:r>
          </w:p>
          <w:p>
            <w:pPr>
              <w:tabs>
                <w:tab w:val="num" w:pos="284"/>
              </w:tabs>
              <w:spacing w:before="0"/>
              <w:ind w:left="284" w:hanging="284"/>
              <w:rPr>
                <w:rFonts w:eastAsia="Times New Roman"/>
                <w:noProof/>
                <w:szCs w:val="20"/>
              </w:rPr>
            </w:pPr>
            <w:r>
              <w:rPr>
                <w:noProof/>
              </w:rPr>
              <w:t>Concentrație sub 8 %</w:t>
            </w:r>
          </w:p>
          <w:p>
            <w:pPr>
              <w:tabs>
                <w:tab w:val="num" w:pos="284"/>
              </w:tabs>
              <w:spacing w:before="0"/>
              <w:ind w:left="284" w:hanging="284"/>
              <w:rPr>
                <w:rFonts w:eastAsia="Times New Roman"/>
                <w:noProof/>
                <w:szCs w:val="20"/>
              </w:rPr>
            </w:pPr>
            <w:r>
              <w:rPr>
                <w:noProof/>
              </w:rPr>
              <w:t>Concentrație între 8 și 16 %</w:t>
            </w:r>
          </w:p>
          <w:p>
            <w:pPr>
              <w:tabs>
                <w:tab w:val="num" w:pos="284"/>
              </w:tabs>
              <w:spacing w:before="0"/>
              <w:ind w:left="284" w:hanging="284"/>
              <w:rPr>
                <w:rFonts w:eastAsia="Times New Roman"/>
                <w:noProof/>
                <w:szCs w:val="20"/>
              </w:rPr>
            </w:pPr>
            <w:r>
              <w:rPr>
                <w:noProof/>
              </w:rPr>
              <w:t>Concentrație mai mare sau egală cu 16 %</w:t>
            </w:r>
          </w:p>
        </w:tc>
        <w:tc>
          <w:tcPr>
            <w:tcW w:w="4394" w:type="dxa"/>
            <w:shd w:val="clear" w:color="auto" w:fill="auto"/>
          </w:tcPr>
          <w:p>
            <w:pPr>
              <w:spacing w:before="0"/>
              <w:rPr>
                <w:rFonts w:eastAsia="Times New Roman"/>
                <w:noProof/>
                <w:szCs w:val="20"/>
              </w:rPr>
            </w:pPr>
          </w:p>
          <w:p>
            <w:pPr>
              <w:spacing w:before="0"/>
              <w:rPr>
                <w:rFonts w:eastAsia="Times New Roman"/>
                <w:noProof/>
                <w:szCs w:val="20"/>
              </w:rPr>
            </w:pPr>
            <w:r>
              <w:rPr>
                <w:noProof/>
              </w:rPr>
              <w:t>± 1,0 puncte procentuale în termeni absoluți</w:t>
            </w:r>
          </w:p>
          <w:p>
            <w:pPr>
              <w:spacing w:before="0"/>
              <w:rPr>
                <w:rFonts w:eastAsia="Times New Roman"/>
                <w:noProof/>
                <w:szCs w:val="20"/>
              </w:rPr>
            </w:pPr>
            <w:r>
              <w:rPr>
                <w:noProof/>
              </w:rPr>
              <w:t>± 2,0 puncte procentuale în termeni absoluți</w:t>
            </w:r>
          </w:p>
          <w:p>
            <w:pPr>
              <w:spacing w:before="0"/>
              <w:rPr>
                <w:rFonts w:eastAsia="Times New Roman"/>
                <w:noProof/>
                <w:szCs w:val="20"/>
              </w:rPr>
            </w:pPr>
            <w:r>
              <w:rPr>
                <w:noProof/>
              </w:rPr>
              <w:t>± 3,0 puncte procentuale în termeni absoluți</w:t>
            </w:r>
          </w:p>
        </w:tc>
      </w:tr>
      <w:tr>
        <w:trPr>
          <w:trHeight w:val="262"/>
        </w:trPr>
        <w:tc>
          <w:tcPr>
            <w:tcW w:w="4537" w:type="dxa"/>
            <w:shd w:val="clear" w:color="auto" w:fill="auto"/>
          </w:tcPr>
          <w:p>
            <w:pPr>
              <w:spacing w:before="0"/>
              <w:rPr>
                <w:rFonts w:eastAsia="Times New Roman"/>
                <w:noProof/>
                <w:szCs w:val="20"/>
              </w:rPr>
            </w:pPr>
            <w:r>
              <w:rPr>
                <w:noProof/>
              </w:rPr>
              <w:t xml:space="preserve">Reactivitate </w:t>
            </w:r>
          </w:p>
        </w:tc>
        <w:tc>
          <w:tcPr>
            <w:tcW w:w="4394" w:type="dxa"/>
            <w:shd w:val="clear" w:color="auto" w:fill="auto"/>
          </w:tcPr>
          <w:p>
            <w:pPr>
              <w:spacing w:before="0"/>
              <w:rPr>
                <w:rFonts w:eastAsia="Times New Roman"/>
                <w:noProof/>
                <w:szCs w:val="20"/>
              </w:rPr>
            </w:pPr>
            <w:r>
              <w:rPr>
                <w:noProof/>
              </w:rPr>
              <w:t>± 15 puncte procentuale în termeni absoluți</w:t>
            </w:r>
          </w:p>
        </w:tc>
      </w:tr>
      <w:tr>
        <w:trPr>
          <w:trHeight w:val="262"/>
        </w:trPr>
        <w:tc>
          <w:tcPr>
            <w:tcW w:w="4537" w:type="dxa"/>
            <w:shd w:val="clear" w:color="auto" w:fill="auto"/>
          </w:tcPr>
          <w:p>
            <w:pPr>
              <w:spacing w:before="0"/>
              <w:rPr>
                <w:rFonts w:eastAsia="Times New Roman"/>
                <w:noProof/>
                <w:szCs w:val="20"/>
              </w:rPr>
            </w:pPr>
            <w:r>
              <w:rPr>
                <w:noProof/>
              </w:rPr>
              <w:t>cantitate</w:t>
            </w:r>
          </w:p>
        </w:tc>
        <w:tc>
          <w:tcPr>
            <w:tcW w:w="4394" w:type="dxa"/>
            <w:shd w:val="clear" w:color="auto" w:fill="auto"/>
          </w:tcPr>
          <w:p>
            <w:pPr>
              <w:spacing w:before="0"/>
              <w:rPr>
                <w:rFonts w:eastAsia="Times New Roman"/>
                <w:noProof/>
                <w:szCs w:val="20"/>
              </w:rPr>
            </w:pPr>
            <w:r>
              <w:rPr>
                <w:noProof/>
              </w:rPr>
              <w:t>Deviație relativă de - 5 % aplicabilă valorii declarate</w:t>
            </w:r>
          </w:p>
        </w:tc>
      </w:tr>
    </w:tbl>
    <w:p>
      <w:pPr>
        <w:pStyle w:val="ManualHeading1"/>
        <w:rPr>
          <w:noProof/>
        </w:rPr>
      </w:pPr>
      <w:r>
        <w:rPr>
          <w:noProof/>
        </w:rPr>
        <w:t>CFP 3: Ameliorator de sol</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961"/>
      </w:tblGrid>
      <w:tr>
        <w:tc>
          <w:tcPr>
            <w:tcW w:w="3828" w:type="dxa"/>
            <w:shd w:val="clear" w:color="auto" w:fill="auto"/>
          </w:tcPr>
          <w:p>
            <w:pPr>
              <w:keepNext/>
              <w:spacing w:before="0" w:after="240"/>
              <w:rPr>
                <w:rFonts w:eastAsia="Times New Roman"/>
                <w:b/>
                <w:noProof/>
                <w:szCs w:val="20"/>
              </w:rPr>
            </w:pPr>
            <w:r>
              <w:rPr>
                <w:b/>
                <w:noProof/>
              </w:rPr>
              <w:t>Forme de nutrienți declarați și alte criterii de calitate declarate</w:t>
            </w:r>
          </w:p>
        </w:tc>
        <w:tc>
          <w:tcPr>
            <w:tcW w:w="4961" w:type="dxa"/>
            <w:shd w:val="clear" w:color="auto" w:fill="auto"/>
          </w:tcPr>
          <w:p>
            <w:pPr>
              <w:keepNext/>
              <w:spacing w:before="0" w:after="240"/>
              <w:rPr>
                <w:rFonts w:eastAsia="Times New Roman"/>
                <w:b/>
                <w:noProof/>
                <w:szCs w:val="20"/>
              </w:rPr>
            </w:pPr>
            <w:r>
              <w:rPr>
                <w:b/>
                <w:noProof/>
              </w:rPr>
              <w:t>Toleranțe admise pentru parametrul declarat</w:t>
            </w:r>
          </w:p>
        </w:tc>
      </w:tr>
      <w:tr>
        <w:tc>
          <w:tcPr>
            <w:tcW w:w="3828" w:type="dxa"/>
            <w:shd w:val="clear" w:color="auto" w:fill="auto"/>
          </w:tcPr>
          <w:p>
            <w:pPr>
              <w:spacing w:before="0"/>
              <w:rPr>
                <w:rFonts w:eastAsia="Times New Roman"/>
                <w:noProof/>
                <w:szCs w:val="20"/>
              </w:rPr>
            </w:pPr>
            <w:r>
              <w:rPr>
                <w:noProof/>
              </w:rPr>
              <w:t>pH</w:t>
            </w:r>
          </w:p>
        </w:tc>
        <w:tc>
          <w:tcPr>
            <w:tcW w:w="4961" w:type="dxa"/>
            <w:shd w:val="clear" w:color="auto" w:fill="auto"/>
          </w:tcPr>
          <w:p>
            <w:pPr>
              <w:spacing w:before="0"/>
              <w:rPr>
                <w:rFonts w:eastAsia="Times New Roman"/>
                <w:noProof/>
                <w:szCs w:val="20"/>
              </w:rPr>
            </w:pPr>
            <w:r>
              <w:rPr>
                <w:noProof/>
              </w:rPr>
              <w:t>± 0,7 la momentul fabricării</w:t>
            </w:r>
          </w:p>
          <w:p>
            <w:pPr>
              <w:spacing w:before="0"/>
              <w:rPr>
                <w:rFonts w:eastAsia="Times New Roman"/>
                <w:noProof/>
                <w:szCs w:val="20"/>
              </w:rPr>
            </w:pPr>
            <w:r>
              <w:rPr>
                <w:noProof/>
              </w:rPr>
              <w:t xml:space="preserve">± 1,0 la orice moment din lanțul de distribuție </w:t>
            </w:r>
          </w:p>
        </w:tc>
      </w:tr>
      <w:tr>
        <w:tc>
          <w:tcPr>
            <w:tcW w:w="3828" w:type="dxa"/>
            <w:shd w:val="clear" w:color="auto" w:fill="auto"/>
          </w:tcPr>
          <w:p>
            <w:pPr>
              <w:spacing w:before="0"/>
              <w:rPr>
                <w:rFonts w:eastAsia="Times New Roman"/>
                <w:noProof/>
                <w:szCs w:val="20"/>
              </w:rPr>
            </w:pPr>
            <w:r>
              <w:rPr>
                <w:noProof/>
              </w:rPr>
              <w:t>Carbon (C) organic</w:t>
            </w:r>
          </w:p>
        </w:tc>
        <w:tc>
          <w:tcPr>
            <w:tcW w:w="4961" w:type="dxa"/>
            <w:shd w:val="clear" w:color="auto" w:fill="auto"/>
          </w:tcPr>
          <w:p>
            <w:pPr>
              <w:spacing w:before="0"/>
              <w:rPr>
                <w:rFonts w:eastAsia="Times New Roman"/>
                <w:noProof/>
                <w:szCs w:val="20"/>
              </w:rPr>
            </w:pPr>
            <w:r>
              <w:rPr>
                <w:noProof/>
              </w:rPr>
              <w:t>Deviație relativă de ± 10 % din valoarea declarată, până la o valoare maximă de 1,0 puncte procentuale în termeni absoluți</w:t>
            </w:r>
          </w:p>
        </w:tc>
      </w:tr>
      <w:tr>
        <w:trPr>
          <w:trHeight w:val="263"/>
        </w:trPr>
        <w:tc>
          <w:tcPr>
            <w:tcW w:w="3828" w:type="dxa"/>
            <w:shd w:val="clear" w:color="auto" w:fill="auto"/>
          </w:tcPr>
          <w:p>
            <w:pPr>
              <w:spacing w:before="0"/>
              <w:rPr>
                <w:rFonts w:eastAsia="Times New Roman"/>
                <w:noProof/>
                <w:szCs w:val="20"/>
              </w:rPr>
            </w:pPr>
            <w:r>
              <w:rPr>
                <w:noProof/>
              </w:rPr>
              <w:t>Azot (N) total</w:t>
            </w:r>
          </w:p>
        </w:tc>
        <w:tc>
          <w:tcPr>
            <w:tcW w:w="4961" w:type="dxa"/>
            <w:shd w:val="clear" w:color="auto" w:fill="auto"/>
          </w:tcPr>
          <w:p>
            <w:pPr>
              <w:spacing w:before="0"/>
              <w:rPr>
                <w:rFonts w:eastAsia="Times New Roman"/>
                <w:noProof/>
                <w:szCs w:val="20"/>
              </w:rPr>
            </w:pPr>
            <w:r>
              <w:rPr>
                <w:noProof/>
              </w:rPr>
              <w:t>Deviație relativă de ± 20 %, până la o valoare maximă de 1,0 puncte procentuale în termeni absoluți</w:t>
            </w:r>
          </w:p>
        </w:tc>
      </w:tr>
      <w:tr>
        <w:trPr>
          <w:trHeight w:val="263"/>
        </w:trPr>
        <w:tc>
          <w:tcPr>
            <w:tcW w:w="3828" w:type="dxa"/>
            <w:shd w:val="clear" w:color="auto" w:fill="auto"/>
          </w:tcPr>
          <w:p>
            <w:pPr>
              <w:spacing w:before="0"/>
              <w:rPr>
                <w:rFonts w:eastAsia="Times New Roman"/>
                <w:noProof/>
                <w:szCs w:val="20"/>
              </w:rPr>
            </w:pPr>
            <w:r>
              <w:rPr>
                <w:noProof/>
              </w:rPr>
              <w:t>Pentaoxid de fosfor (P</w:t>
            </w:r>
            <w:r>
              <w:rPr>
                <w:noProof/>
                <w:vertAlign w:val="subscript"/>
              </w:rPr>
              <w:t>2</w:t>
            </w:r>
            <w:r>
              <w:rPr>
                <w:noProof/>
              </w:rPr>
              <w:t>O</w:t>
            </w:r>
            <w:r>
              <w:rPr>
                <w:noProof/>
                <w:vertAlign w:val="subscript"/>
              </w:rPr>
              <w:t>5</w:t>
            </w:r>
            <w:r>
              <w:rPr>
                <w:noProof/>
              </w:rPr>
              <w:t>) total</w:t>
            </w:r>
          </w:p>
        </w:tc>
        <w:tc>
          <w:tcPr>
            <w:tcW w:w="4961" w:type="dxa"/>
            <w:shd w:val="clear" w:color="auto" w:fill="auto"/>
          </w:tcPr>
          <w:p>
            <w:pPr>
              <w:spacing w:before="0"/>
              <w:rPr>
                <w:rFonts w:eastAsia="Times New Roman"/>
                <w:noProof/>
                <w:szCs w:val="20"/>
              </w:rPr>
            </w:pPr>
            <w:r>
              <w:rPr>
                <w:noProof/>
              </w:rPr>
              <w:t>Deviație relativă de ± 20 %, până la o valoare maximă de 1,0 puncte procentuale în termeni absoluți</w:t>
            </w:r>
          </w:p>
        </w:tc>
      </w:tr>
      <w:tr>
        <w:trPr>
          <w:trHeight w:val="262"/>
        </w:trPr>
        <w:tc>
          <w:tcPr>
            <w:tcW w:w="3828" w:type="dxa"/>
            <w:shd w:val="clear" w:color="auto" w:fill="auto"/>
          </w:tcPr>
          <w:p>
            <w:pPr>
              <w:spacing w:before="0"/>
              <w:rPr>
                <w:rFonts w:eastAsia="Times New Roman"/>
                <w:noProof/>
                <w:szCs w:val="20"/>
              </w:rPr>
            </w:pPr>
            <w:r>
              <w:rPr>
                <w:noProof/>
              </w:rPr>
              <w:t>Oxid de potasiu (K</w:t>
            </w:r>
            <w:r>
              <w:rPr>
                <w:noProof/>
                <w:vertAlign w:val="subscript"/>
              </w:rPr>
              <w:t>2</w:t>
            </w:r>
            <w:r>
              <w:rPr>
                <w:noProof/>
              </w:rPr>
              <w:t>O) total</w:t>
            </w:r>
          </w:p>
        </w:tc>
        <w:tc>
          <w:tcPr>
            <w:tcW w:w="4961" w:type="dxa"/>
            <w:shd w:val="clear" w:color="auto" w:fill="auto"/>
          </w:tcPr>
          <w:p>
            <w:pPr>
              <w:spacing w:before="0"/>
              <w:rPr>
                <w:rFonts w:eastAsia="Times New Roman"/>
                <w:noProof/>
                <w:szCs w:val="20"/>
              </w:rPr>
            </w:pPr>
            <w:r>
              <w:rPr>
                <w:noProof/>
              </w:rPr>
              <w:t>Deviație relativă de ± 20 %, până la o valoare maximă de 1,0 puncte procentuale în termeni absoluți</w:t>
            </w:r>
          </w:p>
        </w:tc>
      </w:tr>
      <w:tr>
        <w:trPr>
          <w:trHeight w:val="262"/>
        </w:trPr>
        <w:tc>
          <w:tcPr>
            <w:tcW w:w="3828" w:type="dxa"/>
            <w:shd w:val="clear" w:color="auto" w:fill="auto"/>
          </w:tcPr>
          <w:p>
            <w:pPr>
              <w:spacing w:before="0"/>
              <w:rPr>
                <w:rFonts w:eastAsia="Times New Roman"/>
                <w:noProof/>
                <w:szCs w:val="20"/>
              </w:rPr>
            </w:pPr>
            <w:r>
              <w:rPr>
                <w:noProof/>
              </w:rPr>
              <w:t xml:space="preserve">Substanță uscată </w:t>
            </w:r>
          </w:p>
        </w:tc>
        <w:tc>
          <w:tcPr>
            <w:tcW w:w="4961" w:type="dxa"/>
            <w:shd w:val="clear" w:color="auto" w:fill="auto"/>
          </w:tcPr>
          <w:p>
            <w:pPr>
              <w:spacing w:before="0"/>
              <w:rPr>
                <w:rFonts w:eastAsia="Times New Roman"/>
                <w:noProof/>
                <w:szCs w:val="20"/>
              </w:rPr>
            </w:pPr>
            <w:r>
              <w:rPr>
                <w:noProof/>
              </w:rPr>
              <w:t>Deviație relativă de 10 % față de valoarea declarată</w:t>
            </w:r>
          </w:p>
        </w:tc>
      </w:tr>
      <w:tr>
        <w:trPr>
          <w:trHeight w:val="262"/>
        </w:trPr>
        <w:tc>
          <w:tcPr>
            <w:tcW w:w="3828" w:type="dxa"/>
            <w:shd w:val="clear" w:color="auto" w:fill="auto"/>
          </w:tcPr>
          <w:p>
            <w:pPr>
              <w:spacing w:before="0"/>
              <w:rPr>
                <w:rFonts w:eastAsia="Times New Roman"/>
                <w:noProof/>
                <w:szCs w:val="20"/>
              </w:rPr>
            </w:pPr>
            <w:r>
              <w:rPr>
                <w:noProof/>
              </w:rPr>
              <w:t xml:space="preserve">Cantitate </w:t>
            </w:r>
          </w:p>
        </w:tc>
        <w:tc>
          <w:tcPr>
            <w:tcW w:w="4961" w:type="dxa"/>
            <w:shd w:val="clear" w:color="auto" w:fill="auto"/>
          </w:tcPr>
          <w:p>
            <w:pPr>
              <w:spacing w:before="0"/>
              <w:rPr>
                <w:rFonts w:eastAsia="Times New Roman"/>
                <w:noProof/>
                <w:szCs w:val="20"/>
              </w:rPr>
            </w:pPr>
            <w:r>
              <w:rPr>
                <w:noProof/>
              </w:rPr>
              <w:t>Deviație relativă de - 5 % față de valoarea declarată la momentul fabricării</w:t>
            </w:r>
          </w:p>
          <w:p>
            <w:pPr>
              <w:spacing w:before="0"/>
              <w:rPr>
                <w:rFonts w:eastAsia="Times New Roman"/>
                <w:noProof/>
                <w:szCs w:val="20"/>
              </w:rPr>
            </w:pPr>
            <w:r>
              <w:rPr>
                <w:noProof/>
              </w:rPr>
              <w:t>Deviație relativă de - 25 % față de valoarea declarată la orice moment din lanțul de distribuție</w:t>
            </w:r>
          </w:p>
        </w:tc>
      </w:tr>
      <w:tr>
        <w:trPr>
          <w:trHeight w:val="262"/>
        </w:trPr>
        <w:tc>
          <w:tcPr>
            <w:tcW w:w="3828" w:type="dxa"/>
            <w:shd w:val="clear" w:color="auto" w:fill="auto"/>
          </w:tcPr>
          <w:p>
            <w:pPr>
              <w:spacing w:before="0"/>
              <w:rPr>
                <w:rFonts w:eastAsia="Times New Roman"/>
                <w:noProof/>
                <w:szCs w:val="20"/>
              </w:rPr>
            </w:pPr>
            <w:r>
              <w:rPr>
                <w:noProof/>
              </w:rPr>
              <w:t>Carbon (C) org. /Azot(N) org.</w:t>
            </w:r>
          </w:p>
        </w:tc>
        <w:tc>
          <w:tcPr>
            <w:tcW w:w="4961" w:type="dxa"/>
            <w:shd w:val="clear" w:color="auto" w:fill="auto"/>
          </w:tcPr>
          <w:p>
            <w:pPr>
              <w:spacing w:before="0"/>
              <w:rPr>
                <w:rFonts w:eastAsia="Times New Roman"/>
                <w:noProof/>
                <w:szCs w:val="20"/>
              </w:rPr>
            </w:pPr>
            <w:r>
              <w:rPr>
                <w:noProof/>
              </w:rPr>
              <w:t>Deviație relativă de ± 20 % din valoarea declarată, până la o valoare maximă de 2,0 puncte procentuale în termeni absoluți</w:t>
            </w:r>
          </w:p>
        </w:tc>
      </w:tr>
      <w:tr>
        <w:trPr>
          <w:trHeight w:val="262"/>
        </w:trPr>
        <w:tc>
          <w:tcPr>
            <w:tcW w:w="3828" w:type="dxa"/>
            <w:shd w:val="clear" w:color="auto" w:fill="auto"/>
          </w:tcPr>
          <w:p>
            <w:pPr>
              <w:spacing w:before="0"/>
              <w:rPr>
                <w:rFonts w:eastAsia="Times New Roman"/>
                <w:noProof/>
                <w:szCs w:val="20"/>
              </w:rPr>
            </w:pPr>
            <w:r>
              <w:rPr>
                <w:noProof/>
              </w:rPr>
              <w:t xml:space="preserve">Granulometrie </w:t>
            </w:r>
          </w:p>
        </w:tc>
        <w:tc>
          <w:tcPr>
            <w:tcW w:w="4961" w:type="dxa"/>
            <w:shd w:val="clear" w:color="auto" w:fill="auto"/>
          </w:tcPr>
          <w:p>
            <w:pPr>
              <w:spacing w:before="0"/>
              <w:rPr>
                <w:rFonts w:eastAsia="Times New Roman"/>
                <w:noProof/>
                <w:szCs w:val="20"/>
              </w:rPr>
            </w:pPr>
            <w:r>
              <w:rPr>
                <w:noProof/>
              </w:rPr>
              <w:t>Deviație relativă de ± 10 % aplicabilă procentului declarat de materie care trece printr-o sită specifică.</w:t>
            </w:r>
          </w:p>
        </w:tc>
      </w:tr>
    </w:tbl>
    <w:p>
      <w:pPr>
        <w:pStyle w:val="ManualHeading1"/>
        <w:rPr>
          <w:noProof/>
        </w:rPr>
      </w:pPr>
      <w:r>
        <w:rPr>
          <w:noProof/>
        </w:rPr>
        <w:t>CFP 4: Substraturi de cultură</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961"/>
      </w:tblGrid>
      <w:tr>
        <w:tc>
          <w:tcPr>
            <w:tcW w:w="3828" w:type="dxa"/>
            <w:shd w:val="clear" w:color="auto" w:fill="auto"/>
          </w:tcPr>
          <w:p>
            <w:pPr>
              <w:keepNext/>
              <w:spacing w:before="0"/>
              <w:rPr>
                <w:rFonts w:eastAsia="Times New Roman"/>
                <w:b/>
                <w:noProof/>
                <w:szCs w:val="20"/>
              </w:rPr>
            </w:pPr>
            <w:r>
              <w:rPr>
                <w:b/>
                <w:noProof/>
              </w:rPr>
              <w:t xml:space="preserve">Forme de nutrienți declarați și alte criterii de calitate declarate </w:t>
            </w:r>
          </w:p>
        </w:tc>
        <w:tc>
          <w:tcPr>
            <w:tcW w:w="4961" w:type="dxa"/>
            <w:shd w:val="clear" w:color="auto" w:fill="auto"/>
          </w:tcPr>
          <w:p>
            <w:pPr>
              <w:keepNext/>
              <w:spacing w:before="0"/>
              <w:rPr>
                <w:rFonts w:eastAsia="Times New Roman"/>
                <w:b/>
                <w:noProof/>
                <w:szCs w:val="20"/>
              </w:rPr>
            </w:pPr>
            <w:r>
              <w:rPr>
                <w:b/>
                <w:noProof/>
              </w:rPr>
              <w:t>Toleranțe admise pentru parametrul declarat</w:t>
            </w:r>
          </w:p>
        </w:tc>
      </w:tr>
      <w:tr>
        <w:tc>
          <w:tcPr>
            <w:tcW w:w="3828" w:type="dxa"/>
            <w:shd w:val="clear" w:color="auto" w:fill="auto"/>
          </w:tcPr>
          <w:p>
            <w:pPr>
              <w:spacing w:before="0"/>
              <w:rPr>
                <w:rFonts w:eastAsia="Times New Roman"/>
                <w:noProof/>
                <w:szCs w:val="20"/>
              </w:rPr>
            </w:pPr>
            <w:r>
              <w:rPr>
                <w:noProof/>
              </w:rPr>
              <w:t xml:space="preserve">Conductivitate electrică </w:t>
            </w:r>
          </w:p>
        </w:tc>
        <w:tc>
          <w:tcPr>
            <w:tcW w:w="4961" w:type="dxa"/>
            <w:shd w:val="clear" w:color="auto" w:fill="auto"/>
          </w:tcPr>
          <w:p>
            <w:pPr>
              <w:spacing w:before="0"/>
              <w:rPr>
                <w:rFonts w:eastAsia="Times New Roman"/>
                <w:noProof/>
                <w:szCs w:val="20"/>
              </w:rPr>
            </w:pPr>
            <w:r>
              <w:rPr>
                <w:noProof/>
              </w:rPr>
              <w:t>Deviație relativă de ± 50% la momentul fabricării</w:t>
            </w:r>
          </w:p>
          <w:p>
            <w:pPr>
              <w:spacing w:before="0"/>
              <w:rPr>
                <w:rFonts w:eastAsia="Times New Roman"/>
                <w:noProof/>
                <w:szCs w:val="20"/>
              </w:rPr>
            </w:pPr>
            <w:r>
              <w:rPr>
                <w:noProof/>
              </w:rPr>
              <w:t>Deviație relativă de ± 75% la orice moment din lanțul de distribuție</w:t>
            </w:r>
          </w:p>
        </w:tc>
      </w:tr>
      <w:tr>
        <w:tc>
          <w:tcPr>
            <w:tcW w:w="3828" w:type="dxa"/>
            <w:shd w:val="clear" w:color="auto" w:fill="auto"/>
          </w:tcPr>
          <w:p>
            <w:pPr>
              <w:spacing w:before="0"/>
              <w:rPr>
                <w:rFonts w:eastAsia="Times New Roman"/>
                <w:noProof/>
                <w:szCs w:val="20"/>
              </w:rPr>
            </w:pPr>
            <w:r>
              <w:rPr>
                <w:noProof/>
              </w:rPr>
              <w:t>pH</w:t>
            </w:r>
          </w:p>
        </w:tc>
        <w:tc>
          <w:tcPr>
            <w:tcW w:w="4961" w:type="dxa"/>
            <w:shd w:val="clear" w:color="auto" w:fill="auto"/>
          </w:tcPr>
          <w:p>
            <w:pPr>
              <w:spacing w:before="0"/>
              <w:rPr>
                <w:rFonts w:eastAsia="Times New Roman"/>
                <w:noProof/>
                <w:szCs w:val="20"/>
              </w:rPr>
            </w:pPr>
            <w:r>
              <w:rPr>
                <w:noProof/>
              </w:rPr>
              <w:t>± 0,7 la momentul fabricării</w:t>
            </w:r>
          </w:p>
          <w:p>
            <w:pPr>
              <w:spacing w:before="0"/>
              <w:rPr>
                <w:rFonts w:eastAsia="Times New Roman"/>
                <w:noProof/>
                <w:szCs w:val="20"/>
              </w:rPr>
            </w:pPr>
            <w:r>
              <w:rPr>
                <w:noProof/>
              </w:rPr>
              <w:t>± 1,0 la orice moment din lanțul de distribuție</w:t>
            </w:r>
          </w:p>
        </w:tc>
      </w:tr>
      <w:tr>
        <w:trPr>
          <w:trHeight w:val="263"/>
        </w:trPr>
        <w:tc>
          <w:tcPr>
            <w:tcW w:w="3828" w:type="dxa"/>
            <w:shd w:val="clear" w:color="auto" w:fill="auto"/>
          </w:tcPr>
          <w:p>
            <w:pPr>
              <w:keepNext/>
              <w:spacing w:before="0"/>
              <w:rPr>
                <w:rFonts w:eastAsia="Times New Roman"/>
                <w:noProof/>
                <w:szCs w:val="20"/>
              </w:rPr>
            </w:pPr>
            <w:r>
              <w:rPr>
                <w:noProof/>
              </w:rPr>
              <w:t>Cantitatea în volum (litri sau m³)</w:t>
            </w:r>
          </w:p>
        </w:tc>
        <w:tc>
          <w:tcPr>
            <w:tcW w:w="4961" w:type="dxa"/>
            <w:shd w:val="clear" w:color="auto" w:fill="auto"/>
          </w:tcPr>
          <w:p>
            <w:pPr>
              <w:keepNext/>
              <w:spacing w:before="0"/>
              <w:rPr>
                <w:rFonts w:eastAsia="Times New Roman"/>
                <w:noProof/>
                <w:szCs w:val="20"/>
              </w:rPr>
            </w:pPr>
            <w:r>
              <w:rPr>
                <w:noProof/>
              </w:rPr>
              <w:t>Deviație relativă de -5 % la momentul fabricării</w:t>
            </w:r>
          </w:p>
          <w:p>
            <w:pPr>
              <w:keepNext/>
              <w:spacing w:before="0"/>
              <w:rPr>
                <w:rFonts w:eastAsia="Times New Roman"/>
                <w:noProof/>
                <w:szCs w:val="20"/>
              </w:rPr>
            </w:pPr>
            <w:r>
              <w:rPr>
                <w:noProof/>
              </w:rPr>
              <w:t>Deviație relativă de - 25 % la orice moment din lanțul de distribuție</w:t>
            </w:r>
          </w:p>
        </w:tc>
      </w:tr>
      <w:tr>
        <w:trPr>
          <w:trHeight w:val="263"/>
        </w:trPr>
        <w:tc>
          <w:tcPr>
            <w:tcW w:w="3828" w:type="dxa"/>
            <w:shd w:val="clear" w:color="auto" w:fill="auto"/>
          </w:tcPr>
          <w:p>
            <w:pPr>
              <w:rPr>
                <w:rFonts w:eastAsia="Times New Roman"/>
                <w:noProof/>
                <w:szCs w:val="24"/>
              </w:rPr>
            </w:pPr>
            <w:r>
              <w:rPr>
                <w:noProof/>
                <w:szCs w:val="24"/>
              </w:rPr>
              <w:t xml:space="preserve">Determinarea cantității (volumului) de materii cu mărimea particulelor de peste 60 mm </w:t>
            </w:r>
          </w:p>
        </w:tc>
        <w:tc>
          <w:tcPr>
            <w:tcW w:w="4961" w:type="dxa"/>
            <w:shd w:val="clear" w:color="auto" w:fill="auto"/>
          </w:tcPr>
          <w:p>
            <w:pPr>
              <w:spacing w:before="0"/>
              <w:rPr>
                <w:rFonts w:eastAsia="Times New Roman"/>
                <w:noProof/>
                <w:szCs w:val="24"/>
              </w:rPr>
            </w:pPr>
            <w:r>
              <w:rPr>
                <w:noProof/>
                <w:szCs w:val="24"/>
              </w:rPr>
              <w:t>Deviație relativă de -5 % la momentul fabricării</w:t>
            </w:r>
          </w:p>
          <w:p>
            <w:pPr>
              <w:spacing w:before="0"/>
              <w:rPr>
                <w:rFonts w:eastAsia="Times New Roman"/>
                <w:noProof/>
                <w:szCs w:val="24"/>
              </w:rPr>
            </w:pPr>
            <w:r>
              <w:rPr>
                <w:noProof/>
                <w:szCs w:val="24"/>
              </w:rPr>
              <w:t>Deviație relativă de - 25 % la orice moment din lanțul de distribuție</w:t>
            </w:r>
          </w:p>
        </w:tc>
      </w:tr>
      <w:tr>
        <w:trPr>
          <w:trHeight w:val="263"/>
        </w:trPr>
        <w:tc>
          <w:tcPr>
            <w:tcW w:w="3828" w:type="dxa"/>
            <w:shd w:val="clear" w:color="auto" w:fill="auto"/>
          </w:tcPr>
          <w:p>
            <w:pPr>
              <w:rPr>
                <w:rFonts w:eastAsia="Times New Roman"/>
                <w:noProof/>
                <w:szCs w:val="24"/>
              </w:rPr>
            </w:pPr>
            <w:r>
              <w:rPr>
                <w:noProof/>
                <w:szCs w:val="24"/>
              </w:rPr>
              <w:t xml:space="preserve">Determinarea cantității (volumului) substraturilor de cultură preformate </w:t>
            </w:r>
          </w:p>
        </w:tc>
        <w:tc>
          <w:tcPr>
            <w:tcW w:w="4961" w:type="dxa"/>
            <w:shd w:val="clear" w:color="auto" w:fill="auto"/>
          </w:tcPr>
          <w:p>
            <w:pPr>
              <w:spacing w:before="0"/>
              <w:rPr>
                <w:rFonts w:eastAsia="Times New Roman"/>
                <w:noProof/>
                <w:szCs w:val="24"/>
              </w:rPr>
            </w:pPr>
            <w:r>
              <w:rPr>
                <w:noProof/>
                <w:szCs w:val="24"/>
              </w:rPr>
              <w:t>Deviație relativă de -5 % la momentul fabricării</w:t>
            </w:r>
          </w:p>
          <w:p>
            <w:pPr>
              <w:spacing w:before="0"/>
              <w:rPr>
                <w:rFonts w:eastAsia="Times New Roman"/>
                <w:noProof/>
                <w:szCs w:val="24"/>
              </w:rPr>
            </w:pPr>
            <w:r>
              <w:rPr>
                <w:noProof/>
                <w:szCs w:val="24"/>
              </w:rPr>
              <w:t xml:space="preserve">Deviație relativă de - 25 % la orice moment din lanțul de distribuție </w:t>
            </w:r>
          </w:p>
        </w:tc>
      </w:tr>
      <w:tr>
        <w:trPr>
          <w:trHeight w:val="263"/>
        </w:trPr>
        <w:tc>
          <w:tcPr>
            <w:tcW w:w="3828" w:type="dxa"/>
            <w:shd w:val="clear" w:color="auto" w:fill="auto"/>
          </w:tcPr>
          <w:p>
            <w:pPr>
              <w:spacing w:before="0"/>
              <w:rPr>
                <w:rFonts w:eastAsia="Times New Roman"/>
                <w:noProof/>
                <w:szCs w:val="20"/>
              </w:rPr>
            </w:pPr>
            <w:r>
              <w:rPr>
                <w:noProof/>
              </w:rPr>
              <w:t>Azot (N) solubil în apă</w:t>
            </w:r>
          </w:p>
        </w:tc>
        <w:tc>
          <w:tcPr>
            <w:tcW w:w="4961" w:type="dxa"/>
            <w:shd w:val="clear" w:color="auto" w:fill="auto"/>
          </w:tcPr>
          <w:p>
            <w:pPr>
              <w:spacing w:before="0"/>
              <w:rPr>
                <w:rFonts w:eastAsia="Times New Roman"/>
                <w:noProof/>
                <w:szCs w:val="20"/>
              </w:rPr>
            </w:pPr>
            <w:r>
              <w:rPr>
                <w:noProof/>
              </w:rPr>
              <w:t>Deviație relativă de ± 50% la momentul fabricării</w:t>
            </w:r>
          </w:p>
          <w:p>
            <w:pPr>
              <w:spacing w:before="0"/>
              <w:rPr>
                <w:rFonts w:eastAsia="Times New Roman"/>
                <w:noProof/>
                <w:szCs w:val="20"/>
              </w:rPr>
            </w:pPr>
            <w:r>
              <w:rPr>
                <w:noProof/>
              </w:rPr>
              <w:t>Deviație relativă de ± 75% la orice moment din lanțul de distribuție</w:t>
            </w:r>
          </w:p>
        </w:tc>
      </w:tr>
      <w:tr>
        <w:trPr>
          <w:trHeight w:val="262"/>
        </w:trPr>
        <w:tc>
          <w:tcPr>
            <w:tcW w:w="3828" w:type="dxa"/>
            <w:shd w:val="clear" w:color="auto" w:fill="auto"/>
          </w:tcPr>
          <w:p>
            <w:pPr>
              <w:spacing w:before="0"/>
              <w:rPr>
                <w:rFonts w:eastAsia="Times New Roman"/>
                <w:noProof/>
                <w:szCs w:val="20"/>
              </w:rPr>
            </w:pPr>
            <w:r>
              <w:rPr>
                <w:noProof/>
              </w:rPr>
              <w:t>Pentaoxid de fosfor (P</w:t>
            </w:r>
            <w:r>
              <w:rPr>
                <w:noProof/>
                <w:vertAlign w:val="subscript"/>
              </w:rPr>
              <w:t>2</w:t>
            </w:r>
            <w:r>
              <w:rPr>
                <w:noProof/>
              </w:rPr>
              <w:t>O</w:t>
            </w:r>
            <w:r>
              <w:rPr>
                <w:noProof/>
                <w:vertAlign w:val="subscript"/>
              </w:rPr>
              <w:t>5</w:t>
            </w:r>
            <w:r>
              <w:rPr>
                <w:noProof/>
              </w:rPr>
              <w:t>) solubil în apă</w:t>
            </w:r>
          </w:p>
        </w:tc>
        <w:tc>
          <w:tcPr>
            <w:tcW w:w="4961" w:type="dxa"/>
            <w:shd w:val="clear" w:color="auto" w:fill="auto"/>
          </w:tcPr>
          <w:p>
            <w:pPr>
              <w:spacing w:before="0"/>
              <w:rPr>
                <w:rFonts w:eastAsia="Times New Roman"/>
                <w:noProof/>
                <w:szCs w:val="20"/>
              </w:rPr>
            </w:pPr>
            <w:r>
              <w:rPr>
                <w:noProof/>
              </w:rPr>
              <w:t>Deviație relativă de ± 50% la momentul fabricării</w:t>
            </w:r>
          </w:p>
          <w:p>
            <w:pPr>
              <w:spacing w:before="0"/>
              <w:rPr>
                <w:rFonts w:eastAsia="Times New Roman"/>
                <w:noProof/>
                <w:szCs w:val="20"/>
              </w:rPr>
            </w:pPr>
            <w:r>
              <w:rPr>
                <w:noProof/>
              </w:rPr>
              <w:t>Deviație relativă de ± 75% la orice moment din lanțul de distribuție</w:t>
            </w:r>
          </w:p>
        </w:tc>
      </w:tr>
      <w:tr>
        <w:trPr>
          <w:trHeight w:val="262"/>
        </w:trPr>
        <w:tc>
          <w:tcPr>
            <w:tcW w:w="3828" w:type="dxa"/>
            <w:shd w:val="clear" w:color="auto" w:fill="auto"/>
          </w:tcPr>
          <w:p>
            <w:pPr>
              <w:spacing w:before="0"/>
              <w:rPr>
                <w:rFonts w:eastAsia="Times New Roman"/>
                <w:noProof/>
                <w:szCs w:val="20"/>
              </w:rPr>
            </w:pPr>
            <w:r>
              <w:rPr>
                <w:noProof/>
              </w:rPr>
              <w:t>Oxid de potasiu (K</w:t>
            </w:r>
            <w:r>
              <w:rPr>
                <w:noProof/>
                <w:vertAlign w:val="subscript"/>
              </w:rPr>
              <w:t>2</w:t>
            </w:r>
            <w:r>
              <w:rPr>
                <w:noProof/>
              </w:rPr>
              <w:t xml:space="preserve">O) solubil în apă </w:t>
            </w:r>
          </w:p>
        </w:tc>
        <w:tc>
          <w:tcPr>
            <w:tcW w:w="4961" w:type="dxa"/>
            <w:shd w:val="clear" w:color="auto" w:fill="auto"/>
          </w:tcPr>
          <w:p>
            <w:pPr>
              <w:spacing w:before="0"/>
              <w:rPr>
                <w:rFonts w:eastAsia="Times New Roman"/>
                <w:noProof/>
                <w:szCs w:val="20"/>
              </w:rPr>
            </w:pPr>
            <w:r>
              <w:rPr>
                <w:noProof/>
              </w:rPr>
              <w:t>Deviație relativă de ± 50% la momentul fabricării</w:t>
            </w:r>
          </w:p>
          <w:p>
            <w:pPr>
              <w:spacing w:before="0"/>
              <w:rPr>
                <w:rFonts w:eastAsia="Times New Roman"/>
                <w:noProof/>
                <w:szCs w:val="20"/>
              </w:rPr>
            </w:pPr>
            <w:r>
              <w:rPr>
                <w:noProof/>
              </w:rPr>
              <w:t>Deviație relativă de ± 75% la orice moment din lanțul de distribuție</w:t>
            </w:r>
          </w:p>
        </w:tc>
      </w:tr>
    </w:tbl>
    <w:p>
      <w:pPr>
        <w:pStyle w:val="ManualHeading1"/>
        <w:rPr>
          <w:noProof/>
        </w:rPr>
      </w:pPr>
      <w:r>
        <w:rPr>
          <w:noProof/>
        </w:rPr>
        <w:t>CFP 6: Biostimulator al plantelor</w:t>
      </w:r>
    </w:p>
    <w:tbl>
      <w:tblPr>
        <w:tblStyle w:val="TableGrid"/>
        <w:tblW w:w="0" w:type="auto"/>
        <w:tblLook w:val="04A0" w:firstRow="1" w:lastRow="0" w:firstColumn="1" w:lastColumn="0" w:noHBand="0" w:noVBand="1"/>
      </w:tblPr>
      <w:tblGrid>
        <w:gridCol w:w="4644"/>
        <w:gridCol w:w="4645"/>
      </w:tblGrid>
      <w:tr>
        <w:tc>
          <w:tcPr>
            <w:tcW w:w="4644" w:type="dxa"/>
          </w:tcPr>
          <w:p>
            <w:pPr>
              <w:keepNext/>
              <w:spacing w:before="0"/>
              <w:rPr>
                <w:rFonts w:eastAsia="Times New Roman"/>
                <w:b/>
                <w:noProof/>
                <w:szCs w:val="20"/>
              </w:rPr>
            </w:pPr>
            <w:r>
              <w:rPr>
                <w:b/>
                <w:noProof/>
              </w:rPr>
              <w:t>Conținut declarat în g/kg sau g/l la 20 °C</w:t>
            </w:r>
          </w:p>
        </w:tc>
        <w:tc>
          <w:tcPr>
            <w:tcW w:w="4645" w:type="dxa"/>
          </w:tcPr>
          <w:p>
            <w:pPr>
              <w:keepNext/>
              <w:spacing w:before="0"/>
              <w:rPr>
                <w:rFonts w:eastAsia="Times New Roman"/>
                <w:b/>
                <w:noProof/>
                <w:szCs w:val="20"/>
              </w:rPr>
            </w:pPr>
            <w:r>
              <w:rPr>
                <w:b/>
                <w:noProof/>
              </w:rPr>
              <w:t>Toleranța admisibilă</w:t>
            </w:r>
          </w:p>
        </w:tc>
      </w:tr>
      <w:tr>
        <w:tc>
          <w:tcPr>
            <w:tcW w:w="4644" w:type="dxa"/>
          </w:tcPr>
          <w:p>
            <w:pPr>
              <w:rPr>
                <w:noProof/>
              </w:rPr>
            </w:pPr>
            <w:r>
              <w:rPr>
                <w:noProof/>
              </w:rPr>
              <w:t>Până la 25</w:t>
            </w:r>
          </w:p>
        </w:tc>
        <w:tc>
          <w:tcPr>
            <w:tcW w:w="4645" w:type="dxa"/>
          </w:tcPr>
          <w:p>
            <w:pPr>
              <w:rPr>
                <w:rFonts w:eastAsia="Times New Roman"/>
                <w:noProof/>
                <w:szCs w:val="20"/>
              </w:rPr>
            </w:pPr>
            <w:r>
              <w:rPr>
                <w:noProof/>
              </w:rPr>
              <w:t>Deviație relativă de ± 15 % pentru CFP 6</w:t>
            </w:r>
          </w:p>
          <w:p>
            <w:pPr>
              <w:rPr>
                <w:noProof/>
              </w:rPr>
            </w:pPr>
            <w:r>
              <w:rPr>
                <w:noProof/>
              </w:rPr>
              <w:t>Deviație relativă de ± 15 % atunci când biostimulatoarele plantelor sunt amestecate cu alte produse fertilizante cu marcaj CE în cadrul CFP 7.</w:t>
            </w:r>
          </w:p>
        </w:tc>
      </w:tr>
      <w:tr>
        <w:tc>
          <w:tcPr>
            <w:tcW w:w="4644" w:type="dxa"/>
          </w:tcPr>
          <w:p>
            <w:pPr>
              <w:rPr>
                <w:noProof/>
              </w:rPr>
            </w:pPr>
            <w:r>
              <w:rPr>
                <w:noProof/>
              </w:rPr>
              <w:t>Peste 25 și până la 100</w:t>
            </w:r>
          </w:p>
        </w:tc>
        <w:tc>
          <w:tcPr>
            <w:tcW w:w="4645" w:type="dxa"/>
          </w:tcPr>
          <w:p>
            <w:pPr>
              <w:rPr>
                <w:noProof/>
              </w:rPr>
            </w:pPr>
            <w:r>
              <w:rPr>
                <w:noProof/>
              </w:rPr>
              <w:t>deviația relativă de ± 10 %</w:t>
            </w:r>
          </w:p>
        </w:tc>
      </w:tr>
      <w:tr>
        <w:tc>
          <w:tcPr>
            <w:tcW w:w="4644" w:type="dxa"/>
          </w:tcPr>
          <w:p>
            <w:pPr>
              <w:rPr>
                <w:noProof/>
              </w:rPr>
            </w:pPr>
            <w:r>
              <w:rPr>
                <w:noProof/>
              </w:rPr>
              <w:t>Peste 100 și până la 250</w:t>
            </w:r>
          </w:p>
        </w:tc>
        <w:tc>
          <w:tcPr>
            <w:tcW w:w="4645" w:type="dxa"/>
          </w:tcPr>
          <w:p>
            <w:pPr>
              <w:rPr>
                <w:noProof/>
              </w:rPr>
            </w:pPr>
            <w:r>
              <w:rPr>
                <w:noProof/>
              </w:rPr>
              <w:t>deviația relativă de ± 6 %</w:t>
            </w:r>
          </w:p>
        </w:tc>
      </w:tr>
      <w:tr>
        <w:tc>
          <w:tcPr>
            <w:tcW w:w="4644" w:type="dxa"/>
          </w:tcPr>
          <w:p>
            <w:pPr>
              <w:rPr>
                <w:noProof/>
              </w:rPr>
            </w:pPr>
            <w:r>
              <w:rPr>
                <w:noProof/>
              </w:rPr>
              <w:t>Peste 250 și până la 500</w:t>
            </w:r>
          </w:p>
        </w:tc>
        <w:tc>
          <w:tcPr>
            <w:tcW w:w="4645" w:type="dxa"/>
          </w:tcPr>
          <w:p>
            <w:pPr>
              <w:rPr>
                <w:noProof/>
              </w:rPr>
            </w:pPr>
            <w:r>
              <w:rPr>
                <w:noProof/>
              </w:rPr>
              <w:t>deviația relativă de ± 5 %</w:t>
            </w:r>
          </w:p>
        </w:tc>
      </w:tr>
      <w:tr>
        <w:tc>
          <w:tcPr>
            <w:tcW w:w="4644" w:type="dxa"/>
          </w:tcPr>
          <w:p>
            <w:pPr>
              <w:rPr>
                <w:noProof/>
              </w:rPr>
            </w:pPr>
            <w:r>
              <w:rPr>
                <w:noProof/>
              </w:rPr>
              <w:t>Peste 500</w:t>
            </w:r>
          </w:p>
        </w:tc>
        <w:tc>
          <w:tcPr>
            <w:tcW w:w="4645" w:type="dxa"/>
          </w:tcPr>
          <w:p>
            <w:pPr>
              <w:rPr>
                <w:noProof/>
              </w:rPr>
            </w:pPr>
            <w:r>
              <w:rPr>
                <w:noProof/>
              </w:rPr>
              <w:t>± 25g/kg sau ± 25g/l</w:t>
            </w:r>
          </w:p>
        </w:tc>
      </w:tr>
    </w:tbl>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ANEXA IV</w:t>
      </w:r>
      <w:r>
        <w:rPr>
          <w:noProof/>
        </w:rPr>
        <w:br/>
        <w:t>Proceduri de evaluare a conformității</w:t>
      </w:r>
    </w:p>
    <w:p>
      <w:pPr>
        <w:pStyle w:val="SectionTitle"/>
        <w:rPr>
          <w:noProof/>
        </w:rPr>
      </w:pPr>
      <w:bookmarkStart w:id="56" w:name="_Toc432153240"/>
      <w:r>
        <w:rPr>
          <w:noProof/>
        </w:rPr>
        <w:t>Partea 1</w:t>
      </w:r>
      <w:r>
        <w:rPr>
          <w:noProof/>
        </w:rPr>
        <w:br/>
        <w:t>Aplicabilitatea procedurilor de evaluare a conformității</w:t>
      </w:r>
      <w:bookmarkEnd w:id="56"/>
    </w:p>
    <w:p>
      <w:pPr>
        <w:pStyle w:val="Text1"/>
        <w:rPr>
          <w:noProof/>
        </w:rPr>
      </w:pPr>
      <w:r>
        <w:rPr>
          <w:noProof/>
        </w:rPr>
        <w:t>Această parte stabilește aplicabilitatea modulelor procedurii de evaluare a conformității, astfel cum se precizează în partea 2 a prezentei anexe, produselor fertilizante cu marcaj CE, în funcție de categoriile de materii componente, astfel cum sunt specificate în anexa II („CMC”), precum și de categoriile funcționale de produse, astfel cum sunt specificate în anexa I („CFP”).</w:t>
      </w:r>
    </w:p>
    <w:p>
      <w:pPr>
        <w:pStyle w:val="ManualHeading1"/>
        <w:rPr>
          <w:noProof/>
        </w:rPr>
      </w:pPr>
      <w:bookmarkStart w:id="57" w:name="_Toc432153241"/>
      <w:r>
        <w:rPr>
          <w:noProof/>
        </w:rPr>
        <w:t>1.</w:t>
      </w:r>
      <w:r>
        <w:rPr>
          <w:noProof/>
        </w:rPr>
        <w:tab/>
        <w:t>Aplicabilitatea controlului intern al producției (modulul A)</w:t>
      </w:r>
      <w:bookmarkEnd w:id="57"/>
    </w:p>
    <w:p>
      <w:pPr>
        <w:pStyle w:val="NumPar1"/>
        <w:keepNext/>
        <w:numPr>
          <w:ilvl w:val="0"/>
          <w:numId w:val="116"/>
        </w:numPr>
        <w:rPr>
          <w:noProof/>
        </w:rPr>
      </w:pPr>
      <w:r>
        <w:rPr>
          <w:noProof/>
        </w:rPr>
        <w:t xml:space="preserve">Modulul A poate fi folosit pentru un produs fertilizant cu marcaj CE compus exclusiv din una sau mai multe: </w:t>
      </w:r>
    </w:p>
    <w:p>
      <w:pPr>
        <w:pStyle w:val="Point1letter"/>
        <w:numPr>
          <w:ilvl w:val="3"/>
          <w:numId w:val="117"/>
        </w:numPr>
        <w:rPr>
          <w:noProof/>
        </w:rPr>
      </w:pPr>
      <w:r>
        <w:rPr>
          <w:noProof/>
        </w:rPr>
        <w:t xml:space="preserve">substanțe sau amestecuri de materii virgine, astfel cum se specifică în CMC 1, </w:t>
      </w:r>
    </w:p>
    <w:p>
      <w:pPr>
        <w:pStyle w:val="Point1letter"/>
        <w:numPr>
          <w:ilvl w:val="3"/>
          <w:numId w:val="10"/>
        </w:numPr>
        <w:rPr>
          <w:noProof/>
        </w:rPr>
      </w:pPr>
      <w:r>
        <w:rPr>
          <w:noProof/>
        </w:rPr>
        <w:t>digestate de culturi energetice, astfel cum se specifică în CMC 4,</w:t>
      </w:r>
    </w:p>
    <w:p>
      <w:pPr>
        <w:pStyle w:val="Point1letter"/>
        <w:numPr>
          <w:ilvl w:val="3"/>
          <w:numId w:val="10"/>
        </w:numPr>
        <w:rPr>
          <w:noProof/>
        </w:rPr>
      </w:pPr>
      <w:r>
        <w:rPr>
          <w:noProof/>
        </w:rPr>
        <w:t xml:space="preserve">subproduse ale industriei alimentare, astfel cum se specifică în CMC 6, </w:t>
      </w:r>
    </w:p>
    <w:p>
      <w:pPr>
        <w:pStyle w:val="Point1letter"/>
        <w:numPr>
          <w:ilvl w:val="3"/>
          <w:numId w:val="10"/>
        </w:numPr>
        <w:rPr>
          <w:noProof/>
        </w:rPr>
      </w:pPr>
      <w:r>
        <w:rPr>
          <w:noProof/>
        </w:rPr>
        <w:t>microorganisme, astfel cum se specifică în CMC 7,</w:t>
      </w:r>
    </w:p>
    <w:p>
      <w:pPr>
        <w:pStyle w:val="Point1letter"/>
        <w:numPr>
          <w:ilvl w:val="3"/>
          <w:numId w:val="10"/>
        </w:numPr>
        <w:rPr>
          <w:noProof/>
        </w:rPr>
      </w:pPr>
      <w:r>
        <w:rPr>
          <w:noProof/>
        </w:rPr>
        <w:t>aditivi agronomici, astfel cum se specifică în CMC 8 sau</w:t>
      </w:r>
    </w:p>
    <w:p>
      <w:pPr>
        <w:pStyle w:val="Point1letter"/>
        <w:numPr>
          <w:ilvl w:val="3"/>
          <w:numId w:val="10"/>
        </w:numPr>
        <w:rPr>
          <w:noProof/>
        </w:rPr>
      </w:pPr>
      <w:r>
        <w:rPr>
          <w:noProof/>
        </w:rPr>
        <w:t>nutrienți polimerici, astfel cum se specifică în CMC 9.</w:t>
      </w:r>
    </w:p>
    <w:p>
      <w:pPr>
        <w:pStyle w:val="NumPar1"/>
        <w:numPr>
          <w:ilvl w:val="0"/>
          <w:numId w:val="12"/>
        </w:numPr>
        <w:rPr>
          <w:noProof/>
        </w:rPr>
      </w:pPr>
      <w:r>
        <w:rPr>
          <w:noProof/>
        </w:rPr>
        <w:t>Modulul A poate fi, de asemenea, utilizat pentru un amestec de produse fertilizante, astfel cum se specifică în CFP 7.</w:t>
      </w:r>
    </w:p>
    <w:p>
      <w:pPr>
        <w:pStyle w:val="NumPar1"/>
        <w:keepNext/>
        <w:numPr>
          <w:ilvl w:val="0"/>
          <w:numId w:val="12"/>
        </w:numPr>
        <w:ind w:left="851" w:hanging="851"/>
        <w:rPr>
          <w:noProof/>
        </w:rPr>
      </w:pPr>
      <w:r>
        <w:rPr>
          <w:noProof/>
        </w:rPr>
        <w:t>Prin derogare de la alineatele 1 și 2, modulul A nu trebuie să fie utilizat pentru:</w:t>
      </w:r>
    </w:p>
    <w:p>
      <w:pPr>
        <w:pStyle w:val="Point1letter"/>
        <w:numPr>
          <w:ilvl w:val="3"/>
          <w:numId w:val="118"/>
        </w:numPr>
        <w:rPr>
          <w:noProof/>
        </w:rPr>
      </w:pPr>
      <w:r>
        <w:rPr>
          <w:noProof/>
        </w:rPr>
        <w:t>un îngrășământ anorganic solid simplu sau compus pe bază de nitrat de amoniu și cu conținut ridicat de azot, astfel cum se specifică în CFP 1(C)(I)(a)(i-ii)(A), sau un amestec fertilizant care conține un astfel de produs,</w:t>
      </w:r>
    </w:p>
    <w:p>
      <w:pPr>
        <w:pStyle w:val="Point1letter"/>
        <w:numPr>
          <w:ilvl w:val="3"/>
          <w:numId w:val="10"/>
        </w:numPr>
        <w:rPr>
          <w:noProof/>
        </w:rPr>
      </w:pPr>
      <w:r>
        <w:rPr>
          <w:noProof/>
        </w:rPr>
        <w:t>un inhibitor de nitrificare, astfel cum se prevede la CFP 5(A)(I),</w:t>
      </w:r>
    </w:p>
    <w:p>
      <w:pPr>
        <w:pStyle w:val="Point1letter"/>
        <w:numPr>
          <w:ilvl w:val="3"/>
          <w:numId w:val="10"/>
        </w:numPr>
        <w:rPr>
          <w:noProof/>
        </w:rPr>
      </w:pPr>
      <w:r>
        <w:rPr>
          <w:noProof/>
        </w:rPr>
        <w:t>un inhibitor de urează, astfel cum se prevede la CFP 5(A)(II), sau</w:t>
      </w:r>
    </w:p>
    <w:p>
      <w:pPr>
        <w:pStyle w:val="Point1letter"/>
        <w:numPr>
          <w:ilvl w:val="3"/>
          <w:numId w:val="10"/>
        </w:numPr>
        <w:rPr>
          <w:noProof/>
        </w:rPr>
      </w:pPr>
      <w:r>
        <w:rPr>
          <w:noProof/>
        </w:rPr>
        <w:t>un biostimulator al plantelor, astfel cum se prevede la CFP 6.</w:t>
      </w:r>
    </w:p>
    <w:p>
      <w:pPr>
        <w:pStyle w:val="ManualHeading1"/>
        <w:rPr>
          <w:noProof/>
        </w:rPr>
      </w:pPr>
      <w:bookmarkStart w:id="58" w:name="_Toc432153242"/>
      <w:r>
        <w:rPr>
          <w:noProof/>
        </w:rPr>
        <w:t>2.</w:t>
      </w:r>
      <w:r>
        <w:rPr>
          <w:noProof/>
        </w:rPr>
        <w:tab/>
        <w:t>Aplicabilitatea controlului intern al producției plus testarea supravegheată a produsului (modulul A1)</w:t>
      </w:r>
      <w:bookmarkEnd w:id="58"/>
    </w:p>
    <w:p>
      <w:pPr>
        <w:pStyle w:val="Text1"/>
        <w:rPr>
          <w:noProof/>
        </w:rPr>
      </w:pPr>
      <w:r>
        <w:rPr>
          <w:noProof/>
        </w:rPr>
        <w:t>Modulul A1 se folosește pentru un îngrășământ anorganic solid simplu sau compus pe bază de nitrat de amoniu și cu conținut ridicat de azot, astfel cum se specifică în CFP 1(C)(I)(a)(i-ii)(A), și pentru un amestec fertilizant, astfel cum se specifică la CFP 7, care conține un astfel de produs.</w:t>
      </w:r>
    </w:p>
    <w:p>
      <w:pPr>
        <w:pStyle w:val="ManualHeading1"/>
        <w:rPr>
          <w:noProof/>
        </w:rPr>
      </w:pPr>
      <w:bookmarkStart w:id="59" w:name="_Toc432153243"/>
      <w:r>
        <w:rPr>
          <w:noProof/>
        </w:rPr>
        <w:t>3.</w:t>
      </w:r>
      <w:r>
        <w:rPr>
          <w:noProof/>
        </w:rPr>
        <w:tab/>
        <w:t>Aplicabilitatea examinării UE de tip (modulul B) și conformitatea cu tipul bazată pe controlul intern al producției (modulul C)</w:t>
      </w:r>
      <w:bookmarkEnd w:id="59"/>
    </w:p>
    <w:p>
      <w:pPr>
        <w:pStyle w:val="NumPar1"/>
        <w:keepNext/>
        <w:numPr>
          <w:ilvl w:val="0"/>
          <w:numId w:val="119"/>
        </w:numPr>
        <w:rPr>
          <w:noProof/>
        </w:rPr>
      </w:pPr>
      <w:r>
        <w:rPr>
          <w:noProof/>
        </w:rPr>
        <w:t>Modulul B poate fi folosit în combinație cu modulul C pentru un produs fertilizant cu marcaj CE compus exclusiv din una sau mai multe:</w:t>
      </w:r>
    </w:p>
    <w:p>
      <w:pPr>
        <w:pStyle w:val="Point1letter"/>
        <w:numPr>
          <w:ilvl w:val="3"/>
          <w:numId w:val="120"/>
        </w:numPr>
        <w:rPr>
          <w:noProof/>
        </w:rPr>
      </w:pPr>
      <w:r>
        <w:rPr>
          <w:noProof/>
        </w:rPr>
        <w:t xml:space="preserve">plante, părți din plante sau extracte din plante neprelucrate sau prelucrate mecanic, astfel cum se specifică în CMC 2, </w:t>
      </w:r>
    </w:p>
    <w:p>
      <w:pPr>
        <w:pStyle w:val="Point1letter"/>
        <w:numPr>
          <w:ilvl w:val="3"/>
          <w:numId w:val="10"/>
        </w:numPr>
        <w:rPr>
          <w:noProof/>
        </w:rPr>
      </w:pPr>
      <w:r>
        <w:rPr>
          <w:noProof/>
        </w:rPr>
        <w:t xml:space="preserve">polimeri alții decât nutrienții polimerici, astfel cum se specifică în CMC 10, </w:t>
      </w:r>
    </w:p>
    <w:p>
      <w:pPr>
        <w:pStyle w:val="Point1letter"/>
        <w:numPr>
          <w:ilvl w:val="3"/>
          <w:numId w:val="10"/>
        </w:numPr>
        <w:rPr>
          <w:noProof/>
        </w:rPr>
      </w:pPr>
      <w:r>
        <w:rPr>
          <w:noProof/>
        </w:rPr>
        <w:t>anumite subproduse de origine animală, astfel cum se specifică în CMC 11, sau</w:t>
      </w:r>
    </w:p>
    <w:p>
      <w:pPr>
        <w:pStyle w:val="Point1letter"/>
        <w:numPr>
          <w:ilvl w:val="3"/>
          <w:numId w:val="10"/>
        </w:numPr>
        <w:rPr>
          <w:noProof/>
        </w:rPr>
      </w:pPr>
      <w:r>
        <w:rPr>
          <w:noProof/>
        </w:rPr>
        <w:t>CMC-uri eligibile pentru modulul A în conformitate cu punctul 1 de la rubrica 1 privind aplicabilitatea acestui modul.</w:t>
      </w:r>
    </w:p>
    <w:p>
      <w:pPr>
        <w:pStyle w:val="NumPar1"/>
        <w:keepNext/>
        <w:numPr>
          <w:ilvl w:val="0"/>
          <w:numId w:val="15"/>
        </w:numPr>
        <w:ind w:left="851" w:hanging="851"/>
        <w:rPr>
          <w:noProof/>
        </w:rPr>
      </w:pPr>
      <w:r>
        <w:rPr>
          <w:noProof/>
        </w:rPr>
        <w:t xml:space="preserve">Modulul B și modulul C pot fi, de asemenea, utilizate pentru: </w:t>
      </w:r>
    </w:p>
    <w:p>
      <w:pPr>
        <w:pStyle w:val="Point1letter"/>
        <w:numPr>
          <w:ilvl w:val="3"/>
          <w:numId w:val="139"/>
        </w:numPr>
        <w:rPr>
          <w:noProof/>
        </w:rPr>
      </w:pPr>
      <w:r>
        <w:rPr>
          <w:noProof/>
        </w:rPr>
        <w:t>un inhibitor de nitrificare, astfel cum se prevede la CFP 5(A)(I),</w:t>
      </w:r>
    </w:p>
    <w:p>
      <w:pPr>
        <w:pStyle w:val="Point1letter"/>
        <w:numPr>
          <w:ilvl w:val="3"/>
          <w:numId w:val="10"/>
        </w:numPr>
        <w:rPr>
          <w:noProof/>
        </w:rPr>
      </w:pPr>
      <w:r>
        <w:rPr>
          <w:noProof/>
        </w:rPr>
        <w:t xml:space="preserve">un inhibitor de urează, astfel cum se prevede la CFP 5(A)(II), </w:t>
      </w:r>
    </w:p>
    <w:p>
      <w:pPr>
        <w:pStyle w:val="Point1letter"/>
        <w:numPr>
          <w:ilvl w:val="3"/>
          <w:numId w:val="10"/>
        </w:numPr>
        <w:rPr>
          <w:noProof/>
        </w:rPr>
      </w:pPr>
      <w:r>
        <w:rPr>
          <w:noProof/>
        </w:rPr>
        <w:t>un biostimulator al plantelor, astfel cum se prevede la CFP 6, și</w:t>
      </w:r>
    </w:p>
    <w:p>
      <w:pPr>
        <w:pStyle w:val="Point1letter"/>
        <w:numPr>
          <w:ilvl w:val="3"/>
          <w:numId w:val="10"/>
        </w:numPr>
        <w:rPr>
          <w:noProof/>
        </w:rPr>
      </w:pPr>
      <w:r>
        <w:rPr>
          <w:noProof/>
        </w:rPr>
        <w:t>un produs eligibil pentru modulul A în conformitate cu punctul 2 de la rubrica 1 privind aplicabilitatea acestui modul.</w:t>
      </w:r>
    </w:p>
    <w:p>
      <w:pPr>
        <w:pStyle w:val="NumPar1"/>
        <w:numPr>
          <w:ilvl w:val="0"/>
          <w:numId w:val="12"/>
        </w:numPr>
        <w:rPr>
          <w:noProof/>
        </w:rPr>
      </w:pPr>
      <w:r>
        <w:rPr>
          <w:noProof/>
        </w:rPr>
        <w:t>Prin derogare de la punctele 1 și 2, modulul B și modulul C nu trebuie utilizate pentru un îngrășământ anorganic solid simplu sau compus pe bază de nitrat de amoniu și cu conținut ridicat de azot, astfel cum se specifică în CFP 1(C)(I)(a)(i-ii)(A), sau pentru un amestec de produse fertilizante care conține un astfel de produs.</w:t>
      </w:r>
    </w:p>
    <w:p>
      <w:pPr>
        <w:pStyle w:val="ManualHeading1"/>
        <w:rPr>
          <w:noProof/>
        </w:rPr>
      </w:pPr>
      <w:bookmarkStart w:id="60" w:name="_Toc432153244"/>
      <w:r>
        <w:rPr>
          <w:noProof/>
        </w:rPr>
        <w:t>4.</w:t>
      </w:r>
      <w:r>
        <w:rPr>
          <w:noProof/>
        </w:rPr>
        <w:tab/>
        <w:t>Aplicabilitatea asigurării calității procesului de producție (modulul D1)</w:t>
      </w:r>
      <w:bookmarkEnd w:id="60"/>
    </w:p>
    <w:p>
      <w:pPr>
        <w:pStyle w:val="NumPar1"/>
        <w:numPr>
          <w:ilvl w:val="0"/>
          <w:numId w:val="121"/>
        </w:numPr>
        <w:rPr>
          <w:noProof/>
        </w:rPr>
      </w:pPr>
      <w:r>
        <w:rPr>
          <w:noProof/>
        </w:rPr>
        <w:t>Modulul D1 poate fi utilizat pentru orice produs fertilizant cu marcaj CE.</w:t>
      </w:r>
    </w:p>
    <w:p>
      <w:pPr>
        <w:pStyle w:val="NumPar1"/>
        <w:numPr>
          <w:ilvl w:val="0"/>
          <w:numId w:val="12"/>
        </w:numPr>
        <w:rPr>
          <w:noProof/>
        </w:rPr>
      </w:pPr>
      <w:r>
        <w:rPr>
          <w:noProof/>
        </w:rPr>
        <w:t>Prin derogare de la punctul 1, modulul D1 nu trebuie utilizat pentru un îngrășământ anorganic solid simplu sau compus pe bază de nitrat de amoniu și cu conținut ridicat de azot, astfel cum se specifică la CFP 1(C)(I)(a)(i-ii)(A), sau pentru un amestec de produse fertilizante care conține un astfel de produs.</w:t>
      </w:r>
    </w:p>
    <w:p>
      <w:pPr>
        <w:pStyle w:val="SectionTitle"/>
        <w:rPr>
          <w:noProof/>
        </w:rPr>
      </w:pPr>
      <w:bookmarkStart w:id="61" w:name="_Toc432153245"/>
      <w:r>
        <w:rPr>
          <w:noProof/>
        </w:rPr>
        <w:t>Partea 2</w:t>
      </w:r>
      <w:r>
        <w:rPr>
          <w:noProof/>
        </w:rPr>
        <w:br/>
        <w:t>Descrierea procedurilor de evaluare a conformității</w:t>
      </w:r>
      <w:bookmarkEnd w:id="61"/>
    </w:p>
    <w:p>
      <w:pPr>
        <w:pStyle w:val="ManualHeading1"/>
        <w:jc w:val="center"/>
        <w:rPr>
          <w:noProof/>
        </w:rPr>
      </w:pPr>
      <w:bookmarkStart w:id="62" w:name="_Toc432153246"/>
      <w:r>
        <w:rPr>
          <w:noProof/>
        </w:rPr>
        <w:t>Modulul A - controlul intern al producției</w:t>
      </w:r>
      <w:bookmarkEnd w:id="62"/>
    </w:p>
    <w:p>
      <w:pPr>
        <w:pStyle w:val="ManualHeading2"/>
        <w:rPr>
          <w:noProof/>
        </w:rPr>
      </w:pPr>
      <w:bookmarkStart w:id="63" w:name="_Toc432153247"/>
      <w:r>
        <w:rPr>
          <w:noProof/>
        </w:rPr>
        <w:t>1.</w:t>
      </w:r>
      <w:r>
        <w:rPr>
          <w:noProof/>
        </w:rPr>
        <w:tab/>
        <w:t>Descrierea modulului</w:t>
      </w:r>
      <w:bookmarkEnd w:id="63"/>
    </w:p>
    <w:p>
      <w:pPr>
        <w:pStyle w:val="NumPar1"/>
        <w:numPr>
          <w:ilvl w:val="0"/>
          <w:numId w:val="122"/>
        </w:numPr>
        <w:rPr>
          <w:noProof/>
        </w:rPr>
      </w:pPr>
      <w:r>
        <w:rPr>
          <w:noProof/>
        </w:rPr>
        <w:t>Controlul intern al producției este procedura de evaluare a conformității prin care producătorul își îndeplinește obligațiile prevăzute la punctele 2, 3 și 4 de mai jos, se asigură și declară pe răspunderea sa exclusivă că produsul fertilizant cu marcaj CE în cauză satisface cerințele prezentului regulament aplicabile produsului.</w:t>
      </w:r>
    </w:p>
    <w:p>
      <w:pPr>
        <w:pStyle w:val="ManualHeading2"/>
        <w:rPr>
          <w:noProof/>
        </w:rPr>
      </w:pPr>
      <w:bookmarkStart w:id="64" w:name="_Toc432153248"/>
      <w:r>
        <w:rPr>
          <w:noProof/>
        </w:rPr>
        <w:t>2.</w:t>
      </w:r>
      <w:r>
        <w:rPr>
          <w:noProof/>
        </w:rPr>
        <w:tab/>
        <w:t>Documentația tehnică</w:t>
      </w:r>
      <w:bookmarkEnd w:id="64"/>
    </w:p>
    <w:p>
      <w:pPr>
        <w:pStyle w:val="ManualNumPar1"/>
        <w:rPr>
          <w:noProof/>
        </w:rPr>
      </w:pPr>
      <w:r>
        <w:rPr>
          <w:noProof/>
        </w:rPr>
        <w:t>2.1</w:t>
      </w:r>
      <w:r>
        <w:rPr>
          <w:noProof/>
        </w:rPr>
        <w:tab/>
        <w:t xml:space="preserve">Producătorul stabilește documentația tehnică. Documentația permite evaluarea produsului fertilizant cu marcaj CE din punctul de vedere al conformității cu cerințele relevante și include o analiză adecvată și o evaluare a riscului (riscurilor). </w:t>
      </w:r>
    </w:p>
    <w:p>
      <w:pPr>
        <w:pStyle w:val="ManualNumPar1"/>
        <w:keepNext/>
        <w:ind w:left="851" w:hanging="851"/>
        <w:rPr>
          <w:noProof/>
        </w:rPr>
      </w:pPr>
      <w:r>
        <w:rPr>
          <w:noProof/>
        </w:rPr>
        <w:t>2.2</w:t>
      </w:r>
      <w:r>
        <w:rPr>
          <w:noProof/>
        </w:rPr>
        <w:tab/>
        <w:t>Documentația tehnică specifică cerințele aplicabile și vizează, în măsura în care acest lucru este relevant pentru evaluare, proiectarea, fabricarea și utilizarea produsului fertilizant cu marcaj CE. Documentația tehnică cuprinde cel puțin următoarele elemente:</w:t>
      </w:r>
    </w:p>
    <w:p>
      <w:pPr>
        <w:pStyle w:val="Point1letter"/>
        <w:numPr>
          <w:ilvl w:val="3"/>
          <w:numId w:val="123"/>
        </w:numPr>
        <w:rPr>
          <w:noProof/>
        </w:rPr>
      </w:pPr>
      <w:r>
        <w:rPr>
          <w:noProof/>
        </w:rPr>
        <w:t xml:space="preserve">o descriere generală a produsului fertilizant cu marcaj CE; </w:t>
      </w:r>
    </w:p>
    <w:p>
      <w:pPr>
        <w:pStyle w:val="Point1letter"/>
        <w:numPr>
          <w:ilvl w:val="3"/>
          <w:numId w:val="10"/>
        </w:numPr>
        <w:rPr>
          <w:noProof/>
        </w:rPr>
      </w:pPr>
      <w:r>
        <w:rPr>
          <w:noProof/>
        </w:rPr>
        <w:t>desene și scheme de concepție și execuție;</w:t>
      </w:r>
    </w:p>
    <w:p>
      <w:pPr>
        <w:pStyle w:val="Point1letter"/>
        <w:numPr>
          <w:ilvl w:val="3"/>
          <w:numId w:val="10"/>
        </w:numPr>
        <w:rPr>
          <w:noProof/>
        </w:rPr>
      </w:pPr>
      <w:r>
        <w:rPr>
          <w:noProof/>
        </w:rPr>
        <w:t>descrieri și explicații necesare pentru înțelegerea acelor desene și scheme și a utilizării produsului fertilizant cu marcaj CE;</w:t>
      </w:r>
    </w:p>
    <w:p>
      <w:pPr>
        <w:pStyle w:val="Point1letter"/>
        <w:numPr>
          <w:ilvl w:val="3"/>
          <w:numId w:val="10"/>
        </w:numPr>
        <w:rPr>
          <w:noProof/>
        </w:rPr>
      </w:pPr>
      <w:r>
        <w:rPr>
          <w:noProof/>
        </w:rPr>
        <w:t xml:space="preserve">lista standardelor armonizate aplicate integral sau parțial ale căror referințe au fost publicate în </w:t>
      </w:r>
      <w:r>
        <w:rPr>
          <w:i/>
          <w:noProof/>
        </w:rPr>
        <w:t>Jurnalul Oficial al Uniunii Europene</w:t>
      </w:r>
      <w:r>
        <w:rPr>
          <w:noProof/>
        </w:rPr>
        <w:t>, iar în cazurile în care aceste standarde armonizate nu au fost aplicate, descrierile soluțiilor adoptate pentru a satisface cerințele din prezentul regulament, inclusiv o listă a specificațiilor comune sau a altor specificații tehnice relevante aplicate. În eventualitatea unor standarde armonizate aplicate parțial, documentația tehnică precizează care au fost părțile aplicate;</w:t>
      </w:r>
    </w:p>
    <w:p>
      <w:pPr>
        <w:pStyle w:val="Point1letter"/>
        <w:numPr>
          <w:ilvl w:val="3"/>
          <w:numId w:val="10"/>
        </w:numPr>
        <w:rPr>
          <w:noProof/>
        </w:rPr>
      </w:pPr>
      <w:r>
        <w:rPr>
          <w:noProof/>
        </w:rPr>
        <w:t>rezultatele calculelor de proiectare, ale controalelor efectuate etc. și</w:t>
      </w:r>
    </w:p>
    <w:p>
      <w:pPr>
        <w:pStyle w:val="Point1letter"/>
        <w:numPr>
          <w:ilvl w:val="3"/>
          <w:numId w:val="10"/>
        </w:numPr>
        <w:rPr>
          <w:noProof/>
        </w:rPr>
      </w:pPr>
      <w:r>
        <w:rPr>
          <w:noProof/>
        </w:rPr>
        <w:t>rapoartele de testare.</w:t>
      </w:r>
    </w:p>
    <w:p>
      <w:pPr>
        <w:pStyle w:val="ManualHeading2"/>
        <w:rPr>
          <w:noProof/>
        </w:rPr>
      </w:pPr>
      <w:bookmarkStart w:id="65" w:name="_Toc432153249"/>
      <w:r>
        <w:rPr>
          <w:noProof/>
        </w:rPr>
        <w:t>3.</w:t>
      </w:r>
      <w:r>
        <w:rPr>
          <w:noProof/>
        </w:rPr>
        <w:tab/>
        <w:t>Fabricația</w:t>
      </w:r>
      <w:bookmarkEnd w:id="65"/>
    </w:p>
    <w:p>
      <w:pPr>
        <w:pStyle w:val="NumPar1"/>
        <w:numPr>
          <w:ilvl w:val="0"/>
          <w:numId w:val="17"/>
        </w:numPr>
        <w:rPr>
          <w:noProof/>
        </w:rPr>
      </w:pPr>
      <w:r>
        <w:rPr>
          <w:noProof/>
        </w:rPr>
        <w:t>Producătorul ia toate măsurile necesare pentru ca procesul de fabricație și monitorizarea lui să asigure conformitatea produselor fertilizante cu marcaj CE fabricate cu documentația tehnică menționată la punctul 2 de mai sus și cu cerințele prezentului regulament care se aplică acestora.</w:t>
      </w:r>
    </w:p>
    <w:p>
      <w:pPr>
        <w:pStyle w:val="ManualHeading2"/>
        <w:rPr>
          <w:noProof/>
        </w:rPr>
      </w:pPr>
      <w:bookmarkStart w:id="66" w:name="_Toc432153250"/>
      <w:r>
        <w:rPr>
          <w:noProof/>
        </w:rPr>
        <w:t>4.</w:t>
      </w:r>
      <w:r>
        <w:rPr>
          <w:noProof/>
        </w:rPr>
        <w:tab/>
        <w:t>Marcajul CE, declarația de conformitate UE</w:t>
      </w:r>
      <w:bookmarkEnd w:id="66"/>
    </w:p>
    <w:p>
      <w:pPr>
        <w:pStyle w:val="ManualNumPar2"/>
        <w:rPr>
          <w:noProof/>
        </w:rPr>
      </w:pPr>
      <w:r>
        <w:rPr>
          <w:noProof/>
        </w:rPr>
        <w:t>4.1.</w:t>
      </w:r>
      <w:r>
        <w:rPr>
          <w:noProof/>
        </w:rPr>
        <w:tab/>
        <w:t>Producătorul aplică marcajul CE pe fiecare produs fertilizant care satisface cerințele aplicabile ale prezentului regulament.</w:t>
      </w:r>
    </w:p>
    <w:p>
      <w:pPr>
        <w:pStyle w:val="ManualNumPar2"/>
        <w:rPr>
          <w:noProof/>
        </w:rPr>
      </w:pPr>
      <w:r>
        <w:rPr>
          <w:noProof/>
        </w:rPr>
        <w:t>4.2.</w:t>
      </w:r>
      <w:r>
        <w:rPr>
          <w:noProof/>
        </w:rPr>
        <w:tab/>
        <w:t>Producătorul întocmește o declarație de conformitate UE scrisă pentru fiecare lot de produse fertilizante cu marcaj CE și o păstrează, împreună cu documentația tehnică, la dispoziția autorităților naționale pe o perioadă de 10 ani după introducerea pe piață a produsului fertilizant cu marcaj CE. Declarația de conformitate UE identifică produsul fertilizant cu marcaj CE pentru care a fost întocmită.</w:t>
      </w:r>
    </w:p>
    <w:p>
      <w:pPr>
        <w:pStyle w:val="ManualNumPar1"/>
        <w:rPr>
          <w:noProof/>
        </w:rPr>
      </w:pPr>
      <w:r>
        <w:rPr>
          <w:noProof/>
        </w:rPr>
        <w:t>4.3.</w:t>
      </w:r>
      <w:r>
        <w:rPr>
          <w:noProof/>
        </w:rPr>
        <w:tab/>
        <w:t>Se furnizează o copie a declarației de conformitate UE împreună cu fiecare produs fertilizant cu marcaj CE.</w:t>
      </w:r>
    </w:p>
    <w:p>
      <w:pPr>
        <w:pStyle w:val="ManualHeading2"/>
        <w:rPr>
          <w:noProof/>
        </w:rPr>
      </w:pPr>
      <w:bookmarkStart w:id="67" w:name="_Toc432153251"/>
      <w:r>
        <w:rPr>
          <w:noProof/>
        </w:rPr>
        <w:t>5.</w:t>
      </w:r>
      <w:r>
        <w:rPr>
          <w:noProof/>
        </w:rPr>
        <w:tab/>
        <w:t>Reprezentantul autorizat</w:t>
      </w:r>
      <w:bookmarkEnd w:id="67"/>
    </w:p>
    <w:p>
      <w:pPr>
        <w:pStyle w:val="NumPar1"/>
        <w:numPr>
          <w:ilvl w:val="0"/>
          <w:numId w:val="18"/>
        </w:numPr>
        <w:rPr>
          <w:noProof/>
        </w:rPr>
      </w:pPr>
      <w:r>
        <w:rPr>
          <w:noProof/>
        </w:rPr>
        <w:t>Obligațiile producătorului stabilite la punctul 4 de mai sus pot fi îndeplinite de către reprezentantul său autorizat, în numele său și pe răspunderea sa, cu condiția ca acestea să fie menționate în mandat.</w:t>
      </w:r>
    </w:p>
    <w:p>
      <w:pPr>
        <w:pStyle w:val="ManualHeading1"/>
        <w:jc w:val="center"/>
        <w:rPr>
          <w:noProof/>
        </w:rPr>
      </w:pPr>
      <w:bookmarkStart w:id="68" w:name="_Toc432153252"/>
      <w:r>
        <w:rPr>
          <w:noProof/>
        </w:rPr>
        <w:t>Modulul A1 - controlul intern al producției plus testarea supravegheată a produsului</w:t>
      </w:r>
      <w:bookmarkEnd w:id="68"/>
    </w:p>
    <w:p>
      <w:pPr>
        <w:pStyle w:val="ManualHeading2"/>
        <w:rPr>
          <w:noProof/>
        </w:rPr>
      </w:pPr>
      <w:bookmarkStart w:id="69" w:name="_Toc432153253"/>
      <w:r>
        <w:rPr>
          <w:noProof/>
        </w:rPr>
        <w:t>1.</w:t>
      </w:r>
      <w:r>
        <w:rPr>
          <w:noProof/>
        </w:rPr>
        <w:tab/>
        <w:t>Descrierea modulului</w:t>
      </w:r>
      <w:bookmarkEnd w:id="69"/>
    </w:p>
    <w:p>
      <w:pPr>
        <w:pStyle w:val="NumPar1"/>
        <w:numPr>
          <w:ilvl w:val="0"/>
          <w:numId w:val="124"/>
        </w:numPr>
        <w:rPr>
          <w:noProof/>
        </w:rPr>
      </w:pPr>
      <w:r>
        <w:rPr>
          <w:noProof/>
        </w:rPr>
        <w:t>Controlul intern al producției plus testarea supravegheată a produsului este procedura de evaluare a conformității prin care producătorul își îndeplinește obligațiile prevăzute la punctele 2, 3, 4 și 5 de mai jos, se asigură și declară pe răspunderea sa exclusivă că produsul fertilizant cu marcaj CE în cauză satisface cerințele prezentului regulament aplicabile produsului.</w:t>
      </w:r>
    </w:p>
    <w:p>
      <w:pPr>
        <w:pStyle w:val="ManualHeading2"/>
        <w:rPr>
          <w:noProof/>
        </w:rPr>
      </w:pPr>
      <w:bookmarkStart w:id="70" w:name="_Toc432153254"/>
      <w:r>
        <w:rPr>
          <w:noProof/>
        </w:rPr>
        <w:t>2.</w:t>
      </w:r>
      <w:r>
        <w:rPr>
          <w:noProof/>
        </w:rPr>
        <w:tab/>
        <w:t>Documentația tehnică</w:t>
      </w:r>
      <w:bookmarkEnd w:id="70"/>
    </w:p>
    <w:p>
      <w:pPr>
        <w:pStyle w:val="ManualNumPar1"/>
        <w:rPr>
          <w:noProof/>
        </w:rPr>
      </w:pPr>
      <w:r>
        <w:rPr>
          <w:noProof/>
        </w:rPr>
        <w:t>2.1.</w:t>
      </w:r>
      <w:r>
        <w:rPr>
          <w:noProof/>
        </w:rPr>
        <w:tab/>
        <w:t>Producătorul stabilește documentația tehnică. Documentația permite evaluarea produsului fertilizant cu marcaj CE din punctul de vedere al conformității cu cerințele relevante și include o analiză adecvată și o evaluare a riscului (riscurilor).</w:t>
      </w:r>
    </w:p>
    <w:p>
      <w:pPr>
        <w:pStyle w:val="ManualNumPar1"/>
        <w:keepNext/>
        <w:ind w:left="851" w:hanging="851"/>
        <w:rPr>
          <w:noProof/>
        </w:rPr>
      </w:pPr>
      <w:r>
        <w:rPr>
          <w:noProof/>
        </w:rPr>
        <w:t>2.2.</w:t>
      </w:r>
      <w:r>
        <w:rPr>
          <w:noProof/>
        </w:rPr>
        <w:tab/>
        <w:t>Documentația tehnică specifică cerințele aplicabile și vizează, în măsura în care acest lucru este relevant pentru evaluare, proiectarea, fabricarea și utilizarea produsului fertilizant cu marcaj CE. Documentația tehnică cuprinde, unde este cazul, cel puțin următoarele elemente:</w:t>
      </w:r>
    </w:p>
    <w:p>
      <w:pPr>
        <w:pStyle w:val="Point1letter"/>
        <w:numPr>
          <w:ilvl w:val="3"/>
          <w:numId w:val="125"/>
        </w:numPr>
        <w:rPr>
          <w:noProof/>
        </w:rPr>
      </w:pPr>
      <w:r>
        <w:rPr>
          <w:noProof/>
        </w:rPr>
        <w:t>o descriere generală a produsului fertilizant cu marcaj CE;</w:t>
      </w:r>
    </w:p>
    <w:p>
      <w:pPr>
        <w:pStyle w:val="Point1letter"/>
        <w:numPr>
          <w:ilvl w:val="3"/>
          <w:numId w:val="10"/>
        </w:numPr>
        <w:rPr>
          <w:noProof/>
        </w:rPr>
      </w:pPr>
      <w:r>
        <w:rPr>
          <w:noProof/>
        </w:rPr>
        <w:t>desene și scheme de concepție și execuție;</w:t>
      </w:r>
    </w:p>
    <w:p>
      <w:pPr>
        <w:pStyle w:val="Point1letter"/>
        <w:numPr>
          <w:ilvl w:val="3"/>
          <w:numId w:val="10"/>
        </w:numPr>
        <w:rPr>
          <w:noProof/>
        </w:rPr>
      </w:pPr>
      <w:r>
        <w:rPr>
          <w:noProof/>
        </w:rPr>
        <w:t>descrieri și explicații necesare pentru înțelegerea acelor desene și scheme și a utilizării produsului fertilizant cu marcaj CE;</w:t>
      </w:r>
    </w:p>
    <w:p>
      <w:pPr>
        <w:pStyle w:val="Point1letter"/>
        <w:numPr>
          <w:ilvl w:val="3"/>
          <w:numId w:val="10"/>
        </w:numPr>
        <w:rPr>
          <w:noProof/>
        </w:rPr>
      </w:pPr>
      <w:r>
        <w:rPr>
          <w:noProof/>
        </w:rPr>
        <w:t>denumirea și adresa unităților de producție, precum și denumirea și adresa operatorilor unităților respective la care au fost fabricate produsul și principalele sale componente;</w:t>
      </w:r>
    </w:p>
    <w:p>
      <w:pPr>
        <w:pStyle w:val="Point1letter"/>
        <w:numPr>
          <w:ilvl w:val="3"/>
          <w:numId w:val="10"/>
        </w:numPr>
        <w:rPr>
          <w:noProof/>
        </w:rPr>
      </w:pPr>
      <w:r>
        <w:rPr>
          <w:noProof/>
        </w:rPr>
        <w:t xml:space="preserve">lista standardelor armonizate aplicate integral sau parțial ale căror referințe au fost publicate în </w:t>
      </w:r>
      <w:r>
        <w:rPr>
          <w:i/>
          <w:noProof/>
        </w:rPr>
        <w:t>Jurnalul Oficial al Uniunii Europene</w:t>
      </w:r>
      <w:r>
        <w:rPr>
          <w:noProof/>
        </w:rPr>
        <w:t>, iar în cazurile în care aceste standarde armonizate nu au fost aplicate, descrierile soluțiilor adoptate pentru a satisface cerințele din prezentul regulament, inclusiv o listă a specificațiilor comune sau a altor specificații tehnice relevante aplicate. În eventualitatea unor standarde armonizate aplicate parțial, documentația tehnică precizează care au fost părțile aplicate;</w:t>
      </w:r>
    </w:p>
    <w:p>
      <w:pPr>
        <w:pStyle w:val="Point1letter"/>
        <w:numPr>
          <w:ilvl w:val="3"/>
          <w:numId w:val="10"/>
        </w:numPr>
        <w:rPr>
          <w:noProof/>
        </w:rPr>
      </w:pPr>
      <w:r>
        <w:rPr>
          <w:noProof/>
        </w:rPr>
        <w:t>rezultatele calculelor de proiectare, ale controalelor efectuate etc. și</w:t>
      </w:r>
    </w:p>
    <w:p>
      <w:pPr>
        <w:pStyle w:val="Point1letter"/>
        <w:numPr>
          <w:ilvl w:val="3"/>
          <w:numId w:val="10"/>
        </w:numPr>
        <w:rPr>
          <w:noProof/>
        </w:rPr>
      </w:pPr>
      <w:r>
        <w:rPr>
          <w:noProof/>
        </w:rPr>
        <w:t>rapoartele de testare.</w:t>
      </w:r>
    </w:p>
    <w:p>
      <w:pPr>
        <w:pStyle w:val="ManualHeading2"/>
        <w:rPr>
          <w:noProof/>
        </w:rPr>
      </w:pPr>
      <w:bookmarkStart w:id="71" w:name="_Toc432153255"/>
      <w:r>
        <w:rPr>
          <w:noProof/>
        </w:rPr>
        <w:t>3.</w:t>
      </w:r>
      <w:r>
        <w:rPr>
          <w:noProof/>
        </w:rPr>
        <w:tab/>
        <w:t>Fabricația</w:t>
      </w:r>
      <w:bookmarkEnd w:id="71"/>
    </w:p>
    <w:p>
      <w:pPr>
        <w:pStyle w:val="ManualNumPar1"/>
        <w:rPr>
          <w:noProof/>
        </w:rPr>
      </w:pPr>
      <w:r>
        <w:rPr>
          <w:noProof/>
        </w:rPr>
        <w:t>3.</w:t>
      </w:r>
      <w:r>
        <w:rPr>
          <w:noProof/>
        </w:rPr>
        <w:tab/>
        <w:t>Producătorul ia toate măsurile necesare pentru ca procesul de fabricație și monitorizarea acestuia să asigure conformitatea produsului fertilizant cu marcaj CE fabricat cu documentația tehnică prevăzută la punctul 2 de mai sus și cu cerințele prezentului regulament.</w:t>
      </w:r>
    </w:p>
    <w:p>
      <w:pPr>
        <w:pStyle w:val="ManualHeading2"/>
        <w:rPr>
          <w:noProof/>
        </w:rPr>
      </w:pPr>
      <w:bookmarkStart w:id="72" w:name="_Toc432153256"/>
      <w:r>
        <w:rPr>
          <w:noProof/>
        </w:rPr>
        <w:t>4.</w:t>
      </w:r>
      <w:r>
        <w:rPr>
          <w:noProof/>
        </w:rPr>
        <w:tab/>
        <w:t>Verificările produsului</w:t>
      </w:r>
      <w:bookmarkEnd w:id="72"/>
      <w:r>
        <w:rPr>
          <w:noProof/>
        </w:rPr>
        <w:t xml:space="preserve"> privind retenția de ulei și rezistența la detonare</w:t>
      </w:r>
    </w:p>
    <w:p>
      <w:pPr>
        <w:pStyle w:val="ManualNumPar1"/>
        <w:keepNext/>
        <w:ind w:left="851" w:hanging="851"/>
        <w:rPr>
          <w:noProof/>
        </w:rPr>
      </w:pPr>
      <w:r>
        <w:rPr>
          <w:noProof/>
        </w:rPr>
        <w:t>4.</w:t>
      </w:r>
      <w:r>
        <w:rPr>
          <w:noProof/>
        </w:rPr>
        <w:tab/>
        <w:t xml:space="preserve">Testele și încercările menționate la punctele 4.1-4.3 de mai jos se efectuează asupra unui eșantion reprezentativ de produs cel puțin o dată la 3 luni în numele producătorului, pentru a verifica conformitatea cu: </w:t>
      </w:r>
    </w:p>
    <w:p>
      <w:pPr>
        <w:pStyle w:val="Point1letter"/>
        <w:numPr>
          <w:ilvl w:val="3"/>
          <w:numId w:val="126"/>
        </w:numPr>
        <w:rPr>
          <w:noProof/>
        </w:rPr>
      </w:pPr>
      <w:r>
        <w:rPr>
          <w:noProof/>
        </w:rPr>
        <w:t xml:space="preserve">cerința privind retenția de ulei menționată la punctul 4 de la CFP 1(C)(I)(a)(i-ii)(A) din anexa I la prezentul regulament și </w:t>
      </w:r>
    </w:p>
    <w:p>
      <w:pPr>
        <w:pStyle w:val="Point1letter"/>
        <w:keepNext/>
        <w:numPr>
          <w:ilvl w:val="3"/>
          <w:numId w:val="10"/>
        </w:numPr>
        <w:ind w:left="1418"/>
        <w:rPr>
          <w:noProof/>
        </w:rPr>
      </w:pPr>
      <w:r>
        <w:rPr>
          <w:noProof/>
        </w:rPr>
        <w:t>cerința privind rezistența la detonare menționată la punctul 5 de la CFP 1(C)(I)(a)(i-ii)(A) din anexa I la prezentul regulament.</w:t>
      </w:r>
    </w:p>
    <w:p>
      <w:pPr>
        <w:ind w:left="851"/>
        <w:rPr>
          <w:noProof/>
        </w:rPr>
      </w:pPr>
      <w:r>
        <w:rPr>
          <w:noProof/>
        </w:rPr>
        <w:t>Responsabilitatea efectuării testelor revine unui organism notificat ales de producător.</w:t>
      </w:r>
    </w:p>
    <w:p>
      <w:pPr>
        <w:pStyle w:val="ManualHeading3"/>
        <w:rPr>
          <w:noProof/>
        </w:rPr>
      </w:pPr>
      <w:r>
        <w:rPr>
          <w:noProof/>
        </w:rPr>
        <w:t>4.1.</w:t>
      </w:r>
      <w:r>
        <w:rPr>
          <w:noProof/>
        </w:rPr>
        <w:tab/>
        <w:t>Ciclurile termice înainte de testarea cerinței privind retenția de ulei menționate la punctul 4 în cadrul CFP 1(C)(I)(a)(i-ii)(A) din anexa I</w:t>
      </w:r>
    </w:p>
    <w:p>
      <w:pPr>
        <w:pStyle w:val="ManualHeading4"/>
        <w:rPr>
          <w:i/>
          <w:iCs/>
          <w:noProof/>
        </w:rPr>
      </w:pPr>
      <w:r>
        <w:rPr>
          <w:i/>
          <w:noProof/>
        </w:rPr>
        <w:t>4.1.1.</w:t>
      </w:r>
      <w:r>
        <w:rPr>
          <w:noProof/>
        </w:rPr>
        <w:tab/>
      </w:r>
      <w:r>
        <w:rPr>
          <w:i/>
          <w:noProof/>
        </w:rPr>
        <w:t xml:space="preserve">Principiu și definiție </w:t>
      </w:r>
    </w:p>
    <w:p>
      <w:pPr>
        <w:pStyle w:val="ManualNumPar1"/>
        <w:rPr>
          <w:noProof/>
        </w:rPr>
      </w:pPr>
      <w:r>
        <w:rPr>
          <w:noProof/>
        </w:rPr>
        <w:t>4.1.1.</w:t>
      </w:r>
      <w:r>
        <w:rPr>
          <w:noProof/>
        </w:rPr>
        <w:tab/>
        <w:t xml:space="preserve">Eșantionul se încălzește într-un vas Erlenmeyer de la temperatura ambiantă la 50 °C și se menține la această temperatură timp de două ore (faza la 50 °C). Se răcește eșantionul la o temperatură de 25 °C și se menține la această temperatură timp de două ore (faza la 25 °C). Combinația fazelor succesive, la 50 °C și 25 °C, formează un ciclu termic. După ce a fost supus la două cicluri termice, eșantionul este ținut la o temperatură de 20 (±3)°C, pentru determinarea valorii retenției de ulei. </w:t>
      </w:r>
    </w:p>
    <w:p>
      <w:pPr>
        <w:pStyle w:val="ManualHeading4"/>
        <w:rPr>
          <w:i/>
          <w:iCs/>
          <w:noProof/>
        </w:rPr>
      </w:pPr>
      <w:r>
        <w:rPr>
          <w:i/>
          <w:noProof/>
        </w:rPr>
        <w:t>4.1.2.</w:t>
      </w:r>
      <w:r>
        <w:rPr>
          <w:noProof/>
        </w:rPr>
        <w:tab/>
      </w:r>
      <w:r>
        <w:rPr>
          <w:i/>
          <w:noProof/>
        </w:rPr>
        <w:t>Aparatură</w:t>
      </w:r>
    </w:p>
    <w:p>
      <w:pPr>
        <w:pStyle w:val="ManualNumPar1"/>
        <w:keepNext/>
        <w:ind w:left="851" w:hanging="851"/>
        <w:rPr>
          <w:noProof/>
        </w:rPr>
      </w:pPr>
      <w:r>
        <w:rPr>
          <w:noProof/>
        </w:rPr>
        <w:t>4.1.2.</w:t>
      </w:r>
      <w:r>
        <w:rPr>
          <w:noProof/>
        </w:rPr>
        <w:tab/>
        <w:t>Aparatură de laborator obișnuită, în special:</w:t>
      </w:r>
    </w:p>
    <w:p>
      <w:pPr>
        <w:pStyle w:val="Point1letter"/>
        <w:numPr>
          <w:ilvl w:val="3"/>
          <w:numId w:val="127"/>
        </w:numPr>
        <w:rPr>
          <w:noProof/>
        </w:rPr>
      </w:pPr>
      <w:r>
        <w:rPr>
          <w:noProof/>
        </w:rPr>
        <w:t>băi de apă cu termostat pentru 25 (</w:t>
      </w:r>
      <w:r>
        <w:rPr>
          <w:noProof/>
        </w:rPr>
        <w:sym w:font="Symbol" w:char="F0B1"/>
      </w:r>
      <w:r>
        <w:rPr>
          <w:noProof/>
        </w:rPr>
        <w:t>1) °C și respectiv 50 (</w:t>
      </w:r>
      <w:r>
        <w:rPr>
          <w:noProof/>
        </w:rPr>
        <w:sym w:font="Symbol" w:char="F0B1"/>
      </w:r>
      <w:r>
        <w:rPr>
          <w:noProof/>
        </w:rPr>
        <w:t xml:space="preserve"> 1) °C</w:t>
      </w:r>
    </w:p>
    <w:p>
      <w:pPr>
        <w:pStyle w:val="Point1letter"/>
        <w:numPr>
          <w:ilvl w:val="3"/>
          <w:numId w:val="10"/>
        </w:numPr>
        <w:rPr>
          <w:noProof/>
        </w:rPr>
      </w:pPr>
      <w:r>
        <w:rPr>
          <w:noProof/>
        </w:rPr>
        <w:t>vase Erlenmeyer cu un volum individual de 150 ml.</w:t>
      </w:r>
    </w:p>
    <w:p>
      <w:pPr>
        <w:pStyle w:val="ManualHeading4"/>
        <w:rPr>
          <w:i/>
          <w:iCs/>
          <w:noProof/>
        </w:rPr>
      </w:pPr>
      <w:r>
        <w:rPr>
          <w:i/>
          <w:noProof/>
        </w:rPr>
        <w:t>4.1.3.</w:t>
      </w:r>
      <w:r>
        <w:rPr>
          <w:noProof/>
        </w:rPr>
        <w:tab/>
      </w:r>
      <w:r>
        <w:rPr>
          <w:i/>
          <w:noProof/>
        </w:rPr>
        <w:t>Procedura</w:t>
      </w:r>
    </w:p>
    <w:p>
      <w:pPr>
        <w:pStyle w:val="ManualNumPar1"/>
        <w:rPr>
          <w:noProof/>
        </w:rPr>
      </w:pPr>
      <w:r>
        <w:rPr>
          <w:noProof/>
        </w:rPr>
        <w:t>4.1.3.1</w:t>
      </w:r>
      <w:r>
        <w:rPr>
          <w:noProof/>
        </w:rPr>
        <w:tab/>
        <w:t>Se pune fiecare eșantion de 70 (</w:t>
      </w:r>
      <w:r>
        <w:rPr>
          <w:noProof/>
        </w:rPr>
        <w:sym w:font="Symbol" w:char="F0B1"/>
      </w:r>
      <w:r>
        <w:rPr>
          <w:noProof/>
        </w:rPr>
        <w:t>5) grame în câte un vas Erlenmeyer, care se închide apoi etanș cu un dop.</w:t>
      </w:r>
    </w:p>
    <w:p>
      <w:pPr>
        <w:pStyle w:val="ManualNumPar1"/>
        <w:rPr>
          <w:noProof/>
        </w:rPr>
      </w:pPr>
      <w:r>
        <w:rPr>
          <w:noProof/>
        </w:rPr>
        <w:t>4.1.3.2</w:t>
      </w:r>
      <w:r>
        <w:rPr>
          <w:noProof/>
        </w:rPr>
        <w:tab/>
        <w:t>La fiecare două ore, fiecare balon se mută din baia la 50 °C în baia la 25 °C și invers.</w:t>
      </w:r>
    </w:p>
    <w:p>
      <w:pPr>
        <w:pStyle w:val="ManualNumPar1"/>
        <w:rPr>
          <w:noProof/>
        </w:rPr>
      </w:pPr>
      <w:r>
        <w:rPr>
          <w:noProof/>
        </w:rPr>
        <w:t>4.1.3.3</w:t>
      </w:r>
      <w:r>
        <w:rPr>
          <w:noProof/>
        </w:rPr>
        <w:tab/>
        <w:t>Se menține apa din fiecare baie la temperatură constantă și în mișcare, agitând rapid pentru a se asigura menținerea nivelului apei deasupra nivelului probei. Dopul se protejează de condens cu un capac de cauciuc.</w:t>
      </w:r>
    </w:p>
    <w:p>
      <w:pPr>
        <w:pStyle w:val="ManualHeading3"/>
        <w:rPr>
          <w:noProof/>
        </w:rPr>
      </w:pPr>
      <w:r>
        <w:rPr>
          <w:noProof/>
        </w:rPr>
        <w:t>4.2.</w:t>
      </w:r>
      <w:r>
        <w:rPr>
          <w:noProof/>
        </w:rPr>
        <w:tab/>
        <w:t>Ciclurile termice înainte de testarea rezistența la detonare menționate la punctul 5 în cadrul CFP 1(C)(I)(a)(i-ii)(A) din anexa I</w:t>
      </w:r>
    </w:p>
    <w:p>
      <w:pPr>
        <w:pStyle w:val="ManualHeading4"/>
        <w:rPr>
          <w:i/>
          <w:iCs/>
          <w:noProof/>
        </w:rPr>
      </w:pPr>
      <w:r>
        <w:rPr>
          <w:i/>
          <w:noProof/>
        </w:rPr>
        <w:t>4.2.1.</w:t>
      </w:r>
      <w:r>
        <w:rPr>
          <w:noProof/>
        </w:rPr>
        <w:tab/>
      </w:r>
      <w:r>
        <w:rPr>
          <w:i/>
          <w:noProof/>
        </w:rPr>
        <w:t>Principiu și definiție</w:t>
      </w:r>
    </w:p>
    <w:p>
      <w:pPr>
        <w:pStyle w:val="ManualNumPar1"/>
        <w:rPr>
          <w:noProof/>
        </w:rPr>
      </w:pPr>
      <w:r>
        <w:rPr>
          <w:noProof/>
        </w:rPr>
        <w:t>4.2.1.</w:t>
      </w:r>
      <w:r>
        <w:rPr>
          <w:noProof/>
        </w:rPr>
        <w:tab/>
        <w:t>Într-un recipient etanș, se încălzește eșantionul de la temperatura ambiantă la 50 °C și se menține la această temperatură timp de o oră (faza la 50 °C). Eșantionul se răcește apoi până se ajunge la temperatura de 25 °C și se menține la această temperatură timp de o oră (faza la 25 °C). Combinația fazelor succesive, la 50 °C și 25 °C, formează un ciclu termic. După efectuarea numărului de cicluri necesar, eșantionul este ținut la o temperatură de 20 (±3)°C până la executarea testului de rezistență la detonare.</w:t>
      </w:r>
    </w:p>
    <w:p>
      <w:pPr>
        <w:pStyle w:val="ManualHeading4"/>
        <w:rPr>
          <w:i/>
          <w:iCs/>
          <w:noProof/>
        </w:rPr>
      </w:pPr>
      <w:r>
        <w:rPr>
          <w:i/>
          <w:noProof/>
        </w:rPr>
        <w:t>4.2.2.</w:t>
      </w:r>
      <w:r>
        <w:rPr>
          <w:noProof/>
        </w:rPr>
        <w:tab/>
      </w:r>
      <w:r>
        <w:rPr>
          <w:i/>
          <w:noProof/>
        </w:rPr>
        <w:t>Aparatură</w:t>
      </w:r>
    </w:p>
    <w:p>
      <w:pPr>
        <w:pStyle w:val="Point1letter"/>
        <w:numPr>
          <w:ilvl w:val="3"/>
          <w:numId w:val="128"/>
        </w:numPr>
        <w:rPr>
          <w:noProof/>
        </w:rPr>
      </w:pPr>
      <w:r>
        <w:rPr>
          <w:noProof/>
        </w:rPr>
        <w:t>Baie de apă termostatată între 20 °C și 51 °C, cu o capacitate minimă de încălzire și răcire de 10 °C/oră, sau două băi de apă, una termostatată la 20 °C, cealaltă la 51 °C. Apa din baie (băi) se amestecă continuu; volumul băii trebuie să fie suficient de mare pentru a permite o bună circulație a apei.</w:t>
      </w:r>
    </w:p>
    <w:p>
      <w:pPr>
        <w:pStyle w:val="Point1letter"/>
        <w:numPr>
          <w:ilvl w:val="3"/>
          <w:numId w:val="10"/>
        </w:numPr>
        <w:rPr>
          <w:noProof/>
        </w:rPr>
      </w:pPr>
      <w:r>
        <w:rPr>
          <w:noProof/>
        </w:rPr>
        <w:t>Un recipient din oțel inoxidabil, etanșat de jur împrejur și prevăzut în centru cu un termocuplu. Lățimea exterioară a recipientului este de 45 (</w:t>
      </w:r>
      <w:r>
        <w:rPr>
          <w:noProof/>
        </w:rPr>
        <w:sym w:font="Symbol" w:char="F0B1"/>
      </w:r>
      <w:r>
        <w:rPr>
          <w:noProof/>
        </w:rPr>
        <w:t>2) mm, iar grosimea peretelui este de 1,5 mm (a se vedea figura 1). Înălțimea și lungimea recipientului pot fi alese pentru a se potrivi cu dimensiunile băii de apă, de exemplu lungime 600 mm, înălțime 400 mm.</w:t>
      </w:r>
    </w:p>
    <w:p>
      <w:pPr>
        <w:pStyle w:val="ManualHeading4"/>
        <w:rPr>
          <w:i/>
          <w:iCs/>
          <w:noProof/>
        </w:rPr>
      </w:pPr>
      <w:r>
        <w:rPr>
          <w:i/>
          <w:noProof/>
        </w:rPr>
        <w:t>4.2.3.</w:t>
      </w:r>
      <w:r>
        <w:rPr>
          <w:noProof/>
        </w:rPr>
        <w:tab/>
      </w:r>
      <w:r>
        <w:rPr>
          <w:i/>
          <w:noProof/>
        </w:rPr>
        <w:t>Procedura</w:t>
      </w:r>
    </w:p>
    <w:p>
      <w:pPr>
        <w:pStyle w:val="ManualNumPar1"/>
        <w:rPr>
          <w:noProof/>
        </w:rPr>
      </w:pPr>
      <w:r>
        <w:rPr>
          <w:noProof/>
        </w:rPr>
        <w:t>4.2.3.</w:t>
      </w:r>
      <w:r>
        <w:rPr>
          <w:noProof/>
        </w:rPr>
        <w:tab/>
        <w:t>Se introduce în recipient o cantitate de îngrășământ suficientă pentru o singură detonare și se închide capacul. Se pune recipientul în baia de apă. Se încălzește apa la 51 °C și se măsoară temperatura în centrul îngrășământului. La o oră după ce temperatura în centru a atins 50 °C, se răcește apa. La o oră după ce temperatura în centru a atins 25 °C, se reîncălzește apa pentru a începe al doilea ciclu. În cazul cu două băi, se transferă recipientul dintr-o baie într-alta după fiecare perioadă de încălzire/răcire.</w:t>
      </w:r>
    </w:p>
    <w:p>
      <w:pPr>
        <w:pStyle w:val="NormalCentered"/>
        <w:keepNext/>
        <w:jc w:val="left"/>
        <w:rPr>
          <w:noProof/>
        </w:rPr>
      </w:pPr>
      <w:r>
        <w:rPr>
          <w:noProof/>
        </w:rPr>
        <w:t>Figura 1</w:t>
      </w:r>
    </w:p>
    <w:p>
      <w:pPr>
        <w:pStyle w:val="Text1"/>
        <w:tabs>
          <w:tab w:val="left" w:pos="567"/>
        </w:tabs>
        <w:ind w:left="567"/>
        <w:jc w:val="left"/>
        <w:rPr>
          <w:noProof/>
        </w:rPr>
      </w:pPr>
      <w:r>
        <w:rPr>
          <w:noProof/>
          <w:lang w:val="en-US"/>
        </w:rPr>
        <w:drawing>
          <wp:inline distT="0" distB="0" distL="0" distR="0">
            <wp:extent cx="5761355" cy="4635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1355" cy="4635145"/>
                    </a:xfrm>
                    <a:prstGeom prst="rect">
                      <a:avLst/>
                    </a:prstGeom>
                  </pic:spPr>
                </pic:pic>
              </a:graphicData>
            </a:graphic>
          </wp:inline>
        </w:drawing>
      </w:r>
    </w:p>
    <w:p>
      <w:pPr>
        <w:pStyle w:val="ManualHeading3"/>
        <w:rPr>
          <w:noProof/>
        </w:rPr>
      </w:pPr>
      <w:r>
        <w:rPr>
          <w:noProof/>
        </w:rPr>
        <w:t>4.3.</w:t>
      </w:r>
      <w:r>
        <w:rPr>
          <w:noProof/>
        </w:rPr>
        <w:tab/>
        <w:t>Testul privind rezistența la detonare menționat la punctul 5 în cadrul CFP 1(C)(I)(a)(i-ii)(A) din anexa I</w:t>
      </w:r>
    </w:p>
    <w:p>
      <w:pPr>
        <w:pStyle w:val="ManualHeading4"/>
        <w:rPr>
          <w:i/>
          <w:iCs/>
          <w:noProof/>
        </w:rPr>
      </w:pPr>
      <w:r>
        <w:rPr>
          <w:i/>
          <w:noProof/>
        </w:rPr>
        <w:t>4.3.1.</w:t>
      </w:r>
      <w:r>
        <w:rPr>
          <w:noProof/>
        </w:rPr>
        <w:tab/>
      </w:r>
      <w:r>
        <w:rPr>
          <w:i/>
          <w:noProof/>
        </w:rPr>
        <w:t>Descriere</w:t>
      </w:r>
    </w:p>
    <w:p>
      <w:pPr>
        <w:pStyle w:val="ManualNumPar1"/>
        <w:rPr>
          <w:noProof/>
        </w:rPr>
      </w:pPr>
      <w:r>
        <w:rPr>
          <w:noProof/>
        </w:rPr>
        <w:t>4.3.1.1</w:t>
      </w:r>
      <w:r>
        <w:rPr>
          <w:noProof/>
        </w:rPr>
        <w:tab/>
        <w:t>Testul se efectuează pe un eșantion reprezentativ din produsul fertilizant cu marcaj CE. Întregul eșantion va fi supus la cinci cicluri termice, conform dispozițiilor de la punctul 4.2 de mai sus, înainte de executarea testului de rezistență la detonare.</w:t>
      </w:r>
    </w:p>
    <w:p>
      <w:pPr>
        <w:pStyle w:val="ManualNumPar1"/>
        <w:keepNext/>
        <w:ind w:left="851" w:hanging="851"/>
        <w:rPr>
          <w:noProof/>
        </w:rPr>
      </w:pPr>
      <w:r>
        <w:rPr>
          <w:noProof/>
        </w:rPr>
        <w:t>4.3.1.2</w:t>
      </w:r>
      <w:r>
        <w:rPr>
          <w:noProof/>
        </w:rPr>
        <w:tab/>
        <w:t>Produsul fertilizant cu marcaj CE este supus testului de rezistență la detonare într-un tub de oțel orizontal, cu îndeplinirea următoarelor condiții:</w:t>
      </w:r>
    </w:p>
    <w:p>
      <w:pPr>
        <w:pStyle w:val="Point1letter"/>
        <w:numPr>
          <w:ilvl w:val="3"/>
          <w:numId w:val="129"/>
        </w:numPr>
        <w:rPr>
          <w:noProof/>
        </w:rPr>
      </w:pPr>
      <w:r>
        <w:rPr>
          <w:noProof/>
        </w:rPr>
        <w:t>tub de oțel fără sudură;</w:t>
      </w:r>
    </w:p>
    <w:p>
      <w:pPr>
        <w:pStyle w:val="Point1letter"/>
        <w:numPr>
          <w:ilvl w:val="3"/>
          <w:numId w:val="10"/>
        </w:numPr>
        <w:rPr>
          <w:noProof/>
        </w:rPr>
      </w:pPr>
      <w:r>
        <w:rPr>
          <w:noProof/>
        </w:rPr>
        <w:t>lungimea tubului: minimum 1 000 mm,</w:t>
      </w:r>
    </w:p>
    <w:p>
      <w:pPr>
        <w:pStyle w:val="Point1letter"/>
        <w:numPr>
          <w:ilvl w:val="3"/>
          <w:numId w:val="10"/>
        </w:numPr>
        <w:rPr>
          <w:noProof/>
        </w:rPr>
      </w:pPr>
      <w:r>
        <w:rPr>
          <w:noProof/>
        </w:rPr>
        <w:t>diametrul nominal exterior: minimum 114 mm;</w:t>
      </w:r>
    </w:p>
    <w:p>
      <w:pPr>
        <w:pStyle w:val="Point1letter"/>
        <w:numPr>
          <w:ilvl w:val="3"/>
          <w:numId w:val="10"/>
        </w:numPr>
        <w:rPr>
          <w:noProof/>
        </w:rPr>
      </w:pPr>
      <w:r>
        <w:rPr>
          <w:noProof/>
        </w:rPr>
        <w:t>grosimea nominală a pereților: minimum 5 mm;</w:t>
      </w:r>
    </w:p>
    <w:p>
      <w:pPr>
        <w:pStyle w:val="Point1letter"/>
        <w:numPr>
          <w:ilvl w:val="3"/>
          <w:numId w:val="10"/>
        </w:numPr>
        <w:rPr>
          <w:noProof/>
        </w:rPr>
      </w:pPr>
      <w:r>
        <w:rPr>
          <w:noProof/>
        </w:rPr>
        <w:t>încărcătura de detonare: natura și dimensiunile încărcăturii de detonare trebuie alese în așa fel încât să se obțină o maximizare a presiunii de detonare aplicate eșantionului pentru a se determina susceptibilitatea acestuia la propagarea detonării;</w:t>
      </w:r>
    </w:p>
    <w:p>
      <w:pPr>
        <w:pStyle w:val="Point1letter"/>
        <w:numPr>
          <w:ilvl w:val="3"/>
          <w:numId w:val="10"/>
        </w:numPr>
        <w:rPr>
          <w:noProof/>
        </w:rPr>
      </w:pPr>
      <w:r>
        <w:rPr>
          <w:noProof/>
        </w:rPr>
        <w:t>temperatura de încercare: 15-25°C;</w:t>
      </w:r>
    </w:p>
    <w:p>
      <w:pPr>
        <w:pStyle w:val="Point1letter"/>
        <w:numPr>
          <w:ilvl w:val="3"/>
          <w:numId w:val="10"/>
        </w:numPr>
        <w:rPr>
          <w:noProof/>
        </w:rPr>
      </w:pPr>
      <w:r>
        <w:rPr>
          <w:noProof/>
        </w:rPr>
        <w:t>cilindri-martori de plumb pentru rezistență la detonare: 50 mm diametru, 100 mm înălțime;</w:t>
      </w:r>
    </w:p>
    <w:p>
      <w:pPr>
        <w:pStyle w:val="Point1letter"/>
        <w:numPr>
          <w:ilvl w:val="3"/>
          <w:numId w:val="10"/>
        </w:numPr>
        <w:rPr>
          <w:noProof/>
        </w:rPr>
      </w:pPr>
      <w:r>
        <w:rPr>
          <w:noProof/>
        </w:rPr>
        <w:t>poziționate la intervale de 150 mm și susținând orizontal tubul. Se efectuează două teste. Testul este considerat semnificativ în cazul în care unul sau mai mulți cilindri de sprijin nu sunt comprimați cu mai mult de 5 %.</w:t>
      </w:r>
    </w:p>
    <w:p>
      <w:pPr>
        <w:pStyle w:val="ManualHeading4"/>
        <w:rPr>
          <w:i/>
          <w:iCs/>
          <w:noProof/>
        </w:rPr>
      </w:pPr>
      <w:bookmarkStart w:id="73" w:name="_Toc511544496"/>
      <w:bookmarkStart w:id="74" w:name="_Toc512925213"/>
      <w:bookmarkStart w:id="75" w:name="_Toc520787247"/>
      <w:bookmarkStart w:id="76" w:name="_Toc520907826"/>
      <w:bookmarkStart w:id="77" w:name="_Toc520909306"/>
      <w:r>
        <w:rPr>
          <w:i/>
          <w:noProof/>
        </w:rPr>
        <w:t>4.3.2.</w:t>
      </w:r>
      <w:r>
        <w:rPr>
          <w:noProof/>
        </w:rPr>
        <w:tab/>
      </w:r>
      <w:r>
        <w:rPr>
          <w:i/>
          <w:noProof/>
        </w:rPr>
        <w:t>Principiu</w:t>
      </w:r>
      <w:bookmarkEnd w:id="73"/>
      <w:bookmarkEnd w:id="74"/>
      <w:bookmarkEnd w:id="75"/>
      <w:bookmarkEnd w:id="76"/>
      <w:bookmarkEnd w:id="77"/>
    </w:p>
    <w:p>
      <w:pPr>
        <w:pStyle w:val="ManualNumPar1"/>
        <w:rPr>
          <w:noProof/>
        </w:rPr>
      </w:pPr>
      <w:r>
        <w:rPr>
          <w:noProof/>
        </w:rPr>
        <w:t>4.3.2.</w:t>
      </w:r>
      <w:r>
        <w:rPr>
          <w:noProof/>
        </w:rPr>
        <w:tab/>
        <w:t>Eșantionul este închis într-un tub din oțel și este supus șocului provocat de detonarea unei încărcături de detonare. Propagarea detonării este determinată de gradul de compresie al cilindrilor de plumb pe care tubul rămâne orizontal în timpul testului.</w:t>
      </w:r>
    </w:p>
    <w:p>
      <w:pPr>
        <w:pStyle w:val="ManualHeading4"/>
        <w:rPr>
          <w:i/>
          <w:iCs/>
          <w:noProof/>
        </w:rPr>
      </w:pPr>
      <w:bookmarkStart w:id="78" w:name="_Toc511544497"/>
      <w:bookmarkStart w:id="79" w:name="_Toc512925214"/>
      <w:bookmarkStart w:id="80" w:name="_Toc520787248"/>
      <w:bookmarkStart w:id="81" w:name="_Toc520907827"/>
      <w:bookmarkStart w:id="82" w:name="_Toc520909307"/>
      <w:r>
        <w:rPr>
          <w:i/>
          <w:noProof/>
        </w:rPr>
        <w:t>4.3.3.</w:t>
      </w:r>
      <w:r>
        <w:rPr>
          <w:noProof/>
        </w:rPr>
        <w:tab/>
      </w:r>
      <w:r>
        <w:rPr>
          <w:i/>
          <w:noProof/>
        </w:rPr>
        <w:t>Materiale</w:t>
      </w:r>
      <w:bookmarkEnd w:id="78"/>
      <w:bookmarkEnd w:id="79"/>
      <w:bookmarkEnd w:id="80"/>
      <w:bookmarkEnd w:id="81"/>
      <w:bookmarkEnd w:id="82"/>
    </w:p>
    <w:p>
      <w:pPr>
        <w:pStyle w:val="Point1letter"/>
        <w:keepNext/>
        <w:numPr>
          <w:ilvl w:val="3"/>
          <w:numId w:val="130"/>
        </w:numPr>
        <w:rPr>
          <w:noProof/>
        </w:rPr>
      </w:pPr>
      <w:bookmarkStart w:id="83" w:name="_Toc511544498"/>
      <w:bookmarkStart w:id="84" w:name="_Toc512925215"/>
      <w:bookmarkStart w:id="85" w:name="_Toc520787249"/>
      <w:bookmarkStart w:id="86" w:name="_Toc520907828"/>
      <w:bookmarkStart w:id="87" w:name="_Toc520909308"/>
      <w:r>
        <w:rPr>
          <w:noProof/>
        </w:rPr>
        <w:t>Exploziv din material plastic conținând 83-86 % pentrită</w:t>
      </w:r>
      <w:bookmarkEnd w:id="83"/>
      <w:bookmarkEnd w:id="84"/>
      <w:bookmarkEnd w:id="85"/>
      <w:bookmarkEnd w:id="86"/>
      <w:bookmarkEnd w:id="87"/>
    </w:p>
    <w:p>
      <w:pPr>
        <w:pStyle w:val="Bullet2"/>
        <w:rPr>
          <w:noProof/>
        </w:rPr>
      </w:pPr>
      <w:r>
        <w:rPr>
          <w:noProof/>
        </w:rPr>
        <w:t xml:space="preserve">Densitate: 1 500-1 600 kg/m³ </w:t>
      </w:r>
    </w:p>
    <w:p>
      <w:pPr>
        <w:pStyle w:val="Bullet2"/>
        <w:rPr>
          <w:noProof/>
        </w:rPr>
      </w:pPr>
      <w:r>
        <w:rPr>
          <w:noProof/>
        </w:rPr>
        <w:t>Viteza de detonare : 7 300 - 7 700 m/s</w:t>
      </w:r>
    </w:p>
    <w:p>
      <w:pPr>
        <w:pStyle w:val="Bullet2"/>
        <w:rPr>
          <w:noProof/>
        </w:rPr>
      </w:pPr>
      <w:r>
        <w:rPr>
          <w:noProof/>
        </w:rPr>
        <w:t>Masă: 500 (</w:t>
      </w:r>
      <w:r>
        <w:rPr>
          <w:noProof/>
        </w:rPr>
        <w:sym w:font="Symbol" w:char="F0B1"/>
      </w:r>
      <w:r>
        <w:rPr>
          <w:noProof/>
        </w:rPr>
        <w:t xml:space="preserve"> 1) grame.</w:t>
      </w:r>
    </w:p>
    <w:p>
      <w:pPr>
        <w:pStyle w:val="Point1letter"/>
        <w:keepNext/>
        <w:ind w:left="1418"/>
        <w:rPr>
          <w:noProof/>
        </w:rPr>
      </w:pPr>
      <w:bookmarkStart w:id="88" w:name="_Toc511544499"/>
      <w:bookmarkStart w:id="89" w:name="_Toc512925216"/>
      <w:bookmarkStart w:id="90" w:name="_Toc520787250"/>
      <w:bookmarkStart w:id="91" w:name="_Toc520907829"/>
      <w:bookmarkStart w:id="92" w:name="_Toc520909309"/>
      <w:r>
        <w:rPr>
          <w:noProof/>
        </w:rPr>
        <w:t>Șapte fitiluri de detonare flexibile cu manșon nemetalic</w:t>
      </w:r>
      <w:bookmarkEnd w:id="88"/>
      <w:bookmarkEnd w:id="89"/>
      <w:bookmarkEnd w:id="90"/>
      <w:bookmarkEnd w:id="91"/>
      <w:bookmarkEnd w:id="92"/>
    </w:p>
    <w:p>
      <w:pPr>
        <w:pStyle w:val="Bullet2"/>
        <w:rPr>
          <w:noProof/>
        </w:rPr>
      </w:pPr>
      <w:r>
        <w:rPr>
          <w:noProof/>
        </w:rPr>
        <w:t>Densitatea umplerii : 11-13 g/m</w:t>
      </w:r>
    </w:p>
    <w:p>
      <w:pPr>
        <w:pStyle w:val="Bullet2"/>
        <w:rPr>
          <w:noProof/>
        </w:rPr>
      </w:pPr>
      <w:r>
        <w:rPr>
          <w:noProof/>
        </w:rPr>
        <w:t>Lungimea fiecărui fitil : 400 (</w:t>
      </w:r>
      <w:r>
        <w:rPr>
          <w:noProof/>
        </w:rPr>
        <w:sym w:font="Symbol" w:char="F0B1"/>
      </w:r>
      <w:r>
        <w:rPr>
          <w:noProof/>
        </w:rPr>
        <w:t xml:space="preserve"> 2) mm.</w:t>
      </w:r>
    </w:p>
    <w:p>
      <w:pPr>
        <w:pStyle w:val="Point1letter"/>
        <w:keepNext/>
        <w:ind w:left="1418"/>
        <w:rPr>
          <w:noProof/>
        </w:rPr>
      </w:pPr>
      <w:bookmarkStart w:id="93" w:name="_Toc511544500"/>
      <w:bookmarkStart w:id="94" w:name="_Toc512925217"/>
      <w:bookmarkStart w:id="95" w:name="_Toc520787251"/>
      <w:bookmarkStart w:id="96" w:name="_Toc520907830"/>
      <w:bookmarkStart w:id="97" w:name="_Toc520909310"/>
      <w:r>
        <w:rPr>
          <w:noProof/>
        </w:rPr>
        <w:t>Tablete de exploziv secundar comprimate, cu o alveolă pentru detonator</w:t>
      </w:r>
      <w:bookmarkEnd w:id="93"/>
      <w:bookmarkEnd w:id="94"/>
      <w:bookmarkEnd w:id="95"/>
      <w:bookmarkEnd w:id="96"/>
      <w:bookmarkEnd w:id="97"/>
    </w:p>
    <w:p>
      <w:pPr>
        <w:pStyle w:val="Bullet2"/>
        <w:rPr>
          <w:noProof/>
        </w:rPr>
      </w:pPr>
      <w:r>
        <w:rPr>
          <w:noProof/>
        </w:rPr>
        <w:t>Exploziv: hexogen/ceară 95/5 sau tetril ori alt exploziv similar, cu sau fără adaos de grafit.</w:t>
      </w:r>
    </w:p>
    <w:p>
      <w:pPr>
        <w:pStyle w:val="Bullet2"/>
        <w:rPr>
          <w:noProof/>
        </w:rPr>
      </w:pPr>
      <w:r>
        <w:rPr>
          <w:noProof/>
        </w:rPr>
        <w:t>Densitate: 1 500-1 600 kg/m³</w:t>
      </w:r>
    </w:p>
    <w:p>
      <w:pPr>
        <w:pStyle w:val="Bullet2"/>
        <w:rPr>
          <w:noProof/>
        </w:rPr>
      </w:pPr>
      <w:r>
        <w:rPr>
          <w:noProof/>
        </w:rPr>
        <w:t>Diametru: 19-21 mm</w:t>
      </w:r>
    </w:p>
    <w:p>
      <w:pPr>
        <w:pStyle w:val="Bullet2"/>
        <w:rPr>
          <w:noProof/>
        </w:rPr>
      </w:pPr>
      <w:r>
        <w:rPr>
          <w:noProof/>
        </w:rPr>
        <w:t>Înălțime: 19-23 mm</w:t>
      </w:r>
    </w:p>
    <w:p>
      <w:pPr>
        <w:pStyle w:val="Bullet2"/>
        <w:rPr>
          <w:noProof/>
        </w:rPr>
      </w:pPr>
      <w:r>
        <w:rPr>
          <w:noProof/>
        </w:rPr>
        <w:t>Alveola pentru detonator : diametru 7-7,3 mm, adâncime 12 mm.</w:t>
      </w:r>
    </w:p>
    <w:p>
      <w:pPr>
        <w:pStyle w:val="Point1letter"/>
        <w:keepNext/>
        <w:ind w:left="1418"/>
        <w:rPr>
          <w:noProof/>
        </w:rPr>
      </w:pPr>
      <w:bookmarkStart w:id="98" w:name="_Toc511544501"/>
      <w:bookmarkStart w:id="99" w:name="_Toc512925218"/>
      <w:bookmarkStart w:id="100" w:name="_Toc520787252"/>
      <w:bookmarkStart w:id="101" w:name="_Toc520907831"/>
      <w:bookmarkStart w:id="102" w:name="_Toc520909311"/>
      <w:r>
        <w:rPr>
          <w:noProof/>
        </w:rPr>
        <w:t>Tub laminat (fără sudură) din oțel, conform standardului ISO 65-1981 – rezistență</w:t>
      </w:r>
      <w:bookmarkEnd w:id="98"/>
      <w:bookmarkEnd w:id="99"/>
      <w:r>
        <w:rPr>
          <w:noProof/>
        </w:rPr>
        <w:t xml:space="preserve"> ridicată, cu dimensiuni nominale DN 100 (4'')</w:t>
      </w:r>
      <w:bookmarkEnd w:id="100"/>
      <w:bookmarkEnd w:id="101"/>
      <w:bookmarkEnd w:id="102"/>
    </w:p>
    <w:p>
      <w:pPr>
        <w:pStyle w:val="Bullet2"/>
        <w:rPr>
          <w:noProof/>
        </w:rPr>
      </w:pPr>
      <w:r>
        <w:rPr>
          <w:noProof/>
        </w:rPr>
        <w:t xml:space="preserve">Diametru exterior: 113,1-115,0 mm </w:t>
      </w:r>
    </w:p>
    <w:p>
      <w:pPr>
        <w:pStyle w:val="Bullet2"/>
        <w:rPr>
          <w:noProof/>
        </w:rPr>
      </w:pPr>
      <w:r>
        <w:rPr>
          <w:noProof/>
        </w:rPr>
        <w:t xml:space="preserve">Grosimea pereților: 5,0-6,5 mm </w:t>
      </w:r>
    </w:p>
    <w:p>
      <w:pPr>
        <w:pStyle w:val="Bullet2"/>
        <w:rPr>
          <w:noProof/>
        </w:rPr>
      </w:pPr>
      <w:r>
        <w:rPr>
          <w:noProof/>
        </w:rPr>
        <w:t>Lungime: 1 005 (</w:t>
      </w:r>
      <w:r>
        <w:rPr>
          <w:noProof/>
        </w:rPr>
        <w:sym w:font="Symbol" w:char="F0B1"/>
      </w:r>
      <w:r>
        <w:rPr>
          <w:noProof/>
        </w:rPr>
        <w:t xml:space="preserve"> 2) mm.</w:t>
      </w:r>
    </w:p>
    <w:p>
      <w:pPr>
        <w:pStyle w:val="Point1letter"/>
        <w:keepNext/>
        <w:ind w:left="1418"/>
        <w:rPr>
          <w:noProof/>
        </w:rPr>
      </w:pPr>
      <w:bookmarkStart w:id="103" w:name="_Toc511544502"/>
      <w:bookmarkStart w:id="104" w:name="_Toc512925219"/>
      <w:bookmarkStart w:id="105" w:name="_Toc520787253"/>
      <w:bookmarkStart w:id="106" w:name="_Toc520907832"/>
      <w:bookmarkStart w:id="107" w:name="_Toc520909312"/>
      <w:r>
        <w:rPr>
          <w:noProof/>
        </w:rPr>
        <w:t>Taler de bază</w:t>
      </w:r>
      <w:bookmarkEnd w:id="103"/>
      <w:bookmarkEnd w:id="104"/>
      <w:bookmarkEnd w:id="105"/>
      <w:bookmarkEnd w:id="106"/>
      <w:bookmarkEnd w:id="107"/>
    </w:p>
    <w:p>
      <w:pPr>
        <w:pStyle w:val="Bullet2"/>
        <w:rPr>
          <w:noProof/>
        </w:rPr>
      </w:pPr>
      <w:r>
        <w:rPr>
          <w:noProof/>
        </w:rPr>
        <w:t>Materialul: oțel care se sudează ușor.</w:t>
      </w:r>
    </w:p>
    <w:p>
      <w:pPr>
        <w:pStyle w:val="Bullet2"/>
        <w:rPr>
          <w:noProof/>
        </w:rPr>
      </w:pPr>
      <w:r>
        <w:rPr>
          <w:noProof/>
        </w:rPr>
        <w:t xml:space="preserve">Dimensiuni: 160 </w:t>
      </w:r>
      <w:r>
        <w:rPr>
          <w:noProof/>
        </w:rPr>
        <w:sym w:font="Symbol" w:char="F0B4"/>
      </w:r>
      <w:r>
        <w:rPr>
          <w:noProof/>
        </w:rPr>
        <w:t xml:space="preserve"> 160 mm</w:t>
      </w:r>
    </w:p>
    <w:p>
      <w:pPr>
        <w:pStyle w:val="Bullet2"/>
        <w:rPr>
          <w:noProof/>
        </w:rPr>
      </w:pPr>
      <w:r>
        <w:rPr>
          <w:noProof/>
        </w:rPr>
        <w:t>Grosime: 5 - 6 mm.</w:t>
      </w:r>
    </w:p>
    <w:p>
      <w:pPr>
        <w:pStyle w:val="Point1letter"/>
        <w:keepNext/>
        <w:ind w:left="1418"/>
        <w:rPr>
          <w:noProof/>
        </w:rPr>
      </w:pPr>
      <w:bookmarkStart w:id="108" w:name="_Toc511544503"/>
      <w:bookmarkStart w:id="109" w:name="_Toc512925220"/>
      <w:bookmarkStart w:id="110" w:name="_Toc520787254"/>
      <w:bookmarkStart w:id="111" w:name="_Toc520907833"/>
      <w:bookmarkStart w:id="112" w:name="_Toc520909313"/>
      <w:r>
        <w:rPr>
          <w:noProof/>
        </w:rPr>
        <w:t>Șase cilindri de plumb</w:t>
      </w:r>
      <w:bookmarkEnd w:id="108"/>
      <w:bookmarkEnd w:id="109"/>
      <w:bookmarkEnd w:id="110"/>
      <w:bookmarkEnd w:id="111"/>
      <w:bookmarkEnd w:id="112"/>
    </w:p>
    <w:p>
      <w:pPr>
        <w:pStyle w:val="Bullet2"/>
        <w:rPr>
          <w:noProof/>
        </w:rPr>
      </w:pPr>
      <w:r>
        <w:rPr>
          <w:noProof/>
        </w:rPr>
        <w:t>Diametru: 50 (</w:t>
      </w:r>
      <w:r>
        <w:rPr>
          <w:noProof/>
        </w:rPr>
        <w:sym w:font="Symbol" w:char="F0B1"/>
      </w:r>
      <w:r>
        <w:rPr>
          <w:noProof/>
        </w:rPr>
        <w:t xml:space="preserve"> 1) mm</w:t>
      </w:r>
    </w:p>
    <w:p>
      <w:pPr>
        <w:pStyle w:val="Bullet2"/>
        <w:rPr>
          <w:noProof/>
        </w:rPr>
      </w:pPr>
      <w:r>
        <w:rPr>
          <w:noProof/>
        </w:rPr>
        <w:t>Înălțime: 100-101 mm</w:t>
      </w:r>
    </w:p>
    <w:p>
      <w:pPr>
        <w:pStyle w:val="Bullet2"/>
        <w:rPr>
          <w:noProof/>
        </w:rPr>
      </w:pPr>
      <w:r>
        <w:rPr>
          <w:noProof/>
        </w:rPr>
        <w:t>Materiale : plumb moale de puritate 99,5 %.</w:t>
      </w:r>
    </w:p>
    <w:p>
      <w:pPr>
        <w:pStyle w:val="Point1letter"/>
        <w:keepNext/>
        <w:ind w:left="1418"/>
        <w:rPr>
          <w:noProof/>
        </w:rPr>
      </w:pPr>
      <w:bookmarkStart w:id="113" w:name="_Toc511544504"/>
      <w:bookmarkStart w:id="114" w:name="_Toc512925221"/>
      <w:bookmarkStart w:id="115" w:name="_Toc520787255"/>
      <w:bookmarkStart w:id="116" w:name="_Toc520907834"/>
      <w:bookmarkStart w:id="117" w:name="_Toc520909314"/>
      <w:r>
        <w:rPr>
          <w:noProof/>
        </w:rPr>
        <w:t>Lingou de oțel</w:t>
      </w:r>
      <w:bookmarkEnd w:id="113"/>
      <w:bookmarkEnd w:id="114"/>
      <w:bookmarkEnd w:id="115"/>
      <w:bookmarkEnd w:id="116"/>
      <w:bookmarkEnd w:id="117"/>
    </w:p>
    <w:p>
      <w:pPr>
        <w:pStyle w:val="Bullet2"/>
        <w:rPr>
          <w:noProof/>
        </w:rPr>
      </w:pPr>
      <w:r>
        <w:rPr>
          <w:noProof/>
        </w:rPr>
        <w:t>Lungime: minimum 1 000 mm</w:t>
      </w:r>
    </w:p>
    <w:p>
      <w:pPr>
        <w:pStyle w:val="Bullet2"/>
        <w:rPr>
          <w:noProof/>
        </w:rPr>
      </w:pPr>
      <w:r>
        <w:rPr>
          <w:noProof/>
        </w:rPr>
        <w:t>Lățime: minimum 150 mm</w:t>
      </w:r>
    </w:p>
    <w:p>
      <w:pPr>
        <w:pStyle w:val="Bullet2"/>
        <w:rPr>
          <w:noProof/>
        </w:rPr>
      </w:pPr>
      <w:r>
        <w:rPr>
          <w:noProof/>
        </w:rPr>
        <w:t>Înălțime: minimum 150 mm</w:t>
      </w:r>
    </w:p>
    <w:p>
      <w:pPr>
        <w:pStyle w:val="Bullet2"/>
        <w:rPr>
          <w:noProof/>
        </w:rPr>
      </w:pPr>
      <w:r>
        <w:rPr>
          <w:noProof/>
        </w:rPr>
        <w:t>Masă: cel puțin 300 kg în cazul în care nu există o bază solidă pentru lingou.</w:t>
      </w:r>
    </w:p>
    <w:p>
      <w:pPr>
        <w:pStyle w:val="Point1letter"/>
        <w:keepNext/>
        <w:ind w:left="1418"/>
        <w:rPr>
          <w:noProof/>
        </w:rPr>
      </w:pPr>
      <w:bookmarkStart w:id="118" w:name="_Toc511544505"/>
      <w:bookmarkStart w:id="119" w:name="_Toc512925222"/>
      <w:bookmarkStart w:id="120" w:name="_Toc520787256"/>
      <w:bookmarkStart w:id="121" w:name="_Toc520907835"/>
      <w:bookmarkStart w:id="122" w:name="_Toc520909315"/>
      <w:r>
        <w:rPr>
          <w:noProof/>
        </w:rPr>
        <w:t>Cilindru de material plastic sau carton pentru amorsarea detonării</w:t>
      </w:r>
      <w:bookmarkEnd w:id="118"/>
      <w:bookmarkEnd w:id="119"/>
      <w:bookmarkEnd w:id="120"/>
      <w:bookmarkEnd w:id="121"/>
      <w:bookmarkEnd w:id="122"/>
    </w:p>
    <w:p>
      <w:pPr>
        <w:pStyle w:val="Bullet2"/>
        <w:rPr>
          <w:noProof/>
        </w:rPr>
      </w:pPr>
      <w:r>
        <w:rPr>
          <w:noProof/>
        </w:rPr>
        <w:t>Grosimea pereților: 1,5-2,5 mm</w:t>
      </w:r>
    </w:p>
    <w:p>
      <w:pPr>
        <w:pStyle w:val="Bullet2"/>
        <w:rPr>
          <w:noProof/>
        </w:rPr>
      </w:pPr>
      <w:r>
        <w:rPr>
          <w:noProof/>
        </w:rPr>
        <w:t>Diametru: 92-96 mm</w:t>
      </w:r>
    </w:p>
    <w:p>
      <w:pPr>
        <w:pStyle w:val="Bullet2"/>
        <w:rPr>
          <w:noProof/>
        </w:rPr>
      </w:pPr>
      <w:r>
        <w:rPr>
          <w:noProof/>
        </w:rPr>
        <w:t>Înălțime: 64 - 67 mm.</w:t>
      </w:r>
    </w:p>
    <w:p>
      <w:pPr>
        <w:pStyle w:val="Point1letter"/>
        <w:rPr>
          <w:noProof/>
        </w:rPr>
      </w:pPr>
      <w:bookmarkStart w:id="123" w:name="_Toc511544506"/>
      <w:bookmarkStart w:id="124" w:name="_Toc512925223"/>
      <w:bookmarkStart w:id="125" w:name="_Toc520787257"/>
      <w:bookmarkStart w:id="126" w:name="_Toc520907836"/>
      <w:bookmarkStart w:id="127" w:name="_Toc520909316"/>
      <w:r>
        <w:rPr>
          <w:noProof/>
        </w:rPr>
        <w:t>Detonator (electric sau de altă natură) cu forță de 8-10</w:t>
      </w:r>
      <w:bookmarkEnd w:id="123"/>
      <w:bookmarkEnd w:id="124"/>
      <w:bookmarkEnd w:id="125"/>
      <w:bookmarkEnd w:id="126"/>
      <w:bookmarkEnd w:id="127"/>
    </w:p>
    <w:p>
      <w:pPr>
        <w:pStyle w:val="Point1letter"/>
        <w:keepNext/>
        <w:ind w:left="1418"/>
        <w:rPr>
          <w:noProof/>
        </w:rPr>
      </w:pPr>
      <w:bookmarkStart w:id="128" w:name="_Toc511544507"/>
      <w:bookmarkStart w:id="129" w:name="_Toc512925224"/>
      <w:bookmarkStart w:id="130" w:name="_Toc520787258"/>
      <w:bookmarkStart w:id="131" w:name="_Toc520907837"/>
      <w:bookmarkStart w:id="132" w:name="_Toc520909317"/>
      <w:r>
        <w:rPr>
          <w:noProof/>
        </w:rPr>
        <w:t>Disc de lemn</w:t>
      </w:r>
      <w:bookmarkEnd w:id="128"/>
      <w:bookmarkEnd w:id="129"/>
      <w:bookmarkEnd w:id="130"/>
      <w:bookmarkEnd w:id="131"/>
      <w:bookmarkEnd w:id="132"/>
    </w:p>
    <w:p>
      <w:pPr>
        <w:pStyle w:val="Bullet2"/>
        <w:rPr>
          <w:noProof/>
        </w:rPr>
      </w:pPr>
      <w:r>
        <w:rPr>
          <w:noProof/>
        </w:rPr>
        <w:t>Diametru: 92 - 96 mm. Diametrul trebuie să corespundă diametrului interior al tubului de oțel [litera (h) de mai sus]</w:t>
      </w:r>
    </w:p>
    <w:p>
      <w:pPr>
        <w:pStyle w:val="Bullet2"/>
        <w:rPr>
          <w:noProof/>
        </w:rPr>
      </w:pPr>
      <w:r>
        <w:rPr>
          <w:noProof/>
        </w:rPr>
        <w:t>Grosime: 20 mm.</w:t>
      </w:r>
    </w:p>
    <w:p>
      <w:pPr>
        <w:pStyle w:val="Point1letter"/>
        <w:rPr>
          <w:noProof/>
        </w:rPr>
      </w:pPr>
      <w:bookmarkStart w:id="133" w:name="_Toc511544508"/>
      <w:bookmarkStart w:id="134" w:name="_Toc512925225"/>
      <w:bookmarkStart w:id="135" w:name="_Toc520787259"/>
      <w:bookmarkStart w:id="136" w:name="_Toc520907838"/>
      <w:bookmarkStart w:id="137" w:name="_Toc520909318"/>
      <w:r>
        <w:rPr>
          <w:noProof/>
        </w:rPr>
        <w:t>Baghetă de lemn de aceleași dimensiuni ca și detonatorul [punctul (i) de mai sus]</w:t>
      </w:r>
      <w:bookmarkEnd w:id="133"/>
      <w:bookmarkEnd w:id="134"/>
      <w:bookmarkEnd w:id="135"/>
      <w:bookmarkEnd w:id="136"/>
      <w:bookmarkEnd w:id="137"/>
    </w:p>
    <w:p>
      <w:pPr>
        <w:pStyle w:val="Point1letter"/>
        <w:rPr>
          <w:noProof/>
        </w:rPr>
      </w:pPr>
      <w:bookmarkStart w:id="138" w:name="_Toc511544509"/>
      <w:bookmarkStart w:id="139" w:name="_Toc512925226"/>
      <w:bookmarkStart w:id="140" w:name="_Toc520787260"/>
      <w:bookmarkStart w:id="141" w:name="_Toc520907839"/>
      <w:bookmarkStart w:id="142" w:name="_Toc520909319"/>
      <w:r>
        <w:rPr>
          <w:noProof/>
        </w:rPr>
        <w:t xml:space="preserve">Știfturi (maximum 20 mm lungime) </w:t>
      </w:r>
      <w:bookmarkEnd w:id="138"/>
      <w:bookmarkEnd w:id="139"/>
      <w:bookmarkEnd w:id="140"/>
      <w:bookmarkEnd w:id="141"/>
      <w:bookmarkEnd w:id="142"/>
    </w:p>
    <w:p>
      <w:pPr>
        <w:pStyle w:val="ManualHeading4"/>
        <w:rPr>
          <w:i/>
          <w:iCs/>
          <w:noProof/>
        </w:rPr>
      </w:pPr>
      <w:bookmarkStart w:id="143" w:name="_Toc511544510"/>
      <w:bookmarkStart w:id="144" w:name="_Toc512925227"/>
      <w:bookmarkStart w:id="145" w:name="_Toc520787261"/>
      <w:bookmarkStart w:id="146" w:name="_Toc520907840"/>
      <w:bookmarkStart w:id="147" w:name="_Toc520909320"/>
      <w:r>
        <w:rPr>
          <w:i/>
          <w:noProof/>
        </w:rPr>
        <w:t>4.3.4.</w:t>
      </w:r>
      <w:r>
        <w:rPr>
          <w:noProof/>
        </w:rPr>
        <w:tab/>
      </w:r>
      <w:r>
        <w:rPr>
          <w:i/>
          <w:noProof/>
        </w:rPr>
        <w:t>Procedura</w:t>
      </w:r>
      <w:bookmarkEnd w:id="143"/>
      <w:bookmarkEnd w:id="144"/>
      <w:bookmarkEnd w:id="145"/>
      <w:bookmarkEnd w:id="146"/>
      <w:bookmarkEnd w:id="147"/>
    </w:p>
    <w:p>
      <w:pPr>
        <w:pStyle w:val="ManualHeading4"/>
        <w:rPr>
          <w:i/>
          <w:iCs/>
          <w:noProof/>
        </w:rPr>
      </w:pPr>
      <w:bookmarkStart w:id="148" w:name="_Toc511544511"/>
      <w:bookmarkStart w:id="149" w:name="_Toc512925228"/>
      <w:bookmarkStart w:id="150" w:name="_Toc520787262"/>
      <w:bookmarkStart w:id="151" w:name="_Toc520907841"/>
      <w:bookmarkStart w:id="152" w:name="_Toc520909321"/>
      <w:r>
        <w:rPr>
          <w:i/>
          <w:noProof/>
        </w:rPr>
        <w:t>4.3.4.1</w:t>
      </w:r>
      <w:r>
        <w:rPr>
          <w:noProof/>
        </w:rPr>
        <w:tab/>
      </w:r>
      <w:r>
        <w:rPr>
          <w:i/>
          <w:noProof/>
        </w:rPr>
        <w:t>Pregătirea încărcăturii pentru introducerea în tubul de oțel</w:t>
      </w:r>
      <w:bookmarkEnd w:id="148"/>
      <w:bookmarkEnd w:id="149"/>
      <w:bookmarkEnd w:id="150"/>
      <w:bookmarkEnd w:id="151"/>
      <w:bookmarkEnd w:id="152"/>
    </w:p>
    <w:p>
      <w:pPr>
        <w:pStyle w:val="ManualNumPar1"/>
        <w:keepNext/>
        <w:ind w:left="851" w:hanging="851"/>
        <w:rPr>
          <w:noProof/>
        </w:rPr>
      </w:pPr>
      <w:r>
        <w:rPr>
          <w:noProof/>
        </w:rPr>
        <w:t>4.3.4.1</w:t>
      </w:r>
      <w:r>
        <w:rPr>
          <w:noProof/>
        </w:rPr>
        <w:tab/>
        <w:t xml:space="preserve">În funcție de disponibilitatea echipamentelor, explozivul poate fi inițiat în încărcătura de detonare: </w:t>
      </w:r>
    </w:p>
    <w:p>
      <w:pPr>
        <w:pStyle w:val="Bullet1"/>
        <w:numPr>
          <w:ilvl w:val="0"/>
          <w:numId w:val="13"/>
        </w:numPr>
        <w:rPr>
          <w:noProof/>
        </w:rPr>
      </w:pPr>
      <w:r>
        <w:rPr>
          <w:noProof/>
        </w:rPr>
        <w:t>fie prin inițiere simultană în șapte puncte, astfel cum se menționează la punctul 4.3.4.1.1 de mai jos,</w:t>
      </w:r>
    </w:p>
    <w:p>
      <w:pPr>
        <w:pStyle w:val="Bullet1"/>
        <w:numPr>
          <w:ilvl w:val="0"/>
          <w:numId w:val="13"/>
        </w:numPr>
        <w:rPr>
          <w:noProof/>
        </w:rPr>
      </w:pPr>
      <w:r>
        <w:rPr>
          <w:noProof/>
        </w:rPr>
        <w:t>fie prin inițiere centrală cu o tabletă comprimată, astfel cum se menționează la punctul 4.3.4.1.2 de mai jos.</w:t>
      </w:r>
    </w:p>
    <w:p>
      <w:pPr>
        <w:pStyle w:val="ManualHeading4"/>
        <w:rPr>
          <w:i/>
          <w:iCs/>
          <w:noProof/>
        </w:rPr>
      </w:pPr>
      <w:bookmarkStart w:id="153" w:name="_Toc511544512"/>
      <w:bookmarkStart w:id="154" w:name="_Toc512925229"/>
      <w:bookmarkStart w:id="155" w:name="_Toc520787263"/>
      <w:bookmarkStart w:id="156" w:name="_Toc520907842"/>
      <w:r>
        <w:rPr>
          <w:i/>
          <w:noProof/>
        </w:rPr>
        <w:t>4.3.4.1.1.</w:t>
      </w:r>
      <w:r>
        <w:rPr>
          <w:noProof/>
        </w:rPr>
        <w:tab/>
      </w:r>
      <w:r>
        <w:rPr>
          <w:i/>
          <w:noProof/>
        </w:rPr>
        <w:t>Inițiere simultană în șapte puncte</w:t>
      </w:r>
      <w:bookmarkEnd w:id="153"/>
      <w:bookmarkEnd w:id="154"/>
      <w:bookmarkEnd w:id="155"/>
      <w:bookmarkEnd w:id="156"/>
    </w:p>
    <w:p>
      <w:pPr>
        <w:pStyle w:val="ManualNumPar1"/>
        <w:rPr>
          <w:noProof/>
        </w:rPr>
      </w:pPr>
      <w:r>
        <w:rPr>
          <w:noProof/>
        </w:rPr>
        <w:t>4.3.4.1.1.</w:t>
      </w:r>
      <w:r>
        <w:rPr>
          <w:noProof/>
        </w:rPr>
        <w:tab/>
        <w:t>Încărcătura pregătită pentru a fi folosită este ilustrată în figura 2 de mai jos.</w:t>
      </w:r>
    </w:p>
    <w:p>
      <w:pPr>
        <w:pStyle w:val="ManualNumPar1"/>
        <w:rPr>
          <w:noProof/>
        </w:rPr>
      </w:pPr>
      <w:bookmarkStart w:id="157" w:name="_Toc511544513"/>
      <w:bookmarkStart w:id="158" w:name="_Toc512925230"/>
      <w:bookmarkStart w:id="159" w:name="_Toc520787264"/>
      <w:bookmarkStart w:id="160" w:name="_Toc520907843"/>
      <w:r>
        <w:rPr>
          <w:noProof/>
        </w:rPr>
        <w:t>4.3.4.1.1.1.</w:t>
      </w:r>
      <w:r>
        <w:rPr>
          <w:noProof/>
        </w:rPr>
        <w:tab/>
        <w:t>Se perforează găuri în discul de lemn [litera (j) de la punctul 4.3.3 de mai sus], paralel cu axa discului, prin centru și prin șase puncte distribuite simetric pe un cerc concentric cu diametrul de 55 mm. Diametrul găurilor trebuie să fie 6-7 mm (a se vedea secțiunea A-B din figura 2), în funcție de diametrul fitilului de detonare folosit [litera (b) de la punctul 4.3.3 de mai sus].</w:t>
      </w:r>
      <w:bookmarkEnd w:id="157"/>
      <w:bookmarkEnd w:id="158"/>
      <w:bookmarkEnd w:id="159"/>
      <w:bookmarkEnd w:id="160"/>
    </w:p>
    <w:p>
      <w:pPr>
        <w:pStyle w:val="ManualNumPar1"/>
        <w:rPr>
          <w:noProof/>
        </w:rPr>
      </w:pPr>
      <w:bookmarkStart w:id="161" w:name="_Toc511544514"/>
      <w:bookmarkStart w:id="162" w:name="_Toc512925231"/>
      <w:bookmarkStart w:id="163" w:name="_Toc520787265"/>
      <w:bookmarkStart w:id="164" w:name="_Toc520907844"/>
      <w:r>
        <w:rPr>
          <w:noProof/>
        </w:rPr>
        <w:t>4.3.4.1.1.2.</w:t>
      </w:r>
      <w:r>
        <w:rPr>
          <w:noProof/>
        </w:rPr>
        <w:tab/>
        <w:t>Se taie șapte bucăți de fitil de detonare [litera (b) de la punctul 4.3.3 de mai sus], fiecare de 400 mm lungime, se fac tăieturi netede și se izolează imediat capetele cu ajutorul unui adeziv, pentru a evita orice pierdere de exploziv pe la extremități. Se împing cele șapte bucăți de fitil prin cele șapte găuri din discul de lemn [litera (j) de la punctul 4.3.3 de mai sus], până când capetele fitilurilor ies cu câțiva centimetri pe partea cealaltă a discului. Se introduce transversal un știft [litera (l) de la punctul 4.3.3 de mai sus] în cămașa textilă a fiecărui fitil, la 5-6 mm de la fiecare capăt, și se aplică adeziv de jur împrejurul fitilului (pe lungime) într-o bandă de 2 cm grosime la nivelul știftului. În final, se trage partea lungă a fiecărui fitil pentru a aduce știftul în contact cu discul de lemn.</w:t>
      </w:r>
      <w:bookmarkEnd w:id="161"/>
      <w:bookmarkEnd w:id="162"/>
      <w:bookmarkEnd w:id="163"/>
      <w:bookmarkEnd w:id="164"/>
    </w:p>
    <w:p>
      <w:pPr>
        <w:pStyle w:val="ManualNumPar1"/>
        <w:rPr>
          <w:noProof/>
        </w:rPr>
      </w:pPr>
      <w:bookmarkStart w:id="165" w:name="_Toc511544515"/>
      <w:bookmarkStart w:id="166" w:name="_Toc512925232"/>
      <w:bookmarkStart w:id="167" w:name="_Toc520787266"/>
      <w:bookmarkStart w:id="168" w:name="_Toc520907845"/>
      <w:r>
        <w:rPr>
          <w:noProof/>
        </w:rPr>
        <w:t>4.3.4.1.1.3.</w:t>
      </w:r>
      <w:r>
        <w:rPr>
          <w:noProof/>
        </w:rPr>
        <w:tab/>
        <w:t>Se modelează explozivul plastic [litera (a) de la punctul 4.3.3. de mai sus] pentru a forma un cilindru cu diametrul de 92-96 mm, în funcție de diametrul cilindrului [litera (h) de la punctul 4.3.3 de mai sus]. Se așază acest cilindru perpendicular pe o suprafață plană și se introduce explozivul modelat. Se introduce discul de lemn</w:t>
      </w:r>
      <w:r>
        <w:rPr>
          <w:rStyle w:val="FootnoteReference"/>
          <w:noProof/>
        </w:rPr>
        <w:footnoteReference w:id="17"/>
      </w:r>
      <w:r>
        <w:rPr>
          <w:noProof/>
        </w:rPr>
        <w:t>, ținând cele șapte corzi de fitil de detonare în partea superioară a cilindrului și se presează pe exploziv. Se ajustează înălțimea cilindrului (64-67 mm), astfel încât marginea de sus să nu depășească nivelul lemnului. În final, se fixează cilindrul de discul de lemn cu cleme sau cuie mici, de-a lungul întregii circumferințe.</w:t>
      </w:r>
      <w:bookmarkEnd w:id="165"/>
      <w:bookmarkEnd w:id="166"/>
      <w:bookmarkEnd w:id="167"/>
      <w:bookmarkEnd w:id="168"/>
    </w:p>
    <w:p>
      <w:pPr>
        <w:pStyle w:val="ManualNumPar1"/>
        <w:rPr>
          <w:noProof/>
        </w:rPr>
      </w:pPr>
      <w:bookmarkStart w:id="169" w:name="_Toc511544516"/>
      <w:bookmarkStart w:id="170" w:name="_Toc512925233"/>
      <w:bookmarkStart w:id="171" w:name="_Toc520787267"/>
      <w:bookmarkStart w:id="172" w:name="_Toc520907846"/>
      <w:r>
        <w:rPr>
          <w:noProof/>
        </w:rPr>
        <w:t>4.3.4.1.1.4.</w:t>
      </w:r>
      <w:r>
        <w:rPr>
          <w:noProof/>
        </w:rPr>
        <w:tab/>
        <w:t>Se grupează capetele libere ale celor șapte fitiluri de jur împrejurul circumferinței baghetei de lemn [litera (k) de la punctul 4.3.3 de mai sus], astfel încât capetele lor să fie într-un plan perpendicular pe baghetă. Se strâng într-un mănunchi împrejurul baghetei, cu o bandă adezivă</w:t>
      </w:r>
      <w:r>
        <w:rPr>
          <w:rStyle w:val="FootnoteReference"/>
          <w:noProof/>
        </w:rPr>
        <w:footnoteReference w:id="18"/>
      </w:r>
      <w:r>
        <w:rPr>
          <w:noProof/>
        </w:rPr>
        <w:t>.</w:t>
      </w:r>
      <w:bookmarkEnd w:id="169"/>
      <w:bookmarkEnd w:id="170"/>
      <w:bookmarkEnd w:id="171"/>
      <w:bookmarkEnd w:id="172"/>
    </w:p>
    <w:p>
      <w:pPr>
        <w:pStyle w:val="ManualHeading4"/>
        <w:rPr>
          <w:i/>
          <w:iCs/>
          <w:noProof/>
        </w:rPr>
      </w:pPr>
      <w:bookmarkStart w:id="173" w:name="_Toc511544517"/>
      <w:bookmarkStart w:id="174" w:name="_Toc512925234"/>
      <w:bookmarkStart w:id="175" w:name="_Toc520787268"/>
      <w:bookmarkStart w:id="176" w:name="_Toc520907847"/>
      <w:r>
        <w:rPr>
          <w:i/>
          <w:noProof/>
        </w:rPr>
        <w:t>4.3.4.1.2.</w:t>
      </w:r>
      <w:r>
        <w:rPr>
          <w:noProof/>
        </w:rPr>
        <w:tab/>
      </w:r>
      <w:r>
        <w:rPr>
          <w:i/>
          <w:noProof/>
        </w:rPr>
        <w:t>Inițiere centrală cu o tabletă comprimată</w:t>
      </w:r>
      <w:bookmarkEnd w:id="173"/>
      <w:bookmarkEnd w:id="174"/>
      <w:bookmarkEnd w:id="175"/>
      <w:bookmarkEnd w:id="176"/>
    </w:p>
    <w:p>
      <w:pPr>
        <w:pStyle w:val="ManualNumPar1"/>
        <w:rPr>
          <w:noProof/>
        </w:rPr>
      </w:pPr>
      <w:r>
        <w:rPr>
          <w:noProof/>
        </w:rPr>
        <w:t>4.3.4.1.2.</w:t>
      </w:r>
      <w:r>
        <w:rPr>
          <w:noProof/>
        </w:rPr>
        <w:tab/>
        <w:t>Încărcătura pregătită pentru a fi folosită este ilustrată în figura 3.</w:t>
      </w:r>
    </w:p>
    <w:p>
      <w:pPr>
        <w:pStyle w:val="ManualHeading4"/>
        <w:rPr>
          <w:i/>
          <w:iCs/>
          <w:noProof/>
        </w:rPr>
      </w:pPr>
      <w:bookmarkStart w:id="177" w:name="_Toc511544518"/>
      <w:bookmarkStart w:id="178" w:name="_Toc512925235"/>
      <w:bookmarkStart w:id="179" w:name="_Toc520787269"/>
      <w:bookmarkStart w:id="180" w:name="_Toc520907848"/>
      <w:r>
        <w:rPr>
          <w:i/>
          <w:noProof/>
        </w:rPr>
        <w:t>4.3.4.1.2.1.</w:t>
      </w:r>
      <w:r>
        <w:rPr>
          <w:noProof/>
        </w:rPr>
        <w:tab/>
      </w:r>
      <w:r>
        <w:rPr>
          <w:i/>
          <w:noProof/>
        </w:rPr>
        <w:t>Pregătirea tabletei comprimate</w:t>
      </w:r>
      <w:bookmarkEnd w:id="177"/>
      <w:bookmarkEnd w:id="178"/>
      <w:bookmarkEnd w:id="179"/>
      <w:bookmarkEnd w:id="180"/>
    </w:p>
    <w:p>
      <w:pPr>
        <w:pStyle w:val="ManualNumPar1"/>
        <w:rPr>
          <w:noProof/>
        </w:rPr>
      </w:pPr>
      <w:r>
        <w:rPr>
          <w:noProof/>
        </w:rPr>
        <w:t>4.3.4.1.2.1.</w:t>
      </w:r>
      <w:r>
        <w:rPr>
          <w:noProof/>
        </w:rPr>
        <w:tab/>
        <w:t>Luând măsurile de siguranță necesare, se pun 10 g din explozivul secundar [litera (c) de la punctul 4.3.3 de mai sus] într-o matriță cu diametru interior de 19-21 mm și se comprimă la forma și densitatea corecte. (Raportul diametru: înălțime trebuie să fie de aproximativ 1:1.) În centrul bazei matriței există un bolț cu înălțimea de 12 mm și diametrul de 7-7,3 mm (în funcție de diametrul detonatorului folosit), care formează o nișă cilindrică în cartușul comprimat, pentru introducerea ulterioară a detonatorului.</w:t>
      </w:r>
    </w:p>
    <w:p>
      <w:pPr>
        <w:pStyle w:val="ManualHeading4"/>
        <w:rPr>
          <w:i/>
          <w:iCs/>
          <w:noProof/>
        </w:rPr>
      </w:pPr>
      <w:bookmarkStart w:id="181" w:name="_Toc511544519"/>
      <w:bookmarkStart w:id="182" w:name="_Toc512925236"/>
      <w:bookmarkStart w:id="183" w:name="_Toc520787270"/>
      <w:bookmarkStart w:id="184" w:name="_Toc520907849"/>
      <w:r>
        <w:rPr>
          <w:i/>
          <w:noProof/>
        </w:rPr>
        <w:t>4.3.4.1.2.2.</w:t>
      </w:r>
      <w:r>
        <w:rPr>
          <w:noProof/>
        </w:rPr>
        <w:tab/>
      </w:r>
      <w:r>
        <w:rPr>
          <w:i/>
          <w:noProof/>
        </w:rPr>
        <w:t>Pregătirea încărcătorului</w:t>
      </w:r>
      <w:bookmarkEnd w:id="181"/>
      <w:bookmarkEnd w:id="182"/>
      <w:bookmarkEnd w:id="183"/>
      <w:bookmarkEnd w:id="184"/>
    </w:p>
    <w:p>
      <w:pPr>
        <w:pStyle w:val="ManualNumPar1"/>
        <w:rPr>
          <w:noProof/>
        </w:rPr>
      </w:pPr>
      <w:r>
        <w:rPr>
          <w:noProof/>
        </w:rPr>
        <w:t>4.3.4.1.2.2.</w:t>
      </w:r>
      <w:r>
        <w:rPr>
          <w:noProof/>
        </w:rPr>
        <w:tab/>
        <w:t>Se pune explozivul [litera (a) de la punctul 4.3.3 de mai sus] în cilindrul [litera (h) de la punctul 4.3.3 de mai sus], în poziție verticală pe o suprafață plană, apoi se presează în jos cu un poanson din lemn, pentru a da explozivului o formă cilindrică cu o nișă centrală. Se introduce tableta comprimată în această nișă. Se acoperă explozivul de formă cilindrică, conținând tableta comprimată, cu un disc de lemn [litera (j) de la punctul 4.3.3 de mai sus] având o gaură centrală cu diametrul de 7-7,3 mm pentru introducerea detonatorului. Se fixează discul de lemn și cilindrul împreună, aplicând în cruce bandă adezivă. Se verifică, prin introducerea baghetei de lemn [litera (k) de la punctul 4.3.3 de mai sus], dacă gaura din disc și nișa din tableta comprimată sunt coaxiale.</w:t>
      </w:r>
    </w:p>
    <w:p>
      <w:pPr>
        <w:pStyle w:val="ManualHeading4"/>
        <w:rPr>
          <w:i/>
          <w:iCs/>
          <w:noProof/>
        </w:rPr>
      </w:pPr>
      <w:bookmarkStart w:id="185" w:name="_Toc511544520"/>
      <w:bookmarkStart w:id="186" w:name="_Toc512925237"/>
      <w:bookmarkStart w:id="187" w:name="_Toc520787271"/>
      <w:bookmarkStart w:id="188" w:name="_Toc520907850"/>
      <w:bookmarkStart w:id="189" w:name="_Toc520909322"/>
      <w:r>
        <w:rPr>
          <w:i/>
          <w:noProof/>
        </w:rPr>
        <w:t>4.3.4.2</w:t>
      </w:r>
      <w:r>
        <w:rPr>
          <w:noProof/>
        </w:rPr>
        <w:tab/>
      </w:r>
      <w:r>
        <w:rPr>
          <w:i/>
          <w:noProof/>
        </w:rPr>
        <w:t>Pregătirea tubului de oțel pentru test</w:t>
      </w:r>
      <w:bookmarkEnd w:id="185"/>
      <w:bookmarkEnd w:id="186"/>
      <w:bookmarkEnd w:id="187"/>
      <w:bookmarkEnd w:id="188"/>
      <w:bookmarkEnd w:id="189"/>
    </w:p>
    <w:p>
      <w:pPr>
        <w:pStyle w:val="ManualNumPar1"/>
        <w:rPr>
          <w:noProof/>
        </w:rPr>
      </w:pPr>
      <w:r>
        <w:rPr>
          <w:noProof/>
        </w:rPr>
        <w:t>4.3.4.2</w:t>
      </w:r>
      <w:r>
        <w:rPr>
          <w:noProof/>
        </w:rPr>
        <w:tab/>
        <w:t>La un capăt al tubului [litera (d) de la punctul 4.3.3 de mai sus] se fac două găuri diametral opuse, cu diametru de 4 mm, perpendicular pe suprafața peretelui, la o distanță de 4 mm față de margine. Se sudează cap la cap talerul de bază [litera (e) de la punctul 4.3.3 de mai sus] și capătul opus al tubului, umplând complet unghiul drept dintre talerul de bază și peretele tubului cu metal de adaos de-a lungul întregii circumferințe a tubului.</w:t>
      </w:r>
    </w:p>
    <w:p>
      <w:pPr>
        <w:pStyle w:val="ManualHeading4"/>
        <w:rPr>
          <w:i/>
          <w:iCs/>
          <w:noProof/>
        </w:rPr>
      </w:pPr>
      <w:bookmarkStart w:id="190" w:name="_Toc511544521"/>
      <w:bookmarkStart w:id="191" w:name="_Toc512925238"/>
      <w:bookmarkStart w:id="192" w:name="_Toc520787272"/>
      <w:bookmarkStart w:id="193" w:name="_Toc520907851"/>
      <w:bookmarkStart w:id="194" w:name="_Toc520909323"/>
      <w:r>
        <w:rPr>
          <w:i/>
          <w:noProof/>
        </w:rPr>
        <w:t>4.3.4.3</w:t>
      </w:r>
      <w:r>
        <w:rPr>
          <w:noProof/>
        </w:rPr>
        <w:tab/>
      </w:r>
      <w:r>
        <w:rPr>
          <w:i/>
          <w:noProof/>
        </w:rPr>
        <w:t>Umplerea și încărcarea tubului</w:t>
      </w:r>
      <w:bookmarkEnd w:id="190"/>
      <w:bookmarkEnd w:id="191"/>
      <w:bookmarkEnd w:id="192"/>
      <w:bookmarkEnd w:id="193"/>
      <w:bookmarkEnd w:id="194"/>
    </w:p>
    <w:p>
      <w:pPr>
        <w:pStyle w:val="ManualNumPar1"/>
        <w:rPr>
          <w:noProof/>
        </w:rPr>
      </w:pPr>
      <w:r>
        <w:rPr>
          <w:noProof/>
        </w:rPr>
        <w:t>4.3.4.3</w:t>
      </w:r>
      <w:r>
        <w:rPr>
          <w:noProof/>
        </w:rPr>
        <w:tab/>
        <w:t>A se vedea figurile 2 și 3.</w:t>
      </w:r>
    </w:p>
    <w:p>
      <w:pPr>
        <w:pStyle w:val="ManualNumPar1"/>
        <w:rPr>
          <w:noProof/>
        </w:rPr>
      </w:pPr>
      <w:bookmarkStart w:id="195" w:name="_Toc511544522"/>
      <w:bookmarkStart w:id="196" w:name="_Toc512925239"/>
      <w:bookmarkStart w:id="197" w:name="_Toc520787273"/>
      <w:bookmarkStart w:id="198" w:name="_Toc520907852"/>
      <w:r>
        <w:rPr>
          <w:noProof/>
        </w:rPr>
        <w:t>4.3.4.3.1.</w:t>
      </w:r>
      <w:r>
        <w:rPr>
          <w:noProof/>
        </w:rPr>
        <w:tab/>
        <w:t>Eșantionul, tubul de oțel și încărcătura de detonare trebuie condiționate la o temperatură de 20 (</w:t>
      </w:r>
      <w:r>
        <w:rPr>
          <w:noProof/>
        </w:rPr>
        <w:sym w:font="Symbol" w:char="F0B1"/>
      </w:r>
      <w:r>
        <w:rPr>
          <w:noProof/>
        </w:rPr>
        <w:t>5)°C. Pentru două teste de detonare, sunt necesare 16-18 kg de eșantioane.</w:t>
      </w:r>
      <w:bookmarkEnd w:id="195"/>
      <w:bookmarkEnd w:id="196"/>
      <w:bookmarkEnd w:id="197"/>
      <w:bookmarkEnd w:id="198"/>
    </w:p>
    <w:p>
      <w:pPr>
        <w:pStyle w:val="ManualNumPar1"/>
        <w:rPr>
          <w:noProof/>
        </w:rPr>
      </w:pPr>
      <w:bookmarkStart w:id="199" w:name="_Toc511544523"/>
      <w:bookmarkStart w:id="200" w:name="_Toc512925240"/>
      <w:bookmarkStart w:id="201" w:name="_Toc520787274"/>
      <w:bookmarkStart w:id="202" w:name="_Toc520907853"/>
      <w:r>
        <w:rPr>
          <w:noProof/>
        </w:rPr>
        <w:t>4.3.4.3.2.1</w:t>
      </w:r>
      <w:r>
        <w:rPr>
          <w:noProof/>
        </w:rPr>
        <w:tab/>
        <w:t xml:space="preserve">Se pune tubul vertical cu talerul de bază pătrat sprijinit pe o suprafață plană, stabilă, de preferință din beton. Se umple tubul de probă până la aproape o treime din înălțimea sa cu eșantionul de testare și se lasă să cadă de la 10 cm vertical pe sol, de cinci ori, pentru a tasa granulele cât mai mult posibil. Pentru a accelera compactarea granulelor, se lovește peretele lateral al tubului cu un ciocan de 750-1 000 g; se aplică, în total, 10 lovituri. </w:t>
      </w:r>
      <w:bookmarkEnd w:id="199"/>
      <w:bookmarkEnd w:id="200"/>
      <w:bookmarkEnd w:id="201"/>
      <w:bookmarkEnd w:id="202"/>
    </w:p>
    <w:p>
      <w:pPr>
        <w:pStyle w:val="ManualNumPar1"/>
        <w:rPr>
          <w:noProof/>
        </w:rPr>
      </w:pPr>
      <w:r>
        <w:rPr>
          <w:noProof/>
        </w:rPr>
        <w:t>4.3.4.3.2.2.</w:t>
      </w:r>
      <w:r>
        <w:rPr>
          <w:noProof/>
        </w:rPr>
        <w:tab/>
        <w:t xml:space="preserve">Se introduce în tub un alt eșantion și se repetă operația. În final, cantitatea adăugată trebuie să permită ca, după gruparea granulelor prin ridicarea și căderea tubului de 10 ori și un total de 20 de lovituri intermitente cu ciocanul, încărcătura să umple tubul până la o distanță de 70 mm față de orificiu. </w:t>
      </w:r>
    </w:p>
    <w:p>
      <w:pPr>
        <w:pStyle w:val="ManualNumPar1"/>
        <w:rPr>
          <w:noProof/>
        </w:rPr>
      </w:pPr>
      <w:r>
        <w:rPr>
          <w:noProof/>
        </w:rPr>
        <w:t>4.3.4.3.2.3</w:t>
      </w:r>
      <w:r>
        <w:rPr>
          <w:noProof/>
        </w:rPr>
        <w:tab/>
        <w:t>Înălțimea umpluturii trebuie corectată în tub așa încât încărcătura de detonare (menționată mai sus la punctele 4.3.4.1.1 sau 4.3.4.1.2) care va fi introdusă ulterior să fie în contact strâns cu eșantionul pe toată suprafața acestuia.</w:t>
      </w:r>
    </w:p>
    <w:p>
      <w:pPr>
        <w:pStyle w:val="ManualNumPar1"/>
        <w:rPr>
          <w:noProof/>
        </w:rPr>
      </w:pPr>
      <w:bookmarkStart w:id="203" w:name="_Toc511544524"/>
      <w:bookmarkStart w:id="204" w:name="_Toc512925241"/>
      <w:bookmarkStart w:id="205" w:name="_Toc520787275"/>
      <w:bookmarkStart w:id="206" w:name="_Toc520907854"/>
      <w:r>
        <w:rPr>
          <w:noProof/>
        </w:rPr>
        <w:t>4.3.4.3.3.</w:t>
      </w:r>
      <w:r>
        <w:rPr>
          <w:noProof/>
        </w:rPr>
        <w:tab/>
        <w:t>Se introduce încărcătura de detonare în tub astfel încât să fie în contact cu eșantionul; suprafața superioară a discului de lemn trebuie să fie cu 6 mm sub capătul tubului. Se asigură contactul strâns, foarte important, între exploziv și eșantion, adăugând sau îndepărtând mici cantități de material din eșantion. Se inserează bolțurile de siguranță prin găurile de lângă capătul liber al tubului, cu piciorușele acestora deschise și în contact cu tubul (a se vedea figurile 2 și 3).</w:t>
      </w:r>
      <w:bookmarkEnd w:id="203"/>
      <w:bookmarkEnd w:id="204"/>
      <w:bookmarkEnd w:id="205"/>
      <w:bookmarkEnd w:id="206"/>
    </w:p>
    <w:p>
      <w:pPr>
        <w:pStyle w:val="ManualHeading4"/>
        <w:rPr>
          <w:i/>
          <w:iCs/>
          <w:noProof/>
        </w:rPr>
      </w:pPr>
      <w:bookmarkStart w:id="207" w:name="_Toc511544525"/>
      <w:bookmarkStart w:id="208" w:name="_Toc512925242"/>
      <w:bookmarkStart w:id="209" w:name="_Toc520787276"/>
      <w:bookmarkStart w:id="210" w:name="_Toc520907855"/>
      <w:bookmarkStart w:id="211" w:name="_Toc520909324"/>
      <w:r>
        <w:rPr>
          <w:i/>
          <w:noProof/>
        </w:rPr>
        <w:t>4.3.4.4</w:t>
      </w:r>
      <w:r>
        <w:rPr>
          <w:noProof/>
        </w:rPr>
        <w:tab/>
      </w:r>
      <w:r>
        <w:rPr>
          <w:i/>
          <w:noProof/>
        </w:rPr>
        <w:t>Poziționarea tubului de otel și a cilindrilor de plumb (a se vedea figura 4)</w:t>
      </w:r>
      <w:bookmarkEnd w:id="207"/>
      <w:bookmarkEnd w:id="208"/>
      <w:bookmarkEnd w:id="209"/>
      <w:bookmarkEnd w:id="210"/>
      <w:bookmarkEnd w:id="211"/>
    </w:p>
    <w:p>
      <w:pPr>
        <w:pStyle w:val="ManualNumPar1"/>
        <w:rPr>
          <w:noProof/>
        </w:rPr>
      </w:pPr>
      <w:bookmarkStart w:id="212" w:name="_Toc511544526"/>
      <w:bookmarkStart w:id="213" w:name="_Toc512925243"/>
      <w:bookmarkStart w:id="214" w:name="_Toc520787277"/>
      <w:bookmarkStart w:id="215" w:name="_Toc520907856"/>
      <w:r>
        <w:rPr>
          <w:noProof/>
        </w:rPr>
        <w:t>4.3.4.4.1.</w:t>
      </w:r>
      <w:r>
        <w:rPr>
          <w:noProof/>
        </w:rPr>
        <w:tab/>
        <w:t>Se numerotează bazele cilindrilor de plumb [litera (f) de la punctul 4.3.3 de mai sus] de la 1 la 6. Se fac șase semne la 150 mm distanță de linia centrală a blocului de oțel (4.3.7), poziționate într-un plan orizontal, cu primul semn la cel puțin 75 mm față de marginea blocului. Se pune câte un cilindru de plumb vertical pe fiecare dintre aceste semne, cu baza fiecărui cilindru centrată pe semnul corespunzător.</w:t>
      </w:r>
      <w:bookmarkEnd w:id="212"/>
      <w:bookmarkEnd w:id="213"/>
      <w:bookmarkEnd w:id="214"/>
      <w:bookmarkEnd w:id="215"/>
    </w:p>
    <w:p>
      <w:pPr>
        <w:pStyle w:val="ManualNumPar1"/>
        <w:keepNext/>
        <w:ind w:left="851" w:hanging="851"/>
        <w:rPr>
          <w:noProof/>
        </w:rPr>
      </w:pPr>
      <w:bookmarkStart w:id="216" w:name="_Toc511544527"/>
      <w:bookmarkStart w:id="217" w:name="_Toc512925244"/>
      <w:bookmarkStart w:id="218" w:name="_Toc520787278"/>
      <w:bookmarkStart w:id="219" w:name="_Toc520907857"/>
      <w:r>
        <w:rPr>
          <w:noProof/>
        </w:rPr>
        <w:t>4.3.4.4.2.</w:t>
      </w:r>
      <w:r>
        <w:rPr>
          <w:noProof/>
        </w:rPr>
        <w:tab/>
        <w:t>Se așază tubul de oțel pregătit conform punctului 4.3.4.3 orizontal pe cilindrul de plumb, astfel încât axa tubului să fie paralelă cu linia centrală a blocului de oțel, iar capătul sudat al tubului să depășească cu 50 mm cilindrul de plumb nr. 6. Pentru a împiedica rostogolirea tubului, se introduc mici pene de lemn între partea de sus a cilindrului de plumb și peretele tubului (câte una de fiecare parte) sau se pune o cruce de lemn între tub și lingoul de oțel.</w:t>
      </w:r>
      <w:bookmarkEnd w:id="216"/>
      <w:bookmarkEnd w:id="217"/>
      <w:bookmarkEnd w:id="218"/>
      <w:bookmarkEnd w:id="219"/>
    </w:p>
    <w:p>
      <w:pPr>
        <w:autoSpaceDE w:val="0"/>
        <w:autoSpaceDN w:val="0"/>
        <w:ind w:left="720"/>
        <w:jc w:val="left"/>
        <w:rPr>
          <w:rFonts w:eastAsia="Times New Roman"/>
          <w:noProof/>
          <w:szCs w:val="24"/>
        </w:rPr>
      </w:pPr>
      <w:r>
        <w:rPr>
          <w:i/>
          <w:noProof/>
        </w:rPr>
        <w:t>Observație:</w:t>
      </w:r>
      <w:r>
        <w:rPr>
          <w:noProof/>
        </w:rPr>
        <w:t xml:space="preserve"> Trebuie asigurat contactul dintre tub și toți cei șase cilindri de plumb; o ușoară curbare a suprafeței tubului poate fi compensată prin rotirea tubului în jurul axei sale longitudinale. În cazul în care un cilindru de plumb este prea înalt, se corectează prin turtire, cu lovituri ușoare de ciocan.</w:t>
      </w:r>
    </w:p>
    <w:p>
      <w:pPr>
        <w:pStyle w:val="ManualHeading4"/>
        <w:rPr>
          <w:i/>
          <w:iCs/>
          <w:noProof/>
        </w:rPr>
      </w:pPr>
      <w:bookmarkStart w:id="220" w:name="_Toc511544528"/>
      <w:bookmarkStart w:id="221" w:name="_Toc512925245"/>
      <w:bookmarkStart w:id="222" w:name="_Toc520787279"/>
      <w:bookmarkStart w:id="223" w:name="_Toc520907858"/>
      <w:bookmarkStart w:id="224" w:name="_Toc520909325"/>
      <w:r>
        <w:rPr>
          <w:i/>
          <w:noProof/>
        </w:rPr>
        <w:t>4.3.4.5</w:t>
      </w:r>
      <w:r>
        <w:rPr>
          <w:noProof/>
        </w:rPr>
        <w:tab/>
      </w:r>
      <w:r>
        <w:rPr>
          <w:i/>
          <w:noProof/>
        </w:rPr>
        <w:t>Pregătirea pentru detonare</w:t>
      </w:r>
      <w:bookmarkEnd w:id="220"/>
      <w:bookmarkEnd w:id="221"/>
      <w:bookmarkEnd w:id="222"/>
      <w:bookmarkEnd w:id="223"/>
      <w:bookmarkEnd w:id="224"/>
    </w:p>
    <w:p>
      <w:pPr>
        <w:pStyle w:val="ManualNumPar1"/>
        <w:keepNext/>
        <w:ind w:left="851" w:hanging="851"/>
        <w:rPr>
          <w:noProof/>
        </w:rPr>
      </w:pPr>
      <w:bookmarkStart w:id="225" w:name="_Toc511544529"/>
      <w:bookmarkStart w:id="226" w:name="_Toc512925246"/>
      <w:bookmarkStart w:id="227" w:name="_Toc520787280"/>
      <w:bookmarkStart w:id="228" w:name="_Toc520907859"/>
      <w:r>
        <w:rPr>
          <w:noProof/>
        </w:rPr>
        <w:t>4.3.4.5.1.</w:t>
      </w:r>
      <w:r>
        <w:rPr>
          <w:noProof/>
        </w:rPr>
        <w:tab/>
        <w:t>Se montează aparatele conform descrierii de la punctul 4.3.4.4, într-un buncăr sau într-o incintă subterană pregătită corespunzător (de exemplu, mină sau tunel). Trebuie asigurată menținerea temperaturii tubului de oțel la 20 (</w:t>
      </w:r>
      <w:r>
        <w:rPr>
          <w:noProof/>
        </w:rPr>
        <w:sym w:font="Symbol" w:char="F0B1"/>
      </w:r>
      <w:r>
        <w:rPr>
          <w:noProof/>
        </w:rPr>
        <w:t>5)°C înainte de detonare.</w:t>
      </w:r>
      <w:bookmarkEnd w:id="225"/>
      <w:bookmarkEnd w:id="226"/>
      <w:bookmarkEnd w:id="227"/>
      <w:bookmarkEnd w:id="228"/>
    </w:p>
    <w:p>
      <w:pPr>
        <w:autoSpaceDE w:val="0"/>
        <w:autoSpaceDN w:val="0"/>
        <w:ind w:left="720"/>
        <w:jc w:val="left"/>
        <w:rPr>
          <w:rFonts w:eastAsia="Times New Roman"/>
          <w:noProof/>
          <w:szCs w:val="24"/>
        </w:rPr>
      </w:pPr>
      <w:r>
        <w:rPr>
          <w:i/>
          <w:noProof/>
        </w:rPr>
        <w:t>Observație</w:t>
      </w:r>
      <w:r>
        <w:rPr>
          <w:noProof/>
        </w:rPr>
        <w:t>: În cazul în care nu sunt disponibile asemenea locuri, testul poate fi efectuat într-o groapă căptușită cu beton și acoperită cu grinzi de lemn. Detonarea poate proiecta fragmente de oțel cu energie cinetică mare și, de aceea, explozia trebuie efectuată la o distantă apreciabilă față de locuințe sau artere de circulație.</w:t>
      </w:r>
    </w:p>
    <w:p>
      <w:pPr>
        <w:pStyle w:val="ManualNumPar1"/>
        <w:rPr>
          <w:noProof/>
        </w:rPr>
      </w:pPr>
      <w:bookmarkStart w:id="229" w:name="_Toc511544530"/>
      <w:bookmarkStart w:id="230" w:name="_Toc512925247"/>
      <w:bookmarkStart w:id="231" w:name="_Toc520787281"/>
      <w:bookmarkStart w:id="232" w:name="_Toc520907860"/>
      <w:r>
        <w:rPr>
          <w:noProof/>
        </w:rPr>
        <w:t>4.3.4.5.2.</w:t>
      </w:r>
      <w:r>
        <w:rPr>
          <w:noProof/>
        </w:rPr>
        <w:tab/>
        <w:t>În cazul în care se folosește încărcătura de detonare cu șapte puncte de inițiere, trebuie asigurată întinderea fitilurilor de detonare conform notei de subsol de la punctul 4.3.4.1.1.4 de mai sus și aranjarea acestora cât mai orizontal posibil.</w:t>
      </w:r>
      <w:bookmarkEnd w:id="229"/>
      <w:bookmarkEnd w:id="230"/>
      <w:bookmarkEnd w:id="231"/>
      <w:bookmarkEnd w:id="232"/>
    </w:p>
    <w:p>
      <w:pPr>
        <w:pStyle w:val="ManualNumPar1"/>
        <w:rPr>
          <w:noProof/>
        </w:rPr>
      </w:pPr>
      <w:bookmarkStart w:id="233" w:name="_Toc511544531"/>
      <w:bookmarkStart w:id="234" w:name="_Toc512925248"/>
      <w:bookmarkStart w:id="235" w:name="_Toc520787282"/>
      <w:bookmarkStart w:id="236" w:name="_Toc520907861"/>
      <w:r>
        <w:rPr>
          <w:noProof/>
        </w:rPr>
        <w:t>4.3.4.5.3.</w:t>
      </w:r>
      <w:r>
        <w:rPr>
          <w:noProof/>
        </w:rPr>
        <w:tab/>
        <w:t>În final, se îndepărtează bagheta de lemn și se înlocuiește cu detonatorul. Nu se declanșează decât după ce zona a fost evacuată și personalul s-a adăpostit.</w:t>
      </w:r>
      <w:bookmarkEnd w:id="233"/>
      <w:bookmarkEnd w:id="234"/>
      <w:bookmarkEnd w:id="235"/>
      <w:bookmarkEnd w:id="236"/>
    </w:p>
    <w:p>
      <w:pPr>
        <w:pStyle w:val="ManualNumPar1"/>
        <w:rPr>
          <w:noProof/>
        </w:rPr>
      </w:pPr>
      <w:bookmarkStart w:id="237" w:name="_Toc511544532"/>
      <w:bookmarkStart w:id="238" w:name="_Toc512925249"/>
      <w:bookmarkStart w:id="239" w:name="_Toc520787283"/>
      <w:bookmarkStart w:id="240" w:name="_Toc520907862"/>
      <w:r>
        <w:rPr>
          <w:noProof/>
        </w:rPr>
        <w:t>4.3.4.5.4.</w:t>
      </w:r>
      <w:r>
        <w:rPr>
          <w:noProof/>
        </w:rPr>
        <w:tab/>
        <w:t>Se detonează explozivul.</w:t>
      </w:r>
      <w:bookmarkEnd w:id="237"/>
      <w:bookmarkEnd w:id="238"/>
      <w:bookmarkEnd w:id="239"/>
      <w:bookmarkEnd w:id="240"/>
    </w:p>
    <w:p>
      <w:pPr>
        <w:pStyle w:val="ManualNumPar1"/>
        <w:rPr>
          <w:noProof/>
        </w:rPr>
      </w:pPr>
      <w:bookmarkStart w:id="241" w:name="_Toc511544533"/>
      <w:bookmarkStart w:id="242" w:name="_Toc512925250"/>
      <w:bookmarkStart w:id="243" w:name="_Toc520787284"/>
      <w:bookmarkStart w:id="244" w:name="_Toc520907863"/>
      <w:bookmarkStart w:id="245" w:name="_Toc520909326"/>
      <w:r>
        <w:rPr>
          <w:noProof/>
        </w:rPr>
        <w:t>4.3.4.6.1</w:t>
      </w:r>
      <w:r>
        <w:rPr>
          <w:noProof/>
        </w:rPr>
        <w:tab/>
        <w:t>Se așteaptă un timp pentru ca fumul (gaze de descompunere, gaze nitroase toxice) să se disperseze, după care se adună cilindrii de plumb și li se măsoară înălțimile cu un șubler cu vernier.</w:t>
      </w:r>
      <w:bookmarkEnd w:id="241"/>
      <w:bookmarkEnd w:id="242"/>
      <w:bookmarkEnd w:id="243"/>
      <w:bookmarkEnd w:id="244"/>
      <w:bookmarkEnd w:id="245"/>
    </w:p>
    <w:p>
      <w:pPr>
        <w:pStyle w:val="ManualNumPar1"/>
        <w:rPr>
          <w:noProof/>
        </w:rPr>
      </w:pPr>
      <w:r>
        <w:rPr>
          <w:noProof/>
        </w:rPr>
        <w:t>4.3.4.6.2.</w:t>
      </w:r>
      <w:r>
        <w:rPr>
          <w:noProof/>
        </w:rPr>
        <w:tab/>
        <w:t xml:space="preserve">Se notează, pentru fiecare cilindru de plumb marcat, gradul de compresie exprimat ca procent din înălțimea inițială de 100 mm. În cazul în care cilindrii sunt striviți oblic, se notează valoarea cea mai mare și cea mai mică și apoi se calculează media. </w:t>
      </w:r>
    </w:p>
    <w:p>
      <w:pPr>
        <w:pStyle w:val="ManualNumPar1"/>
        <w:rPr>
          <w:noProof/>
        </w:rPr>
      </w:pPr>
      <w:bookmarkStart w:id="246" w:name="_Toc511544534"/>
      <w:bookmarkStart w:id="247" w:name="_Toc512925251"/>
      <w:bookmarkStart w:id="248" w:name="_Toc520787285"/>
      <w:bookmarkStart w:id="249" w:name="_Toc520907864"/>
      <w:bookmarkStart w:id="250" w:name="_Toc520909327"/>
      <w:r>
        <w:rPr>
          <w:noProof/>
        </w:rPr>
        <w:t>4.3.4.7</w:t>
      </w:r>
      <w:r>
        <w:rPr>
          <w:noProof/>
        </w:rPr>
        <w:tab/>
        <w:t>În cazul în care este necesar, poate fi folosită o sondă pentru măsurarea continuă a vitezei de detonare. Sonda trebuie inserată longitudinal pe axa tubului sau de-a lungul peretelui său lateral</w:t>
      </w:r>
      <w:bookmarkEnd w:id="246"/>
      <w:bookmarkEnd w:id="247"/>
      <w:bookmarkEnd w:id="248"/>
      <w:bookmarkEnd w:id="249"/>
      <w:bookmarkEnd w:id="250"/>
      <w:r>
        <w:rPr>
          <w:noProof/>
        </w:rPr>
        <w:t>.</w:t>
      </w:r>
    </w:p>
    <w:p>
      <w:pPr>
        <w:pStyle w:val="ManualNumPar1"/>
        <w:rPr>
          <w:noProof/>
        </w:rPr>
      </w:pPr>
      <w:bookmarkStart w:id="251" w:name="_Toc511544535"/>
      <w:bookmarkStart w:id="252" w:name="_Toc512925252"/>
      <w:bookmarkStart w:id="253" w:name="_Toc520787286"/>
      <w:bookmarkStart w:id="254" w:name="_Toc520907865"/>
      <w:bookmarkStart w:id="255" w:name="_Toc520909328"/>
      <w:r>
        <w:rPr>
          <w:noProof/>
        </w:rPr>
        <w:t>4.3.4.8</w:t>
      </w:r>
      <w:r>
        <w:rPr>
          <w:noProof/>
        </w:rPr>
        <w:tab/>
        <w:t>Se efectuează două teste de detonare pentru fiecare probă</w:t>
      </w:r>
      <w:bookmarkEnd w:id="251"/>
      <w:bookmarkEnd w:id="252"/>
      <w:bookmarkEnd w:id="253"/>
      <w:bookmarkEnd w:id="254"/>
      <w:bookmarkEnd w:id="255"/>
      <w:r>
        <w:rPr>
          <w:noProof/>
        </w:rPr>
        <w:t>.</w:t>
      </w:r>
    </w:p>
    <w:p>
      <w:pPr>
        <w:pStyle w:val="ManualHeading4"/>
        <w:rPr>
          <w:i/>
          <w:iCs/>
          <w:noProof/>
        </w:rPr>
      </w:pPr>
      <w:bookmarkStart w:id="256" w:name="_Toc511544536"/>
      <w:bookmarkStart w:id="257" w:name="_Toc512925253"/>
      <w:bookmarkStart w:id="258" w:name="_Toc520787287"/>
      <w:bookmarkStart w:id="259" w:name="_Toc520907866"/>
      <w:bookmarkStart w:id="260" w:name="_Toc520909329"/>
      <w:r>
        <w:rPr>
          <w:i/>
          <w:noProof/>
        </w:rPr>
        <w:t>4.3.5.</w:t>
      </w:r>
      <w:r>
        <w:rPr>
          <w:noProof/>
        </w:rPr>
        <w:tab/>
      </w:r>
      <w:r>
        <w:rPr>
          <w:i/>
          <w:noProof/>
        </w:rPr>
        <w:t>Raport de testare</w:t>
      </w:r>
      <w:bookmarkEnd w:id="256"/>
      <w:bookmarkEnd w:id="257"/>
      <w:bookmarkEnd w:id="258"/>
      <w:bookmarkEnd w:id="259"/>
      <w:bookmarkEnd w:id="260"/>
    </w:p>
    <w:p>
      <w:pPr>
        <w:pStyle w:val="ManualNumPar1"/>
        <w:keepNext/>
        <w:ind w:left="851" w:hanging="851"/>
        <w:rPr>
          <w:noProof/>
        </w:rPr>
      </w:pPr>
      <w:r>
        <w:rPr>
          <w:noProof/>
        </w:rPr>
        <w:t>4.3.5.</w:t>
      </w:r>
      <w:r>
        <w:rPr>
          <w:noProof/>
        </w:rPr>
        <w:tab/>
        <w:t>În buletinul de analiză, pentru fiecare test se specifică următorii parametrii:</w:t>
      </w:r>
    </w:p>
    <w:p>
      <w:pPr>
        <w:pStyle w:val="Bullet1"/>
        <w:numPr>
          <w:ilvl w:val="0"/>
          <w:numId w:val="13"/>
        </w:numPr>
        <w:rPr>
          <w:noProof/>
        </w:rPr>
      </w:pPr>
      <w:r>
        <w:rPr>
          <w:noProof/>
        </w:rPr>
        <w:t>valorile măsurate ale diametrului exterior al tubului de oțel și ale grosimii peretelui;</w:t>
      </w:r>
    </w:p>
    <w:p>
      <w:pPr>
        <w:pStyle w:val="Bullet1"/>
        <w:numPr>
          <w:ilvl w:val="0"/>
          <w:numId w:val="13"/>
        </w:numPr>
        <w:rPr>
          <w:noProof/>
        </w:rPr>
      </w:pPr>
      <w:r>
        <w:rPr>
          <w:noProof/>
        </w:rPr>
        <w:t>duritatea Brinell a tubului de oțel;</w:t>
      </w:r>
    </w:p>
    <w:p>
      <w:pPr>
        <w:pStyle w:val="Bullet1"/>
        <w:numPr>
          <w:ilvl w:val="0"/>
          <w:numId w:val="13"/>
        </w:numPr>
        <w:rPr>
          <w:noProof/>
        </w:rPr>
      </w:pPr>
      <w:r>
        <w:rPr>
          <w:noProof/>
        </w:rPr>
        <w:t>temperatura tubului și a probei chiar înainte de detonare;</w:t>
      </w:r>
    </w:p>
    <w:p>
      <w:pPr>
        <w:pStyle w:val="Bullet1"/>
        <w:numPr>
          <w:ilvl w:val="0"/>
          <w:numId w:val="13"/>
        </w:numPr>
        <w:rPr>
          <w:noProof/>
        </w:rPr>
      </w:pPr>
      <w:r>
        <w:rPr>
          <w:noProof/>
        </w:rPr>
        <w:t>densitatea aparentă (în kg/m</w:t>
      </w:r>
      <w:r>
        <w:rPr>
          <w:noProof/>
          <w:vertAlign w:val="superscript"/>
        </w:rPr>
        <w:t>3</w:t>
      </w:r>
      <w:r>
        <w:rPr>
          <w:noProof/>
        </w:rPr>
        <w:t>) a probei din tubul de oțel;</w:t>
      </w:r>
    </w:p>
    <w:p>
      <w:pPr>
        <w:pStyle w:val="Bullet1"/>
        <w:numPr>
          <w:ilvl w:val="0"/>
          <w:numId w:val="13"/>
        </w:numPr>
        <w:rPr>
          <w:noProof/>
        </w:rPr>
      </w:pPr>
      <w:r>
        <w:rPr>
          <w:noProof/>
        </w:rPr>
        <w:t>înălțimea fiecărui cilindru de plumb după explozie, specificând corespunzător numărul cilindrului;</w:t>
      </w:r>
    </w:p>
    <w:p>
      <w:pPr>
        <w:pStyle w:val="Bullet1"/>
        <w:numPr>
          <w:ilvl w:val="0"/>
          <w:numId w:val="13"/>
        </w:numPr>
        <w:rPr>
          <w:noProof/>
        </w:rPr>
      </w:pPr>
      <w:r>
        <w:rPr>
          <w:noProof/>
        </w:rPr>
        <w:t>metoda de inițiere a încărcăturii de detonare.</w:t>
      </w:r>
    </w:p>
    <w:p>
      <w:pPr>
        <w:pStyle w:val="ManualHeading4"/>
        <w:rPr>
          <w:i/>
          <w:iCs/>
          <w:noProof/>
        </w:rPr>
      </w:pPr>
      <w:r>
        <w:rPr>
          <w:i/>
          <w:noProof/>
        </w:rPr>
        <w:t>4.3.5.1</w:t>
      </w:r>
      <w:r>
        <w:rPr>
          <w:noProof/>
        </w:rPr>
        <w:tab/>
      </w:r>
      <w:r>
        <w:rPr>
          <w:i/>
          <w:noProof/>
        </w:rPr>
        <w:t>Evaluarea rezultatelor testării</w:t>
      </w:r>
    </w:p>
    <w:p>
      <w:pPr>
        <w:pStyle w:val="ManualNumPar1"/>
        <w:rPr>
          <w:noProof/>
        </w:rPr>
      </w:pPr>
      <w:r>
        <w:rPr>
          <w:noProof/>
        </w:rPr>
        <w:t>4.3.5.1</w:t>
      </w:r>
      <w:r>
        <w:rPr>
          <w:noProof/>
        </w:rPr>
        <w:tab/>
        <w:t>Testul se consideră concludent în cazul în care, la fiecare explozie, comprimarea cel puțin a unui cilindru de plumb nu depășește 5 %.</w:t>
      </w:r>
    </w:p>
    <w:p>
      <w:pPr>
        <w:keepNext/>
        <w:autoSpaceDE w:val="0"/>
        <w:autoSpaceDN w:val="0"/>
        <w:ind w:left="720"/>
        <w:jc w:val="left"/>
        <w:rPr>
          <w:rFonts w:eastAsia="Times New Roman"/>
          <w:noProof/>
          <w:szCs w:val="24"/>
        </w:rPr>
      </w:pPr>
      <w:r>
        <w:rPr>
          <w:noProof/>
        </w:rPr>
        <w:t>Figura 2</w:t>
      </w:r>
    </w:p>
    <w:p>
      <w:pPr>
        <w:autoSpaceDE w:val="0"/>
        <w:autoSpaceDN w:val="0"/>
        <w:ind w:left="720"/>
        <w:jc w:val="left"/>
        <w:rPr>
          <w:rFonts w:eastAsia="Times New Roman"/>
          <w:noProof/>
          <w:szCs w:val="24"/>
        </w:rPr>
      </w:pPr>
      <w:r>
        <w:rPr>
          <w:noProof/>
          <w:lang w:val="en-US"/>
        </w:rPr>
        <w:drawing>
          <wp:inline distT="0" distB="0" distL="0" distR="0">
            <wp:extent cx="5752465" cy="821880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2465" cy="8218805"/>
                    </a:xfrm>
                    <a:prstGeom prst="rect">
                      <a:avLst/>
                    </a:prstGeom>
                    <a:noFill/>
                    <a:ln>
                      <a:noFill/>
                    </a:ln>
                  </pic:spPr>
                </pic:pic>
              </a:graphicData>
            </a:graphic>
          </wp:inline>
        </w:drawing>
      </w:r>
    </w:p>
    <w:p>
      <w:pPr>
        <w:keepNext/>
        <w:autoSpaceDE w:val="0"/>
        <w:autoSpaceDN w:val="0"/>
        <w:ind w:left="720"/>
        <w:jc w:val="left"/>
        <w:rPr>
          <w:rFonts w:eastAsia="Times New Roman"/>
          <w:noProof/>
          <w:szCs w:val="24"/>
        </w:rPr>
      </w:pPr>
      <w:r>
        <w:rPr>
          <w:noProof/>
        </w:rPr>
        <w:t>Figura 3</w:t>
      </w:r>
    </w:p>
    <w:p>
      <w:pPr>
        <w:autoSpaceDE w:val="0"/>
        <w:autoSpaceDN w:val="0"/>
        <w:ind w:left="720"/>
        <w:jc w:val="left"/>
        <w:rPr>
          <w:rFonts w:eastAsia="Times New Roman"/>
          <w:noProof/>
          <w:szCs w:val="24"/>
        </w:rPr>
      </w:pPr>
      <w:r>
        <w:rPr>
          <w:noProof/>
          <w:lang w:val="en-US"/>
        </w:rPr>
        <w:drawing>
          <wp:inline distT="0" distB="0" distL="0" distR="0">
            <wp:extent cx="5752465" cy="66135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2465" cy="6613525"/>
                    </a:xfrm>
                    <a:prstGeom prst="rect">
                      <a:avLst/>
                    </a:prstGeom>
                    <a:noFill/>
                    <a:ln>
                      <a:noFill/>
                    </a:ln>
                  </pic:spPr>
                </pic:pic>
              </a:graphicData>
            </a:graphic>
          </wp:inline>
        </w:drawing>
      </w:r>
    </w:p>
    <w:p>
      <w:pPr>
        <w:keepNext/>
        <w:autoSpaceDE w:val="0"/>
        <w:autoSpaceDN w:val="0"/>
        <w:ind w:left="720"/>
        <w:jc w:val="left"/>
        <w:rPr>
          <w:rFonts w:eastAsia="Times New Roman"/>
          <w:noProof/>
          <w:szCs w:val="24"/>
        </w:rPr>
      </w:pPr>
      <w:r>
        <w:rPr>
          <w:noProof/>
        </w:rPr>
        <w:t>Figura 4</w:t>
      </w:r>
    </w:p>
    <w:p>
      <w:pPr>
        <w:autoSpaceDE w:val="0"/>
        <w:autoSpaceDN w:val="0"/>
        <w:ind w:left="720"/>
        <w:jc w:val="left"/>
        <w:rPr>
          <w:rFonts w:eastAsia="Times New Roman"/>
          <w:noProof/>
          <w:szCs w:val="24"/>
        </w:rPr>
      </w:pPr>
      <w:r>
        <w:rPr>
          <w:noProof/>
          <w:lang w:val="en-US"/>
        </w:rPr>
        <w:drawing>
          <wp:inline distT="0" distB="0" distL="0" distR="0">
            <wp:extent cx="5752465" cy="6528435"/>
            <wp:effectExtent l="0" t="0" r="63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2465" cy="6528435"/>
                    </a:xfrm>
                    <a:prstGeom prst="rect">
                      <a:avLst/>
                    </a:prstGeom>
                    <a:noFill/>
                    <a:ln>
                      <a:noFill/>
                    </a:ln>
                  </pic:spPr>
                </pic:pic>
              </a:graphicData>
            </a:graphic>
          </wp:inline>
        </w:drawing>
      </w:r>
    </w:p>
    <w:p>
      <w:pPr>
        <w:pStyle w:val="ManualHeading2"/>
        <w:rPr>
          <w:noProof/>
        </w:rPr>
      </w:pPr>
      <w:bookmarkStart w:id="261" w:name="_Toc432153257"/>
      <w:r>
        <w:rPr>
          <w:noProof/>
        </w:rPr>
        <w:t>5.</w:t>
      </w:r>
      <w:r>
        <w:rPr>
          <w:noProof/>
        </w:rPr>
        <w:tab/>
        <w:t>Marcajul de conformitate și declarația de conformitate UE</w:t>
      </w:r>
      <w:bookmarkEnd w:id="261"/>
    </w:p>
    <w:p>
      <w:pPr>
        <w:pStyle w:val="ManualNumPar2"/>
        <w:rPr>
          <w:noProof/>
        </w:rPr>
      </w:pPr>
      <w:r>
        <w:rPr>
          <w:noProof/>
        </w:rPr>
        <w:t>5.1.</w:t>
      </w:r>
      <w:r>
        <w:rPr>
          <w:noProof/>
        </w:rPr>
        <w:tab/>
        <w:t>Producătorul aplică marcajul CE pe fiecare produs fertilizant care satisface cerințele aplicabile ale prezentului regulament.</w:t>
      </w:r>
    </w:p>
    <w:p>
      <w:pPr>
        <w:pStyle w:val="ManualNumPar2"/>
        <w:rPr>
          <w:noProof/>
        </w:rPr>
      </w:pPr>
      <w:r>
        <w:rPr>
          <w:noProof/>
        </w:rPr>
        <w:t>5.2.</w:t>
      </w:r>
      <w:r>
        <w:rPr>
          <w:noProof/>
        </w:rPr>
        <w:tab/>
        <w:t xml:space="preserve">Producătorul întocmește o declarație de conformitate UE scrisă pentru fiecare lot de produse fertilizante cu marcaj CE și o păstrează, împreună cu documentația tehnică, la dispoziția autorităților naționale pe o perioadă de 10 ani după introducerea pe piață a produsului fertilizant cu marcaj CE. Declarația de conformitate UE identifică produsul fertilizant cu marcaj CE pentru care a fost întocmită. </w:t>
      </w:r>
    </w:p>
    <w:p>
      <w:pPr>
        <w:pStyle w:val="ManualHeading2"/>
        <w:rPr>
          <w:noProof/>
        </w:rPr>
      </w:pPr>
      <w:bookmarkStart w:id="262" w:name="_Toc432153258"/>
      <w:r>
        <w:rPr>
          <w:noProof/>
        </w:rPr>
        <w:t>6.</w:t>
      </w:r>
      <w:r>
        <w:rPr>
          <w:noProof/>
        </w:rPr>
        <w:tab/>
        <w:t>Reprezentantul autorizat</w:t>
      </w:r>
      <w:bookmarkEnd w:id="262"/>
    </w:p>
    <w:p>
      <w:pPr>
        <w:pStyle w:val="ManualNumPar1"/>
        <w:rPr>
          <w:noProof/>
        </w:rPr>
      </w:pPr>
      <w:r>
        <w:rPr>
          <w:noProof/>
        </w:rPr>
        <w:t>6.</w:t>
      </w:r>
      <w:r>
        <w:rPr>
          <w:noProof/>
        </w:rPr>
        <w:tab/>
        <w:t xml:space="preserve">Obligațiile producătorului stabilite la punctul 5 de mai sus pot fi îndeplinite de către reprezentantul său autorizat, în numele său și pe răspunderea sa, cu condiția ca acestea să fie menționate în mandat. </w:t>
      </w:r>
    </w:p>
    <w:p>
      <w:pPr>
        <w:pStyle w:val="ManualHeading1"/>
        <w:jc w:val="center"/>
        <w:rPr>
          <w:noProof/>
        </w:rPr>
      </w:pPr>
      <w:bookmarkStart w:id="263" w:name="_Toc432153259"/>
      <w:r>
        <w:rPr>
          <w:noProof/>
        </w:rPr>
        <w:t>Modulul B - examinarea UE de tip</w:t>
      </w:r>
      <w:bookmarkEnd w:id="263"/>
    </w:p>
    <w:p>
      <w:pPr>
        <w:pStyle w:val="ManualNumPar1"/>
        <w:rPr>
          <w:noProof/>
        </w:rPr>
      </w:pPr>
      <w:r>
        <w:rPr>
          <w:noProof/>
        </w:rPr>
        <w:t>1.</w:t>
      </w:r>
      <w:r>
        <w:rPr>
          <w:noProof/>
        </w:rPr>
        <w:tab/>
        <w:t>Examinarea UE de tip este acea parte a procedurii de evaluare a conformității prin care un organism notificat examinează proiectul tehnic al produsului fertilizant cu marcaj CE și verifică și atestă că proiectul tehnic al produsului fertilizant cu marcaj CE corespunde cerințelor prezentului regulament.</w:t>
      </w:r>
    </w:p>
    <w:p>
      <w:pPr>
        <w:pStyle w:val="ManualNumPar1"/>
        <w:rPr>
          <w:noProof/>
        </w:rPr>
      </w:pPr>
      <w:r>
        <w:rPr>
          <w:noProof/>
        </w:rPr>
        <w:t>2.</w:t>
      </w:r>
      <w:r>
        <w:rPr>
          <w:noProof/>
        </w:rPr>
        <w:tab/>
        <w:t>Evaluarea caracterului adecvat al proiectului tehnic al produsului fertilizant cu marcaj CE poate fi realizată prin examinarea documentației tehnice și a documentelor justificative prevăzute la punctul 3.2 de mai jos, precum și prin examinarea unor eșantioane reprezentative pentru producția avută în vedere ale uneia sau mai multor componente ale produsului (combinație între tipul de producție și tipul de proiect).</w:t>
      </w:r>
    </w:p>
    <w:p>
      <w:pPr>
        <w:pStyle w:val="ManualNumPar1"/>
        <w:rPr>
          <w:noProof/>
        </w:rPr>
      </w:pPr>
      <w:r>
        <w:rPr>
          <w:noProof/>
        </w:rPr>
        <w:t>3.1.</w:t>
      </w:r>
      <w:r>
        <w:rPr>
          <w:noProof/>
        </w:rPr>
        <w:tab/>
        <w:t xml:space="preserve">Producătorul depune o cerere pentru examinare UE de tip la un singur organism notificat ales de el. </w:t>
      </w:r>
    </w:p>
    <w:p>
      <w:pPr>
        <w:pStyle w:val="ManualNumPar1"/>
        <w:keepNext/>
        <w:ind w:left="851" w:hanging="851"/>
        <w:rPr>
          <w:noProof/>
        </w:rPr>
      </w:pPr>
      <w:r>
        <w:rPr>
          <w:noProof/>
        </w:rPr>
        <w:t>3.2.</w:t>
      </w:r>
      <w:r>
        <w:rPr>
          <w:noProof/>
        </w:rPr>
        <w:tab/>
        <w:t>Cererea cuprinde:</w:t>
      </w:r>
    </w:p>
    <w:p>
      <w:pPr>
        <w:pStyle w:val="Point1letter"/>
        <w:numPr>
          <w:ilvl w:val="3"/>
          <w:numId w:val="131"/>
        </w:numPr>
        <w:rPr>
          <w:noProof/>
        </w:rPr>
      </w:pPr>
      <w:r>
        <w:rPr>
          <w:noProof/>
        </w:rPr>
        <w:t>denumirea și adresa producătorului și, în cazul în care cererea este depusă de către reprezentantul autorizat, se precizează, de asemenea, numele și adresa acestuia;</w:t>
      </w:r>
    </w:p>
    <w:p>
      <w:pPr>
        <w:pStyle w:val="Point1letter"/>
        <w:rPr>
          <w:noProof/>
        </w:rPr>
      </w:pPr>
      <w:r>
        <w:rPr>
          <w:noProof/>
        </w:rPr>
        <w:t>o declarație scrisă care arată că această cerere nu a mai fost înaintată către niciun alt organism notificat;</w:t>
      </w:r>
    </w:p>
    <w:p>
      <w:pPr>
        <w:pStyle w:val="Point1letter"/>
        <w:keepNext/>
        <w:ind w:left="1418"/>
        <w:rPr>
          <w:noProof/>
        </w:rPr>
      </w:pPr>
      <w:r>
        <w:rPr>
          <w:noProof/>
        </w:rPr>
        <w:t>documentația tehnică. Documentația tehnică permite evaluarea produsului fertilizant cu marcaj CE din punctul de vedere al conformității cu cerințele aplicabile ale prezentului regulament și include o analiză adecvată și o evaluare a riscului (riscurilor). Documentația tehnică specifică cerințele aplicabile și vizează, în măsura în care acest lucru este relevant pentru evaluare, proiectarea, fabricarea și utilizarea produsului fertilizant cu marcaj CE. Documentația tehnică cuprinde, unde este cazul, cel puțin următoarele elemente:</w:t>
      </w:r>
    </w:p>
    <w:p>
      <w:pPr>
        <w:pStyle w:val="Bullet2"/>
        <w:rPr>
          <w:noProof/>
        </w:rPr>
      </w:pPr>
      <w:r>
        <w:rPr>
          <w:noProof/>
        </w:rPr>
        <w:t>o descriere generală a produsului fertilizant cu marcaj CE;</w:t>
      </w:r>
    </w:p>
    <w:p>
      <w:pPr>
        <w:pStyle w:val="Bullet2"/>
        <w:rPr>
          <w:noProof/>
        </w:rPr>
      </w:pPr>
      <w:r>
        <w:rPr>
          <w:noProof/>
        </w:rPr>
        <w:t>desene și scheme de concepție și execuție;</w:t>
      </w:r>
    </w:p>
    <w:p>
      <w:pPr>
        <w:pStyle w:val="Bullet2"/>
        <w:rPr>
          <w:noProof/>
        </w:rPr>
      </w:pPr>
      <w:r>
        <w:rPr>
          <w:noProof/>
        </w:rPr>
        <w:t>descrieri și explicații necesare pentru înțelegerea acelor desene și scheme și a utilizării produsului fertilizant cu marcaj CE;</w:t>
      </w:r>
    </w:p>
    <w:p>
      <w:pPr>
        <w:pStyle w:val="Bullet2"/>
        <w:rPr>
          <w:noProof/>
        </w:rPr>
      </w:pPr>
      <w:r>
        <w:rPr>
          <w:noProof/>
        </w:rPr>
        <w:t xml:space="preserve">lista standardelor armonizate aplicate integral sau parțial ale căror referințe au fost publicate în </w:t>
      </w:r>
      <w:r>
        <w:rPr>
          <w:i/>
          <w:noProof/>
        </w:rPr>
        <w:t>Jurnalul Oficial al Uniunii Europene</w:t>
      </w:r>
      <w:r>
        <w:rPr>
          <w:noProof/>
        </w:rPr>
        <w:t>, iar în cazurile în care aceste standarde armonizate nu au fost aplicate, descrierile soluțiilor adoptate pentru a satisface cerințele din prezentul regulament, inclusiv o listă a specificațiilor comune sau a altor specificații tehnice relevante aplicate. În eventualitatea unor standarde armonizate aplicate parțial, documentația tehnică precizează care au fost părțile aplicate;</w:t>
      </w:r>
    </w:p>
    <w:p>
      <w:pPr>
        <w:pStyle w:val="Bullet2"/>
        <w:rPr>
          <w:noProof/>
        </w:rPr>
      </w:pPr>
      <w:r>
        <w:rPr>
          <w:noProof/>
        </w:rPr>
        <w:t>rezultatele calculelor de proiectare, ale examinărilor efectuate etc.;</w:t>
      </w:r>
    </w:p>
    <w:p>
      <w:pPr>
        <w:pStyle w:val="Bullet2"/>
        <w:rPr>
          <w:noProof/>
        </w:rPr>
      </w:pPr>
      <w:r>
        <w:rPr>
          <w:noProof/>
        </w:rPr>
        <w:t>rapoartele de testare și</w:t>
      </w:r>
    </w:p>
    <w:p>
      <w:pPr>
        <w:pStyle w:val="Bullet2"/>
        <w:rPr>
          <w:noProof/>
        </w:rPr>
      </w:pPr>
      <w:r>
        <w:rPr>
          <w:noProof/>
        </w:rPr>
        <w:t>în cazul în care produsul conține sau constă din subproduse de origine animală în sensul definiției din Regulamentul (CE) nr. 1069/2009, documentele comerciale sau certificatele de sănătate animală necesare în conformitate cu regulamentul în cauză, precum și dovada că subprodusele de origine animală au ajuns în punctul final al lanțului de prelucrare în sensul respectivului regulament;</w:t>
      </w:r>
    </w:p>
    <w:p>
      <w:pPr>
        <w:pStyle w:val="Point1letter"/>
        <w:rPr>
          <w:noProof/>
        </w:rPr>
      </w:pPr>
      <w:r>
        <w:rPr>
          <w:noProof/>
        </w:rPr>
        <w:t>eșantioane reprezentative pentru producția preconizată. Organismul notificat poate solicita eșantioane suplimentare, în cazul în care acest lucru este necesar pentru realizarea programului de încercare;</w:t>
      </w:r>
    </w:p>
    <w:p>
      <w:pPr>
        <w:pStyle w:val="Point1letter"/>
        <w:rPr>
          <w:noProof/>
        </w:rPr>
      </w:pPr>
      <w:r>
        <w:rPr>
          <w:noProof/>
        </w:rPr>
        <w:t xml:space="preserve">documente justificative privind caracterul adecvat al soluției proiectului tehnic. Aceste documente justificative menționează orice document care a fost utilizat, în special atunci când standardele relevante armonizate nu au fost aplicate în întregime. Documentele justificative includ, în cazul în care este necesar, rezultatele testelor efectuate, în conformitate cu alte specificații tehnice relevante, de laboratorul corespunzător al producătorului sau de un alt laborator de testare în numele producătorului și pe răspunderea acestuia. </w:t>
      </w:r>
    </w:p>
    <w:p>
      <w:pPr>
        <w:pStyle w:val="ManualNumPar1"/>
        <w:keepNext/>
        <w:rPr>
          <w:noProof/>
        </w:rPr>
      </w:pPr>
      <w:r>
        <w:rPr>
          <w:noProof/>
        </w:rPr>
        <w:t>4.</w:t>
      </w:r>
      <w:r>
        <w:rPr>
          <w:noProof/>
        </w:rPr>
        <w:tab/>
        <w:t>Organismul notificat trebuie:</w:t>
      </w:r>
    </w:p>
    <w:p>
      <w:pPr>
        <w:pStyle w:val="Point1letter"/>
        <w:keepNext/>
        <w:numPr>
          <w:ilvl w:val="3"/>
          <w:numId w:val="132"/>
        </w:numPr>
        <w:rPr>
          <w:noProof/>
        </w:rPr>
      </w:pPr>
      <w:r>
        <w:rPr>
          <w:noProof/>
        </w:rPr>
        <w:t>În ceea ce privește produsul fertilizant cu marcaj CE:</w:t>
      </w:r>
    </w:p>
    <w:p>
      <w:pPr>
        <w:pStyle w:val="Point2number"/>
        <w:rPr>
          <w:noProof/>
        </w:rPr>
      </w:pPr>
      <w:r>
        <w:rPr>
          <w:noProof/>
        </w:rPr>
        <w:t>să examineze documentația tehnică și documentele justificative pentru a evalua caracterul adecvat al proiectării tehnice a produsului fertilizant cu marcaj CE.</w:t>
      </w:r>
    </w:p>
    <w:p>
      <w:pPr>
        <w:pStyle w:val="Point1letter"/>
        <w:keepNext/>
        <w:ind w:left="1418"/>
        <w:rPr>
          <w:noProof/>
        </w:rPr>
      </w:pPr>
      <w:r>
        <w:rPr>
          <w:noProof/>
        </w:rPr>
        <w:t>Pentru eșantion(eșantioane):</w:t>
      </w:r>
    </w:p>
    <w:p>
      <w:pPr>
        <w:pStyle w:val="Point2number"/>
        <w:numPr>
          <w:ilvl w:val="4"/>
          <w:numId w:val="19"/>
        </w:numPr>
        <w:rPr>
          <w:noProof/>
        </w:rPr>
      </w:pPr>
      <w:r>
        <w:rPr>
          <w:noProof/>
        </w:rPr>
        <w:t>să verifice dacă eșantionul (eșantioanele) a (au) fost produs(e) în conformitate cu documentația tehnică și să identifice elementele proiectate conform dispozițiilor aplicabile ale standardelor armonizate și/sau ale specificațiilor tehnice, precum și elementele proiectate în conformitate cu alte specificații tehnice relevante;</w:t>
      </w:r>
    </w:p>
    <w:p>
      <w:pPr>
        <w:pStyle w:val="Point2number"/>
        <w:rPr>
          <w:noProof/>
        </w:rPr>
      </w:pPr>
      <w:r>
        <w:rPr>
          <w:noProof/>
        </w:rPr>
        <w:t>să efectueze examinările și testările corespunzătoare sau să dispună efectuarea acestora pentru a verifica, în cazul în care producătorul a ales să aplice soluțiile din standardele armonizate și/sau din specificațiile tehnice relevante, dacă acestea au fost aplicate corect;</w:t>
      </w:r>
    </w:p>
    <w:p>
      <w:pPr>
        <w:pStyle w:val="Point2number"/>
        <w:rPr>
          <w:noProof/>
        </w:rPr>
      </w:pPr>
      <w:r>
        <w:rPr>
          <w:noProof/>
        </w:rPr>
        <w:t>să efectueze examinările și testările corespunzătoare sau să dispună efectuarea lor, pentru a verifica, în cazul în care nu au fost aplicate soluțiile din standardele armonizate și/sau din specificațiile tehnice relevante, dacă soluțiile adoptate de producător îndeplinesc cerințele esențiale corespunzătoare din prezentul regulament;</w:t>
      </w:r>
    </w:p>
    <w:p>
      <w:pPr>
        <w:pStyle w:val="Point2number"/>
        <w:rPr>
          <w:noProof/>
        </w:rPr>
      </w:pPr>
      <w:r>
        <w:rPr>
          <w:noProof/>
        </w:rPr>
        <w:t>să stabilească, de comun acord cu producătorul, locul unde vor fi efectuate examinările și testările.</w:t>
      </w:r>
    </w:p>
    <w:p>
      <w:pPr>
        <w:pStyle w:val="ManualNumPar1"/>
        <w:rPr>
          <w:noProof/>
        </w:rPr>
      </w:pPr>
      <w:r>
        <w:rPr>
          <w:noProof/>
        </w:rPr>
        <w:t>5.</w:t>
      </w:r>
      <w:r>
        <w:rPr>
          <w:noProof/>
        </w:rPr>
        <w:tab/>
        <w:t xml:space="preserve">Organismul notificat întocmește un raport de evaluare care evidențiază activitățile întreprinse, conform punctului 4, precum și rezultatele acestora. Fără a aduce atingere obligațiilor sale față de autoritățile de notificare, organismul notificat transmite conținutul acestui raport, în întregime sau parțial, numai cu acordul producătorului. </w:t>
      </w:r>
    </w:p>
    <w:p>
      <w:pPr>
        <w:pStyle w:val="ManualNumPar1"/>
        <w:rPr>
          <w:noProof/>
        </w:rPr>
      </w:pPr>
      <w:r>
        <w:rPr>
          <w:noProof/>
        </w:rPr>
        <w:t>6.1.</w:t>
      </w:r>
      <w:r>
        <w:rPr>
          <w:noProof/>
        </w:rPr>
        <w:tab/>
        <w:t xml:space="preserve">Atunci când tipul este conform cu cerințele prezentului regulament aplicabile produsului în cauză, organismul notificat îi eliberează producătorului un certificat de examinare UE de tip. Certificatul cuprinde numele și adresa producătorului, concluziile examinării, condițiile (eventuale) de valabilitate și datele necesare pentru identificarea tipului aprobat. Certificatul poate avea atașate una sau mai multe anexe. </w:t>
      </w:r>
    </w:p>
    <w:p>
      <w:pPr>
        <w:pStyle w:val="ManualNumPar1"/>
        <w:rPr>
          <w:noProof/>
        </w:rPr>
      </w:pPr>
      <w:r>
        <w:rPr>
          <w:noProof/>
        </w:rPr>
        <w:t>6.2.</w:t>
      </w:r>
      <w:r>
        <w:rPr>
          <w:noProof/>
        </w:rPr>
        <w:tab/>
        <w:t>Certificatul și anexele sale trebuie să conțină toate informațiile relevante pentru a permite atât evaluarea conformității produsului fertilizant cu marcaj CE cu tipul examinat, cât și controlul în utilizare ulterior.</w:t>
      </w:r>
    </w:p>
    <w:p>
      <w:pPr>
        <w:pStyle w:val="ManualNumPar1"/>
        <w:rPr>
          <w:noProof/>
        </w:rPr>
      </w:pPr>
      <w:r>
        <w:rPr>
          <w:noProof/>
        </w:rPr>
        <w:t>6.3.</w:t>
      </w:r>
      <w:r>
        <w:rPr>
          <w:noProof/>
        </w:rPr>
        <w:tab/>
        <w:t>În cazul în care tipul nu îndeplinește cerințele din prezentul regulament, organismul notificat refuză eliberarea unui certificat de examinare UE de tip și informează solicitantul în consecință, precizând în detaliu motivele refuzului.</w:t>
      </w:r>
    </w:p>
    <w:p>
      <w:pPr>
        <w:pStyle w:val="ManualNumPar1"/>
        <w:rPr>
          <w:noProof/>
        </w:rPr>
      </w:pPr>
      <w:r>
        <w:rPr>
          <w:noProof/>
        </w:rPr>
        <w:t>7.1.</w:t>
      </w:r>
      <w:r>
        <w:rPr>
          <w:noProof/>
        </w:rPr>
        <w:tab/>
        <w:t>Organismul notificat se va informa permanent în legătură cu orice modificări ale stadiului actual general recunoscut al tehnologiei, care ar putea indica faptul că tipul aprobat poate să nu mai fie conform cu cerințele prezentului regulament, și stabilește dacă aceste modificări necesită investigații aprofundate. În acest caz, organismul notificat informează în consecință producătorul.</w:t>
      </w:r>
    </w:p>
    <w:p>
      <w:pPr>
        <w:pStyle w:val="ManualNumPar1"/>
        <w:rPr>
          <w:noProof/>
        </w:rPr>
      </w:pPr>
      <w:r>
        <w:rPr>
          <w:noProof/>
        </w:rPr>
        <w:t>7.2.</w:t>
      </w:r>
      <w:r>
        <w:rPr>
          <w:noProof/>
        </w:rPr>
        <w:tab/>
        <w:t>Producătorul informează organismul notificat care deține documentația tehnică referitoare la certificatul de examinare UE de tip în legătură cu toate modificările tipului aprobat care ar putea afecta conformitatea produsului fertilizant cu marcaj CE cu cerințele din prezentul regulament sau condițiile de valabilitate a certificatului. Aceste modificări necesită o aprobare suplimentară sub forma unui supliment la certificatul original de examinare UE de tip.</w:t>
      </w:r>
    </w:p>
    <w:p>
      <w:pPr>
        <w:pStyle w:val="ManualNumPar1"/>
        <w:rPr>
          <w:noProof/>
        </w:rPr>
      </w:pPr>
      <w:r>
        <w:rPr>
          <w:noProof/>
        </w:rPr>
        <w:t>8.1.</w:t>
      </w:r>
      <w:r>
        <w:rPr>
          <w:noProof/>
        </w:rPr>
        <w:tab/>
        <w:t xml:space="preserve">Fiecare organism notificat își informează autoritatea de notificare cu privire la certificatele de examinare UE de tip și/sau orice completări aduse acestora pe care le-a emis sau retras și pune la dispoziția autorității sale de notificare, periodic sau la cerere, lista acestor certificate și/sau a oricăror completări la acestea refuzate, suspendate sau restricționate în alt mod. </w:t>
      </w:r>
    </w:p>
    <w:p>
      <w:pPr>
        <w:pStyle w:val="ManualNumPar1"/>
        <w:rPr>
          <w:noProof/>
        </w:rPr>
      </w:pPr>
      <w:r>
        <w:rPr>
          <w:noProof/>
        </w:rPr>
        <w:t>8.2.</w:t>
      </w:r>
      <w:r>
        <w:rPr>
          <w:noProof/>
        </w:rPr>
        <w:tab/>
        <w:t>Fiecare organism notificat informează celelalte organisme notificate în legătură cu certificatele de examinare UE de tip și/sau orice suplimente la acestea pe care le-a refuzat, retras, suspendat sau restricționat în alt mod și, la cerere, în legătură cu certificatele și/sau suplimentele la acestea pe care le-a eliberat.</w:t>
      </w:r>
    </w:p>
    <w:p>
      <w:pPr>
        <w:pStyle w:val="ManualNumPar1"/>
        <w:rPr>
          <w:noProof/>
        </w:rPr>
      </w:pPr>
      <w:r>
        <w:rPr>
          <w:noProof/>
        </w:rPr>
        <w:t>8.3.</w:t>
      </w:r>
      <w:r>
        <w:rPr>
          <w:noProof/>
        </w:rPr>
        <w:tab/>
        <w:t xml:space="preserve">Comisia, statele membre și celelalte organisme notificate pot obține, la cerere, o copie a certificatelor de examinare UE de tip și/sau a suplimentelor la acestea. La cerere, Comisia și statele membre pot obține o copie a documentației tehnice și a rezultatelor examinărilor efectuate de organismul notificat. </w:t>
      </w:r>
    </w:p>
    <w:p>
      <w:pPr>
        <w:pStyle w:val="ManualNumPar1"/>
        <w:rPr>
          <w:noProof/>
        </w:rPr>
      </w:pPr>
      <w:r>
        <w:rPr>
          <w:noProof/>
        </w:rPr>
        <w:t>8.4.</w:t>
      </w:r>
      <w:r>
        <w:rPr>
          <w:noProof/>
        </w:rPr>
        <w:tab/>
        <w:t>Organismul notificat păstrează o copie a certificatului de examinare UE de tip, a anexelor și a suplimentelor acestuia, precum și dosarul tehnic incluzând documentația depusă de producător, până la expirarea valabilității certificatului respectiv.</w:t>
      </w:r>
    </w:p>
    <w:p>
      <w:pPr>
        <w:pStyle w:val="ManualNumPar1"/>
        <w:rPr>
          <w:noProof/>
        </w:rPr>
      </w:pPr>
      <w:r>
        <w:rPr>
          <w:noProof/>
        </w:rPr>
        <w:t>9.</w:t>
      </w:r>
      <w:r>
        <w:rPr>
          <w:noProof/>
        </w:rPr>
        <w:tab/>
        <w:t xml:space="preserve">Producătorul păstrează la dispoziția autorităților naționale o copie a certificatului de examinare UE de tip, a anexelor și a suplimentelor acestuia, împreună cu documentația tehnică, pe o perioadă de 10 ani după introducerea pe piață a produsului fertilizant cu marcaj CE. </w:t>
      </w:r>
    </w:p>
    <w:p>
      <w:pPr>
        <w:pStyle w:val="ManualNumPar1"/>
        <w:rPr>
          <w:noProof/>
        </w:rPr>
      </w:pPr>
      <w:r>
        <w:rPr>
          <w:noProof/>
        </w:rPr>
        <w:t>10.</w:t>
      </w:r>
      <w:r>
        <w:rPr>
          <w:noProof/>
        </w:rPr>
        <w:tab/>
        <w:t>Reprezentantul autorizat al producătorului poate depune cererea menționată la punctul 3 și poate îndeplini obligațiile menționate la punctele 7 și 9, cu condiția ca acestea să fie menționate în mandat.</w:t>
      </w:r>
    </w:p>
    <w:p>
      <w:pPr>
        <w:pStyle w:val="ManualHeading1"/>
        <w:jc w:val="center"/>
        <w:rPr>
          <w:noProof/>
        </w:rPr>
      </w:pPr>
      <w:bookmarkStart w:id="264" w:name="_Toc432153260"/>
      <w:r>
        <w:rPr>
          <w:noProof/>
        </w:rPr>
        <w:t>Modulul C - conformitatea cu tipul bazată pe controlul intern al producției</w:t>
      </w:r>
      <w:bookmarkEnd w:id="264"/>
    </w:p>
    <w:p>
      <w:pPr>
        <w:pStyle w:val="ManualHeading2"/>
        <w:rPr>
          <w:noProof/>
        </w:rPr>
      </w:pPr>
      <w:bookmarkStart w:id="265" w:name="_Toc432153261"/>
      <w:r>
        <w:rPr>
          <w:noProof/>
        </w:rPr>
        <w:t>1.</w:t>
      </w:r>
      <w:r>
        <w:rPr>
          <w:noProof/>
        </w:rPr>
        <w:tab/>
        <w:t>Descrierea modulului</w:t>
      </w:r>
      <w:bookmarkEnd w:id="265"/>
    </w:p>
    <w:p>
      <w:pPr>
        <w:pStyle w:val="ManualNumPar1"/>
        <w:rPr>
          <w:noProof/>
        </w:rPr>
      </w:pPr>
      <w:r>
        <w:rPr>
          <w:noProof/>
        </w:rPr>
        <w:t>1.</w:t>
      </w:r>
      <w:r>
        <w:rPr>
          <w:noProof/>
        </w:rPr>
        <w:tab/>
        <w:t>Conformitatea cu tipul bazată pe controlul intern al producției este acea parte din procedura de evaluare a conformității prin care producătorul își îndeplinește obligațiile prevăzute la punctele 2 și 3, se asigură și declară că produsele fertilizante cu marcaj CE în cauză sunt în conformitate cu tipul descris în certificatul de examinare UE de tip și respectă cerințele aplicabile ale prezentului regulament.</w:t>
      </w:r>
    </w:p>
    <w:p>
      <w:pPr>
        <w:pStyle w:val="ManualHeading2"/>
        <w:rPr>
          <w:noProof/>
        </w:rPr>
      </w:pPr>
      <w:bookmarkStart w:id="266" w:name="_Toc432153262"/>
      <w:r>
        <w:rPr>
          <w:noProof/>
        </w:rPr>
        <w:t>2.</w:t>
      </w:r>
      <w:r>
        <w:rPr>
          <w:noProof/>
        </w:rPr>
        <w:tab/>
        <w:t>Fabricația</w:t>
      </w:r>
      <w:bookmarkEnd w:id="266"/>
    </w:p>
    <w:p>
      <w:pPr>
        <w:pStyle w:val="ManualNumPar1"/>
        <w:rPr>
          <w:noProof/>
        </w:rPr>
      </w:pPr>
      <w:r>
        <w:rPr>
          <w:noProof/>
        </w:rPr>
        <w:t>2.</w:t>
      </w:r>
      <w:r>
        <w:rPr>
          <w:noProof/>
        </w:rPr>
        <w:tab/>
        <w:t>Producătorul ia toate măsurile necesare pentru ca procesul de fabricație și monitorizarea acestuia să asigure conformitatea produselor fertilizante cu marcaj CE fabricate cu tipul aprobat descris în certificatul de examinare UE de tip și cu cerințele aplicabile ale prezentului regulament.</w:t>
      </w:r>
    </w:p>
    <w:p>
      <w:pPr>
        <w:pStyle w:val="ManualHeading2"/>
        <w:rPr>
          <w:noProof/>
        </w:rPr>
      </w:pPr>
      <w:bookmarkStart w:id="267" w:name="_Toc432153263"/>
      <w:r>
        <w:rPr>
          <w:noProof/>
        </w:rPr>
        <w:t>3.</w:t>
      </w:r>
      <w:r>
        <w:rPr>
          <w:noProof/>
        </w:rPr>
        <w:tab/>
        <w:t>Marcajul de conformitate și declarația de conformitate UE</w:t>
      </w:r>
      <w:bookmarkEnd w:id="267"/>
    </w:p>
    <w:p>
      <w:pPr>
        <w:pStyle w:val="ManualNumPar2"/>
        <w:rPr>
          <w:noProof/>
        </w:rPr>
      </w:pPr>
      <w:r>
        <w:rPr>
          <w:noProof/>
        </w:rPr>
        <w:t>3.1</w:t>
      </w:r>
      <w:r>
        <w:rPr>
          <w:noProof/>
        </w:rPr>
        <w:tab/>
        <w:t>Producătorul aplică marcajul CE pe fiecare produs fertilizant în parte care este conform tipului descris în certificatul de examinare UE de tip și care respectă cerințele aplicabile ale prezentului regulament.</w:t>
      </w:r>
    </w:p>
    <w:p>
      <w:pPr>
        <w:pStyle w:val="ManualNumPar2"/>
        <w:rPr>
          <w:noProof/>
        </w:rPr>
      </w:pPr>
      <w:r>
        <w:rPr>
          <w:noProof/>
        </w:rPr>
        <w:t>3.2</w:t>
      </w:r>
      <w:r>
        <w:rPr>
          <w:noProof/>
        </w:rPr>
        <w:tab/>
        <w:t>Producătorul întocmește o declarație de conformitate UE scrisă pentru fiecare lot de produse fertilizante cu marcaj CE și o păstrează la dispoziția autorităților naționale pe o perioadă de 10 ani după introducerea pe piață a produsului fertilizant cu marcaj CE. Declarația de conformitate UE identifică lotul de produse fertilizante cu marcaj CE pentru care a fost întocmită.</w:t>
      </w:r>
    </w:p>
    <w:p>
      <w:pPr>
        <w:pStyle w:val="ManualNumPar1"/>
        <w:rPr>
          <w:noProof/>
        </w:rPr>
      </w:pPr>
      <w:r>
        <w:rPr>
          <w:noProof/>
        </w:rPr>
        <w:t>3.3.</w:t>
      </w:r>
      <w:r>
        <w:rPr>
          <w:noProof/>
        </w:rPr>
        <w:tab/>
        <w:t>O copie a declarației de conformitate UE este pusă la dispoziția autorităților relevante, la cerere.</w:t>
      </w:r>
    </w:p>
    <w:p>
      <w:pPr>
        <w:pStyle w:val="ManualHeading2"/>
        <w:rPr>
          <w:noProof/>
        </w:rPr>
      </w:pPr>
      <w:bookmarkStart w:id="268" w:name="_Toc432153264"/>
      <w:r>
        <w:rPr>
          <w:noProof/>
        </w:rPr>
        <w:t>4.</w:t>
      </w:r>
      <w:r>
        <w:rPr>
          <w:noProof/>
        </w:rPr>
        <w:tab/>
        <w:t>Reprezentantul autorizat</w:t>
      </w:r>
      <w:bookmarkEnd w:id="268"/>
    </w:p>
    <w:p>
      <w:pPr>
        <w:pStyle w:val="ManualNumPar1"/>
        <w:rPr>
          <w:noProof/>
        </w:rPr>
      </w:pPr>
      <w:r>
        <w:rPr>
          <w:noProof/>
        </w:rPr>
        <w:t>4.</w:t>
      </w:r>
      <w:r>
        <w:rPr>
          <w:noProof/>
        </w:rPr>
        <w:tab/>
        <w:t xml:space="preserve">Obligațiile producătorului stabilite la punctul 3 pot fi îndeplinite de către reprezentantul său autorizat, în numele său și pe răspunderea sa, cu condiția ca acestea să fie menționate în mandat. </w:t>
      </w:r>
    </w:p>
    <w:p>
      <w:pPr>
        <w:pStyle w:val="ManualHeading1"/>
        <w:jc w:val="center"/>
        <w:rPr>
          <w:noProof/>
        </w:rPr>
      </w:pPr>
      <w:bookmarkStart w:id="269" w:name="_Toc432153265"/>
      <w:r>
        <w:rPr>
          <w:noProof/>
        </w:rPr>
        <w:t>Modulul D1: Asigurarea calității procesului de producție</w:t>
      </w:r>
      <w:bookmarkEnd w:id="269"/>
    </w:p>
    <w:p>
      <w:pPr>
        <w:pStyle w:val="ManualHeading2"/>
        <w:rPr>
          <w:noProof/>
        </w:rPr>
      </w:pPr>
      <w:bookmarkStart w:id="270" w:name="_Toc432153266"/>
      <w:r>
        <w:rPr>
          <w:noProof/>
        </w:rPr>
        <w:t>1.</w:t>
      </w:r>
      <w:r>
        <w:rPr>
          <w:noProof/>
        </w:rPr>
        <w:tab/>
        <w:t>Descrierea modulului</w:t>
      </w:r>
      <w:bookmarkEnd w:id="270"/>
    </w:p>
    <w:p>
      <w:pPr>
        <w:pStyle w:val="NumPar1"/>
        <w:numPr>
          <w:ilvl w:val="0"/>
          <w:numId w:val="134"/>
        </w:numPr>
        <w:rPr>
          <w:noProof/>
        </w:rPr>
      </w:pPr>
      <w:r>
        <w:rPr>
          <w:noProof/>
        </w:rPr>
        <w:t>Asigurarea calității procesului de producție este procedura de evaluare a conformității prin care producătorul produsului fertilizant cu marcaj CE își îndeplinește obligațiile prevăzute la punctele 2, 4 și 7, se asigură și declară pe răspunderea sa exclusivă că produsul fertilizant cu marcaj CE în cauză satisface cerințele prezentului regulament aplicabile produsului.</w:t>
      </w:r>
    </w:p>
    <w:p>
      <w:pPr>
        <w:pStyle w:val="ManualHeading2"/>
        <w:rPr>
          <w:noProof/>
        </w:rPr>
      </w:pPr>
      <w:bookmarkStart w:id="271" w:name="_Toc432153267"/>
      <w:r>
        <w:rPr>
          <w:noProof/>
        </w:rPr>
        <w:t>2.</w:t>
      </w:r>
      <w:r>
        <w:rPr>
          <w:noProof/>
        </w:rPr>
        <w:tab/>
        <w:t>Documentația tehnică</w:t>
      </w:r>
      <w:bookmarkEnd w:id="271"/>
    </w:p>
    <w:p>
      <w:pPr>
        <w:pStyle w:val="NumPar1"/>
        <w:keepNext/>
        <w:numPr>
          <w:ilvl w:val="0"/>
          <w:numId w:val="12"/>
        </w:numPr>
        <w:ind w:left="851" w:hanging="851"/>
        <w:rPr>
          <w:noProof/>
        </w:rPr>
      </w:pPr>
      <w:r>
        <w:rPr>
          <w:noProof/>
        </w:rPr>
        <w:t>Producătorul produsului fertilizant cu marcaj CE întocmește documentația tehnică. Documentația permite evaluarea produsului din punctul de vedere al conformității cu cerințele relevante și include o analiză adecvată și o evaluare a riscului (riscurilor). Documentația tehnică specifică cerințele aplicabile și vizează, în măsura în care acest lucru este relevant pentru evaluare, proiectarea, fabricarea și utilizarea produsului. Documentația tehnică cuprinde, unde este cazul, cel puțin următoarele elemente:</w:t>
      </w:r>
    </w:p>
    <w:p>
      <w:pPr>
        <w:pStyle w:val="Point1letter"/>
        <w:numPr>
          <w:ilvl w:val="3"/>
          <w:numId w:val="133"/>
        </w:numPr>
        <w:rPr>
          <w:noProof/>
        </w:rPr>
      </w:pPr>
      <w:r>
        <w:rPr>
          <w:noProof/>
        </w:rPr>
        <w:t>o descriere generală a produsului;</w:t>
      </w:r>
    </w:p>
    <w:p>
      <w:pPr>
        <w:pStyle w:val="Point1letter"/>
        <w:rPr>
          <w:noProof/>
        </w:rPr>
      </w:pPr>
      <w:r>
        <w:rPr>
          <w:noProof/>
        </w:rPr>
        <w:t>desene de concepție și execuție și scheme, inclusiv o descriere și o diagramă a procesului de producție, unde fiecare tratament, recipient de depozitare și zonă sunt identificate în mod clar,</w:t>
      </w:r>
    </w:p>
    <w:p>
      <w:pPr>
        <w:pStyle w:val="Point1letter"/>
        <w:rPr>
          <w:noProof/>
        </w:rPr>
      </w:pPr>
      <w:r>
        <w:rPr>
          <w:noProof/>
        </w:rPr>
        <w:t xml:space="preserve">descrieri și explicații necesare pentru înțelegerea acelor desene și scheme și a utilizării produsului fertilizant cu marcaj CE; </w:t>
      </w:r>
    </w:p>
    <w:p>
      <w:pPr>
        <w:pStyle w:val="Point1letter"/>
        <w:rPr>
          <w:noProof/>
        </w:rPr>
      </w:pPr>
      <w:r>
        <w:rPr>
          <w:noProof/>
        </w:rPr>
        <w:t xml:space="preserve">lista standardelor armonizate aplicate integral sau parțial ale căror referințe au fost publicate în </w:t>
      </w:r>
      <w:r>
        <w:rPr>
          <w:i/>
          <w:noProof/>
        </w:rPr>
        <w:t>Jurnalul Oficial al Uniunii Europene</w:t>
      </w:r>
      <w:r>
        <w:rPr>
          <w:noProof/>
        </w:rPr>
        <w:t>, iar în cazurile în care aceste standarde armonizate nu au fost aplicate, descrierile soluțiilor adoptate pentru a satisface cerințele din prezentul regulament, inclusiv o listă a specificațiilor comune sau a altor specificații tehnice relevante aplicate. În eventualitatea unor standarde armonizate aplicate parțial, documentația tehnică precizează care au fost părțile care aplicate;</w:t>
      </w:r>
    </w:p>
    <w:p>
      <w:pPr>
        <w:pStyle w:val="Point1letter"/>
        <w:rPr>
          <w:noProof/>
        </w:rPr>
      </w:pPr>
      <w:r>
        <w:rPr>
          <w:noProof/>
        </w:rPr>
        <w:t>rezultatele calculelor de proiectare, ale examinărilor efectuate etc.;</w:t>
      </w:r>
    </w:p>
    <w:p>
      <w:pPr>
        <w:pStyle w:val="Point1letter"/>
        <w:rPr>
          <w:noProof/>
        </w:rPr>
      </w:pPr>
      <w:r>
        <w:rPr>
          <w:noProof/>
        </w:rPr>
        <w:t>rapoartele de testare și</w:t>
      </w:r>
    </w:p>
    <w:p>
      <w:pPr>
        <w:pStyle w:val="Point1letter"/>
        <w:rPr>
          <w:noProof/>
        </w:rPr>
      </w:pPr>
      <w:r>
        <w:rPr>
          <w:noProof/>
        </w:rPr>
        <w:t>în cazul în care produsul conține sau constă din subproduse de origine animală în sensul definiției din Regulamentul (CE) nr. 1069/2009, documentele comerciale sau certificatele de sănătate animală necesare în conformitate cu regulamentul în cauză, precum și dovada că subprodusele de origine animală au ajuns în punctul final al lanțului de prelucrare în sensul respectivului regulament.</w:t>
      </w:r>
    </w:p>
    <w:p>
      <w:pPr>
        <w:pStyle w:val="ManualHeading2"/>
        <w:rPr>
          <w:noProof/>
        </w:rPr>
      </w:pPr>
      <w:bookmarkStart w:id="272" w:name="_Toc432153268"/>
      <w:r>
        <w:rPr>
          <w:noProof/>
        </w:rPr>
        <w:t>3.</w:t>
      </w:r>
      <w:r>
        <w:rPr>
          <w:noProof/>
        </w:rPr>
        <w:tab/>
        <w:t>Disponibilitatea documentației tehnice</w:t>
      </w:r>
      <w:bookmarkEnd w:id="272"/>
    </w:p>
    <w:p>
      <w:pPr>
        <w:pStyle w:val="NumPar1"/>
        <w:numPr>
          <w:ilvl w:val="0"/>
          <w:numId w:val="12"/>
        </w:numPr>
        <w:rPr>
          <w:noProof/>
        </w:rPr>
      </w:pPr>
      <w:r>
        <w:rPr>
          <w:noProof/>
        </w:rPr>
        <w:t>Producătorul menține documentația tehnică la dispoziția autorităților naționale relevante pe o perioadă de 10 ani după introducerea pe piață a produsului fertilizant cu marcaj CE.</w:t>
      </w:r>
    </w:p>
    <w:p>
      <w:pPr>
        <w:pStyle w:val="ManualHeading2"/>
        <w:rPr>
          <w:noProof/>
        </w:rPr>
      </w:pPr>
      <w:bookmarkStart w:id="273" w:name="_Toc432153269"/>
      <w:r>
        <w:rPr>
          <w:noProof/>
        </w:rPr>
        <w:t>4.</w:t>
      </w:r>
      <w:r>
        <w:rPr>
          <w:noProof/>
        </w:rPr>
        <w:tab/>
        <w:t>Fabricația</w:t>
      </w:r>
      <w:bookmarkEnd w:id="273"/>
    </w:p>
    <w:p>
      <w:pPr>
        <w:pStyle w:val="NumPar1"/>
        <w:numPr>
          <w:ilvl w:val="0"/>
          <w:numId w:val="20"/>
        </w:numPr>
        <w:rPr>
          <w:noProof/>
        </w:rPr>
      </w:pPr>
      <w:r>
        <w:rPr>
          <w:noProof/>
        </w:rPr>
        <w:t xml:space="preserve">Producătorul utilizează un sistem de calitate certificat pentru producție, inspecția produsului finit și testarea produselor în cauză, așa cum se prevede la punctul 5, și este supus supravegherii, astfel cum se menționează la punctul 6. </w:t>
      </w:r>
    </w:p>
    <w:p>
      <w:pPr>
        <w:pStyle w:val="ManualHeading2"/>
        <w:rPr>
          <w:noProof/>
        </w:rPr>
      </w:pPr>
      <w:bookmarkStart w:id="274" w:name="_Toc432153270"/>
      <w:r>
        <w:rPr>
          <w:noProof/>
        </w:rPr>
        <w:t>5.</w:t>
      </w:r>
      <w:r>
        <w:rPr>
          <w:noProof/>
        </w:rPr>
        <w:tab/>
        <w:t>Sistemul de calitate</w:t>
      </w:r>
      <w:bookmarkEnd w:id="274"/>
    </w:p>
    <w:p>
      <w:pPr>
        <w:pStyle w:val="ManualNumPar2"/>
        <w:rPr>
          <w:noProof/>
        </w:rPr>
      </w:pPr>
      <w:r>
        <w:rPr>
          <w:noProof/>
        </w:rPr>
        <w:t>5.1.</w:t>
      </w:r>
      <w:r>
        <w:rPr>
          <w:noProof/>
        </w:rPr>
        <w:tab/>
        <w:t xml:space="preserve">Producătorul trebuie să implementeze un sistem de calitate care asigură respectarea de către produsele fertilizante cu marcaj CE a cerințelor din prezentul regulament care se aplică în cazul lor. </w:t>
      </w:r>
    </w:p>
    <w:p>
      <w:pPr>
        <w:pStyle w:val="ManualNumPar2"/>
        <w:rPr>
          <w:noProof/>
        </w:rPr>
      </w:pPr>
      <w:r>
        <w:rPr>
          <w:noProof/>
        </w:rPr>
        <w:t>5.1.1.</w:t>
      </w:r>
      <w:r>
        <w:rPr>
          <w:noProof/>
        </w:rPr>
        <w:tab/>
        <w:t xml:space="preserve">Sistemul de calitate trebuie să includă obiective privind calitatea și o structură organizatorică, cu responsabilitățile și atribuțiile conducerii cu privire la calitatea produsului. </w:t>
      </w:r>
    </w:p>
    <w:p>
      <w:pPr>
        <w:pStyle w:val="ManualNumPar2"/>
        <w:keepNext/>
        <w:ind w:left="851" w:hanging="851"/>
        <w:rPr>
          <w:noProof/>
        </w:rPr>
      </w:pPr>
      <w:r>
        <w:rPr>
          <w:noProof/>
        </w:rPr>
        <w:t>5.1.1.1</w:t>
      </w:r>
      <w:r>
        <w:rPr>
          <w:noProof/>
        </w:rPr>
        <w:tab/>
        <w:t>În ceea ce privește compostul care face parte din categoria de materii componente (CMC) 3 și digestatul care face parte din CMC 5, astfel cum sunt definite în anexa II, personalul cu funcții superioare de conducere din cadrul organizației producătorului trebuie:</w:t>
      </w:r>
    </w:p>
    <w:p>
      <w:pPr>
        <w:pStyle w:val="Point1letter"/>
        <w:numPr>
          <w:ilvl w:val="3"/>
          <w:numId w:val="135"/>
        </w:numPr>
        <w:rPr>
          <w:noProof/>
        </w:rPr>
      </w:pPr>
      <w:r>
        <w:rPr>
          <w:noProof/>
        </w:rPr>
        <w:t>să se asigure că există suficiente resurse (personal, infrastructură, echipamente) disponibile pentru crearea și punerea în aplicare a sistemului de asigurare a calității;</w:t>
      </w:r>
    </w:p>
    <w:p>
      <w:pPr>
        <w:pStyle w:val="Point1letter"/>
        <w:keepNext/>
        <w:ind w:left="1418"/>
        <w:rPr>
          <w:noProof/>
        </w:rPr>
      </w:pPr>
      <w:r>
        <w:rPr>
          <w:noProof/>
        </w:rPr>
        <w:t>să desemneze un membru al conducerii organizației care răspunde de:</w:t>
      </w:r>
    </w:p>
    <w:p>
      <w:pPr>
        <w:pStyle w:val="Bullet2"/>
        <w:rPr>
          <w:noProof/>
        </w:rPr>
      </w:pPr>
      <w:r>
        <w:rPr>
          <w:noProof/>
        </w:rPr>
        <w:t>asigurarea faptului că sunt instituite, aprobate, implementate și menținute procese de management al calității;</w:t>
      </w:r>
    </w:p>
    <w:p>
      <w:pPr>
        <w:pStyle w:val="Bullet2"/>
        <w:rPr>
          <w:noProof/>
        </w:rPr>
      </w:pPr>
      <w:r>
        <w:rPr>
          <w:noProof/>
        </w:rPr>
        <w:t>raportarea către conducerea superioară a producătorului privind performanța gestionării calității și eventuala necesitate de îmbunătățire a acesteia;</w:t>
      </w:r>
    </w:p>
    <w:p>
      <w:pPr>
        <w:pStyle w:val="Bullet2"/>
        <w:rPr>
          <w:noProof/>
        </w:rPr>
      </w:pPr>
      <w:r>
        <w:rPr>
          <w:noProof/>
        </w:rPr>
        <w:t>asigurarea promovării conștientizării nevoilor clienților și a cerințelor legale în cadrul organizației producătorului și sensibilizarea personalului cu privire la relevanța și importanța cerințelor privind controlul calității pentru a satisface cerințele legale prevăzute de prezentul regulament;</w:t>
      </w:r>
    </w:p>
    <w:p>
      <w:pPr>
        <w:pStyle w:val="Bullet2"/>
        <w:rPr>
          <w:noProof/>
        </w:rPr>
      </w:pPr>
      <w:r>
        <w:rPr>
          <w:noProof/>
        </w:rPr>
        <w:t>asigurarea faptului că fiecare persoană ale cărei atribuții afectează calitatea produsului este suficient de formată și instruită și</w:t>
      </w:r>
    </w:p>
    <w:p>
      <w:pPr>
        <w:pStyle w:val="Bullet2"/>
        <w:rPr>
          <w:noProof/>
        </w:rPr>
      </w:pPr>
      <w:r>
        <w:rPr>
          <w:noProof/>
        </w:rPr>
        <w:t>asigurarea clasificării documentelor de management al calității menționate la punctul 5.1.4. de mai jos;</w:t>
      </w:r>
    </w:p>
    <w:p>
      <w:pPr>
        <w:pStyle w:val="Point1letter"/>
        <w:rPr>
          <w:noProof/>
        </w:rPr>
      </w:pPr>
      <w:r>
        <w:rPr>
          <w:noProof/>
        </w:rPr>
        <w:t>să efectueze un audit intern în fiecare an sau mai devreme decât era programat, dacă acest lucru este necesar din cauza oricărei schimbări semnificative care ar putea afecta calitatea produselor fertilizante cu marcaj CE și</w:t>
      </w:r>
    </w:p>
    <w:p>
      <w:pPr>
        <w:pStyle w:val="Point1letter"/>
        <w:rPr>
          <w:noProof/>
        </w:rPr>
      </w:pPr>
      <w:r>
        <w:rPr>
          <w:noProof/>
        </w:rPr>
        <w:t>să se asigure că sunt stabilite proceduri de comunicare adecvate, în interiorul și în exteriorul organizației, și că există comunicare în ceea ce privește eficacitatea sistemului de gestionare a calității.</w:t>
      </w:r>
    </w:p>
    <w:p>
      <w:pPr>
        <w:pStyle w:val="ManualNumPar1"/>
        <w:rPr>
          <w:noProof/>
        </w:rPr>
      </w:pPr>
      <w:r>
        <w:rPr>
          <w:noProof/>
        </w:rPr>
        <w:t>5.1.2.</w:t>
      </w:r>
      <w:r>
        <w:rPr>
          <w:noProof/>
        </w:rPr>
        <w:tab/>
        <w:t xml:space="preserve">Sistemul de calitate trebuie să fie pus în aplicare prin procesul de fabricare, controlul calității și asigurarea calității, prin procese și acțiuni sistematice. </w:t>
      </w:r>
    </w:p>
    <w:p>
      <w:pPr>
        <w:pStyle w:val="ManualNumPar1"/>
        <w:rPr>
          <w:noProof/>
        </w:rPr>
      </w:pPr>
      <w:r>
        <w:rPr>
          <w:noProof/>
        </w:rPr>
        <w:t>5.1.2.1</w:t>
      </w:r>
      <w:r>
        <w:rPr>
          <w:noProof/>
        </w:rPr>
        <w:tab/>
        <w:t xml:space="preserve">În ceea ce privește compostul care face parte din categoria de materii componente (CMC) 3 și digestatul care face parte din CMC 5, astfel cum sunt definite în anexa II, sistemul trebuie să asigure respectarea criteriilor aplicabile procesului de digestie și compostare prevăzute în anexa respectivă. </w:t>
      </w:r>
    </w:p>
    <w:p>
      <w:pPr>
        <w:pStyle w:val="ManualNumPar1"/>
        <w:rPr>
          <w:noProof/>
        </w:rPr>
      </w:pPr>
      <w:r>
        <w:rPr>
          <w:noProof/>
        </w:rPr>
        <w:t>5.1.3.</w:t>
      </w:r>
      <w:r>
        <w:rPr>
          <w:noProof/>
        </w:rPr>
        <w:tab/>
        <w:t xml:space="preserve">Sistemul de calitate cuprinde examinările și testele care urmează să fie efectuate înainte, în timpul și după fabricație, cu o frecvență determinată. </w:t>
      </w:r>
    </w:p>
    <w:p>
      <w:pPr>
        <w:pStyle w:val="ManualNumPar1"/>
        <w:keepNext/>
        <w:rPr>
          <w:noProof/>
        </w:rPr>
      </w:pPr>
      <w:r>
        <w:rPr>
          <w:noProof/>
        </w:rPr>
        <w:t>5.1.3.1</w:t>
      </w:r>
      <w:r>
        <w:rPr>
          <w:noProof/>
        </w:rPr>
        <w:tab/>
        <w:t>În ceea ce privește compostul care face parte din CMC 3 și digestatul care face parte din CMC 5, astfel cum sunt definite în anexa II, examinările și testele trebuie să cuprindă următoarele elemente:</w:t>
      </w:r>
    </w:p>
    <w:p>
      <w:pPr>
        <w:pStyle w:val="Point1letter"/>
        <w:keepNext/>
        <w:numPr>
          <w:ilvl w:val="3"/>
          <w:numId w:val="136"/>
        </w:numPr>
        <w:rPr>
          <w:noProof/>
        </w:rPr>
      </w:pPr>
      <w:r>
        <w:rPr>
          <w:noProof/>
        </w:rPr>
        <w:t>se înregistrează următoarele informații pentru fiecare lot de materii prime:</w:t>
      </w:r>
    </w:p>
    <w:p>
      <w:pPr>
        <w:pStyle w:val="Point2number"/>
        <w:rPr>
          <w:noProof/>
        </w:rPr>
      </w:pPr>
      <w:r>
        <w:rPr>
          <w:noProof/>
        </w:rPr>
        <w:t>data livrării;</w:t>
      </w:r>
    </w:p>
    <w:p>
      <w:pPr>
        <w:pStyle w:val="Point2number"/>
        <w:rPr>
          <w:noProof/>
        </w:rPr>
      </w:pPr>
      <w:r>
        <w:rPr>
          <w:noProof/>
        </w:rPr>
        <w:t>cantitatea (în greutate sau o estimare bazată pe volum și densitate);</w:t>
      </w:r>
    </w:p>
    <w:p>
      <w:pPr>
        <w:pStyle w:val="Point2number"/>
        <w:rPr>
          <w:noProof/>
        </w:rPr>
      </w:pPr>
      <w:r>
        <w:rPr>
          <w:noProof/>
        </w:rPr>
        <w:t>identitatea furnizorilor de materii prime;</w:t>
      </w:r>
    </w:p>
    <w:p>
      <w:pPr>
        <w:pStyle w:val="Point2number"/>
        <w:rPr>
          <w:noProof/>
        </w:rPr>
      </w:pPr>
      <w:r>
        <w:rPr>
          <w:noProof/>
        </w:rPr>
        <w:t xml:space="preserve">tipul de materie care intră în procesul de producție; </w:t>
      </w:r>
    </w:p>
    <w:p>
      <w:pPr>
        <w:pStyle w:val="Point2number"/>
        <w:rPr>
          <w:noProof/>
        </w:rPr>
      </w:pPr>
      <w:r>
        <w:rPr>
          <w:noProof/>
        </w:rPr>
        <w:t>identificarea fiecărui lot și locul de livrare la unitatea de producție. Un cod unic de identificare trebuie atribuit pe parcursul întregului proces de producție pentru scopuri de gestionare a calității și</w:t>
      </w:r>
    </w:p>
    <w:p>
      <w:pPr>
        <w:pStyle w:val="Point2number"/>
        <w:rPr>
          <w:noProof/>
        </w:rPr>
      </w:pPr>
      <w:r>
        <w:rPr>
          <w:noProof/>
        </w:rPr>
        <w:t>în caz de refuz, motivele respingerii lotului și unde a fost trimis lotul.</w:t>
      </w:r>
    </w:p>
    <w:p>
      <w:pPr>
        <w:pStyle w:val="Point1letter"/>
        <w:rPr>
          <w:noProof/>
        </w:rPr>
      </w:pPr>
      <w:r>
        <w:rPr>
          <w:noProof/>
        </w:rPr>
        <w:t>Personalul calificat trebuie să efectueze o inspecție vizuală a fiecărui transport de materii prime și să verifice compatibilitatea cu specificațiile privind materiile prime din CMC 3 și CMC 5 din anexa II.</w:t>
      </w:r>
    </w:p>
    <w:p>
      <w:pPr>
        <w:pStyle w:val="Point1letter"/>
        <w:keepNext/>
        <w:ind w:left="1418"/>
        <w:rPr>
          <w:noProof/>
        </w:rPr>
      </w:pPr>
      <w:r>
        <w:rPr>
          <w:noProof/>
        </w:rPr>
        <w:t xml:space="preserve">Producătorul trebuie să refuze orice transport de orice materii care intră în procesul de producție dacă, în urma inspecției vizuale, există suspiciuni cu privire la: </w:t>
      </w:r>
    </w:p>
    <w:p>
      <w:pPr>
        <w:pStyle w:val="Bullet2"/>
        <w:rPr>
          <w:noProof/>
        </w:rPr>
      </w:pPr>
      <w:r>
        <w:rPr>
          <w:noProof/>
        </w:rPr>
        <w:t xml:space="preserve">prezența unor substanțe nocive sau periculoase pentru procesul de digestie sau compostare sau pentru calitatea produsului fertilizant cu marcaj CE final sau </w:t>
      </w:r>
    </w:p>
    <w:p>
      <w:pPr>
        <w:pStyle w:val="Bullet2"/>
        <w:rPr>
          <w:noProof/>
        </w:rPr>
      </w:pPr>
      <w:r>
        <w:rPr>
          <w:noProof/>
        </w:rPr>
        <w:t>incompatibilitatea cu specificațiile CMC 3 și CMC 5 din anexa II, în special prin prezența unor materiale plastice care duce la depășirea valorii-limită pentru impuritățile macroscopice.</w:t>
      </w:r>
    </w:p>
    <w:p>
      <w:pPr>
        <w:pStyle w:val="Point1letter"/>
        <w:keepNext/>
        <w:ind w:left="1418"/>
        <w:rPr>
          <w:noProof/>
        </w:rPr>
      </w:pPr>
      <w:r>
        <w:rPr>
          <w:noProof/>
        </w:rPr>
        <w:t xml:space="preserve">Personalul trebuie să fie instruit cu privire la: </w:t>
      </w:r>
    </w:p>
    <w:p>
      <w:pPr>
        <w:pStyle w:val="Bullet2"/>
        <w:rPr>
          <w:noProof/>
        </w:rPr>
      </w:pPr>
      <w:r>
        <w:rPr>
          <w:noProof/>
        </w:rPr>
        <w:t xml:space="preserve">potențialele proprietăți periculoase care pot fi asociate cu materiile care intră în procesul de producție și </w:t>
      </w:r>
    </w:p>
    <w:p>
      <w:pPr>
        <w:pStyle w:val="Bullet2"/>
        <w:rPr>
          <w:noProof/>
        </w:rPr>
      </w:pPr>
      <w:r>
        <w:rPr>
          <w:noProof/>
        </w:rPr>
        <w:t>caracteristicile care permit recunoașterea proprietăților periculoase și a prezenței materialelor plastice.</w:t>
      </w:r>
    </w:p>
    <w:p>
      <w:pPr>
        <w:pStyle w:val="Point1letter"/>
        <w:rPr>
          <w:noProof/>
        </w:rPr>
      </w:pPr>
      <w:r>
        <w:rPr>
          <w:noProof/>
        </w:rPr>
        <w:t>Trebuie prelevate eșantioane din materiile care rezultă din procesul de producție, pentru a se verifica dacă acestea respectă specificațiile materiei componente pentru compost și digestat prevăzute la CMC 3 și CMC 5 din anexa II și dacă proprietățile materiilor care rezultă din procesul de producție nu pun în pericol produsul fertilizant cu marcaj CE din punctul de vedere al conformității cu cerințele relevante din anexa I.</w:t>
      </w:r>
    </w:p>
    <w:p>
      <w:pPr>
        <w:pStyle w:val="Point1letter"/>
        <w:keepNext/>
        <w:ind w:left="1418"/>
        <w:rPr>
          <w:noProof/>
        </w:rPr>
      </w:pPr>
      <w:r>
        <w:rPr>
          <w:noProof/>
        </w:rPr>
        <w:t>Eșantioanele din materiile care rezultă din procesul de producție sunt prelevate cel puțin la următoarele intervale: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935"/>
      </w:tblGrid>
      <w:tr>
        <w:tc>
          <w:tcPr>
            <w:tcW w:w="4111" w:type="dxa"/>
            <w:shd w:val="clear" w:color="auto" w:fill="auto"/>
          </w:tcPr>
          <w:p>
            <w:pPr>
              <w:keepNext/>
              <w:spacing w:before="0" w:after="200" w:line="276" w:lineRule="auto"/>
              <w:jc w:val="center"/>
              <w:rPr>
                <w:rFonts w:eastAsia="Calibri"/>
                <w:b/>
                <w:noProof/>
                <w:sz w:val="20"/>
                <w:szCs w:val="20"/>
              </w:rPr>
            </w:pPr>
            <w:r>
              <w:rPr>
                <w:b/>
                <w:noProof/>
                <w:sz w:val="20"/>
              </w:rPr>
              <w:t>Intrări anuale</w:t>
            </w:r>
            <w:r>
              <w:rPr>
                <w:rFonts w:eastAsia="Calibri"/>
                <w:b/>
                <w:noProof/>
                <w:sz w:val="20"/>
                <w:szCs w:val="20"/>
              </w:rPr>
              <w:br/>
            </w:r>
            <w:r>
              <w:rPr>
                <w:b/>
                <w:noProof/>
                <w:sz w:val="20"/>
              </w:rPr>
              <w:t>(tone)</w:t>
            </w:r>
          </w:p>
        </w:tc>
        <w:tc>
          <w:tcPr>
            <w:tcW w:w="3935" w:type="dxa"/>
            <w:shd w:val="clear" w:color="auto" w:fill="auto"/>
          </w:tcPr>
          <w:p>
            <w:pPr>
              <w:keepNext/>
              <w:spacing w:before="0" w:after="200" w:line="276" w:lineRule="auto"/>
              <w:jc w:val="center"/>
              <w:rPr>
                <w:rFonts w:eastAsia="Calibri"/>
                <w:b/>
                <w:noProof/>
                <w:sz w:val="20"/>
                <w:szCs w:val="20"/>
              </w:rPr>
            </w:pPr>
            <w:r>
              <w:rPr>
                <w:b/>
                <w:noProof/>
                <w:sz w:val="20"/>
              </w:rPr>
              <w:t>Eșantioane/an</w:t>
            </w:r>
          </w:p>
        </w:tc>
      </w:tr>
      <w:tr>
        <w:tc>
          <w:tcPr>
            <w:tcW w:w="4111" w:type="dxa"/>
            <w:shd w:val="clear" w:color="auto" w:fill="auto"/>
          </w:tcPr>
          <w:p>
            <w:pPr>
              <w:spacing w:before="0" w:after="200" w:line="276" w:lineRule="auto"/>
              <w:jc w:val="center"/>
              <w:rPr>
                <w:rFonts w:eastAsia="Calibri"/>
                <w:noProof/>
                <w:sz w:val="20"/>
                <w:szCs w:val="20"/>
              </w:rPr>
            </w:pPr>
            <w:r>
              <w:rPr>
                <w:noProof/>
                <w:sz w:val="20"/>
              </w:rPr>
              <w:t>≤ 3000</w:t>
            </w:r>
          </w:p>
        </w:tc>
        <w:tc>
          <w:tcPr>
            <w:tcW w:w="3935" w:type="dxa"/>
            <w:shd w:val="clear" w:color="auto" w:fill="auto"/>
          </w:tcPr>
          <w:p>
            <w:pPr>
              <w:spacing w:before="0" w:after="200" w:line="276" w:lineRule="auto"/>
              <w:jc w:val="center"/>
              <w:rPr>
                <w:rFonts w:eastAsia="Calibri"/>
                <w:noProof/>
                <w:sz w:val="20"/>
                <w:szCs w:val="20"/>
              </w:rPr>
            </w:pPr>
            <w:r>
              <w:rPr>
                <w:noProof/>
                <w:sz w:val="20"/>
              </w:rPr>
              <w:t>1</w:t>
            </w:r>
          </w:p>
        </w:tc>
      </w:tr>
      <w:tr>
        <w:tc>
          <w:tcPr>
            <w:tcW w:w="4111" w:type="dxa"/>
            <w:shd w:val="clear" w:color="auto" w:fill="auto"/>
          </w:tcPr>
          <w:p>
            <w:pPr>
              <w:spacing w:before="0" w:after="200" w:line="276" w:lineRule="auto"/>
              <w:jc w:val="center"/>
              <w:rPr>
                <w:rFonts w:eastAsia="Calibri"/>
                <w:noProof/>
                <w:sz w:val="20"/>
                <w:szCs w:val="20"/>
              </w:rPr>
            </w:pPr>
            <w:r>
              <w:rPr>
                <w:noProof/>
                <w:sz w:val="20"/>
              </w:rPr>
              <w:t>3001 – 10000</w:t>
            </w:r>
          </w:p>
        </w:tc>
        <w:tc>
          <w:tcPr>
            <w:tcW w:w="3935" w:type="dxa"/>
            <w:shd w:val="clear" w:color="auto" w:fill="auto"/>
          </w:tcPr>
          <w:p>
            <w:pPr>
              <w:spacing w:before="0" w:after="200" w:line="276" w:lineRule="auto"/>
              <w:jc w:val="center"/>
              <w:rPr>
                <w:rFonts w:eastAsia="Calibri"/>
                <w:noProof/>
                <w:sz w:val="20"/>
                <w:szCs w:val="20"/>
              </w:rPr>
            </w:pPr>
            <w:r>
              <w:rPr>
                <w:noProof/>
                <w:sz w:val="20"/>
              </w:rPr>
              <w:t>2</w:t>
            </w:r>
          </w:p>
        </w:tc>
      </w:tr>
      <w:tr>
        <w:tc>
          <w:tcPr>
            <w:tcW w:w="4111" w:type="dxa"/>
            <w:shd w:val="clear" w:color="auto" w:fill="auto"/>
          </w:tcPr>
          <w:p>
            <w:pPr>
              <w:spacing w:before="0" w:after="200" w:line="276" w:lineRule="auto"/>
              <w:jc w:val="center"/>
              <w:rPr>
                <w:rFonts w:eastAsia="Calibri"/>
                <w:noProof/>
                <w:sz w:val="20"/>
                <w:szCs w:val="20"/>
              </w:rPr>
            </w:pPr>
            <w:r>
              <w:rPr>
                <w:noProof/>
                <w:sz w:val="20"/>
              </w:rPr>
              <w:t>10001 – 20000</w:t>
            </w:r>
          </w:p>
        </w:tc>
        <w:tc>
          <w:tcPr>
            <w:tcW w:w="3935" w:type="dxa"/>
            <w:shd w:val="clear" w:color="auto" w:fill="auto"/>
          </w:tcPr>
          <w:p>
            <w:pPr>
              <w:spacing w:before="0" w:after="200" w:line="276" w:lineRule="auto"/>
              <w:jc w:val="center"/>
              <w:rPr>
                <w:rFonts w:eastAsia="Calibri"/>
                <w:noProof/>
                <w:sz w:val="20"/>
                <w:szCs w:val="20"/>
              </w:rPr>
            </w:pPr>
            <w:r>
              <w:rPr>
                <w:noProof/>
                <w:sz w:val="20"/>
              </w:rPr>
              <w:t>3</w:t>
            </w:r>
          </w:p>
        </w:tc>
      </w:tr>
      <w:tr>
        <w:tc>
          <w:tcPr>
            <w:tcW w:w="4111" w:type="dxa"/>
            <w:shd w:val="clear" w:color="auto" w:fill="auto"/>
          </w:tcPr>
          <w:p>
            <w:pPr>
              <w:spacing w:before="0" w:after="200" w:line="276" w:lineRule="auto"/>
              <w:jc w:val="center"/>
              <w:rPr>
                <w:rFonts w:eastAsia="Calibri"/>
                <w:noProof/>
                <w:sz w:val="20"/>
                <w:szCs w:val="20"/>
              </w:rPr>
            </w:pPr>
            <w:r>
              <w:rPr>
                <w:noProof/>
                <w:sz w:val="20"/>
              </w:rPr>
              <w:t>20001 – 40000</w:t>
            </w:r>
          </w:p>
        </w:tc>
        <w:tc>
          <w:tcPr>
            <w:tcW w:w="3935" w:type="dxa"/>
            <w:shd w:val="clear" w:color="auto" w:fill="auto"/>
          </w:tcPr>
          <w:p>
            <w:pPr>
              <w:spacing w:before="0" w:after="200" w:line="276" w:lineRule="auto"/>
              <w:jc w:val="center"/>
              <w:rPr>
                <w:rFonts w:eastAsia="Calibri"/>
                <w:noProof/>
                <w:sz w:val="20"/>
                <w:szCs w:val="20"/>
              </w:rPr>
            </w:pPr>
            <w:r>
              <w:rPr>
                <w:noProof/>
                <w:sz w:val="20"/>
              </w:rPr>
              <w:t>4</w:t>
            </w:r>
          </w:p>
        </w:tc>
      </w:tr>
      <w:tr>
        <w:tc>
          <w:tcPr>
            <w:tcW w:w="4111" w:type="dxa"/>
            <w:shd w:val="clear" w:color="auto" w:fill="auto"/>
          </w:tcPr>
          <w:p>
            <w:pPr>
              <w:spacing w:before="0" w:after="200" w:line="276" w:lineRule="auto"/>
              <w:jc w:val="center"/>
              <w:rPr>
                <w:rFonts w:eastAsia="Calibri"/>
                <w:noProof/>
                <w:sz w:val="20"/>
                <w:szCs w:val="20"/>
              </w:rPr>
            </w:pPr>
            <w:r>
              <w:rPr>
                <w:noProof/>
                <w:sz w:val="20"/>
              </w:rPr>
              <w:t>40001 – 60000</w:t>
            </w:r>
          </w:p>
        </w:tc>
        <w:tc>
          <w:tcPr>
            <w:tcW w:w="3935" w:type="dxa"/>
            <w:shd w:val="clear" w:color="auto" w:fill="auto"/>
          </w:tcPr>
          <w:p>
            <w:pPr>
              <w:spacing w:before="0" w:after="200" w:line="276" w:lineRule="auto"/>
              <w:jc w:val="center"/>
              <w:rPr>
                <w:rFonts w:eastAsia="Calibri"/>
                <w:noProof/>
                <w:sz w:val="20"/>
                <w:szCs w:val="20"/>
              </w:rPr>
            </w:pPr>
            <w:r>
              <w:rPr>
                <w:noProof/>
                <w:sz w:val="20"/>
              </w:rPr>
              <w:t>5</w:t>
            </w:r>
          </w:p>
        </w:tc>
      </w:tr>
      <w:tr>
        <w:tc>
          <w:tcPr>
            <w:tcW w:w="4111" w:type="dxa"/>
            <w:shd w:val="clear" w:color="auto" w:fill="auto"/>
          </w:tcPr>
          <w:p>
            <w:pPr>
              <w:spacing w:before="0" w:after="200" w:line="276" w:lineRule="auto"/>
              <w:jc w:val="center"/>
              <w:rPr>
                <w:rFonts w:eastAsia="Calibri"/>
                <w:noProof/>
                <w:sz w:val="20"/>
                <w:szCs w:val="20"/>
              </w:rPr>
            </w:pPr>
            <w:r>
              <w:rPr>
                <w:noProof/>
                <w:sz w:val="20"/>
              </w:rPr>
              <w:t>60001 – 80000</w:t>
            </w:r>
          </w:p>
        </w:tc>
        <w:tc>
          <w:tcPr>
            <w:tcW w:w="3935" w:type="dxa"/>
            <w:shd w:val="clear" w:color="auto" w:fill="auto"/>
          </w:tcPr>
          <w:p>
            <w:pPr>
              <w:spacing w:before="0" w:after="200" w:line="276" w:lineRule="auto"/>
              <w:jc w:val="center"/>
              <w:rPr>
                <w:rFonts w:eastAsia="Calibri"/>
                <w:noProof/>
                <w:sz w:val="20"/>
                <w:szCs w:val="20"/>
              </w:rPr>
            </w:pPr>
            <w:r>
              <w:rPr>
                <w:noProof/>
                <w:sz w:val="20"/>
              </w:rPr>
              <w:t>6</w:t>
            </w:r>
          </w:p>
        </w:tc>
      </w:tr>
      <w:tr>
        <w:tc>
          <w:tcPr>
            <w:tcW w:w="4111" w:type="dxa"/>
            <w:shd w:val="clear" w:color="auto" w:fill="auto"/>
          </w:tcPr>
          <w:p>
            <w:pPr>
              <w:spacing w:before="0" w:after="200" w:line="276" w:lineRule="auto"/>
              <w:jc w:val="center"/>
              <w:rPr>
                <w:rFonts w:eastAsia="Calibri"/>
                <w:noProof/>
                <w:sz w:val="20"/>
                <w:szCs w:val="20"/>
              </w:rPr>
            </w:pPr>
            <w:r>
              <w:rPr>
                <w:noProof/>
                <w:sz w:val="20"/>
              </w:rPr>
              <w:t>80001 – 100000</w:t>
            </w:r>
          </w:p>
        </w:tc>
        <w:tc>
          <w:tcPr>
            <w:tcW w:w="3935" w:type="dxa"/>
            <w:shd w:val="clear" w:color="auto" w:fill="auto"/>
          </w:tcPr>
          <w:p>
            <w:pPr>
              <w:spacing w:before="0" w:after="200" w:line="276" w:lineRule="auto"/>
              <w:jc w:val="center"/>
              <w:rPr>
                <w:rFonts w:eastAsia="Calibri"/>
                <w:noProof/>
                <w:sz w:val="20"/>
                <w:szCs w:val="20"/>
              </w:rPr>
            </w:pPr>
            <w:r>
              <w:rPr>
                <w:noProof/>
                <w:sz w:val="20"/>
              </w:rPr>
              <w:t>7</w:t>
            </w:r>
          </w:p>
        </w:tc>
      </w:tr>
      <w:tr>
        <w:tc>
          <w:tcPr>
            <w:tcW w:w="4111" w:type="dxa"/>
            <w:shd w:val="clear" w:color="auto" w:fill="auto"/>
          </w:tcPr>
          <w:p>
            <w:pPr>
              <w:spacing w:before="0" w:after="200" w:line="276" w:lineRule="auto"/>
              <w:jc w:val="center"/>
              <w:rPr>
                <w:rFonts w:eastAsia="Calibri"/>
                <w:noProof/>
                <w:sz w:val="20"/>
                <w:szCs w:val="20"/>
              </w:rPr>
            </w:pPr>
            <w:r>
              <w:rPr>
                <w:noProof/>
                <w:sz w:val="20"/>
              </w:rPr>
              <w:t>100001 – 120000</w:t>
            </w:r>
          </w:p>
        </w:tc>
        <w:tc>
          <w:tcPr>
            <w:tcW w:w="3935" w:type="dxa"/>
            <w:shd w:val="clear" w:color="auto" w:fill="auto"/>
          </w:tcPr>
          <w:p>
            <w:pPr>
              <w:spacing w:before="0" w:after="200" w:line="276" w:lineRule="auto"/>
              <w:jc w:val="center"/>
              <w:rPr>
                <w:rFonts w:eastAsia="Calibri"/>
                <w:noProof/>
                <w:sz w:val="20"/>
                <w:szCs w:val="20"/>
              </w:rPr>
            </w:pPr>
            <w:r>
              <w:rPr>
                <w:noProof/>
                <w:sz w:val="20"/>
              </w:rPr>
              <w:t>8</w:t>
            </w:r>
          </w:p>
        </w:tc>
      </w:tr>
      <w:tr>
        <w:tc>
          <w:tcPr>
            <w:tcW w:w="4111" w:type="dxa"/>
            <w:shd w:val="clear" w:color="auto" w:fill="auto"/>
          </w:tcPr>
          <w:p>
            <w:pPr>
              <w:spacing w:before="0" w:after="200" w:line="276" w:lineRule="auto"/>
              <w:jc w:val="center"/>
              <w:rPr>
                <w:rFonts w:eastAsia="Calibri"/>
                <w:noProof/>
                <w:sz w:val="20"/>
                <w:szCs w:val="20"/>
              </w:rPr>
            </w:pPr>
            <w:r>
              <w:rPr>
                <w:noProof/>
                <w:sz w:val="20"/>
              </w:rPr>
              <w:t>120001 – 140000</w:t>
            </w:r>
          </w:p>
        </w:tc>
        <w:tc>
          <w:tcPr>
            <w:tcW w:w="3935" w:type="dxa"/>
            <w:shd w:val="clear" w:color="auto" w:fill="auto"/>
          </w:tcPr>
          <w:p>
            <w:pPr>
              <w:spacing w:before="0" w:after="200" w:line="276" w:lineRule="auto"/>
              <w:jc w:val="center"/>
              <w:rPr>
                <w:rFonts w:eastAsia="Calibri"/>
                <w:noProof/>
                <w:sz w:val="20"/>
                <w:szCs w:val="20"/>
              </w:rPr>
            </w:pPr>
            <w:r>
              <w:rPr>
                <w:noProof/>
                <w:sz w:val="20"/>
              </w:rPr>
              <w:t>9</w:t>
            </w:r>
          </w:p>
        </w:tc>
      </w:tr>
      <w:tr>
        <w:tc>
          <w:tcPr>
            <w:tcW w:w="4111" w:type="dxa"/>
            <w:shd w:val="clear" w:color="auto" w:fill="auto"/>
          </w:tcPr>
          <w:p>
            <w:pPr>
              <w:spacing w:before="0" w:after="200" w:line="276" w:lineRule="auto"/>
              <w:jc w:val="center"/>
              <w:rPr>
                <w:rFonts w:eastAsia="Calibri"/>
                <w:noProof/>
                <w:sz w:val="20"/>
                <w:szCs w:val="20"/>
              </w:rPr>
            </w:pPr>
            <w:r>
              <w:rPr>
                <w:noProof/>
                <w:sz w:val="20"/>
              </w:rPr>
              <w:t>140001 – 160000</w:t>
            </w:r>
          </w:p>
        </w:tc>
        <w:tc>
          <w:tcPr>
            <w:tcW w:w="3935" w:type="dxa"/>
            <w:shd w:val="clear" w:color="auto" w:fill="auto"/>
          </w:tcPr>
          <w:p>
            <w:pPr>
              <w:spacing w:before="0" w:after="200" w:line="276" w:lineRule="auto"/>
              <w:jc w:val="center"/>
              <w:rPr>
                <w:rFonts w:eastAsia="Calibri"/>
                <w:noProof/>
                <w:sz w:val="20"/>
                <w:szCs w:val="20"/>
              </w:rPr>
            </w:pPr>
            <w:r>
              <w:rPr>
                <w:noProof/>
                <w:sz w:val="20"/>
              </w:rPr>
              <w:t>10</w:t>
            </w:r>
          </w:p>
        </w:tc>
      </w:tr>
      <w:tr>
        <w:tc>
          <w:tcPr>
            <w:tcW w:w="4111" w:type="dxa"/>
            <w:shd w:val="clear" w:color="auto" w:fill="auto"/>
          </w:tcPr>
          <w:p>
            <w:pPr>
              <w:spacing w:before="0" w:after="200" w:line="276" w:lineRule="auto"/>
              <w:jc w:val="center"/>
              <w:rPr>
                <w:rFonts w:eastAsia="Calibri"/>
                <w:noProof/>
                <w:sz w:val="20"/>
                <w:szCs w:val="20"/>
              </w:rPr>
            </w:pPr>
            <w:r>
              <w:rPr>
                <w:noProof/>
                <w:sz w:val="20"/>
              </w:rPr>
              <w:t>160001 – 180000</w:t>
            </w:r>
          </w:p>
        </w:tc>
        <w:tc>
          <w:tcPr>
            <w:tcW w:w="3935" w:type="dxa"/>
            <w:shd w:val="clear" w:color="auto" w:fill="auto"/>
          </w:tcPr>
          <w:p>
            <w:pPr>
              <w:spacing w:before="0" w:after="200" w:line="276" w:lineRule="auto"/>
              <w:jc w:val="center"/>
              <w:rPr>
                <w:rFonts w:eastAsia="Calibri"/>
                <w:noProof/>
                <w:sz w:val="20"/>
                <w:szCs w:val="20"/>
              </w:rPr>
            </w:pPr>
            <w:r>
              <w:rPr>
                <w:noProof/>
                <w:sz w:val="20"/>
              </w:rPr>
              <w:t>11</w:t>
            </w:r>
          </w:p>
        </w:tc>
      </w:tr>
      <w:tr>
        <w:tc>
          <w:tcPr>
            <w:tcW w:w="4111" w:type="dxa"/>
            <w:shd w:val="clear" w:color="auto" w:fill="auto"/>
          </w:tcPr>
          <w:p>
            <w:pPr>
              <w:spacing w:before="0" w:after="200" w:line="276" w:lineRule="auto"/>
              <w:jc w:val="center"/>
              <w:rPr>
                <w:rFonts w:eastAsia="Calibri"/>
                <w:noProof/>
                <w:sz w:val="20"/>
                <w:szCs w:val="20"/>
              </w:rPr>
            </w:pPr>
            <w:r>
              <w:rPr>
                <w:noProof/>
                <w:sz w:val="20"/>
              </w:rPr>
              <w:t>&gt; 180000</w:t>
            </w:r>
          </w:p>
        </w:tc>
        <w:tc>
          <w:tcPr>
            <w:tcW w:w="3935" w:type="dxa"/>
            <w:shd w:val="clear" w:color="auto" w:fill="auto"/>
          </w:tcPr>
          <w:p>
            <w:pPr>
              <w:spacing w:before="0" w:after="200" w:line="276" w:lineRule="auto"/>
              <w:jc w:val="center"/>
              <w:rPr>
                <w:rFonts w:eastAsia="Calibri"/>
                <w:noProof/>
                <w:sz w:val="20"/>
                <w:szCs w:val="20"/>
              </w:rPr>
            </w:pPr>
            <w:r>
              <w:rPr>
                <w:noProof/>
                <w:sz w:val="20"/>
              </w:rPr>
              <w:t>12</w:t>
            </w:r>
          </w:p>
        </w:tc>
      </w:tr>
    </w:tbl>
    <w:p>
      <w:pPr>
        <w:pStyle w:val="Point1letter"/>
        <w:keepNext/>
        <w:ind w:left="1418"/>
        <w:rPr>
          <w:noProof/>
        </w:rPr>
      </w:pPr>
      <w:r>
        <w:rPr>
          <w:noProof/>
        </w:rPr>
        <w:t>În cazul în care oricare dintre eșantioanele din materiile care rezultă din procesul de producție nu îndeplinește una sau mai multe dintre limitele aplicabile specificate în secțiunile relevante din anexele I și II la prezentul regulament, persoana responsabilă de managementul calității menționat mai sus la punctul 5.1.1.1 litera (b) trebuie:</w:t>
      </w:r>
    </w:p>
    <w:p>
      <w:pPr>
        <w:pStyle w:val="Point2number"/>
        <w:rPr>
          <w:noProof/>
        </w:rPr>
      </w:pPr>
      <w:r>
        <w:rPr>
          <w:noProof/>
        </w:rPr>
        <w:t>să identifice clar produsele neconforme și locul de depozitare a acestora;</w:t>
      </w:r>
    </w:p>
    <w:p>
      <w:pPr>
        <w:pStyle w:val="Point2number"/>
        <w:rPr>
          <w:noProof/>
        </w:rPr>
      </w:pPr>
      <w:r>
        <w:rPr>
          <w:noProof/>
        </w:rPr>
        <w:t>să analizeze motivele neconformității și să ia toate măsurile necesare pentru a evita repetarea acesteia;</w:t>
      </w:r>
    </w:p>
    <w:p>
      <w:pPr>
        <w:pStyle w:val="Point2number"/>
        <w:rPr>
          <w:noProof/>
        </w:rPr>
      </w:pPr>
      <w:r>
        <w:rPr>
          <w:noProof/>
        </w:rPr>
        <w:t>să consemneze în dosarele de calitate prevăzute la punctul 5.1.4 dacă are loc o reprelucrare sau dacă produsul este eliminat.</w:t>
      </w:r>
    </w:p>
    <w:p>
      <w:pPr>
        <w:pStyle w:val="ManualNumPar1"/>
        <w:rPr>
          <w:noProof/>
        </w:rPr>
      </w:pPr>
      <w:r>
        <w:rPr>
          <w:noProof/>
        </w:rPr>
        <w:t>5.1.4.</w:t>
      </w:r>
      <w:r>
        <w:rPr>
          <w:noProof/>
        </w:rPr>
        <w:tab/>
        <w:t xml:space="preserve">Producătorul trebuie să păstreze dosare de calitate, precum rapoartele de inspecție și datele testelor, datele de etalonare, rapoartele privind calificarea personalului în cauză etc. </w:t>
      </w:r>
    </w:p>
    <w:p>
      <w:pPr>
        <w:pStyle w:val="ManualNumPar1"/>
        <w:keepNext/>
        <w:ind w:left="851" w:hanging="851"/>
        <w:rPr>
          <w:noProof/>
        </w:rPr>
      </w:pPr>
      <w:r>
        <w:rPr>
          <w:noProof/>
        </w:rPr>
        <w:t>5.1.4.1</w:t>
      </w:r>
      <w:r>
        <w:rPr>
          <w:noProof/>
        </w:rPr>
        <w:tab/>
        <w:t>În ceea ce privește compostul care face parte din categoria de materiale componente („CMC”) 3 și digestatul care face parte din CMC 5, astfel cum sunt definite în anexa II, înregistrările privind calitatea trebuie să demonstreze un control eficient al materiilor prime, al producției, depozitării și conformității materiilor de intrare și ieșire cu cerințele corespunzătoare ale prezentului regulament. Fiecare document trebuie să fie lizibil și disponibil la locul de utilizare, iar orice versiune ieșită din uz trebuie să fie retrasă rapid de la toate locurile în care este utilizată sau, cel puțin, să fie identificată ca fiind ieșită din uz. Documentația privind gestionarea calității trebuie să conțină cel puțin următoarele informații:</w:t>
      </w:r>
    </w:p>
    <w:p>
      <w:pPr>
        <w:pStyle w:val="Point1letter"/>
        <w:numPr>
          <w:ilvl w:val="3"/>
          <w:numId w:val="137"/>
        </w:numPr>
        <w:rPr>
          <w:noProof/>
        </w:rPr>
      </w:pPr>
      <w:r>
        <w:rPr>
          <w:noProof/>
        </w:rPr>
        <w:t>un titlu,</w:t>
      </w:r>
    </w:p>
    <w:p>
      <w:pPr>
        <w:pStyle w:val="Point1letter"/>
        <w:rPr>
          <w:noProof/>
        </w:rPr>
      </w:pPr>
      <w:r>
        <w:rPr>
          <w:noProof/>
        </w:rPr>
        <w:t>un număr al versiunii,</w:t>
      </w:r>
    </w:p>
    <w:p>
      <w:pPr>
        <w:pStyle w:val="Point1letter"/>
        <w:rPr>
          <w:noProof/>
        </w:rPr>
      </w:pPr>
      <w:r>
        <w:rPr>
          <w:noProof/>
        </w:rPr>
        <w:t>data eliberării,</w:t>
      </w:r>
    </w:p>
    <w:p>
      <w:pPr>
        <w:pStyle w:val="Point1letter"/>
        <w:rPr>
          <w:noProof/>
        </w:rPr>
      </w:pPr>
      <w:r>
        <w:rPr>
          <w:noProof/>
        </w:rPr>
        <w:t>numele persoanei care a eliberat-o,</w:t>
      </w:r>
    </w:p>
    <w:p>
      <w:pPr>
        <w:pStyle w:val="Point1letter"/>
        <w:rPr>
          <w:noProof/>
        </w:rPr>
      </w:pPr>
      <w:r>
        <w:rPr>
          <w:noProof/>
        </w:rPr>
        <w:t>evidențe privind controlul efectiv al materiilor care intră în procesul de producție,</w:t>
      </w:r>
    </w:p>
    <w:p>
      <w:pPr>
        <w:pStyle w:val="Point1letter"/>
        <w:rPr>
          <w:noProof/>
        </w:rPr>
      </w:pPr>
      <w:r>
        <w:rPr>
          <w:noProof/>
        </w:rPr>
        <w:t>evidențe privind controlul efectiv al procesului de producție,</w:t>
      </w:r>
    </w:p>
    <w:p>
      <w:pPr>
        <w:pStyle w:val="Point1letter"/>
        <w:rPr>
          <w:noProof/>
        </w:rPr>
      </w:pPr>
      <w:r>
        <w:rPr>
          <w:noProof/>
        </w:rPr>
        <w:t>evidențe privind controlul efectiv al materiilor care rezultă din procesul de producție,</w:t>
      </w:r>
    </w:p>
    <w:p>
      <w:pPr>
        <w:pStyle w:val="Point1letter"/>
        <w:rPr>
          <w:noProof/>
        </w:rPr>
      </w:pPr>
      <w:r>
        <w:rPr>
          <w:noProof/>
        </w:rPr>
        <w:t>evidențe ale neconformităților,</w:t>
      </w:r>
    </w:p>
    <w:p>
      <w:pPr>
        <w:pStyle w:val="Point1letter"/>
        <w:rPr>
          <w:noProof/>
        </w:rPr>
      </w:pPr>
      <w:r>
        <w:rPr>
          <w:noProof/>
        </w:rPr>
        <w:t>rapoarte cu privire la toate accidentele și incidentele care au loc la fața locului, cauzele cunoscute sau suspectate ale acestora și măsurile luate,</w:t>
      </w:r>
    </w:p>
    <w:p>
      <w:pPr>
        <w:pStyle w:val="Point1letter"/>
        <w:rPr>
          <w:noProof/>
        </w:rPr>
      </w:pPr>
      <w:r>
        <w:rPr>
          <w:noProof/>
        </w:rPr>
        <w:t>evidența plângerilor formulate de părțile terțe și modul în care acestea au fost tratate,</w:t>
      </w:r>
    </w:p>
    <w:p>
      <w:pPr>
        <w:pStyle w:val="Point1letter"/>
        <w:rPr>
          <w:noProof/>
        </w:rPr>
      </w:pPr>
      <w:r>
        <w:rPr>
          <w:noProof/>
        </w:rPr>
        <w:t>un registru indicând data, tipul și tematica cursurilor de formare urmate de către persoanele responsabile pentru calitatea produsului,</w:t>
      </w:r>
    </w:p>
    <w:p>
      <w:pPr>
        <w:pStyle w:val="Point1letter"/>
        <w:rPr>
          <w:noProof/>
        </w:rPr>
      </w:pPr>
      <w:r>
        <w:rPr>
          <w:noProof/>
        </w:rPr>
        <w:t>rezultatele auditului intern și acțiunile întreprinse și</w:t>
      </w:r>
    </w:p>
    <w:p>
      <w:pPr>
        <w:pStyle w:val="Point1letter"/>
        <w:rPr>
          <w:noProof/>
        </w:rPr>
      </w:pPr>
      <w:r>
        <w:rPr>
          <w:noProof/>
        </w:rPr>
        <w:t>rezultatele auditului extern și acțiunile întreprinse.</w:t>
      </w:r>
    </w:p>
    <w:p>
      <w:pPr>
        <w:pStyle w:val="ManualNumPar1"/>
        <w:rPr>
          <w:noProof/>
        </w:rPr>
      </w:pPr>
      <w:r>
        <w:rPr>
          <w:noProof/>
        </w:rPr>
        <w:t>5.1.5</w:t>
      </w:r>
      <w:r>
        <w:rPr>
          <w:noProof/>
        </w:rPr>
        <w:tab/>
        <w:t>Atingerea nivelului corespunzător de calitate a produsului și a funcționării eficiente a sistemului de calitate trebuie monitorizată.</w:t>
      </w:r>
    </w:p>
    <w:p>
      <w:pPr>
        <w:pStyle w:val="ManualNumPar1"/>
        <w:keepNext/>
        <w:ind w:left="851" w:hanging="851"/>
        <w:rPr>
          <w:noProof/>
        </w:rPr>
      </w:pPr>
      <w:r>
        <w:rPr>
          <w:noProof/>
        </w:rPr>
        <w:t>5.1.5.1</w:t>
      </w:r>
      <w:r>
        <w:rPr>
          <w:noProof/>
        </w:rPr>
        <w:tab/>
        <w:t xml:space="preserve">În ceea ce privește compostul care face parte din categoria de materii componente („CMC”) 3 și digestatul care face parte din CMC 5, astfel cum sunt definite în anexa II, producătorul întocmește un program anual de audit intern, în scopul de a verifica conformitatea cu sistemul de calitate, cu următoarele componente: </w:t>
      </w:r>
    </w:p>
    <w:p>
      <w:pPr>
        <w:pStyle w:val="Point1number"/>
        <w:numPr>
          <w:ilvl w:val="2"/>
          <w:numId w:val="138"/>
        </w:numPr>
        <w:rPr>
          <w:noProof/>
        </w:rPr>
      </w:pPr>
      <w:r>
        <w:rPr>
          <w:noProof/>
        </w:rPr>
        <w:t>Trebuie stabilită și documentată o procedură care definește responsabilitățile și cerințele privind planificarea și realizarea auditurilor interne, înființarea unor registre și raportarea rezultatelor. Trebuie pregătit un raport care să se identifice neconformitățile sistemului de calitate și toate acțiunile corective trebuie raportate. Evidențele auditului intern se anexează la documentația de management al calității.</w:t>
      </w:r>
    </w:p>
    <w:p>
      <w:pPr>
        <w:pStyle w:val="Point1number"/>
        <w:numPr>
          <w:ilvl w:val="2"/>
          <w:numId w:val="10"/>
        </w:numPr>
        <w:rPr>
          <w:noProof/>
        </w:rPr>
      </w:pPr>
      <w:r>
        <w:rPr>
          <w:noProof/>
        </w:rPr>
        <w:t>Se acordă prioritate neconformităților identificate de auditul extern.</w:t>
      </w:r>
    </w:p>
    <w:p>
      <w:pPr>
        <w:pStyle w:val="Point1number"/>
        <w:numPr>
          <w:ilvl w:val="2"/>
          <w:numId w:val="10"/>
        </w:numPr>
        <w:rPr>
          <w:noProof/>
        </w:rPr>
      </w:pPr>
      <w:r>
        <w:rPr>
          <w:noProof/>
        </w:rPr>
        <w:t>Niciun auditor statutar nu poate să își auditeze propria muncă prestată.</w:t>
      </w:r>
    </w:p>
    <w:p>
      <w:pPr>
        <w:pStyle w:val="Point1number"/>
        <w:numPr>
          <w:ilvl w:val="2"/>
          <w:numId w:val="10"/>
        </w:numPr>
        <w:rPr>
          <w:noProof/>
        </w:rPr>
      </w:pPr>
      <w:r>
        <w:rPr>
          <w:noProof/>
        </w:rPr>
        <w:t xml:space="preserve">Conducerea responsabilă de domeniul auditat se asigură că măsurile corective necesare sunt luate în cel mai scurt timp. </w:t>
      </w:r>
    </w:p>
    <w:p>
      <w:pPr>
        <w:pStyle w:val="Point1number"/>
        <w:numPr>
          <w:ilvl w:val="2"/>
          <w:numId w:val="10"/>
        </w:numPr>
        <w:rPr>
          <w:noProof/>
        </w:rPr>
      </w:pPr>
      <w:r>
        <w:rPr>
          <w:noProof/>
        </w:rPr>
        <w:t>Auditul intern realizat în cadrul unui alt sistem de management al calității poate fi luat în considerare dacă este completat de un audit al cerințelor pentru sistemul de asigurare a calității respectiv.</w:t>
      </w:r>
    </w:p>
    <w:p>
      <w:pPr>
        <w:pStyle w:val="ManualNumPar2"/>
        <w:keepNext/>
        <w:ind w:left="851" w:hanging="851"/>
        <w:rPr>
          <w:noProof/>
        </w:rPr>
      </w:pPr>
      <w:r>
        <w:rPr>
          <w:noProof/>
        </w:rPr>
        <w:t>5.2.</w:t>
      </w:r>
      <w:r>
        <w:rPr>
          <w:noProof/>
        </w:rPr>
        <w:tab/>
        <w:t>Producătorul prezintă organismului notificat acreditat ales de el o cerere de evaluare a sistemului său de calitate pentru produsele în cauză. Cererea cuprinde:</w:t>
      </w:r>
    </w:p>
    <w:p>
      <w:pPr>
        <w:ind w:left="1418" w:hanging="567"/>
        <w:rPr>
          <w:noProof/>
        </w:rPr>
      </w:pPr>
      <w:r>
        <w:rPr>
          <w:noProof/>
        </w:rPr>
        <w:t>-</w:t>
      </w:r>
      <w:r>
        <w:rPr>
          <w:noProof/>
        </w:rPr>
        <w:tab/>
        <w:t>denumirea și adresa producătorului și, în cazul în care cererea este depusă de către reprezentantul autorizat, se precizează, de asemenea, numele și adresa acestuia;</w:t>
      </w:r>
    </w:p>
    <w:p>
      <w:pPr>
        <w:ind w:left="1418" w:hanging="567"/>
        <w:rPr>
          <w:noProof/>
        </w:rPr>
      </w:pPr>
      <w:r>
        <w:rPr>
          <w:noProof/>
        </w:rPr>
        <w:t>-</w:t>
      </w:r>
      <w:r>
        <w:rPr>
          <w:noProof/>
        </w:rPr>
        <w:tab/>
        <w:t>o declarație scrisă care arată că această cerere nu a mai fost înaintată către niciun alt organism notificat;</w:t>
      </w:r>
    </w:p>
    <w:p>
      <w:pPr>
        <w:ind w:left="1418" w:hanging="567"/>
        <w:rPr>
          <w:noProof/>
        </w:rPr>
      </w:pPr>
      <w:r>
        <w:rPr>
          <w:noProof/>
        </w:rPr>
        <w:t>-</w:t>
      </w:r>
      <w:r>
        <w:rPr>
          <w:noProof/>
        </w:rPr>
        <w:tab/>
        <w:t>toate informațiile relevante pentru categoria de produse în cauză;</w:t>
      </w:r>
    </w:p>
    <w:p>
      <w:pPr>
        <w:ind w:left="1418" w:hanging="567"/>
        <w:rPr>
          <w:noProof/>
        </w:rPr>
      </w:pPr>
      <w:r>
        <w:rPr>
          <w:noProof/>
        </w:rPr>
        <w:t>-</w:t>
      </w:r>
      <w:r>
        <w:rPr>
          <w:noProof/>
        </w:rPr>
        <w:tab/>
        <w:t xml:space="preserve">documentația referitoare la sistemul de calitate; </w:t>
      </w:r>
    </w:p>
    <w:p>
      <w:pPr>
        <w:ind w:left="1418" w:hanging="567"/>
        <w:rPr>
          <w:noProof/>
        </w:rPr>
      </w:pPr>
      <w:r>
        <w:rPr>
          <w:noProof/>
        </w:rPr>
        <w:t>-</w:t>
      </w:r>
      <w:r>
        <w:rPr>
          <w:noProof/>
        </w:rPr>
        <w:tab/>
        <w:t>documentația tehnică privind toate elementele sistemului de calitate prevăzute la punctul 5.1 și la paragrafele acestuia.</w:t>
      </w:r>
    </w:p>
    <w:p>
      <w:pPr>
        <w:pStyle w:val="ManualNumPar1"/>
        <w:rPr>
          <w:noProof/>
        </w:rPr>
      </w:pPr>
      <w:r>
        <w:rPr>
          <w:noProof/>
        </w:rPr>
        <w:t>5.3.</w:t>
      </w:r>
      <w:r>
        <w:rPr>
          <w:noProof/>
        </w:rPr>
        <w:tab/>
        <w:t>Toate elementele, cerințele și dispozițiile adoptate de producător sunt documentate sistematic și ordonat, sub forma unor ansambluri de măsuri, proceduri și instrucțiuni scrise. Documentația privind sistemul de calitate permite o interpretare uniformă a programelor, a planurilor, a manualelor și a documentelor de asigurare a calității. Documentația cuprinde, în special, o descriere adecvată a tuturor elementelor de management al calității menționate mai sus la punctul 5.1 și paragrafele acestuia.</w:t>
      </w:r>
    </w:p>
    <w:p>
      <w:pPr>
        <w:pStyle w:val="ManualNumPar2"/>
        <w:rPr>
          <w:noProof/>
        </w:rPr>
      </w:pPr>
      <w:r>
        <w:rPr>
          <w:noProof/>
        </w:rPr>
        <w:t>5.4.1.</w:t>
      </w:r>
      <w:r>
        <w:rPr>
          <w:noProof/>
        </w:rPr>
        <w:tab/>
        <w:t>Organismul notificat evaluează sistemul de calitate pentru a stabili dacă acesta respectă cerințele prevăzute la punctul 5.1 și paragrafele acestuia.</w:t>
      </w:r>
    </w:p>
    <w:p>
      <w:pPr>
        <w:pStyle w:val="ManualNumPar1"/>
        <w:rPr>
          <w:noProof/>
        </w:rPr>
      </w:pPr>
      <w:r>
        <w:rPr>
          <w:noProof/>
        </w:rPr>
        <w:t>5.4.2.</w:t>
      </w:r>
      <w:r>
        <w:rPr>
          <w:noProof/>
        </w:rPr>
        <w:tab/>
        <w:t>Acesta prezumă conformitatea cu aceste cerințe în ceea ce privește elementele sistemului de calitate care respectă specificațiile corespunzătoare ale standardului armonizat relevant.</w:t>
      </w:r>
    </w:p>
    <w:p>
      <w:pPr>
        <w:pStyle w:val="ManualNumPar1"/>
        <w:rPr>
          <w:noProof/>
        </w:rPr>
      </w:pPr>
      <w:r>
        <w:rPr>
          <w:noProof/>
        </w:rPr>
        <w:t>5.4.3.</w:t>
      </w:r>
      <w:r>
        <w:rPr>
          <w:noProof/>
        </w:rPr>
        <w:tab/>
        <w:t>Pe lângă experiența în sisteme de management al calității, din echipa de audit face parte cel puțin un membru cu experiență de evaluare în domeniul produsului relevant și al tehnologiei produsului în cauză și cunoștințe ale cerințelor aplicabile ale prezentului regulament. Auditul include o vizită de evaluare la sediul producătorului. Echipa de audit analizează documentația tehnică menționată la punctul 2, pentru a verifica capacitatea producătorului de a identifica cerințele relevante ale prezentului regulament și de a realiza examinările necesare cu scopul de a asigura conformitatea produsului fertilizant cu marcaj CE cu cerințele respective.</w:t>
      </w:r>
    </w:p>
    <w:p>
      <w:pPr>
        <w:pStyle w:val="ManualNumPar1"/>
        <w:rPr>
          <w:noProof/>
        </w:rPr>
      </w:pPr>
      <w:r>
        <w:rPr>
          <w:noProof/>
        </w:rPr>
        <w:t>5.4.4.</w:t>
      </w:r>
      <w:r>
        <w:rPr>
          <w:noProof/>
        </w:rPr>
        <w:tab/>
        <w:t>Decizia este comunicată producătorului. Notificarea conține concluziile procesului de audit și decizia justificată a evaluării.</w:t>
      </w:r>
    </w:p>
    <w:p>
      <w:pPr>
        <w:pStyle w:val="ManualNumPar2"/>
        <w:rPr>
          <w:noProof/>
        </w:rPr>
      </w:pPr>
      <w:r>
        <w:rPr>
          <w:noProof/>
        </w:rPr>
        <w:t>5.5.</w:t>
      </w:r>
      <w:r>
        <w:rPr>
          <w:noProof/>
        </w:rPr>
        <w:tab/>
        <w:t xml:space="preserve">Producătorul se angajează să îndeplinească obligațiile care decurg din sistemul de calitate aprobat și să îl mențină corespunzător și eficient. </w:t>
      </w:r>
    </w:p>
    <w:p>
      <w:pPr>
        <w:pStyle w:val="ManualNumPar2"/>
        <w:rPr>
          <w:noProof/>
        </w:rPr>
      </w:pPr>
      <w:r>
        <w:rPr>
          <w:noProof/>
        </w:rPr>
        <w:t>5.6.1.</w:t>
      </w:r>
      <w:r>
        <w:rPr>
          <w:noProof/>
        </w:rPr>
        <w:tab/>
        <w:t>Producătorul informează organismul notificat care a certificat sistemul său de calitate cu privire la orice modificare preconizată a sistemului de calitate.</w:t>
      </w:r>
    </w:p>
    <w:p>
      <w:pPr>
        <w:pStyle w:val="ManualNumPar1"/>
        <w:rPr>
          <w:noProof/>
        </w:rPr>
      </w:pPr>
      <w:r>
        <w:rPr>
          <w:noProof/>
        </w:rPr>
        <w:t>5.6.2.</w:t>
      </w:r>
      <w:r>
        <w:rPr>
          <w:noProof/>
        </w:rPr>
        <w:tab/>
        <w:t>Organismul notificat evaluează modificările propuse și decide dacă sistemul de calitate modificat va continua să satisfacă cerințele menționate la punctul 5.2 sau dacă este necesară o reevaluare.</w:t>
      </w:r>
    </w:p>
    <w:p>
      <w:pPr>
        <w:pStyle w:val="ManualNumPar1"/>
        <w:rPr>
          <w:noProof/>
        </w:rPr>
      </w:pPr>
      <w:r>
        <w:rPr>
          <w:noProof/>
        </w:rPr>
        <w:t>5.6.3.</w:t>
      </w:r>
      <w:r>
        <w:rPr>
          <w:noProof/>
        </w:rPr>
        <w:tab/>
        <w:t>Decizia acestuia se notifică producătorului. Notificarea conține concluziile controlului și decizia justificată a evaluării.</w:t>
      </w:r>
    </w:p>
    <w:p>
      <w:pPr>
        <w:pStyle w:val="ManualHeading2"/>
        <w:rPr>
          <w:noProof/>
        </w:rPr>
      </w:pPr>
      <w:bookmarkStart w:id="275" w:name="_Toc432153271"/>
      <w:r>
        <w:rPr>
          <w:noProof/>
        </w:rPr>
        <w:t>6.</w:t>
      </w:r>
      <w:r>
        <w:rPr>
          <w:noProof/>
        </w:rPr>
        <w:tab/>
        <w:t>Supravegherea sub responsabilitatea organismului notificat</w:t>
      </w:r>
      <w:bookmarkEnd w:id="275"/>
    </w:p>
    <w:p>
      <w:pPr>
        <w:pStyle w:val="ManualNumPar2"/>
        <w:rPr>
          <w:noProof/>
        </w:rPr>
      </w:pPr>
      <w:r>
        <w:rPr>
          <w:noProof/>
        </w:rPr>
        <w:t>6,1</w:t>
      </w:r>
      <w:r>
        <w:rPr>
          <w:noProof/>
        </w:rPr>
        <w:tab/>
        <w:t xml:space="preserve">Supravegherea are rolul de a asigura faptul că producătorul își îndeplinește întocmai obligațiile care rezultă din sistemul de calitate certificat. </w:t>
      </w:r>
    </w:p>
    <w:p>
      <w:pPr>
        <w:pStyle w:val="ManualNumPar2"/>
        <w:keepNext/>
        <w:ind w:left="851" w:hanging="851"/>
        <w:rPr>
          <w:noProof/>
        </w:rPr>
      </w:pPr>
      <w:r>
        <w:rPr>
          <w:noProof/>
        </w:rPr>
        <w:t>6.2.</w:t>
      </w:r>
      <w:r>
        <w:rPr>
          <w:noProof/>
        </w:rPr>
        <w:tab/>
        <w:t xml:space="preserve">Producătorul autorizează accesul organismului notificat, în scopul evaluării, la spațiile de producție, de inspecție, de testare și de depozitare și îi furnizează orice informație necesară, în special: </w:t>
      </w:r>
    </w:p>
    <w:p>
      <w:pPr>
        <w:ind w:left="1418" w:hanging="567"/>
        <w:rPr>
          <w:noProof/>
        </w:rPr>
      </w:pPr>
      <w:r>
        <w:rPr>
          <w:noProof/>
        </w:rPr>
        <w:t>-</w:t>
      </w:r>
      <w:r>
        <w:rPr>
          <w:noProof/>
        </w:rPr>
        <w:tab/>
        <w:t>documentația aferentă sistemului de calitate;</w:t>
      </w:r>
    </w:p>
    <w:p>
      <w:pPr>
        <w:ind w:left="1418" w:hanging="567"/>
        <w:rPr>
          <w:noProof/>
        </w:rPr>
      </w:pPr>
      <w:r>
        <w:rPr>
          <w:noProof/>
        </w:rPr>
        <w:t>-</w:t>
      </w:r>
      <w:r>
        <w:rPr>
          <w:noProof/>
        </w:rPr>
        <w:tab/>
        <w:t>documentația tehnică prevăzută la punctul 2;</w:t>
      </w:r>
    </w:p>
    <w:p>
      <w:pPr>
        <w:ind w:left="1418" w:hanging="567"/>
        <w:rPr>
          <w:noProof/>
        </w:rPr>
      </w:pPr>
      <w:r>
        <w:rPr>
          <w:noProof/>
        </w:rPr>
        <w:t>-</w:t>
      </w:r>
      <w:r>
        <w:rPr>
          <w:noProof/>
        </w:rPr>
        <w:tab/>
        <w:t>dosarele de calitate, cum ar fi rapoartele de inspecție și datele de test, datele privind etalonarea, rapoartele privind calificarea referitoare la personalul implicat.</w:t>
      </w:r>
    </w:p>
    <w:p>
      <w:pPr>
        <w:pStyle w:val="ManualNumPar2"/>
        <w:rPr>
          <w:noProof/>
        </w:rPr>
      </w:pPr>
      <w:r>
        <w:rPr>
          <w:noProof/>
        </w:rPr>
        <w:t>6.3.1</w:t>
      </w:r>
      <w:r>
        <w:rPr>
          <w:noProof/>
        </w:rPr>
        <w:tab/>
        <w:t xml:space="preserve">Organismul notificat efectuează misiuni de audit periodice pentru a se asigura că producătorul menține și aplică sistemul de calitate și furnizează producătorului un raport de audit. </w:t>
      </w:r>
    </w:p>
    <w:p>
      <w:pPr>
        <w:pStyle w:val="ManualNumPar2"/>
        <w:keepNext/>
        <w:ind w:left="851" w:hanging="851"/>
        <w:rPr>
          <w:noProof/>
        </w:rPr>
      </w:pPr>
      <w:r>
        <w:rPr>
          <w:noProof/>
        </w:rPr>
        <w:t>6.3.2</w:t>
      </w:r>
      <w:r>
        <w:rPr>
          <w:noProof/>
        </w:rPr>
        <w:tab/>
        <w:t>În ceea ce privește compostul care face parte din categoria de materii componente 3 („CMC”) și digestatul care face parte din CMC 5, astfel cum sunt definite în anexa II, organismul notificat prelevă și analizează eșantioane de material în timpul producției fiecărui audit, iar auditurile se efectuează cu următoarea frecvență:</w:t>
      </w:r>
    </w:p>
    <w:p>
      <w:pPr>
        <w:pStyle w:val="Point1letter"/>
        <w:numPr>
          <w:ilvl w:val="3"/>
          <w:numId w:val="10"/>
        </w:numPr>
        <w:rPr>
          <w:noProof/>
        </w:rPr>
      </w:pPr>
      <w:r>
        <w:rPr>
          <w:noProof/>
        </w:rPr>
        <w:t>în cursul primului an în care organismul notificat supraveghează planta în cauză: aceeași frecvență ca frecvența de eșantionare indicată în tabelul inclus la punctul 5.1.3.1 litera (f) și</w:t>
      </w:r>
    </w:p>
    <w:p>
      <w:pPr>
        <w:pStyle w:val="Point1letter"/>
        <w:numPr>
          <w:ilvl w:val="3"/>
          <w:numId w:val="10"/>
        </w:numPr>
        <w:rPr>
          <w:noProof/>
        </w:rPr>
      </w:pPr>
      <w:r>
        <w:rPr>
          <w:noProof/>
        </w:rPr>
        <w:t>în cursul următorilor ani de supraveghere: 50% din frecvența de eșantionare indicată în tabelul inclus la punctul 5.1.3.1 litera (f).</w:t>
      </w:r>
    </w:p>
    <w:p>
      <w:pPr>
        <w:pStyle w:val="ManualNumPar2"/>
        <w:rPr>
          <w:noProof/>
        </w:rPr>
      </w:pPr>
      <w:r>
        <w:rPr>
          <w:noProof/>
        </w:rPr>
        <w:t>6.4</w:t>
      </w:r>
      <w:r>
        <w:rPr>
          <w:noProof/>
        </w:rPr>
        <w:tab/>
        <w:t xml:space="preserve">De asemenea, organismul notificat poate efectua vizite inopinate la producător. Cu ocazia unor asemenea vizite, organismul notificat poate, dacă este necesar, să efectueze sau să dispună efectuarea unor teste asupra produselor, destinate verificării bunei funcționări a sistemului de calitate. Organismul notificat furnizează producătorului un raport privind vizita și, în cazul efectuării unor teste, un raport de testare. </w:t>
      </w:r>
    </w:p>
    <w:p>
      <w:pPr>
        <w:pStyle w:val="ManualHeading2"/>
        <w:rPr>
          <w:noProof/>
        </w:rPr>
      </w:pPr>
      <w:bookmarkStart w:id="276" w:name="_Toc432153272"/>
      <w:r>
        <w:rPr>
          <w:noProof/>
        </w:rPr>
        <w:t>7.</w:t>
      </w:r>
      <w:r>
        <w:rPr>
          <w:noProof/>
        </w:rPr>
        <w:tab/>
        <w:t>Marcajul de conformitate și declarația de conformitate UE</w:t>
      </w:r>
      <w:bookmarkEnd w:id="276"/>
    </w:p>
    <w:p>
      <w:pPr>
        <w:pStyle w:val="ManualNumPar2"/>
        <w:rPr>
          <w:noProof/>
        </w:rPr>
      </w:pPr>
      <w:r>
        <w:rPr>
          <w:noProof/>
        </w:rPr>
        <w:t>7.1.</w:t>
      </w:r>
      <w:r>
        <w:rPr>
          <w:noProof/>
        </w:rPr>
        <w:tab/>
        <w:t>Producătorul aplică marcajul CE și, sub responsabilitatea organismului notificat menționat la punctul 5.2, numărul de identificare al acestuia pe fiecare produs în parte care satisface cerințele aplicabile ale prezentului regulament.</w:t>
      </w:r>
    </w:p>
    <w:p>
      <w:pPr>
        <w:pStyle w:val="ManualNumPar2"/>
        <w:rPr>
          <w:noProof/>
        </w:rPr>
      </w:pPr>
      <w:r>
        <w:rPr>
          <w:noProof/>
        </w:rPr>
        <w:t>7.2.1</w:t>
      </w:r>
      <w:r>
        <w:rPr>
          <w:noProof/>
        </w:rPr>
        <w:tab/>
        <w:t>Producătorul întocmește o declarație de conformitate UE scrisă pentru fiecare lot de produse fertilizante cu marcaj CE și o păstrează la dispoziția autorităților naționale pe o perioadă de 10 ani după introducerea pe piață a produsului fertilizant cu marcaj CE. Declarația de conformitate UE identifică lotul produsului pentru care a fost întocmită.</w:t>
      </w:r>
    </w:p>
    <w:p>
      <w:pPr>
        <w:pStyle w:val="ManualNumPar1"/>
        <w:rPr>
          <w:noProof/>
        </w:rPr>
      </w:pPr>
      <w:r>
        <w:rPr>
          <w:noProof/>
        </w:rPr>
        <w:t>7.2.2.</w:t>
      </w:r>
      <w:r>
        <w:rPr>
          <w:noProof/>
        </w:rPr>
        <w:tab/>
        <w:t>O copie a declarației de conformitate UE este pusă la dispoziția autorităților relevante, la cerere.</w:t>
      </w:r>
    </w:p>
    <w:p>
      <w:pPr>
        <w:pStyle w:val="ManualHeading2"/>
        <w:rPr>
          <w:noProof/>
        </w:rPr>
      </w:pPr>
      <w:bookmarkStart w:id="277" w:name="_Toc432153273"/>
      <w:r>
        <w:rPr>
          <w:noProof/>
        </w:rPr>
        <w:t>8.</w:t>
      </w:r>
      <w:r>
        <w:rPr>
          <w:noProof/>
        </w:rPr>
        <w:tab/>
        <w:t>Documentația disponibilă privind sistemul de calitate</w:t>
      </w:r>
      <w:bookmarkEnd w:id="277"/>
    </w:p>
    <w:p>
      <w:pPr>
        <w:pStyle w:val="ManualNumPar1"/>
        <w:keepNext/>
        <w:ind w:left="851" w:hanging="851"/>
        <w:rPr>
          <w:noProof/>
        </w:rPr>
      </w:pPr>
      <w:r>
        <w:rPr>
          <w:noProof/>
        </w:rPr>
        <w:t>8.</w:t>
      </w:r>
      <w:r>
        <w:rPr>
          <w:noProof/>
        </w:rPr>
        <w:tab/>
        <w:t>Pe o perioadă de cel puțin 10 ani după introducerea pe piață a produsului, producătorul menține la dispoziția autorităților naționale:</w:t>
      </w:r>
    </w:p>
    <w:p>
      <w:pPr>
        <w:ind w:left="1418" w:hanging="567"/>
        <w:rPr>
          <w:noProof/>
        </w:rPr>
      </w:pPr>
      <w:r>
        <w:rPr>
          <w:noProof/>
        </w:rPr>
        <w:t>-</w:t>
      </w:r>
      <w:r>
        <w:rPr>
          <w:noProof/>
        </w:rPr>
        <w:tab/>
        <w:t>documentația menționată la punctul 5.3,</w:t>
      </w:r>
    </w:p>
    <w:p>
      <w:pPr>
        <w:ind w:left="1418" w:hanging="567"/>
        <w:rPr>
          <w:noProof/>
        </w:rPr>
      </w:pPr>
      <w:r>
        <w:rPr>
          <w:noProof/>
        </w:rPr>
        <w:t>-</w:t>
      </w:r>
      <w:r>
        <w:rPr>
          <w:noProof/>
        </w:rPr>
        <w:tab/>
        <w:t>modificarea menționată la punctul 5.6 și paragrafele acestuia, în forma în care a fost aprobată,</w:t>
      </w:r>
    </w:p>
    <w:p>
      <w:pPr>
        <w:ind w:left="1418" w:hanging="567"/>
        <w:rPr>
          <w:noProof/>
        </w:rPr>
      </w:pPr>
      <w:r>
        <w:rPr>
          <w:noProof/>
        </w:rPr>
        <w:t>-</w:t>
      </w:r>
      <w:r>
        <w:rPr>
          <w:noProof/>
        </w:rPr>
        <w:tab/>
        <w:t>deciziile și rapoartele organismului notificat prevăzute la punctele 5.6.1-5.6.3, paragraful 6.3 și paragraful 6.4.</w:t>
      </w:r>
    </w:p>
    <w:p>
      <w:pPr>
        <w:pStyle w:val="ManualHeading2"/>
        <w:rPr>
          <w:noProof/>
        </w:rPr>
      </w:pPr>
      <w:bookmarkStart w:id="278" w:name="_Toc432153274"/>
      <w:r>
        <w:rPr>
          <w:noProof/>
        </w:rPr>
        <w:t>9.</w:t>
      </w:r>
      <w:r>
        <w:rPr>
          <w:noProof/>
        </w:rPr>
        <w:tab/>
        <w:t xml:space="preserve">Obligația de informare a organismelor notificate </w:t>
      </w:r>
      <w:bookmarkEnd w:id="278"/>
    </w:p>
    <w:p>
      <w:pPr>
        <w:pStyle w:val="ManualNumPar1"/>
        <w:rPr>
          <w:noProof/>
        </w:rPr>
      </w:pPr>
      <w:r>
        <w:rPr>
          <w:noProof/>
        </w:rPr>
        <w:t>9.1.</w:t>
      </w:r>
      <w:r>
        <w:rPr>
          <w:noProof/>
        </w:rPr>
        <w:tab/>
        <w:t xml:space="preserve">Fiecare organism notificat își informează autoritățile de notificare cu privire la omologările sistemelor de calitate emise sau retrase și, periodic sau la cerere, pune la dispoziția autorităților sale de notificare lista omologărilor sistemului de calitate pe care le-a refuzat, suspendat sau restricționat în alt mod. </w:t>
      </w:r>
    </w:p>
    <w:p>
      <w:pPr>
        <w:pStyle w:val="ManualNumPar1"/>
        <w:rPr>
          <w:noProof/>
        </w:rPr>
      </w:pPr>
      <w:r>
        <w:rPr>
          <w:noProof/>
        </w:rPr>
        <w:t>9.2.</w:t>
      </w:r>
      <w:r>
        <w:rPr>
          <w:noProof/>
        </w:rPr>
        <w:tab/>
        <w:t xml:space="preserve">Fiecare organism notificat informează celelalte organisme notificate cu privire la omologările sistemelor de calitate pe care le-a refuzat, suspendat sau retras și, la cerere, cu privire la aprobările sistemului de calitate pe care le-a emis . </w:t>
      </w:r>
    </w:p>
    <w:p>
      <w:pPr>
        <w:pStyle w:val="ManualHeading2"/>
        <w:rPr>
          <w:noProof/>
        </w:rPr>
      </w:pPr>
      <w:bookmarkStart w:id="279" w:name="_Toc432153275"/>
      <w:r>
        <w:rPr>
          <w:noProof/>
        </w:rPr>
        <w:t>10.</w:t>
      </w:r>
      <w:r>
        <w:rPr>
          <w:noProof/>
        </w:rPr>
        <w:tab/>
        <w:t>Reprezentantul autorizat</w:t>
      </w:r>
      <w:bookmarkEnd w:id="279"/>
    </w:p>
    <w:p>
      <w:pPr>
        <w:autoSpaceDE w:val="0"/>
        <w:autoSpaceDN w:val="0"/>
        <w:ind w:left="851"/>
        <w:rPr>
          <w:rFonts w:eastAsia="Times New Roman"/>
          <w:noProof/>
          <w:szCs w:val="24"/>
        </w:rPr>
      </w:pPr>
      <w:r>
        <w:rPr>
          <w:noProof/>
        </w:rPr>
        <w:t>Obligațiile producătorului stabilite la punctul 3, punctul 5.2, punctele 5.6.1-5.6.3 și rubricile 7 și 8 pot fi îndeplinite de către reprezentantul său autorizat, în numele său și pe răspunderea sa, cu condiția ca acestea să fie menționate în mandat.</w:t>
      </w:r>
    </w:p>
    <w:p>
      <w:pPr>
        <w:autoSpaceDE w:val="0"/>
        <w:autoSpaceDN w:val="0"/>
        <w:ind w:left="851"/>
        <w:rPr>
          <w:noProof/>
        </w:rPr>
        <w:sectPr>
          <w:pgSz w:w="11907" w:h="16839"/>
          <w:pgMar w:top="1134" w:right="1417" w:bottom="1134" w:left="1417" w:header="709" w:footer="709" w:gutter="0"/>
          <w:cols w:space="720"/>
          <w:docGrid w:linePitch="360"/>
        </w:sectPr>
      </w:pPr>
    </w:p>
    <w:p>
      <w:pPr>
        <w:pStyle w:val="Annexetitre"/>
        <w:rPr>
          <w:noProof/>
        </w:rPr>
      </w:pPr>
      <w:bookmarkStart w:id="280" w:name="_Toc432153302"/>
      <w:r>
        <w:rPr>
          <w:noProof/>
        </w:rPr>
        <w:t>ANEXA V</w:t>
      </w:r>
      <w:r>
        <w:rPr>
          <w:noProof/>
        </w:rPr>
        <w:br/>
        <w:t>Declarație de conformitate UE (Nr. XXXX)</w:t>
      </w:r>
      <w:r>
        <w:rPr>
          <w:rStyle w:val="FootnoteReference"/>
          <w:noProof/>
        </w:rPr>
        <w:footnoteReference w:id="19"/>
      </w:r>
      <w:bookmarkEnd w:id="280"/>
    </w:p>
    <w:p>
      <w:pPr>
        <w:rPr>
          <w:noProof/>
        </w:rPr>
      </w:pPr>
      <w:r>
        <w:rPr>
          <w:noProof/>
        </w:rPr>
        <w:t>1.</w:t>
      </w:r>
      <w:r>
        <w:rPr>
          <w:noProof/>
        </w:rPr>
        <w:tab/>
        <w:t>Produsul fertilizant cu marcaj CE (numărul produsului, al lotului, al tipului sau de serie):</w:t>
      </w:r>
    </w:p>
    <w:p>
      <w:pPr>
        <w:rPr>
          <w:noProof/>
        </w:rPr>
      </w:pPr>
      <w:r>
        <w:rPr>
          <w:noProof/>
        </w:rPr>
        <w:t>2.</w:t>
      </w:r>
      <w:r>
        <w:rPr>
          <w:noProof/>
        </w:rPr>
        <w:tab/>
        <w:t xml:space="preserve">Denumirea și adresa producătorului și, după caz, ale reprezentantului autorizat al acestuia: </w:t>
      </w:r>
    </w:p>
    <w:p>
      <w:pPr>
        <w:rPr>
          <w:noProof/>
        </w:rPr>
      </w:pPr>
      <w:r>
        <w:rPr>
          <w:noProof/>
        </w:rPr>
        <w:t>3.</w:t>
      </w:r>
      <w:r>
        <w:rPr>
          <w:noProof/>
        </w:rPr>
        <w:tab/>
        <w:t>Declarația de conformitate este emisă pe răspunderea exclusivă a producătorului.</w:t>
      </w:r>
    </w:p>
    <w:p>
      <w:pPr>
        <w:rPr>
          <w:noProof/>
        </w:rPr>
      </w:pPr>
      <w:r>
        <w:rPr>
          <w:noProof/>
        </w:rPr>
        <w:t>4.</w:t>
      </w:r>
      <w:r>
        <w:rPr>
          <w:noProof/>
        </w:rPr>
        <w:tab/>
        <w:t>Obiectul declarației (identificarea produsului permițând trasabilitatea; aceasta poate include o imagine, dacă este necesar pentru identificarea produsului fertilizant cu marcaj CE):</w:t>
      </w:r>
    </w:p>
    <w:p>
      <w:pPr>
        <w:rPr>
          <w:noProof/>
        </w:rPr>
      </w:pPr>
      <w:r>
        <w:rPr>
          <w:noProof/>
        </w:rPr>
        <w:t>5.</w:t>
      </w:r>
      <w:r>
        <w:rPr>
          <w:noProof/>
        </w:rPr>
        <w:tab/>
        <w:t>Obiectul declarației descris mai sus este în conformitate cu legislația relevantă de armonizare a Uniunii:</w:t>
      </w:r>
    </w:p>
    <w:p>
      <w:pPr>
        <w:rPr>
          <w:noProof/>
        </w:rPr>
      </w:pPr>
      <w:r>
        <w:rPr>
          <w:noProof/>
        </w:rPr>
        <w:t>6.</w:t>
      </w:r>
      <w:r>
        <w:rPr>
          <w:noProof/>
        </w:rPr>
        <w:tab/>
        <w:t>Trimiteri la standardele armonizate relevante folosite sau trimiteri la celelalte specificații tehnice în legătură cu care se declară conformitatea:</w:t>
      </w:r>
    </w:p>
    <w:p>
      <w:pPr>
        <w:rPr>
          <w:noProof/>
        </w:rPr>
      </w:pPr>
      <w:r>
        <w:rPr>
          <w:noProof/>
        </w:rPr>
        <w:t>7.</w:t>
      </w:r>
      <w:r>
        <w:rPr>
          <w:noProof/>
        </w:rPr>
        <w:tab/>
        <w:t>După caz, organismul notificat... … (denumire, număr) a efectuat … (descrierea intervenției) și a emis certificatul:</w:t>
      </w:r>
    </w:p>
    <w:p>
      <w:pPr>
        <w:rPr>
          <w:noProof/>
        </w:rPr>
      </w:pPr>
      <w:r>
        <w:rPr>
          <w:noProof/>
        </w:rPr>
        <w:t xml:space="preserve">8. </w:t>
      </w:r>
      <w:r>
        <w:rPr>
          <w:noProof/>
        </w:rPr>
        <w:tab/>
        <w:t xml:space="preserve">Informații suplimentare: </w:t>
      </w:r>
    </w:p>
    <w:p>
      <w:pPr>
        <w:rPr>
          <w:noProof/>
        </w:rPr>
      </w:pPr>
      <w:r>
        <w:rPr>
          <w:noProof/>
        </w:rPr>
        <w:t xml:space="preserve">Semnat pentru și în numele: </w:t>
      </w:r>
    </w:p>
    <w:p>
      <w:pPr>
        <w:rPr>
          <w:noProof/>
        </w:rPr>
      </w:pPr>
      <w:r>
        <w:rPr>
          <w:noProof/>
        </w:rPr>
        <w:t>(locul și data emiterii):</w:t>
      </w:r>
    </w:p>
    <w:p>
      <w:pPr>
        <w:rPr>
          <w:noProof/>
        </w:rPr>
      </w:pPr>
      <w:r>
        <w:rPr>
          <w:noProof/>
        </w:rPr>
        <w:t>(numele, funcția) (semnătura):</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79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RO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Regulamentul (CEE) nr. 315/93 al Consiliului din 8 februarie 1993 de stabilire a procedurilor comunitare privind contaminanții din alimente (JO L 37, 13.2.1993, p. 1).</w:t>
      </w:r>
    </w:p>
  </w:footnote>
  <w:footnote w:id="2">
    <w:p>
      <w:pPr>
        <w:pStyle w:val="FootnoteText"/>
      </w:pPr>
      <w:r>
        <w:rPr>
          <w:rStyle w:val="FootnoteReference"/>
        </w:rPr>
        <w:footnoteRef/>
      </w:r>
      <w:r>
        <w:tab/>
        <w:t>Regulamentul (CE) nr. 396/2005 al Parlamentului European și al Consiliului din 23 februarie 2005 privind conținuturile maxime aplicabile reziduurilor de pesticide din sau de pe produse alimentare și hrana de origine vegetală și animală pentru animale și de modificare a Directivei 91/414/CEE (JO L 70, 16.3.2005, p. 1).</w:t>
      </w:r>
    </w:p>
  </w:footnote>
  <w:footnote w:id="3">
    <w:p>
      <w:pPr>
        <w:pStyle w:val="FootnoteText"/>
      </w:pPr>
      <w:r>
        <w:rPr>
          <w:rStyle w:val="FootnoteReference"/>
        </w:rPr>
        <w:footnoteRef/>
      </w:r>
      <w:r>
        <w:tab/>
        <w:t>Regulamentul (CE) nr. 470/2009 al Parlamentului European și al Consiliului din 6 mai 2009 de stabilire a procedurilor comunitare în vederea stabilirii limitelor de reziduuri ale substanțelor farmacologic active din alimentele de origine animală, de abrogare a Regulamentului (CEE) nr. 2377/90 al Consiliului și de modificare a Directivei 2001/82/CE a Parlamentului European și a Consiliului și a Regulamentului (CE) nr. 726/2004 al Parlamentului European și al Consiliului (JO L 152, 16.6.2009, p. 11).</w:t>
      </w:r>
    </w:p>
  </w:footnote>
  <w:footnote w:id="4">
    <w:p>
      <w:pPr>
        <w:pStyle w:val="FootnoteText"/>
      </w:pPr>
      <w:r>
        <w:rPr>
          <w:rStyle w:val="FootnoteReference"/>
        </w:rPr>
        <w:footnoteRef/>
      </w:r>
      <w:r>
        <w:tab/>
        <w:t>Directiva 2002/32/CE a Parlamentului European și a Consiliului din 7 mai 2002 privind substanțele nedorite din furaje (JO L 140, 30.5.2002, p. 10).</w:t>
      </w:r>
    </w:p>
  </w:footnote>
  <w:footnote w:id="5">
    <w:p>
      <w:pPr>
        <w:pStyle w:val="FootnoteText"/>
      </w:pPr>
      <w:r>
        <w:rPr>
          <w:rStyle w:val="FootnoteReference"/>
        </w:rPr>
        <w:footnoteRef/>
      </w:r>
      <w:r>
        <w:tab/>
        <w:t>În cazul unui aditiv recuperat în Uniunea Europeană, această condiție este îndeplinită dacă aditivul este același, în sensul articolului 2 alineatul (7) litera (d) punctul (i) din Regulamentul (CE) nr. 1907/2006, cu o substanță înregistrată pe baza unui dosar care conține informațiile indicate aici și dacă informațiile respective îi sunt disponibile producătorului produsului fertilizant în sensul articolului 2 alineatul (7) litera (d) punctul (ii) din Regulamentul (CE) nr. 1907/2006.</w:t>
      </w:r>
    </w:p>
  </w:footnote>
  <w:footnote w:id="6">
    <w:p>
      <w:pPr>
        <w:pStyle w:val="FootnoteText"/>
      </w:pPr>
      <w:r>
        <w:rPr>
          <w:rStyle w:val="FootnoteReference"/>
        </w:rPr>
        <w:footnoteRef/>
      </w:r>
      <w:r>
        <w:tab/>
        <w:t>În cazul unui aditiv recuperat în Uniunea Europeană, această condiție este îndeplinită dacă aditivul este același, în sensul articolului 2 alineatul (7) litera (d) punctul (i) din Regulamentul (CE) nr. 1907/2006, cu o substanță înregistrată pe baza unui dosar care conține informațiile indicate aici și dacă informațiile respective îi sunt disponibile producătorului produsului fertilizant în sensul articolului 2 alineatul (7) litera (d) punctul (ii) din Regulamentul (CE) nr. 1907/2006.</w:t>
      </w:r>
    </w:p>
  </w:footnote>
  <w:footnote w:id="7">
    <w:p>
      <w:pPr>
        <w:pStyle w:val="FootnoteText"/>
      </w:pPr>
      <w:r>
        <w:rPr>
          <w:rStyle w:val="FootnoteReference"/>
        </w:rPr>
        <w:footnoteRef/>
      </w:r>
      <w:r>
        <w:tab/>
        <w:t>În cazul unui aditiv recuperat în Uniunea Europeană, această condiție este îndeplinită dacă aditivul este același, în sensul articolului 2 alineatul (7) litera (d) punctul (i) din Regulamentul (CE) nr. 1907/2006, cu o substanță înregistrată pe baza unui dosar care conține informațiile indicate aici și dacă informațiile respective îi sunt disponibile producătorului produsului fertilizant în sensul articolului 2 alineatul (7) litera (d) punctul (ii) din Regulamentul (CE) nr. 1907/2006.</w:t>
      </w:r>
    </w:p>
  </w:footnote>
  <w:footnote w:id="8">
    <w:p>
      <w:pPr>
        <w:pStyle w:val="FootnoteText"/>
      </w:pPr>
      <w:r>
        <w:rPr>
          <w:rStyle w:val="FootnoteReference"/>
        </w:rPr>
        <w:footnoteRef/>
      </w:r>
      <w:r>
        <w:tab/>
        <w:t>Excluderea unui material de la categoria CMC 1 nu îl împiedică să fie eligibil ca materie componentă într-o altă CMC, care prevede alte cerințe. A se vedea, de exemplu, CMC 11 privind subprodusele de origine animală, CMC 9 și CMC 10 privind polimerii și CMC 8 privind aditivii agronomici.</w:t>
      </w:r>
    </w:p>
  </w:footnote>
  <w:footnote w:id="9">
    <w:p>
      <w:pPr>
        <w:pStyle w:val="FootnoteText"/>
      </w:pPr>
      <w:r>
        <w:rPr>
          <w:rStyle w:val="FootnoteReference"/>
        </w:rPr>
        <w:footnoteRef/>
      </w:r>
      <w:r>
        <w:tab/>
        <w:t>În cazul unui aditiv recuperat în Uniunea Europeană, această condiție este îndeplinită dacă aditivul este același, în sensul articolului 2 alineatul (7) litera (d) punctul (i) din Regulamentul (CE) nr. 1907/2006, cu o substanță înregistrată pe baza unui dosar care conține informațiile indicate aici și dacă informațiile respective îi sunt disponibile producătorului produsului fertilizant în sensul articolului 2 alineatul (7) litera (d) punctul (ii) din Regulamentul (CE) nr. 1907/2006.</w:t>
      </w:r>
    </w:p>
  </w:footnote>
  <w:footnote w:id="10">
    <w:p>
      <w:pPr>
        <w:pStyle w:val="FootnoteText"/>
      </w:pPr>
      <w:r>
        <w:rPr>
          <w:rStyle w:val="FootnoteReference"/>
        </w:rPr>
        <w:footnoteRef/>
      </w:r>
      <w:r>
        <w:tab/>
        <w:t>Sumă de naftalină, acenaftilen, acenaften, fluoren, fenantren, antracen, fluoranten, piren, benz[a]antracen, crisen, benz[b]fluoranten, benz[k]fluoranten, benz[a]piren, indeno[1,2,3-cd]piren, dibenzo[a,h]antracen și benzo[ghi]perilen.</w:t>
      </w:r>
    </w:p>
  </w:footnote>
  <w:footnote w:id="11">
    <w:p>
      <w:pPr>
        <w:pStyle w:val="FootnoteText"/>
      </w:pPr>
      <w:r>
        <w:rPr>
          <w:rStyle w:val="FootnoteReference"/>
        </w:rPr>
        <w:footnoteRef/>
      </w:r>
      <w:r>
        <w:tab/>
        <w:t>Sumă de naftalină, acenaftilen, acenaften, fluoren, fenantren, antracen, fluoranten, piren, benz[a]antracen, crisen, benz[b]fluoranten, benz[k]fluoranten, benz[a]piren, indeno[1,2,3-cd]piren, dibenzo[a,h]antracen și benzo[ghi]perilen.</w:t>
      </w:r>
    </w:p>
  </w:footnote>
  <w:footnote w:id="12">
    <w:p>
      <w:pPr>
        <w:pStyle w:val="FootnoteText"/>
      </w:pPr>
      <w:r>
        <w:rPr>
          <w:rStyle w:val="FootnoteReference"/>
        </w:rPr>
        <w:footnoteRef/>
      </w:r>
      <w:r>
        <w:tab/>
        <w:t>În cazul unui aditiv recuperat în Uniunea Europeană, această condiție este îndeplinită dacă aditivul este același, în sensul articolului 2 alineatul (7) litera (d) punctul (i) din Regulamentul (CE) nr. 1907/2006, cu o substanță înregistrată pe baza unui dosar care conține informațiile indicate aici și dacă informațiile respective îi sunt disponibile producătorului produsului fertilizant în sensul articolului 2 alineatul (7) litera (d) punctul (ii) din Regulamentul (CE) nr. 1907/2006.</w:t>
      </w:r>
    </w:p>
  </w:footnote>
  <w:footnote w:id="13">
    <w:p>
      <w:pPr>
        <w:pStyle w:val="FootnoteText"/>
      </w:pPr>
      <w:r>
        <w:rPr>
          <w:rStyle w:val="FootnoteReference"/>
        </w:rPr>
        <w:footnoteRef/>
      </w:r>
      <w:r>
        <w:tab/>
        <w:t>În cazul unui aditiv recuperat în Uniunea Europeană, această condiție este îndeplinită dacă aditivul este același, în sensul articolului 2 alineatul (7) litera (d) punctul (i) din Regulamentul (CE) nr. 1907/2006, cu o substanță înregistrată pe baza unui dosar care conține informațiile indicate aici și dacă informațiile respective îi sunt disponibile producătorului produsului fertilizant în sensul articolului 2 alineatul (7) litera (d) punctul (ii) din Regulamentul (CE) nr. 1907/2006.</w:t>
      </w:r>
    </w:p>
  </w:footnote>
  <w:footnote w:id="14">
    <w:p>
      <w:pPr>
        <w:pStyle w:val="FootnoteText"/>
      </w:pPr>
      <w:r>
        <w:rPr>
          <w:rStyle w:val="FootnoteReference"/>
        </w:rPr>
        <w:footnoteRef/>
      </w:r>
      <w:r>
        <w:tab/>
        <w:t>Sumă de naftalină, acenaftilen, acenaften, fluoren, fenantren, antracen, fluoranten, piren, benz[a]antracen, crisen, benz[b]fluoranten, benz[k]fluoranten, benz[a]piren, indeno[1,2,3-cd]piren, dibenzo[a,h]antracen și benzo[ghi]perilen.</w:t>
      </w:r>
    </w:p>
  </w:footnote>
  <w:footnote w:id="15">
    <w:p>
      <w:pPr>
        <w:pStyle w:val="FootnoteText"/>
      </w:pPr>
      <w:r>
        <w:rPr>
          <w:rStyle w:val="FootnoteReference"/>
        </w:rPr>
        <w:footnoteRef/>
      </w:r>
      <w:r>
        <w:tab/>
        <w:t>Sumă de naftalină, acenaftilen, acenaften, fluoren, fenantren, antracen, fluoranten, piren, benz[a]antracen, crisen, benz[b]fluoranten, benz[k]fluoranten, benz[a]piren, indeno[1,2,3-cd]piren, dibenzo[a,h]antracen și benzo[ghi]perilen.</w:t>
      </w:r>
    </w:p>
  </w:footnote>
  <w:footnote w:id="16">
    <w:p>
      <w:pPr>
        <w:pStyle w:val="FootnoteText"/>
      </w:pPr>
      <w:r>
        <w:rPr>
          <w:rStyle w:val="FootnoteReference"/>
        </w:rPr>
        <w:footnoteRef/>
      </w:r>
      <w:r>
        <w:tab/>
        <w:t>În cazul unei substanțe recuperate în Uniunea Europeană, această condiție este îndeplinită dacă substanța este aceeași, în sensul articolului 2 alineatul (7) litera (d) punctul (i) din Regulamentul (CE) nr. 1907/2006, cu o substanță înregistrată pe baza unui dosar care conține informațiile indicate aici și dacă informațiile respective îi sunt disponibile producătorului produsului fertilizant în sensul articolului 2 alineatul (7) litera (d) punctul (ii) din Regulamentul (CE) nr. 1907/2006.</w:t>
      </w:r>
    </w:p>
  </w:footnote>
  <w:footnote w:id="17">
    <w:p>
      <w:pPr>
        <w:pStyle w:val="FootnoteText"/>
      </w:pPr>
      <w:r>
        <w:rPr>
          <w:rStyle w:val="FootnoteReference"/>
        </w:rPr>
        <w:footnoteRef/>
      </w:r>
      <w:r>
        <w:tab/>
        <w:t>Diametrul discului trebuie să corespundă întotdeauna cu diametrul interior al cilindrului.</w:t>
      </w:r>
    </w:p>
  </w:footnote>
  <w:footnote w:id="18">
    <w:p>
      <w:pPr>
        <w:pStyle w:val="FootnoteText"/>
      </w:pPr>
      <w:r>
        <w:rPr>
          <w:rStyle w:val="FootnoteReference"/>
        </w:rPr>
        <w:footnoteRef/>
      </w:r>
      <w:r>
        <w:tab/>
        <w:t>NB: Când cele șase fitiluri periferice sunt întinse după asamblare, cel central trebuie ușor slăbit.</w:t>
      </w:r>
    </w:p>
  </w:footnote>
  <w:footnote w:id="19">
    <w:p>
      <w:pPr>
        <w:pStyle w:val="FootnoteText"/>
      </w:pPr>
      <w:r>
        <w:rPr>
          <w:rStyle w:val="FootnoteReference"/>
        </w:rPr>
        <w:footnoteRef/>
      </w:r>
      <w:r>
        <w:tab/>
        <w:t>Atribuirea unui număr declarației de conformitate UE rămâne la latitudinea producătorului.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C83C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420B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3C1A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81CE6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1BAC9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2EC3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7C8952"/>
    <w:lvl w:ilvl="0">
      <w:start w:val="1"/>
      <w:numFmt w:val="decimal"/>
      <w:pStyle w:val="ListNumber"/>
      <w:lvlText w:val="%1."/>
      <w:lvlJc w:val="left"/>
      <w:pPr>
        <w:tabs>
          <w:tab w:val="num" w:pos="360"/>
        </w:tabs>
        <w:ind w:left="360" w:hanging="360"/>
      </w:pPr>
    </w:lvl>
  </w:abstractNum>
  <w:abstractNum w:abstractNumId="7">
    <w:nsid w:val="FFFFFF89"/>
    <w:multiLevelType w:val="singleLevel"/>
    <w:tmpl w:val="7DCEB6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E8703C2"/>
    <w:multiLevelType w:val="multilevel"/>
    <w:tmpl w:val="B88418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1F06166"/>
    <w:multiLevelType w:val="multilevel"/>
    <w:tmpl w:val="17162718"/>
    <w:lvl w:ilvl="0">
      <w:numFmt w:val="decimal"/>
      <w:lvlText w:val=""/>
      <w:lvlJc w:val="left"/>
    </w:lvl>
    <w:lvl w:ilvl="1">
      <w:numFmt w:val="decimal"/>
      <w:pStyle w:val="ListNumberLevel2"/>
      <w:lvlText w:val=""/>
      <w:lvlJc w:val="left"/>
    </w:lvl>
    <w:lvl w:ilvl="2">
      <w:numFmt w:val="decimal"/>
      <w:pStyle w:val="ListNumberLevel3"/>
      <w:lvlText w:val=""/>
      <w:lvlJc w:val="left"/>
    </w:lvl>
    <w:lvl w:ilvl="3">
      <w:numFmt w:val="decimal"/>
      <w:pStyle w:val="ListNumber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9"/>
  </w:num>
  <w:num w:numId="13">
    <w:abstractNumId w:val="16"/>
  </w:num>
  <w:num w:numId="14">
    <w:abstractNumId w:val="16"/>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3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num>
  <w:num w:numId="22">
    <w:abstractNumId w:val="12"/>
    <w:lvlOverride w:ilvl="0">
      <w:startOverride w:val="1"/>
    </w:lvlOverride>
  </w:num>
  <w:num w:numId="23">
    <w:abstractNumId w:val="18"/>
    <w:lvlOverride w:ilvl="0">
      <w:startOverride w:val="1"/>
    </w:lvlOverride>
  </w:num>
  <w:num w:numId="24">
    <w:abstractNumId w:val="10"/>
    <w:lvlOverride w:ilvl="0">
      <w:startOverride w:val="1"/>
    </w:lvlOverride>
  </w:num>
  <w:num w:numId="25">
    <w:abstractNumId w:val="20"/>
    <w:lvlOverride w:ilvl="0">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8"/>
  </w:num>
  <w:num w:numId="141">
    <w:abstractNumId w:val="12"/>
  </w:num>
  <w:num w:numId="142">
    <w:abstractNumId w:val="20"/>
  </w:num>
  <w:num w:numId="143">
    <w:abstractNumId w:val="11"/>
  </w:num>
  <w:num w:numId="144">
    <w:abstractNumId w:val="13"/>
  </w:num>
  <w:num w:numId="145">
    <w:abstractNumId w:val="9"/>
  </w:num>
  <w:num w:numId="146">
    <w:abstractNumId w:val="19"/>
  </w:num>
  <w:num w:numId="147">
    <w:abstractNumId w:val="8"/>
  </w:num>
  <w:num w:numId="148">
    <w:abstractNumId w:val="14"/>
  </w:num>
  <w:num w:numId="149">
    <w:abstractNumId w:val="16"/>
  </w:num>
  <w:num w:numId="150">
    <w:abstractNumId w:val="17"/>
  </w:num>
  <w:num w:numId="151">
    <w:abstractNumId w:val="10"/>
  </w:num>
  <w:num w:numId="152">
    <w:abstractNumId w:val="15"/>
  </w:num>
  <w:num w:numId="153">
    <w:abstractNumId w:val="23"/>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01"/>
  <w:hideSpellingErrors/>
  <w:hideGrammaticalErrors/>
  <w:attachedTemplate r:id="rId1"/>
  <w:revisionView w:markup="0"/>
  <w:documentProtection w:edit="readOnly" w:enforcement="0"/>
  <w:defaultTabStop w:val="720"/>
  <w:characterSpacingControl w:val="doNotCompress"/>
  <w:hdrShapeDefaults>
    <o:shapedefaults v:ext="edit" spidmax="372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6 13:15:34"/>
    <w:docVar w:name="DQCNUMB_1" w:val="419"/>
    <w:docVar w:name="DQCNUMB_3" w:val="305"/>
    <w:docVar w:name="DQCNUMB_4" w:val="306"/>
    <w:docVar w:name="DQCNUMB_5" w:val="307"/>
    <w:docVar w:name="DQCNUMB_6" w:val="308"/>
    <w:docVar w:name="DQCNUMB_7" w:val="309"/>
    <w:docVar w:name="DQCNUMB_8" w:val="3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4"/>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CP" w:val="la"/>
    <w:docVar w:name="LW_ANNEX_NBR_FIRST" w:val="1"/>
    <w:docVar w:name="LW_ANNEX_NBR_LAST" w:val="5"/>
    <w:docVar w:name="LW_CONFIDENCE" w:val=" "/>
    <w:docVar w:name="LW_CONST_RESTREINT_UE" w:val="RESTREINT UE"/>
    <w:docVar w:name="LW_CORRIGENDUM" w:val="&lt;UNUSED&gt;"/>
    <w:docVar w:name="LW_COVERPAGE_GUID" w:val="12698FF9F2234FE8BAFF3BB012BA0506"/>
    <w:docVar w:name="LW_CROSSREFERENCE" w:val="{SWD(2016) 64 final}_x000b_{SWD(2016) 65 final}"/>
    <w:docVar w:name="LW_DocType" w:val="ANNEX"/>
    <w:docVar w:name="LW_EMISSION" w:val="17.3.2016"/>
    <w:docVar w:name="LW_EMISSION_ISODATE" w:val="2016-03-17"/>
    <w:docVar w:name="LW_EMISSION_LOCATION" w:val="BRX"/>
    <w:docVar w:name="LW_EMISSION_PREFIX" w:val="Bruxelles, "/>
    <w:docVar w:name="LW_EMISSION_SUFFIX" w:val=" "/>
    <w:docVar w:name="LW_ID_DOCSTRUCTURE" w:val="COM/ANNEX"/>
    <w:docVar w:name="LW_ID_DOCTYPE" w:val="SG-017"/>
    <w:docVar w:name="LW_LANGUE" w:val="RO"/>
    <w:docVar w:name="LW_MARKING" w:val="&lt;UNUSED&gt;"/>
    <w:docVar w:name="LW_NOM.INST" w:val="COMISIA EUROPEAN\u258?"/>
    <w:docVar w:name="LW_NOM.INST_JOINTDOC" w:val="&lt;EMPTY&gt;"/>
    <w:docVar w:name="LW_OBJETACTEPRINCIPAL.CP" w:val="de stabilire a normelor privind punerea la dispozi\u539?ie pe pia\u539?\u259? a produselor fertilizante cu marcaj CE \u537?i de modificare a Regulamentelor (CE) nr. 1069/2009 \u537?i (CE) nr. 1107/2009"/>
    <w:docVar w:name="LW_PART_NBR" w:val="&lt;UNUSED&gt;"/>
    <w:docVar w:name="LW_PART_NBR_TOTAL" w:val="&lt;UNUSED&gt;"/>
    <w:docVar w:name="LW_REF.INST.NEW" w:val="COM"/>
    <w:docVar w:name="LW_REF.INST.NEW_ADOPTED" w:val="final"/>
    <w:docVar w:name="LW_REF.INST.NEW_TEXT" w:val="(2016) 157"/>
    <w:docVar w:name="LW_REF.INTERNE" w:val="&lt;UNUSED&gt;"/>
    <w:docVar w:name="LW_SUPERTITRE" w:val="Pachetul privind economia circular\u259?"/>
    <w:docVar w:name="LW_TITRE.OBJ.CP" w:val="&lt;UNUSED&gt;"/>
    <w:docVar w:name="LW_TYPE.DOC.CP" w:val="ANEXE"/>
    <w:docVar w:name="LW_TYPEACTEPRINCIPAL.CP" w:val="propunerea de Regulament al Parlamentului European \u537?i al Consiliului"/>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2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1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stNumberLevel2">
    <w:name w:val="List Number (Level 2)"/>
    <w:basedOn w:val="Normal"/>
    <w:pPr>
      <w:numPr>
        <w:ilvl w:val="1"/>
        <w:numId w:val="9"/>
      </w:numPr>
      <w:jc w:val="left"/>
    </w:pPr>
    <w:rPr>
      <w:rFonts w:eastAsia="Times New Roman"/>
      <w:szCs w:val="24"/>
      <w:lang w:eastAsia="de-DE"/>
    </w:rPr>
  </w:style>
  <w:style w:type="paragraph" w:customStyle="1" w:styleId="ListNumberLevel3">
    <w:name w:val="List Number (Level 3)"/>
    <w:basedOn w:val="Normal"/>
    <w:pPr>
      <w:numPr>
        <w:ilvl w:val="2"/>
        <w:numId w:val="9"/>
      </w:numPr>
      <w:jc w:val="left"/>
    </w:pPr>
    <w:rPr>
      <w:rFonts w:eastAsia="Times New Roman"/>
      <w:szCs w:val="24"/>
      <w:lang w:eastAsia="de-DE"/>
    </w:rPr>
  </w:style>
  <w:style w:type="paragraph" w:customStyle="1" w:styleId="ListNumberLevel4">
    <w:name w:val="List Number (Level 4)"/>
    <w:basedOn w:val="Normal"/>
    <w:pPr>
      <w:numPr>
        <w:ilvl w:val="3"/>
        <w:numId w:val="9"/>
      </w:numPr>
      <w:jc w:val="left"/>
    </w:pPr>
    <w:rPr>
      <w:rFonts w:eastAsia="Times New Roman"/>
      <w:szCs w:val="24"/>
      <w:lang w:eastAsia="de-D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jc w:val="left"/>
    </w:pPr>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pPr>
      <w:jc w:val="both"/>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0"/>
      </w:numPr>
    </w:pPr>
  </w:style>
  <w:style w:type="paragraph" w:customStyle="1" w:styleId="Tiret1">
    <w:name w:val="Tiret 1"/>
    <w:basedOn w:val="Point1"/>
    <w:pPr>
      <w:numPr>
        <w:numId w:val="141"/>
      </w:numPr>
    </w:pPr>
  </w:style>
  <w:style w:type="paragraph" w:customStyle="1" w:styleId="Tiret2">
    <w:name w:val="Tiret 2"/>
    <w:basedOn w:val="Point2"/>
    <w:pPr>
      <w:numPr>
        <w:numId w:val="142"/>
      </w:numPr>
    </w:pPr>
  </w:style>
  <w:style w:type="paragraph" w:customStyle="1" w:styleId="Tiret3">
    <w:name w:val="Tiret 3"/>
    <w:basedOn w:val="Point3"/>
    <w:pPr>
      <w:numPr>
        <w:numId w:val="143"/>
      </w:numPr>
    </w:pPr>
  </w:style>
  <w:style w:type="paragraph" w:customStyle="1" w:styleId="Tiret4">
    <w:name w:val="Tiret 4"/>
    <w:basedOn w:val="Point4"/>
    <w:pPr>
      <w:numPr>
        <w:numId w:val="1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5"/>
      </w:numPr>
    </w:pPr>
  </w:style>
  <w:style w:type="paragraph" w:customStyle="1" w:styleId="NumPar2">
    <w:name w:val="NumPar 2"/>
    <w:basedOn w:val="Normal"/>
    <w:next w:val="Text1"/>
    <w:pPr>
      <w:numPr>
        <w:ilvl w:val="1"/>
        <w:numId w:val="145"/>
      </w:numPr>
    </w:pPr>
  </w:style>
  <w:style w:type="paragraph" w:customStyle="1" w:styleId="NumPar3">
    <w:name w:val="NumPar 3"/>
    <w:basedOn w:val="Normal"/>
    <w:next w:val="Text1"/>
    <w:pPr>
      <w:numPr>
        <w:ilvl w:val="2"/>
        <w:numId w:val="145"/>
      </w:numPr>
    </w:pPr>
  </w:style>
  <w:style w:type="paragraph" w:customStyle="1" w:styleId="NumPar4">
    <w:name w:val="NumPar 4"/>
    <w:basedOn w:val="Normal"/>
    <w:next w:val="Text1"/>
    <w:pPr>
      <w:numPr>
        <w:ilvl w:val="3"/>
        <w:numId w:val="1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7"/>
      </w:numPr>
    </w:pPr>
  </w:style>
  <w:style w:type="paragraph" w:customStyle="1" w:styleId="Point1number">
    <w:name w:val="Point 1 (number)"/>
    <w:basedOn w:val="Normal"/>
    <w:pPr>
      <w:numPr>
        <w:ilvl w:val="2"/>
        <w:numId w:val="147"/>
      </w:numPr>
    </w:pPr>
  </w:style>
  <w:style w:type="paragraph" w:customStyle="1" w:styleId="Point2number">
    <w:name w:val="Point 2 (number)"/>
    <w:basedOn w:val="Normal"/>
    <w:pPr>
      <w:numPr>
        <w:ilvl w:val="4"/>
        <w:numId w:val="147"/>
      </w:numPr>
    </w:pPr>
  </w:style>
  <w:style w:type="paragraph" w:customStyle="1" w:styleId="Point3number">
    <w:name w:val="Point 3 (number)"/>
    <w:basedOn w:val="Normal"/>
    <w:pPr>
      <w:numPr>
        <w:ilvl w:val="6"/>
        <w:numId w:val="147"/>
      </w:numPr>
    </w:pPr>
  </w:style>
  <w:style w:type="paragraph" w:customStyle="1" w:styleId="Point0letter">
    <w:name w:val="Point 0 (letter)"/>
    <w:basedOn w:val="Normal"/>
    <w:pPr>
      <w:numPr>
        <w:ilvl w:val="1"/>
        <w:numId w:val="147"/>
      </w:numPr>
    </w:pPr>
  </w:style>
  <w:style w:type="paragraph" w:customStyle="1" w:styleId="Point1letter">
    <w:name w:val="Point 1 (letter)"/>
    <w:basedOn w:val="Normal"/>
    <w:pPr>
      <w:numPr>
        <w:ilvl w:val="3"/>
        <w:numId w:val="147"/>
      </w:numPr>
    </w:pPr>
  </w:style>
  <w:style w:type="paragraph" w:customStyle="1" w:styleId="Point2letter">
    <w:name w:val="Point 2 (letter)"/>
    <w:basedOn w:val="Normal"/>
    <w:pPr>
      <w:numPr>
        <w:ilvl w:val="5"/>
        <w:numId w:val="147"/>
      </w:numPr>
    </w:pPr>
  </w:style>
  <w:style w:type="paragraph" w:customStyle="1" w:styleId="Point3letter">
    <w:name w:val="Point 3 (letter)"/>
    <w:basedOn w:val="Normal"/>
    <w:pPr>
      <w:numPr>
        <w:ilvl w:val="7"/>
        <w:numId w:val="147"/>
      </w:numPr>
    </w:pPr>
  </w:style>
  <w:style w:type="paragraph" w:customStyle="1" w:styleId="Point4letter">
    <w:name w:val="Point 4 (letter)"/>
    <w:basedOn w:val="Normal"/>
    <w:pPr>
      <w:numPr>
        <w:ilvl w:val="8"/>
        <w:numId w:val="147"/>
      </w:numPr>
    </w:pPr>
  </w:style>
  <w:style w:type="paragraph" w:customStyle="1" w:styleId="Bullet0">
    <w:name w:val="Bullet 0"/>
    <w:basedOn w:val="Normal"/>
    <w:pPr>
      <w:numPr>
        <w:numId w:val="148"/>
      </w:numPr>
    </w:pPr>
  </w:style>
  <w:style w:type="paragraph" w:customStyle="1" w:styleId="Bullet1">
    <w:name w:val="Bullet 1"/>
    <w:basedOn w:val="Normal"/>
    <w:pPr>
      <w:numPr>
        <w:numId w:val="149"/>
      </w:numPr>
    </w:pPr>
  </w:style>
  <w:style w:type="paragraph" w:customStyle="1" w:styleId="Bullet2">
    <w:name w:val="Bullet 2"/>
    <w:basedOn w:val="Normal"/>
    <w:pPr>
      <w:numPr>
        <w:numId w:val="150"/>
      </w:numPr>
    </w:pPr>
  </w:style>
  <w:style w:type="paragraph" w:customStyle="1" w:styleId="Bullet3">
    <w:name w:val="Bullet 3"/>
    <w:basedOn w:val="Normal"/>
    <w:pPr>
      <w:numPr>
        <w:numId w:val="151"/>
      </w:numPr>
    </w:pPr>
  </w:style>
  <w:style w:type="paragraph" w:customStyle="1" w:styleId="Bullet4">
    <w:name w:val="Bullet 4"/>
    <w:basedOn w:val="Normal"/>
    <w:pPr>
      <w:numPr>
        <w:numId w:val="15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1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stNumberLevel2">
    <w:name w:val="List Number (Level 2)"/>
    <w:basedOn w:val="Normal"/>
    <w:pPr>
      <w:numPr>
        <w:ilvl w:val="1"/>
        <w:numId w:val="9"/>
      </w:numPr>
      <w:jc w:val="left"/>
    </w:pPr>
    <w:rPr>
      <w:rFonts w:eastAsia="Times New Roman"/>
      <w:szCs w:val="24"/>
      <w:lang w:eastAsia="de-DE"/>
    </w:rPr>
  </w:style>
  <w:style w:type="paragraph" w:customStyle="1" w:styleId="ListNumberLevel3">
    <w:name w:val="List Number (Level 3)"/>
    <w:basedOn w:val="Normal"/>
    <w:pPr>
      <w:numPr>
        <w:ilvl w:val="2"/>
        <w:numId w:val="9"/>
      </w:numPr>
      <w:jc w:val="left"/>
    </w:pPr>
    <w:rPr>
      <w:rFonts w:eastAsia="Times New Roman"/>
      <w:szCs w:val="24"/>
      <w:lang w:eastAsia="de-DE"/>
    </w:rPr>
  </w:style>
  <w:style w:type="paragraph" w:customStyle="1" w:styleId="ListNumberLevel4">
    <w:name w:val="List Number (Level 4)"/>
    <w:basedOn w:val="Normal"/>
    <w:pPr>
      <w:numPr>
        <w:ilvl w:val="3"/>
        <w:numId w:val="9"/>
      </w:numPr>
      <w:jc w:val="left"/>
    </w:pPr>
    <w:rPr>
      <w:rFonts w:eastAsia="Times New Roman"/>
      <w:szCs w:val="24"/>
      <w:lang w:eastAsia="de-D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jc w:val="left"/>
    </w:pPr>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pPr>
      <w:jc w:val="both"/>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0"/>
      </w:numPr>
    </w:pPr>
  </w:style>
  <w:style w:type="paragraph" w:customStyle="1" w:styleId="Tiret1">
    <w:name w:val="Tiret 1"/>
    <w:basedOn w:val="Point1"/>
    <w:pPr>
      <w:numPr>
        <w:numId w:val="141"/>
      </w:numPr>
    </w:pPr>
  </w:style>
  <w:style w:type="paragraph" w:customStyle="1" w:styleId="Tiret2">
    <w:name w:val="Tiret 2"/>
    <w:basedOn w:val="Point2"/>
    <w:pPr>
      <w:numPr>
        <w:numId w:val="142"/>
      </w:numPr>
    </w:pPr>
  </w:style>
  <w:style w:type="paragraph" w:customStyle="1" w:styleId="Tiret3">
    <w:name w:val="Tiret 3"/>
    <w:basedOn w:val="Point3"/>
    <w:pPr>
      <w:numPr>
        <w:numId w:val="143"/>
      </w:numPr>
    </w:pPr>
  </w:style>
  <w:style w:type="paragraph" w:customStyle="1" w:styleId="Tiret4">
    <w:name w:val="Tiret 4"/>
    <w:basedOn w:val="Point4"/>
    <w:pPr>
      <w:numPr>
        <w:numId w:val="1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5"/>
      </w:numPr>
    </w:pPr>
  </w:style>
  <w:style w:type="paragraph" w:customStyle="1" w:styleId="NumPar2">
    <w:name w:val="NumPar 2"/>
    <w:basedOn w:val="Normal"/>
    <w:next w:val="Text1"/>
    <w:pPr>
      <w:numPr>
        <w:ilvl w:val="1"/>
        <w:numId w:val="145"/>
      </w:numPr>
    </w:pPr>
  </w:style>
  <w:style w:type="paragraph" w:customStyle="1" w:styleId="NumPar3">
    <w:name w:val="NumPar 3"/>
    <w:basedOn w:val="Normal"/>
    <w:next w:val="Text1"/>
    <w:pPr>
      <w:numPr>
        <w:ilvl w:val="2"/>
        <w:numId w:val="145"/>
      </w:numPr>
    </w:pPr>
  </w:style>
  <w:style w:type="paragraph" w:customStyle="1" w:styleId="NumPar4">
    <w:name w:val="NumPar 4"/>
    <w:basedOn w:val="Normal"/>
    <w:next w:val="Text1"/>
    <w:pPr>
      <w:numPr>
        <w:ilvl w:val="3"/>
        <w:numId w:val="1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7"/>
      </w:numPr>
    </w:pPr>
  </w:style>
  <w:style w:type="paragraph" w:customStyle="1" w:styleId="Point1number">
    <w:name w:val="Point 1 (number)"/>
    <w:basedOn w:val="Normal"/>
    <w:pPr>
      <w:numPr>
        <w:ilvl w:val="2"/>
        <w:numId w:val="147"/>
      </w:numPr>
    </w:pPr>
  </w:style>
  <w:style w:type="paragraph" w:customStyle="1" w:styleId="Point2number">
    <w:name w:val="Point 2 (number)"/>
    <w:basedOn w:val="Normal"/>
    <w:pPr>
      <w:numPr>
        <w:ilvl w:val="4"/>
        <w:numId w:val="147"/>
      </w:numPr>
    </w:pPr>
  </w:style>
  <w:style w:type="paragraph" w:customStyle="1" w:styleId="Point3number">
    <w:name w:val="Point 3 (number)"/>
    <w:basedOn w:val="Normal"/>
    <w:pPr>
      <w:numPr>
        <w:ilvl w:val="6"/>
        <w:numId w:val="147"/>
      </w:numPr>
    </w:pPr>
  </w:style>
  <w:style w:type="paragraph" w:customStyle="1" w:styleId="Point0letter">
    <w:name w:val="Point 0 (letter)"/>
    <w:basedOn w:val="Normal"/>
    <w:pPr>
      <w:numPr>
        <w:ilvl w:val="1"/>
        <w:numId w:val="147"/>
      </w:numPr>
    </w:pPr>
  </w:style>
  <w:style w:type="paragraph" w:customStyle="1" w:styleId="Point1letter">
    <w:name w:val="Point 1 (letter)"/>
    <w:basedOn w:val="Normal"/>
    <w:pPr>
      <w:numPr>
        <w:ilvl w:val="3"/>
        <w:numId w:val="147"/>
      </w:numPr>
    </w:pPr>
  </w:style>
  <w:style w:type="paragraph" w:customStyle="1" w:styleId="Point2letter">
    <w:name w:val="Point 2 (letter)"/>
    <w:basedOn w:val="Normal"/>
    <w:pPr>
      <w:numPr>
        <w:ilvl w:val="5"/>
        <w:numId w:val="147"/>
      </w:numPr>
    </w:pPr>
  </w:style>
  <w:style w:type="paragraph" w:customStyle="1" w:styleId="Point3letter">
    <w:name w:val="Point 3 (letter)"/>
    <w:basedOn w:val="Normal"/>
    <w:pPr>
      <w:numPr>
        <w:ilvl w:val="7"/>
        <w:numId w:val="147"/>
      </w:numPr>
    </w:pPr>
  </w:style>
  <w:style w:type="paragraph" w:customStyle="1" w:styleId="Point4letter">
    <w:name w:val="Point 4 (letter)"/>
    <w:basedOn w:val="Normal"/>
    <w:pPr>
      <w:numPr>
        <w:ilvl w:val="8"/>
        <w:numId w:val="147"/>
      </w:numPr>
    </w:pPr>
  </w:style>
  <w:style w:type="paragraph" w:customStyle="1" w:styleId="Bullet0">
    <w:name w:val="Bullet 0"/>
    <w:basedOn w:val="Normal"/>
    <w:pPr>
      <w:numPr>
        <w:numId w:val="148"/>
      </w:numPr>
    </w:pPr>
  </w:style>
  <w:style w:type="paragraph" w:customStyle="1" w:styleId="Bullet1">
    <w:name w:val="Bullet 1"/>
    <w:basedOn w:val="Normal"/>
    <w:pPr>
      <w:numPr>
        <w:numId w:val="149"/>
      </w:numPr>
    </w:pPr>
  </w:style>
  <w:style w:type="paragraph" w:customStyle="1" w:styleId="Bullet2">
    <w:name w:val="Bullet 2"/>
    <w:basedOn w:val="Normal"/>
    <w:pPr>
      <w:numPr>
        <w:numId w:val="150"/>
      </w:numPr>
    </w:pPr>
  </w:style>
  <w:style w:type="paragraph" w:customStyle="1" w:styleId="Bullet3">
    <w:name w:val="Bullet 3"/>
    <w:basedOn w:val="Normal"/>
    <w:pPr>
      <w:numPr>
        <w:numId w:val="151"/>
      </w:numPr>
    </w:pPr>
  </w:style>
  <w:style w:type="paragraph" w:customStyle="1" w:styleId="Bullet4">
    <w:name w:val="Bullet 4"/>
    <w:basedOn w:val="Normal"/>
    <w:pPr>
      <w:numPr>
        <w:numId w:val="15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80645">
      <w:bodyDiv w:val="1"/>
      <w:marLeft w:val="0"/>
      <w:marRight w:val="0"/>
      <w:marTop w:val="0"/>
      <w:marBottom w:val="0"/>
      <w:divBdr>
        <w:top w:val="none" w:sz="0" w:space="0" w:color="auto"/>
        <w:left w:val="none" w:sz="0" w:space="0" w:color="auto"/>
        <w:bottom w:val="none" w:sz="0" w:space="0" w:color="auto"/>
        <w:right w:val="none" w:sz="0" w:space="0" w:color="auto"/>
      </w:divBdr>
    </w:div>
    <w:div w:id="650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6CAD-DA9B-4BA3-BFDE-75E831C7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79</Pages>
  <Words>23320</Words>
  <Characters>129895</Characters>
  <Application>Microsoft Office Word</Application>
  <DocSecurity>0</DocSecurity>
  <Lines>2886</Lines>
  <Paragraphs>1761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BERNSEL Johanna (ENTR)</dc:creator>
  <cp:lastModifiedBy>DIGIT/A3</cp:lastModifiedBy>
  <cp:revision>8</cp:revision>
  <cp:lastPrinted>2016-03-03T09:39:00Z</cp:lastPrinted>
  <dcterms:created xsi:type="dcterms:W3CDTF">2016-03-11T16:04:00Z</dcterms:created>
  <dcterms:modified xsi:type="dcterms:W3CDTF">2016-03-16T12:15:00Z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5</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