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9B2FBECB5E3475BA723012F812841E5" style="width:450.45pt;height:334.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istParagraph"/>
        <w:numPr>
          <w:ilvl w:val="0"/>
          <w:numId w:val="1"/>
        </w:numPr>
        <w:spacing w:after="240" w:line="240" w:lineRule="auto"/>
        <w:contextualSpacing w:val="0"/>
        <w:rPr>
          <w:rFonts w:ascii="Times New Roman" w:eastAsia="MS Mincho" w:hAnsi="Times New Roman" w:cs="Times New Roman"/>
          <w:b/>
          <w:smallCaps/>
          <w:noProof/>
          <w:sz w:val="24"/>
          <w:szCs w:val="28"/>
          <w:u w:val="single"/>
        </w:rPr>
      </w:pPr>
      <w:bookmarkStart w:id="1" w:name="_GoBack"/>
      <w:bookmarkEnd w:id="1"/>
      <w:r>
        <w:rPr>
          <w:rFonts w:ascii="Times New Roman" w:hAnsi="Times New Roman"/>
          <w:b/>
          <w:smallCaps/>
          <w:noProof/>
          <w:sz w:val="24"/>
          <w:u w:val="single"/>
        </w:rPr>
        <w:lastRenderedPageBreak/>
        <w:t>Úvod</w:t>
      </w:r>
    </w:p>
    <w:p>
      <w:pPr>
        <w:spacing w:after="180" w:line="240" w:lineRule="auto"/>
        <w:jc w:val="both"/>
        <w:rPr>
          <w:rFonts w:ascii="Times New Roman" w:eastAsia="Times New Roman" w:hAnsi="Times New Roman"/>
          <w:noProof/>
          <w:sz w:val="24"/>
          <w:szCs w:val="24"/>
        </w:rPr>
      </w:pPr>
      <w:r>
        <w:rPr>
          <w:rFonts w:ascii="Times New Roman" w:hAnsi="Times New Roman"/>
          <w:noProof/>
          <w:sz w:val="24"/>
        </w:rPr>
        <w:t>V tomto oznámení o jadrovom objasňujúcom programe (PINC), ktoré sa vyžaduje podľa článku 40 Zmluvy o Euratome, sa uvádza prehľad investícií v EÚ v súvislosti so všetkými fázami životného cyklu jadrových zariadení. Ide o prvé takéto oznámenie od havárie v jadrovej elektrárni Fukušima Daiiči v marci 2011, ktoré Komisia predkladá.</w:t>
      </w:r>
    </w:p>
    <w:p>
      <w:pPr>
        <w:spacing w:after="180" w:line="240" w:lineRule="auto"/>
        <w:jc w:val="both"/>
        <w:rPr>
          <w:rFonts w:ascii="Times New Roman" w:eastAsia="Times New Roman" w:hAnsi="Times New Roman"/>
          <w:iCs/>
          <w:noProof/>
          <w:sz w:val="24"/>
          <w:szCs w:val="24"/>
        </w:rPr>
      </w:pPr>
      <w:r>
        <w:rPr>
          <w:rFonts w:ascii="Times New Roman" w:hAnsi="Times New Roman"/>
          <w:noProof/>
          <w:sz w:val="24"/>
        </w:rPr>
        <w:t>Jadrová energia je súčasťou energetického mixu v polovici členských štátov EÚ. V tých krajinách, ktoré sa rozhodli ju využívať, jadrová energia zohráva úlohu pri zaisťovaní bezpečnosti dodávok elektrickej energie. V tejto súvislosti sa v stratégii energetickej únie</w:t>
      </w:r>
      <w:r>
        <w:rPr>
          <w:rStyle w:val="FootnoteReference"/>
          <w:rFonts w:ascii="Times New Roman" w:hAnsi="Times New Roman"/>
          <w:noProof/>
          <w:sz w:val="24"/>
        </w:rPr>
        <w:footnoteReference w:id="2"/>
      </w:r>
      <w:r>
        <w:rPr>
          <w:rFonts w:ascii="Times New Roman" w:hAnsi="Times New Roman"/>
          <w:noProof/>
          <w:sz w:val="24"/>
        </w:rPr>
        <w:t xml:space="preserve"> a európskej stratégii energetickej bezpečnosti</w:t>
      </w:r>
      <w:r>
        <w:rPr>
          <w:rStyle w:val="FootnoteReference"/>
          <w:rFonts w:ascii="Times New Roman" w:hAnsi="Times New Roman"/>
          <w:noProof/>
          <w:sz w:val="24"/>
        </w:rPr>
        <w:footnoteReference w:id="3"/>
      </w:r>
      <w:r>
        <w:rPr>
          <w:rFonts w:ascii="Times New Roman" w:hAnsi="Times New Roman"/>
          <w:noProof/>
          <w:sz w:val="24"/>
        </w:rPr>
        <w:t xml:space="preserve"> zdôrazňuje, že je potrebné, aby členské štáty uplatňovali najvyššie štandardy v oblasti bezpečnosti, bezpečnostnej ochrany, nakladania s odpadom a prevencie šírenia jadrového materiálu a aby diverzifikovali dodávky jadrového paliva. To prispeje k dosiahnutiu cieľov rámca politík v oblasti klímy a energetiky na obdobie do roku 2030.</w:t>
      </w:r>
    </w:p>
    <w:p>
      <w:pPr>
        <w:spacing w:after="180" w:line="240" w:lineRule="auto"/>
        <w:jc w:val="both"/>
        <w:rPr>
          <w:rFonts w:ascii="Times New Roman" w:eastAsia="Times New Roman" w:hAnsi="Times New Roman"/>
          <w:iCs/>
          <w:noProof/>
          <w:sz w:val="24"/>
          <w:szCs w:val="24"/>
        </w:rPr>
      </w:pPr>
      <w:r>
        <w:rPr>
          <w:rFonts w:ascii="Times New Roman" w:hAnsi="Times New Roman"/>
          <w:noProof/>
          <w:sz w:val="24"/>
        </w:rPr>
        <w:t>Keďže v EÚ sa 27 % elektrickej energie vyrobí z jadrovej energie a 27 % z obnoviteľných zdrojov</w:t>
      </w:r>
      <w:r>
        <w:rPr>
          <w:rFonts w:ascii="Times New Roman" w:hAnsi="Times New Roman"/>
          <w:noProof/>
          <w:sz w:val="24"/>
          <w:vertAlign w:val="superscript"/>
        </w:rPr>
        <w:footnoteReference w:id="4"/>
      </w:r>
      <w:r>
        <w:rPr>
          <w:rFonts w:ascii="Times New Roman" w:hAnsi="Times New Roman"/>
          <w:noProof/>
          <w:sz w:val="24"/>
        </w:rPr>
        <w:t>, Únia je v súčasnosti jednou z troch významných ekonomík</w:t>
      </w:r>
      <w:r>
        <w:rPr>
          <w:rFonts w:ascii="Times New Roman" w:hAnsi="Times New Roman"/>
          <w:noProof/>
          <w:sz w:val="24"/>
          <w:vertAlign w:val="superscript"/>
        </w:rPr>
        <w:footnoteReference w:id="5"/>
      </w:r>
      <w:r>
        <w:rPr>
          <w:rFonts w:ascii="Times New Roman" w:hAnsi="Times New Roman"/>
          <w:noProof/>
          <w:sz w:val="24"/>
        </w:rPr>
        <w:t xml:space="preserve">, ktoré získavajú viac ako polovicu svojej elektrickej energie bez emisií skleníkových plynov. </w:t>
      </w:r>
    </w:p>
    <w:p>
      <w:pPr>
        <w:spacing w:after="180" w:line="240" w:lineRule="auto"/>
        <w:jc w:val="both"/>
        <w:rPr>
          <w:rFonts w:ascii="Times New Roman" w:eastAsia="Times New Roman" w:hAnsi="Times New Roman"/>
          <w:iCs/>
          <w:noProof/>
          <w:sz w:val="24"/>
          <w:szCs w:val="24"/>
        </w:rPr>
      </w:pPr>
      <w:r>
        <w:rPr>
          <w:rFonts w:ascii="Times New Roman" w:hAnsi="Times New Roman"/>
          <w:noProof/>
          <w:sz w:val="24"/>
        </w:rPr>
        <w:t>PINC poskytuje východisko na diskusiu o tom, ako môže jadrová energia prispieť k dosiahnutiu cieľov EÚ v oblasti energetiky. Keďže jadrová bezpečnosť je pre Komisiu naďalej absolútnou prioritou, PINC sa osobitne venuje investíciám do zvyšovania bezpečnosti po havárii vo Fukušime, ako aj investíciám, ktoré súvisia s dlhodobou prevádzku existujúcich jadrových elektrární. Keďže sa jadrový priemysel EÚ navyše dostáva do novej etapy, ktorá sa vyznačuje zintenzívnením činností na konci životného cyklu, PINC prispeje aj k fundovanej diskusii o súvisiacich investičných potrebách a riadení jadrových záväzkov.</w:t>
      </w:r>
    </w:p>
    <w:p>
      <w:pPr>
        <w:spacing w:after="180" w:line="240" w:lineRule="auto"/>
        <w:jc w:val="both"/>
        <w:rPr>
          <w:rFonts w:ascii="Times New Roman" w:eastAsia="Times New Roman" w:hAnsi="Times New Roman"/>
          <w:noProof/>
          <w:sz w:val="24"/>
          <w:szCs w:val="24"/>
          <w:highlight w:val="yellow"/>
        </w:rPr>
      </w:pPr>
      <w:r>
        <w:rPr>
          <w:rFonts w:ascii="Times New Roman" w:hAnsi="Times New Roman"/>
          <w:noProof/>
          <w:sz w:val="24"/>
        </w:rPr>
        <w:t>Takisto sa v ňom riešia otázky týkajúce sa investícií do výskumných reaktorov a súvisiaceho jadrového palivového cyklu a zároveň aj výroba rádioizotopov na lekárske účely.</w:t>
      </w:r>
    </w:p>
    <w:p>
      <w:pPr>
        <w:pStyle w:val="ListParagraph"/>
        <w:numPr>
          <w:ilvl w:val="0"/>
          <w:numId w:val="1"/>
        </w:numPr>
        <w:spacing w:before="300" w:after="240" w:line="240" w:lineRule="auto"/>
        <w:contextualSpacing w:val="0"/>
        <w:rPr>
          <w:rFonts w:ascii="Times New Roman" w:eastAsia="MS Mincho" w:hAnsi="Times New Roman" w:cs="Times New Roman"/>
          <w:b/>
          <w:smallCaps/>
          <w:noProof/>
          <w:sz w:val="24"/>
          <w:szCs w:val="28"/>
          <w:u w:val="single"/>
        </w:rPr>
      </w:pPr>
      <w:r>
        <w:rPr>
          <w:rFonts w:ascii="Times New Roman" w:hAnsi="Times New Roman"/>
          <w:b/>
          <w:smallCaps/>
          <w:noProof/>
          <w:sz w:val="24"/>
          <w:u w:val="single"/>
        </w:rPr>
        <w:t>Jadrová energia</w:t>
      </w:r>
    </w:p>
    <w:p>
      <w:pPr>
        <w:pStyle w:val="ListParagraph"/>
        <w:numPr>
          <w:ilvl w:val="1"/>
          <w:numId w:val="1"/>
        </w:numPr>
        <w:spacing w:before="300" w:after="240" w:line="240" w:lineRule="auto"/>
        <w:contextualSpacing w:val="0"/>
        <w:rPr>
          <w:rFonts w:ascii="Times New Roman Bold" w:eastAsia="MS Mincho" w:hAnsi="Times New Roman Bold" w:cs="Times New Roman"/>
          <w:b/>
          <w:noProof/>
          <w:sz w:val="24"/>
          <w:szCs w:val="28"/>
          <w:u w:val="single"/>
        </w:rPr>
      </w:pPr>
      <w:r>
        <w:rPr>
          <w:rFonts w:ascii="Times New Roman Bold" w:hAnsi="Times New Roman Bold"/>
          <w:b/>
          <w:noProof/>
          <w:sz w:val="24"/>
          <w:u w:val="single"/>
        </w:rPr>
        <w:t>Aktuálny vývoj v oblasti jadrovej politiky</w:t>
      </w:r>
    </w:p>
    <w:p>
      <w:pPr>
        <w:spacing w:after="180" w:line="240" w:lineRule="auto"/>
        <w:jc w:val="both"/>
        <w:rPr>
          <w:rFonts w:ascii="Times New Roman" w:hAnsi="Times New Roman" w:cs="Times New Roman"/>
          <w:bCs/>
          <w:iCs/>
          <w:noProof/>
          <w:sz w:val="24"/>
          <w:szCs w:val="24"/>
        </w:rPr>
      </w:pPr>
      <w:r>
        <w:rPr>
          <w:rFonts w:ascii="Times New Roman" w:hAnsi="Times New Roman"/>
          <w:noProof/>
          <w:sz w:val="24"/>
        </w:rPr>
        <w:t>V 14 členských štátoch je v prevádzke 129 jadrových reaktorov s celkovým výkonom 120 GWe, ktoré majú priemerný vek približne 30 rokov. Projekty výstavby nových zariadení sa plánujú v 10 členských štátoch, pričom vo výstavbe už sú štyri reaktory vo Fínsku, Francúzsku a na Slovensku. Ďalšie projekty vo Fínsku, Maďarsku a v Spojenom kráľovstve sú v procese udeľovania licencií, zatiaľ čo projekty v ďalších členských štátoch (Bulharsko, Česká republika, Litva, Poľsko a Rumunsko) sú v prípravnej fáze. Spojené kráľovstvo nedávno oznámilo svoj zámer zatvoriť do roku 2025 všetky uhoľné elektrárne a chýbajúce kapacity nahradiť hlavne novými plynovými a jadrovými elektrárňami.</w:t>
      </w:r>
    </w:p>
    <w:p>
      <w:pPr>
        <w:spacing w:after="180" w:line="240" w:lineRule="auto"/>
        <w:jc w:val="both"/>
        <w:rPr>
          <w:rFonts w:ascii="Times New Roman" w:hAnsi="Times New Roman"/>
          <w:iCs/>
          <w:noProof/>
          <w:sz w:val="24"/>
          <w:szCs w:val="24"/>
        </w:rPr>
      </w:pPr>
      <w:r>
        <w:rPr>
          <w:rFonts w:ascii="Times New Roman" w:hAnsi="Times New Roman"/>
          <w:noProof/>
          <w:sz w:val="24"/>
        </w:rPr>
        <w:t xml:space="preserve">V nadchádzajúcich desaťročiach budú mnohé krajiny v Európe, ako aj vo zvyšku sveta využívať na výrobu časti svojej elektrickej energie jadrovú energiu. EÚ má najmodernejší právne záväzný a vymáhateľný regionálny rámec pre jadrovú bezpečnosť na svete a napriek rozdielnym názorom na elektrickú energiu vyrobenú z jadra, ktoré panujú medzi členskými štátmi, existuje spoločné presvedčenie, že na bezpečné a zodpovedné využívanie jadrovej energie a ochranu občanov pred žiarením treba zabezpečiť čo najvyššie štandardy. </w:t>
      </w:r>
    </w:p>
    <w:p>
      <w:pPr>
        <w:spacing w:after="180" w:line="240" w:lineRule="auto"/>
        <w:jc w:val="both"/>
        <w:rPr>
          <w:rFonts w:ascii="Times New Roman" w:hAnsi="Times New Roman"/>
          <w:iCs/>
          <w:noProof/>
          <w:sz w:val="24"/>
          <w:szCs w:val="24"/>
        </w:rPr>
      </w:pPr>
      <w:r>
        <w:rPr>
          <w:rFonts w:ascii="Times New Roman" w:hAnsi="Times New Roman"/>
          <w:noProof/>
          <w:sz w:val="24"/>
        </w:rPr>
        <w:t>Od predchádzajúcej aktualizácie PINC v roku 2008 zaznamenala situácia v EÚ v oblasti jadrovej energie výrazné zmeny. Po havárii v jadrovej elektrárni Fukušima Daiiči sa uskutočnili komplexné posúdenia rizika a bezpečnosti (záťažové testy) jadrových reaktorov v EÚ a boli prijaté kľúčové právne predpisy o jadrovej bezpečnosti</w:t>
      </w:r>
      <w:r>
        <w:rPr>
          <w:rStyle w:val="FootnoteReference"/>
          <w:rFonts w:ascii="Times New Roman" w:hAnsi="Times New Roman"/>
          <w:noProof/>
          <w:sz w:val="24"/>
        </w:rPr>
        <w:footnoteReference w:id="6"/>
      </w:r>
      <w:r>
        <w:rPr>
          <w:rFonts w:ascii="Times New Roman" w:hAnsi="Times New Roman"/>
          <w:noProof/>
          <w:sz w:val="24"/>
        </w:rPr>
        <w:t>, nakladaní s rádioaktívnym odpadom a vyhoretým palivom</w:t>
      </w:r>
      <w:r>
        <w:rPr>
          <w:rStyle w:val="FootnoteReference"/>
          <w:rFonts w:ascii="Times New Roman" w:hAnsi="Times New Roman"/>
          <w:noProof/>
          <w:sz w:val="24"/>
        </w:rPr>
        <w:footnoteReference w:id="7"/>
      </w:r>
      <w:r>
        <w:rPr>
          <w:rFonts w:ascii="Times New Roman" w:hAnsi="Times New Roman"/>
          <w:noProof/>
          <w:sz w:val="24"/>
        </w:rPr>
        <w:t xml:space="preserve"> a ochrane pred žiarením</w:t>
      </w:r>
      <w:r>
        <w:rPr>
          <w:rStyle w:val="FootnoteReference"/>
          <w:rFonts w:ascii="Times New Roman" w:hAnsi="Times New Roman"/>
          <w:noProof/>
          <w:sz w:val="24"/>
        </w:rPr>
        <w:footnoteReference w:id="8"/>
      </w:r>
      <w:r>
        <w:rPr>
          <w:rFonts w:ascii="Times New Roman" w:hAnsi="Times New Roman"/>
          <w:noProof/>
          <w:sz w:val="24"/>
        </w:rPr>
        <w:t xml:space="preserve">. </w:t>
      </w:r>
    </w:p>
    <w:p>
      <w:pPr>
        <w:spacing w:after="180" w:line="240" w:lineRule="auto"/>
        <w:jc w:val="both"/>
        <w:rPr>
          <w:rFonts w:ascii="Times New Roman" w:hAnsi="Times New Roman"/>
          <w:iCs/>
          <w:noProof/>
          <w:sz w:val="24"/>
          <w:szCs w:val="24"/>
        </w:rPr>
      </w:pPr>
      <w:r>
        <w:rPr>
          <w:rFonts w:ascii="Times New Roman" w:hAnsi="Times New Roman"/>
          <w:noProof/>
          <w:sz w:val="24"/>
        </w:rPr>
        <w:t xml:space="preserve">Aj keď sa pri záťažových testoch zistilo, že bezpečnostné štandardy jadrových elektrární v EÚ, vo Švajčiarsku a na Ukrajine sú vysoké, boli odporučené ďalšie zlepšenia. Prevádzkovatelia jadrových zariadení ich zavádzajú v súlade s národnými akčnými plánmi posúdenými skupinou ENSREG. </w:t>
      </w:r>
    </w:p>
    <w:p>
      <w:pPr>
        <w:spacing w:after="180" w:line="240" w:lineRule="auto"/>
        <w:jc w:val="both"/>
        <w:rPr>
          <w:rFonts w:ascii="Times New Roman" w:hAnsi="Times New Roman"/>
          <w:iCs/>
          <w:noProof/>
          <w:sz w:val="24"/>
          <w:szCs w:val="24"/>
        </w:rPr>
      </w:pPr>
      <w:r>
        <w:rPr>
          <w:rFonts w:ascii="Times New Roman" w:hAnsi="Times New Roman"/>
          <w:noProof/>
          <w:sz w:val="24"/>
        </w:rPr>
        <w:t>V zmenenej smernici o jadrovej bezpečnosti</w:t>
      </w:r>
      <w:r>
        <w:rPr>
          <w:rFonts w:ascii="Times New Roman" w:hAnsi="Times New Roman"/>
          <w:noProof/>
          <w:sz w:val="24"/>
          <w:vertAlign w:val="superscript"/>
        </w:rPr>
        <w:t>5</w:t>
      </w:r>
      <w:r>
        <w:rPr>
          <w:rFonts w:ascii="Times New Roman" w:hAnsi="Times New Roman"/>
          <w:noProof/>
          <w:sz w:val="24"/>
        </w:rPr>
        <w:t xml:space="preserve"> sa bezpečnostné štandardy jadrových zariadení dostávajú na vyššiu úroveň. Pre celú EÚ sa v nej vytyčuje jasný cieľ znížiť riziko havárií a predchádzať veľkým únikom rádioaktívnych látok. Zároveň sa v nej zavádza požiadavka týkajúca sa európskeho systému partnerského hodnotenia, v rámci ktorého sa v šesťročných intervaloch hodnotia špecifické aspekty bezpečnosti. Tieto požiadavky sa musia zohľadňovať vždy, keď sa investuje do nových jadrových zariadení, a pokiaľ je to uskutočniteľné, aj pri modernizácii existujúcich zariadení.</w:t>
      </w:r>
    </w:p>
    <w:p>
      <w:pPr>
        <w:spacing w:after="180" w:line="240" w:lineRule="auto"/>
        <w:jc w:val="both"/>
        <w:rPr>
          <w:rFonts w:ascii="Times New Roman" w:hAnsi="Times New Roman"/>
          <w:iCs/>
          <w:noProof/>
          <w:sz w:val="24"/>
          <w:szCs w:val="24"/>
        </w:rPr>
      </w:pPr>
      <w:r>
        <w:rPr>
          <w:rFonts w:ascii="Times New Roman" w:hAnsi="Times New Roman"/>
          <w:noProof/>
          <w:sz w:val="24"/>
        </w:rPr>
        <w:t>Začiatkom roku 2015 zohral Euratom kľúčovú úlohu pri zabezpečení prijatia Viedenskej deklarácie. V tejto deklarácii sa zmluvné strany Dohovoru o jadrovej bezpečnosti Medzinárodnej agentúry pre atómovú energiu zaväzujú, že dosiahnu bezpečnostné štandardy porovnateľné s tými, ktoré sú stanovené v zmenenej smernici o jadrovej bezpečnosti. Keďže využívanie jadrovej energie je rozšírené na všetkých kontinentoch a počet jej dodávateľov rastie, je dôležité zabezpečiť, aby sa vysoké bezpečnostné štandardy uplatňovali v celosvetovom meradle a aby sa neporušovali používaním lacnejších alebo zastaraných technológií.</w:t>
      </w:r>
    </w:p>
    <w:p>
      <w:pPr>
        <w:spacing w:after="180" w:line="240" w:lineRule="auto"/>
        <w:jc w:val="both"/>
        <w:rPr>
          <w:rFonts w:ascii="Times New Roman" w:hAnsi="Times New Roman"/>
          <w:iCs/>
          <w:noProof/>
          <w:sz w:val="24"/>
          <w:szCs w:val="24"/>
        </w:rPr>
      </w:pPr>
      <w:r>
        <w:rPr>
          <w:rFonts w:ascii="Times New Roman" w:hAnsi="Times New Roman"/>
          <w:noProof/>
          <w:sz w:val="24"/>
        </w:rPr>
        <w:t>Právny rámec EÚ si vyžaduje zvýšenú transparentnosť a účasť verejnosti na riešení otázok využívania jadrovej energie a rovnako aj zlepšenie spolupráce medzi všetkými zainteresovanými stranami. Vo všetkých uvedených smerniciach o jadrovej bezpečnosti, nakladaní s rádioaktívnym odpadom a ochrane pred žiarením sa stanovujú požiadavky týkajúce sa dostupnosti informácií a účasti verejnosti. Spolupráca medzi orgánmi pre jadrovú bezpečnosť členských štátov EÚ v súčasnosti hladko funguje vďaka Skupine európskych regulačných orgánov pre jadrovú bezpečnosť. Komisia bude okrem toho aj naďalej podporovať dialóg medzi zainteresovanými stranami v rámci Európskeho fóra pre jadrovú energiu.</w:t>
      </w:r>
    </w:p>
    <w:p>
      <w:pPr>
        <w:pStyle w:val="ListParagraph"/>
        <w:keepNext/>
        <w:numPr>
          <w:ilvl w:val="1"/>
          <w:numId w:val="1"/>
        </w:numPr>
        <w:spacing w:before="300" w:after="240" w:line="240" w:lineRule="auto"/>
        <w:ind w:left="788" w:hanging="431"/>
        <w:contextualSpacing w:val="0"/>
        <w:rPr>
          <w:rFonts w:ascii="Times New Roman" w:hAnsi="Times New Roman" w:cs="Times New Roman"/>
          <w:b/>
          <w:iCs/>
          <w:noProof/>
          <w:sz w:val="24"/>
          <w:szCs w:val="24"/>
          <w:u w:val="single"/>
        </w:rPr>
      </w:pPr>
      <w:r>
        <w:rPr>
          <w:rFonts w:ascii="Times New Roman" w:hAnsi="Times New Roman"/>
          <w:b/>
          <w:noProof/>
          <w:sz w:val="24"/>
          <w:u w:val="single"/>
        </w:rPr>
        <w:t>Trh s jadrovou energiou v EÚ a hlavné tendencie jeho vývoja</w:t>
      </w:r>
    </w:p>
    <w:p>
      <w:pPr>
        <w:spacing w:after="180" w:line="240" w:lineRule="auto"/>
        <w:jc w:val="both"/>
        <w:rPr>
          <w:rFonts w:ascii="Times New Roman" w:hAnsi="Times New Roman" w:cs="Times New Roman"/>
          <w:iCs/>
          <w:noProof/>
          <w:sz w:val="24"/>
          <w:szCs w:val="24"/>
        </w:rPr>
      </w:pPr>
      <w:r>
        <w:rPr>
          <w:rFonts w:ascii="Times New Roman" w:hAnsi="Times New Roman"/>
          <w:noProof/>
          <w:sz w:val="24"/>
        </w:rPr>
        <w:t>Vzhľadom na potenciálny vplyv vývoja v iných regiónoch na jadrový priemysel EÚ, celosvetovú jadrovú bezpečnosť, bezpečnostnú ochranu, zdravie a verejnú mienku treba trh s jadrovou energiou v EÚ skúmať v globálnom kontexte. Ďalej by sa mala posilňovať spolupráca s kandidátskymi krajinami EÚ a susednými krajinami, najmä s Ukrajinou, Bieloruskom, Tureckom a Arménskom. Bezpečnostné záťažové testy sa už uskutočnili na Ukrajine, v Arménsku sa majú ukončiť v roku 2016 a naplánované sú v Bielorusku a Turecku.</w:t>
      </w:r>
    </w:p>
    <w:p>
      <w:pPr>
        <w:spacing w:after="180" w:line="240" w:lineRule="auto"/>
        <w:jc w:val="both"/>
        <w:rPr>
          <w:rFonts w:ascii="Times New Roman" w:hAnsi="Times New Roman" w:cs="Times New Roman"/>
          <w:iCs/>
          <w:noProof/>
          <w:sz w:val="24"/>
          <w:szCs w:val="24"/>
        </w:rPr>
      </w:pPr>
      <w:r>
        <w:rPr>
          <w:rFonts w:ascii="Times New Roman" w:hAnsi="Times New Roman"/>
          <w:noProof/>
          <w:sz w:val="24"/>
        </w:rPr>
        <w:t>Jadrový priemysel EÚ sa stal svetovým lídrom v oblasti technológií vo všetkých segmentoch jadrového priemyslu a priamo zamestnáva 400 000 až 500 000 osôb</w:t>
      </w:r>
      <w:r>
        <w:rPr>
          <w:rStyle w:val="FootnoteReference"/>
          <w:rFonts w:ascii="Times New Roman" w:hAnsi="Times New Roman"/>
          <w:noProof/>
          <w:sz w:val="24"/>
        </w:rPr>
        <w:footnoteReference w:id="9"/>
      </w:r>
      <w:r>
        <w:rPr>
          <w:rFonts w:ascii="Times New Roman" w:hAnsi="Times New Roman"/>
          <w:noProof/>
          <w:sz w:val="24"/>
        </w:rPr>
        <w:t>, pričom nepriamo sa naň viaže okolo 400 000 ďalších pracovných miest</w:t>
      </w:r>
      <w:r>
        <w:rPr>
          <w:rStyle w:val="FootnoteReference"/>
          <w:rFonts w:ascii="Times New Roman" w:hAnsi="Times New Roman"/>
          <w:noProof/>
          <w:sz w:val="24"/>
        </w:rPr>
        <w:footnoteReference w:id="10"/>
      </w:r>
      <w:r>
        <w:rPr>
          <w:rFonts w:ascii="Times New Roman" w:hAnsi="Times New Roman"/>
          <w:noProof/>
          <w:sz w:val="24"/>
        </w:rPr>
        <w:t>. Táto úloha lídra môže na celosvetovej úrovni znamenať dôležitú výhodu. Investičné potreby súvisiace s využívaním jadrovej energie sa na svetovom trhu odhadujú približne na 3 bilióny EUR do roku 2050</w:t>
      </w:r>
      <w:r>
        <w:rPr>
          <w:rFonts w:ascii="Times New Roman" w:hAnsi="Times New Roman"/>
          <w:noProof/>
          <w:sz w:val="24"/>
          <w:vertAlign w:val="superscript"/>
        </w:rPr>
        <w:footnoteReference w:id="11"/>
      </w:r>
      <w:r>
        <w:rPr>
          <w:rFonts w:ascii="Times New Roman" w:hAnsi="Times New Roman"/>
          <w:noProof/>
          <w:sz w:val="24"/>
        </w:rPr>
        <w:t>, pričom väčšina z nich sa očakáva v Ázii. Predpokladá sa, že do roku 2040 vzrastie počet krajín prevádzkujúcich jadrové reaktory a celosvetový inštalovaný výkon jadrových zariadení. Len inštalovaný výkon jadrových zariadení samotnej Číny podľa predpokladov vzrastie o 125 GWe, teda o hodnotu vyššiu, než je súčasný výkon v EÚ (120 GWe), Spojených štátoch (104 GWe) a Rusku (25 GWe).</w:t>
      </w:r>
    </w:p>
    <w:p>
      <w:pPr>
        <w:spacing w:after="240" w:line="240" w:lineRule="auto"/>
        <w:jc w:val="both"/>
        <w:rPr>
          <w:rFonts w:ascii="Times New Roman" w:hAnsi="Times New Roman"/>
          <w:iCs/>
          <w:noProof/>
          <w:sz w:val="24"/>
          <w:szCs w:val="24"/>
        </w:rPr>
      </w:pPr>
      <w:r>
        <w:rPr>
          <w:rFonts w:ascii="Times New Roman" w:hAnsi="Times New Roman"/>
          <w:noProof/>
          <w:sz w:val="24"/>
        </w:rPr>
        <w:t>Vzhľadom na to, že niektoré členské štáty sa rozhodli postupne ukončiť využívanie jadrovej energie alebo znížiť jej podiel na energetickom mixe</w:t>
      </w:r>
      <w:r>
        <w:rPr>
          <w:rStyle w:val="FootnoteReference"/>
          <w:rFonts w:ascii="Times New Roman" w:hAnsi="Times New Roman"/>
          <w:noProof/>
          <w:sz w:val="24"/>
        </w:rPr>
        <w:footnoteReference w:id="12"/>
      </w:r>
      <w:r>
        <w:rPr>
          <w:rFonts w:ascii="Times New Roman" w:hAnsi="Times New Roman"/>
          <w:noProof/>
          <w:sz w:val="24"/>
        </w:rPr>
        <w:t>, Komisia predpovedá na úrovni EÚ do roku 2025 pokles kapacity na výrobu jadrovej energie. Do roku 2030 by sa tento trend mal zvrátiť, keďže sa predpokladá, že do siete sa pripoja nové reaktory a predĺži sa životnosť ďalších reaktorov. Výkon jadrových zariadení sa mierne zvýši a do roku 2050 zostane stabilne na úrovni 95 až 105 GWe</w:t>
      </w:r>
      <w:r>
        <w:rPr>
          <w:rStyle w:val="FootnoteReference"/>
          <w:rFonts w:ascii="Times New Roman" w:hAnsi="Times New Roman"/>
          <w:noProof/>
          <w:sz w:val="24"/>
        </w:rPr>
        <w:footnoteReference w:id="13"/>
      </w:r>
      <w:r>
        <w:rPr>
          <w:rFonts w:ascii="Times New Roman" w:hAnsi="Times New Roman"/>
          <w:noProof/>
          <w:sz w:val="24"/>
        </w:rPr>
        <w:t xml:space="preserve"> (obrázok 1). Keďže v rovnakom období sa očakáva nárast dopytu po elektrickej energii, podiel elektrickej energie vyrobenej z jadra v EÚ klesne zo súčasnej úrovne 27 % na úroveň okolo 20 %.</w:t>
      </w:r>
    </w:p>
    <w:p>
      <w:pPr>
        <w:spacing w:after="180"/>
        <w:jc w:val="center"/>
        <w:rPr>
          <w:rFonts w:ascii="Times New Roman" w:hAnsi="Times New Roman"/>
          <w:b/>
          <w:bCs/>
          <w:iCs/>
          <w:noProof/>
          <w:sz w:val="24"/>
          <w:szCs w:val="24"/>
        </w:rPr>
      </w:pPr>
      <w:r>
        <w:rPr>
          <w:rFonts w:ascii="Times New Roman" w:hAnsi="Times New Roman"/>
          <w:b/>
          <w:noProof/>
          <w:sz w:val="24"/>
        </w:rPr>
        <w:t xml:space="preserve">Obrázok </w:t>
      </w:r>
      <w:r>
        <w:rPr>
          <w:rFonts w:ascii="Times New Roman" w:hAnsi="Times New Roman"/>
          <w:b/>
          <w:bCs/>
          <w:iCs/>
          <w:noProof/>
          <w:sz w:val="24"/>
          <w:szCs w:val="24"/>
        </w:rPr>
        <w:fldChar w:fldCharType="begin"/>
      </w:r>
      <w:r>
        <w:rPr>
          <w:rFonts w:ascii="Times New Roman" w:hAnsi="Times New Roman"/>
          <w:b/>
          <w:bCs/>
          <w:iCs/>
          <w:noProof/>
          <w:sz w:val="24"/>
          <w:szCs w:val="24"/>
        </w:rPr>
        <w:instrText xml:space="preserve"> SEQ Figure \* ARABIC </w:instrText>
      </w:r>
      <w:r>
        <w:rPr>
          <w:rFonts w:ascii="Times New Roman" w:hAnsi="Times New Roman"/>
          <w:b/>
          <w:bCs/>
          <w:iCs/>
          <w:noProof/>
          <w:sz w:val="24"/>
          <w:szCs w:val="24"/>
        </w:rPr>
        <w:fldChar w:fldCharType="separate"/>
      </w:r>
      <w:r>
        <w:rPr>
          <w:rFonts w:ascii="Times New Roman" w:hAnsi="Times New Roman"/>
          <w:b/>
          <w:bCs/>
          <w:iCs/>
          <w:noProof/>
          <w:sz w:val="24"/>
          <w:szCs w:val="24"/>
        </w:rPr>
        <w:t>1</w:t>
      </w:r>
      <w:r>
        <w:rPr>
          <w:rFonts w:ascii="Times New Roman" w:hAnsi="Times New Roman"/>
          <w:b/>
          <w:bCs/>
          <w:iCs/>
          <w:noProof/>
          <w:sz w:val="24"/>
          <w:szCs w:val="24"/>
        </w:rPr>
        <w:fldChar w:fldCharType="end"/>
      </w:r>
      <w:r>
        <w:rPr>
          <w:rFonts w:ascii="Times New Roman" w:hAnsi="Times New Roman"/>
          <w:b/>
          <w:noProof/>
          <w:sz w:val="24"/>
        </w:rPr>
        <w:t xml:space="preserve"> – Celkový výkon jadrových zariadení v EÚ (v GWe)</w:t>
      </w:r>
    </w:p>
    <w:p>
      <w:pPr>
        <w:spacing w:after="180"/>
        <w:jc w:val="center"/>
        <w:rPr>
          <w:rFonts w:ascii="Times New Roman" w:hAnsi="Times New Roman"/>
          <w:b/>
          <w:bCs/>
          <w:iCs/>
          <w:noProof/>
          <w:sz w:val="24"/>
          <w:szCs w:val="24"/>
        </w:rPr>
      </w:pPr>
      <w:r>
        <w:rPr>
          <w:noProof/>
          <w:lang w:val="en-US" w:eastAsia="en-US" w:bidi="ar-SA"/>
        </w:rPr>
        <w:drawing>
          <wp:inline distT="0" distB="0" distL="0" distR="0">
            <wp:extent cx="5822315" cy="3026080"/>
            <wp:effectExtent l="0" t="0" r="698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2315" cy="3026080"/>
                    </a:xfrm>
                    <a:prstGeom prst="rect">
                      <a:avLst/>
                    </a:prstGeom>
                    <a:noFill/>
                    <a:ln>
                      <a:noFill/>
                    </a:ln>
                  </pic:spPr>
                </pic:pic>
              </a:graphicData>
            </a:graphic>
          </wp:inline>
        </w:drawing>
      </w:r>
    </w:p>
    <w:p>
      <w:pPr>
        <w:spacing w:before="300" w:after="240" w:line="240" w:lineRule="auto"/>
        <w:jc w:val="both"/>
        <w:rPr>
          <w:rFonts w:ascii="Times New Roman" w:eastAsia="Times New Roman" w:hAnsi="Times New Roman"/>
          <w:noProof/>
          <w:sz w:val="24"/>
          <w:szCs w:val="24"/>
        </w:rPr>
      </w:pPr>
      <w:r>
        <w:rPr>
          <w:rFonts w:ascii="Times New Roman" w:hAnsi="Times New Roman"/>
          <w:noProof/>
          <w:sz w:val="24"/>
        </w:rPr>
        <w:t>Pri výmene kapacít sa bude do roku 2050 s najväčšou pravdepodobnosťou investovať do najpokročilejších reaktorov, ako sú EPR, AP 1000, VVER 1200, ACR 1000 a ABWR.</w:t>
      </w:r>
    </w:p>
    <w:p>
      <w:pPr>
        <w:pStyle w:val="ListParagraph"/>
        <w:numPr>
          <w:ilvl w:val="0"/>
          <w:numId w:val="1"/>
        </w:numPr>
        <w:spacing w:before="300" w:after="240" w:line="240" w:lineRule="auto"/>
        <w:contextualSpacing w:val="0"/>
        <w:jc w:val="both"/>
        <w:rPr>
          <w:rStyle w:val="IntenseReference"/>
          <w:b/>
          <w:smallCaps w:val="0"/>
          <w:noProof/>
          <w:sz w:val="24"/>
          <w:szCs w:val="24"/>
          <w:u w:val="single"/>
        </w:rPr>
      </w:pPr>
      <w:r>
        <w:rPr>
          <w:rStyle w:val="IntenseReference"/>
          <w:b/>
          <w:noProof/>
          <w:sz w:val="24"/>
          <w:u w:val="single"/>
        </w:rPr>
        <w:t>Investície súvisiace s využívaním jadrovej energie do roku 2050</w:t>
      </w:r>
    </w:p>
    <w:p>
      <w:pPr>
        <w:spacing w:before="300" w:after="180" w:line="240" w:lineRule="auto"/>
        <w:jc w:val="both"/>
        <w:rPr>
          <w:rStyle w:val="IntenseReference"/>
          <w:smallCaps w:val="0"/>
          <w:noProof/>
          <w:sz w:val="24"/>
          <w:szCs w:val="24"/>
        </w:rPr>
      </w:pPr>
      <w:r>
        <w:rPr>
          <w:rFonts w:ascii="Times New Roman" w:hAnsi="Times New Roman"/>
          <w:noProof/>
          <w:sz w:val="24"/>
        </w:rPr>
        <w:t>Na podporu transformácie energetického systému v súlade so stratégiou energetickej únie budú potrebné značné investície. V rokoch 2015 až 2050 bude treba do zásobovania energiou v EÚ investovať 3,2 až 4,2 mld. EUR</w:t>
      </w:r>
      <w:r>
        <w:rPr>
          <w:rStyle w:val="FootnoteReference"/>
          <w:rFonts w:ascii="Times New Roman" w:hAnsi="Times New Roman"/>
          <w:noProof/>
          <w:sz w:val="24"/>
        </w:rPr>
        <w:footnoteReference w:id="14"/>
      </w:r>
      <w:r>
        <w:rPr>
          <w:rFonts w:ascii="Times New Roman" w:hAnsi="Times New Roman"/>
          <w:noProof/>
          <w:sz w:val="24"/>
        </w:rPr>
        <w:t xml:space="preserve">. </w:t>
      </w:r>
    </w:p>
    <w:p>
      <w:pPr>
        <w:spacing w:before="120" w:after="180" w:line="240" w:lineRule="auto"/>
        <w:jc w:val="both"/>
        <w:rPr>
          <w:rStyle w:val="IntenseReference"/>
          <w:smallCaps w:val="0"/>
          <w:noProof/>
          <w:sz w:val="24"/>
          <w:szCs w:val="24"/>
        </w:rPr>
      </w:pPr>
      <w:r>
        <w:rPr>
          <w:rStyle w:val="IntenseReference"/>
          <w:smallCaps w:val="0"/>
          <w:noProof/>
          <w:sz w:val="24"/>
        </w:rPr>
        <w:t>Podľa článku 41 Zmluvy o Euratome sa musia všetky nové investičné projekty jadrových zariadení oznámiť Komisii. Od roku 2008 bolo oznámených celkovo 48 projektov. Deväť z nich sa týkalo zariadení určených na činnosti na začiatku jadrového palivového cyklu, 20 sa týkalo rozsiahlych zmien alebo modernizácií v jadrových elektrárňach v súvislosti s dlhodobou prevádzkou alebo so zlepšeniami po udalostiach vo Fukušime, v siedmich prípadoch išlo o nové komerčné alebo výskumné reaktory a v 12 prípadoch o zariadenia na konci jadrového palivového cyklu. K všetkým projektom Komisia vydala nezáväzné stanovisko, v ktorom poskytla jednotlivým členským štátom pripomienky a/alebo návrhy zlepšení, ktoré treba vziať do úvahy pri schvaľovaní týchto projektov. Osobitná pozornosť bola venovaná otázkam bezpečnosti, nakladania s odpadom, bezpečnostnej ochrany a bezpečnosti dodávok.</w:t>
      </w:r>
    </w:p>
    <w:p>
      <w:pPr>
        <w:spacing w:after="240" w:line="240" w:lineRule="auto"/>
        <w:jc w:val="both"/>
        <w:rPr>
          <w:rStyle w:val="IntenseReference"/>
          <w:smallCaps w:val="0"/>
          <w:noProof/>
          <w:sz w:val="24"/>
          <w:szCs w:val="24"/>
        </w:rPr>
      </w:pPr>
      <w:r>
        <w:rPr>
          <w:rStyle w:val="IntenseReference"/>
          <w:smallCaps w:val="0"/>
          <w:noProof/>
          <w:sz w:val="24"/>
        </w:rPr>
        <w:t>Neskôr v tomto roku Komisia navrhne aktualizáciu požiadaviek na tieto oznámenia a ich lepšie vymedzenie, čo spolu s odporúčaním o uplatňovaní článku 103 Zmluvy o Euratome posilní schopnosť Komisie zabezpečiť, aby nové investície a bilaterálne dohody s tretími krajinami v oblasti jadrovej energie boli v súlade s ustanoveniami Zmluvy o Euratome a aby odrážali najnovšie úvahy o bezpečnosti dodávok.</w:t>
      </w:r>
    </w:p>
    <w:p>
      <w:pPr>
        <w:pStyle w:val="ListParagraph"/>
        <w:numPr>
          <w:ilvl w:val="1"/>
          <w:numId w:val="1"/>
        </w:numPr>
        <w:spacing w:before="300" w:after="180" w:line="240" w:lineRule="auto"/>
        <w:ind w:left="788" w:hanging="431"/>
        <w:contextualSpacing w:val="0"/>
        <w:rPr>
          <w:rFonts w:ascii="Times New Roman" w:eastAsia="Times New Roman" w:hAnsi="Times New Roman"/>
          <w:b/>
          <w:noProof/>
          <w:sz w:val="24"/>
          <w:szCs w:val="24"/>
          <w:u w:val="single"/>
        </w:rPr>
      </w:pPr>
      <w:r>
        <w:rPr>
          <w:rFonts w:ascii="Times New Roman" w:hAnsi="Times New Roman"/>
          <w:b/>
          <w:noProof/>
          <w:sz w:val="24"/>
          <w:u w:val="single"/>
        </w:rPr>
        <w:t>Investície do činností na začiatku jadrového palivového cyklu</w:t>
      </w:r>
    </w:p>
    <w:p>
      <w:pPr>
        <w:spacing w:before="300" w:after="180" w:line="240" w:lineRule="auto"/>
        <w:jc w:val="both"/>
        <w:rPr>
          <w:rFonts w:ascii="Times New Roman" w:hAnsi="Times New Roman" w:cs="Times New Roman"/>
          <w:iCs/>
          <w:noProof/>
          <w:sz w:val="24"/>
          <w:szCs w:val="24"/>
        </w:rPr>
      </w:pPr>
      <w:r>
        <w:rPr>
          <w:rFonts w:ascii="Times New Roman" w:hAnsi="Times New Roman"/>
          <w:noProof/>
          <w:sz w:val="24"/>
        </w:rPr>
        <w:t>Proces výroby paliva (začiatok jadrového palivového cyklu) zahŕňa rôzne fázy, ktoré siahajú od prieskumu a ťažby uránovej rudy až po výrobu palivových článkov.</w:t>
      </w:r>
    </w:p>
    <w:p>
      <w:pPr>
        <w:spacing w:before="120" w:after="180" w:line="240" w:lineRule="auto"/>
        <w:jc w:val="both"/>
        <w:rPr>
          <w:rFonts w:ascii="Times New Roman" w:hAnsi="Times New Roman" w:cs="Times New Roman"/>
          <w:iCs/>
          <w:noProof/>
          <w:sz w:val="24"/>
          <w:szCs w:val="24"/>
        </w:rPr>
      </w:pPr>
      <w:r>
        <w:rPr>
          <w:rFonts w:ascii="Times New Roman" w:hAnsi="Times New Roman"/>
          <w:noProof/>
          <w:sz w:val="24"/>
        </w:rPr>
        <w:t>V EÚ sú síce činnosti spojené s ťažbou uránu obmedzené, na celom svete sú však k dispozícii rozsiahle zdroje tejto suroviny. Európske spoločnosti patria medzi hlavných svetových výrobcov jadrového paliva.</w:t>
      </w:r>
      <w:r>
        <w:rPr>
          <w:noProof/>
        </w:rPr>
        <w:t xml:space="preserve"> </w:t>
      </w:r>
    </w:p>
    <w:p>
      <w:pPr>
        <w:spacing w:after="180" w:line="240" w:lineRule="auto"/>
        <w:jc w:val="both"/>
        <w:rPr>
          <w:rFonts w:ascii="Times New Roman" w:eastAsia="Times New Roman" w:hAnsi="Times New Roman"/>
          <w:noProof/>
          <w:sz w:val="24"/>
          <w:szCs w:val="24"/>
        </w:rPr>
      </w:pPr>
      <w:r>
        <w:rPr>
          <w:rFonts w:ascii="Times New Roman" w:hAnsi="Times New Roman"/>
          <w:noProof/>
          <w:sz w:val="24"/>
        </w:rPr>
        <w:t>Dopyt po prírodnom uráne v EÚ predstavuje približne jednu tretinu celosvetového dopytu a pokrýva ho rad dodávateľov z rôznych krajín. V roku 2014 bol hlavným dodávateľom Kazachstan (27 %), nasledovaný Ruskom (18 %) a Nigerom (15 %). Austrália pokrývala 14 % a Kanada 13 % dodávok.</w:t>
      </w:r>
    </w:p>
    <w:p>
      <w:pPr>
        <w:spacing w:before="120" w:after="180" w:line="240" w:lineRule="auto"/>
        <w:jc w:val="both"/>
        <w:rPr>
          <w:rFonts w:ascii="Times New Roman" w:eastAsia="Times New Roman" w:hAnsi="Times New Roman"/>
          <w:noProof/>
          <w:sz w:val="24"/>
          <w:szCs w:val="24"/>
        </w:rPr>
      </w:pPr>
      <w:r>
        <w:rPr>
          <w:rFonts w:ascii="Times New Roman" w:hAnsi="Times New Roman"/>
          <w:noProof/>
          <w:sz w:val="24"/>
        </w:rPr>
        <w:t>V súlade s európskou stratégiou energetickej bezpečnosti Komisia podniká kroky na zabezpečenie dobre fungujúceho vnútorného trhu s jadrovým palivom a na ďalšie zvýšenie bezpečnosti dodávok. Zásobovacia agentúra Euratomu (ESA) neustále hodnotí tieto aspekty vo svojich rozhodnutiach o zákazkách na dodanie tovaru, pričom osobitnú pozornosť venuje projektom výstavby nových zariadení.</w:t>
      </w:r>
    </w:p>
    <w:p>
      <w:pPr>
        <w:spacing w:before="120" w:after="180" w:line="240" w:lineRule="auto"/>
        <w:jc w:val="both"/>
        <w:rPr>
          <w:rFonts w:ascii="Times New Roman" w:eastAsia="Times New Roman" w:hAnsi="Times New Roman"/>
          <w:noProof/>
          <w:sz w:val="24"/>
          <w:szCs w:val="24"/>
        </w:rPr>
      </w:pPr>
      <w:r>
        <w:rPr>
          <w:rFonts w:ascii="Times New Roman" w:hAnsi="Times New Roman"/>
          <w:noProof/>
          <w:sz w:val="24"/>
        </w:rPr>
        <w:t>Niektoré spoločnosti ponúkajú integrované balíky služieb zahŕňajúce celý jadrový palivový cyklus. Komisia zabezpečí, aby táto schopnosť nepredstavovala prekážku pre ostatné spoločnosti, ktoré pôsobia v jednom jedinom segmente jadrového cyklu, pretože to by obmedzilo hospodársku súťaž na trhu.</w:t>
      </w:r>
    </w:p>
    <w:p>
      <w:pPr>
        <w:spacing w:after="180" w:line="240" w:lineRule="auto"/>
        <w:jc w:val="both"/>
        <w:rPr>
          <w:rFonts w:ascii="Times New Roman" w:hAnsi="Times New Roman" w:cs="Times New Roman"/>
          <w:iCs/>
          <w:noProof/>
          <w:sz w:val="24"/>
          <w:szCs w:val="24"/>
        </w:rPr>
      </w:pPr>
      <w:r>
        <w:rPr>
          <w:rFonts w:ascii="Times New Roman" w:hAnsi="Times New Roman"/>
          <w:noProof/>
          <w:sz w:val="24"/>
        </w:rPr>
        <w:t>V minulosti prúdili značné investície do kapacít na konverziu a obohacovanie jadrového paliva a v nasledujúcich rokoch sa pozornosť sústredí na ich modernizáciu s cieľom zachovať vedúce postavenie EÚ v oblasti týchto technológií. Pokiaľ ide o výrobu jadrového paliva, kapacita umiestnená v EÚ by bola schopná pokryť všetky potreby reaktorov západnej konštrukcie v Únii, vývoj a schvaľovanie palivových kaziet pre reaktory ruskej konštrukcie by však trvali niekoľko rokov (za predpokladu, že je k dispozícii dostatočne veľký trh na to, aby boli investície atraktívne pre priemysel). Komisia bude naďalej monitorovať začiatok jadrového palivového cyklu a využije všetky nástroje, ktoré má k dispozícii, aby zabezpečila bezpečnosť dodávok energie v EÚ, diverzifikáciu a hospodársku súťaž medzi dodávateľmi z celého sveta.</w:t>
      </w:r>
    </w:p>
    <w:p>
      <w:pPr>
        <w:pStyle w:val="ListParagraph"/>
        <w:numPr>
          <w:ilvl w:val="1"/>
          <w:numId w:val="1"/>
        </w:numPr>
        <w:spacing w:before="300" w:after="180" w:line="240" w:lineRule="auto"/>
        <w:ind w:left="788" w:hanging="431"/>
        <w:contextualSpacing w:val="0"/>
        <w:rPr>
          <w:rFonts w:ascii="Times New Roman" w:eastAsia="Times New Roman" w:hAnsi="Times New Roman"/>
          <w:b/>
          <w:noProof/>
          <w:sz w:val="24"/>
          <w:szCs w:val="24"/>
          <w:u w:val="single"/>
        </w:rPr>
      </w:pPr>
      <w:r>
        <w:rPr>
          <w:rFonts w:ascii="Times New Roman" w:hAnsi="Times New Roman"/>
          <w:b/>
          <w:noProof/>
          <w:sz w:val="24"/>
          <w:u w:val="single"/>
        </w:rPr>
        <w:t>Investície a podnikateľské prostredie pre nové jadrové elektrárne</w:t>
      </w:r>
    </w:p>
    <w:p>
      <w:pPr>
        <w:spacing w:after="180" w:line="240" w:lineRule="auto"/>
        <w:jc w:val="both"/>
        <w:rPr>
          <w:rFonts w:ascii="Times New Roman" w:hAnsi="Times New Roman"/>
          <w:iCs/>
          <w:noProof/>
          <w:sz w:val="24"/>
          <w:szCs w:val="24"/>
        </w:rPr>
      </w:pPr>
      <w:r>
        <w:rPr>
          <w:rFonts w:ascii="Times New Roman" w:hAnsi="Times New Roman"/>
          <w:noProof/>
          <w:sz w:val="24"/>
        </w:rPr>
        <w:t>Všetky členské štáty prevádzkujúce jadrové elektrárne investujú do zvýšenia ich bezpečnosti. Vzhľadom na priemerný vek jadrových elektrární v EÚ boli viaceré členské štáty konfrontované aj s politickými rozhodnutiami o tom, či svoje jadrové elektrárne nahradia alebo ich budú dlhodobo prevádzkovať.</w:t>
      </w:r>
    </w:p>
    <w:p>
      <w:pPr>
        <w:spacing w:after="180" w:line="240" w:lineRule="auto"/>
        <w:jc w:val="both"/>
        <w:rPr>
          <w:rFonts w:ascii="Times New Roman" w:hAnsi="Times New Roman"/>
          <w:iCs/>
          <w:noProof/>
          <w:sz w:val="24"/>
          <w:szCs w:val="24"/>
        </w:rPr>
      </w:pPr>
      <w:r>
        <w:rPr>
          <w:rFonts w:ascii="Times New Roman" w:hAnsi="Times New Roman"/>
          <w:noProof/>
          <w:sz w:val="24"/>
        </w:rPr>
        <w:t>Ako je znázornené na obrázku 1, bez programov dlhodobej prevádzky by do roku 2030 došlo k odstaveniu približne 90 % existujúcich reaktorov, v dôsledku čoho by vznikla potreba nahradiť veľké množstvo kapacity. Ak sa členské štáty rozhodnú pre dlhodobú prevádzku reaktorov, je na zabezpečenie súladu so smernicou o jadrovej bezpečnosti potrebné schválenie vnútroštátnymi regulačnými orgánmi a zvýšenie bezpečnosti. Bez ohľadu na to, pre ktorú možnosť sa členské štáty rozhodnú, do roku 2050 bude treba nahradiť 90 % súčasnej výrobnej kapacity elektrickej energie z jadra.</w:t>
      </w:r>
    </w:p>
    <w:p>
      <w:pPr>
        <w:spacing w:after="180" w:line="240" w:lineRule="auto"/>
        <w:jc w:val="both"/>
        <w:rPr>
          <w:rFonts w:ascii="Times New Roman" w:eastAsia="Times New Roman" w:hAnsi="Times New Roman"/>
          <w:noProof/>
          <w:sz w:val="24"/>
          <w:szCs w:val="24"/>
        </w:rPr>
      </w:pPr>
      <w:r>
        <w:rPr>
          <w:rFonts w:ascii="Times New Roman" w:hAnsi="Times New Roman"/>
          <w:noProof/>
          <w:sz w:val="24"/>
        </w:rPr>
        <w:t>Udržanie výrobnej kapacity jadrovej energie v EÚ na úrovni 95 až 105 GWe do roku 2050 a neskôr by si počas nasledujúcich 35 rokov vyžiadalo ďalšie investície. Do nových elektrární, ktoré by nahradili väčšinu z existujúcej kapacity jadrovej energie, by sa muselo investovať 350 až 450 mld. EUR. Keďže nové jadrové elektrárne sú navrhnuté tak, aby sa mohli prevádzkovať aspoň 60 rokov, mohli by vyrábať elektrickú energiu až do konca storočia.</w:t>
      </w:r>
    </w:p>
    <w:p>
      <w:pPr>
        <w:spacing w:after="180" w:line="240" w:lineRule="auto"/>
        <w:jc w:val="both"/>
        <w:rPr>
          <w:rFonts w:ascii="Times New Roman" w:eastAsia="Times New Roman" w:hAnsi="Times New Roman"/>
          <w:noProof/>
          <w:sz w:val="24"/>
          <w:szCs w:val="24"/>
          <w:highlight w:val="yellow"/>
        </w:rPr>
      </w:pPr>
      <w:r>
        <w:rPr>
          <w:rStyle w:val="IntenseReference"/>
          <w:smallCaps w:val="0"/>
          <w:noProof/>
          <w:sz w:val="24"/>
        </w:rPr>
        <w:t>Dostupnosť financovania pre investície do nových jadrových kapacít ovplyvňujú viaceré faktory. Pokiaľ ide o dva hlavné nákladové prvky, náklady na výstavbu</w:t>
      </w:r>
      <w:r>
        <w:rPr>
          <w:rStyle w:val="FootnoteReference"/>
          <w:rFonts w:ascii="Times New Roman" w:hAnsi="Times New Roman"/>
          <w:noProof/>
          <w:spacing w:val="5"/>
          <w:sz w:val="24"/>
        </w:rPr>
        <w:footnoteReference w:id="15"/>
      </w:r>
      <w:r>
        <w:rPr>
          <w:rStyle w:val="IntenseReference"/>
          <w:smallCaps w:val="0"/>
          <w:noProof/>
          <w:sz w:val="24"/>
        </w:rPr>
        <w:t xml:space="preserve"> a náklady na financovanie, významnú úlohu zohráva očakávaná dĺžka výstavby a diskontná sadzba projektu. </w:t>
      </w:r>
    </w:p>
    <w:p>
      <w:pPr>
        <w:spacing w:after="180" w:line="240" w:lineRule="auto"/>
        <w:jc w:val="both"/>
        <w:rPr>
          <w:rFonts w:ascii="Times New Roman" w:hAnsi="Times New Roman" w:cs="Times New Roman"/>
          <w:noProof/>
          <w:sz w:val="24"/>
          <w:szCs w:val="24"/>
        </w:rPr>
      </w:pPr>
      <w:r>
        <w:rPr>
          <w:rStyle w:val="IntenseReference"/>
          <w:smallCaps w:val="0"/>
          <w:noProof/>
          <w:sz w:val="24"/>
        </w:rPr>
        <w:t>Vo viacerých členských štátoch EÚ sa skúmajú alebo využívajú rôzne modely financovania, napríklad program Contract for Difference (rozdielová zmluva)</w:t>
      </w:r>
      <w:r>
        <w:rPr>
          <w:rStyle w:val="FootnoteReference"/>
          <w:rFonts w:ascii="Times New Roman" w:hAnsi="Times New Roman"/>
          <w:noProof/>
          <w:spacing w:val="5"/>
          <w:sz w:val="24"/>
        </w:rPr>
        <w:footnoteReference w:id="16"/>
      </w:r>
      <w:r>
        <w:rPr>
          <w:rStyle w:val="IntenseReference"/>
          <w:smallCaps w:val="0"/>
          <w:noProof/>
          <w:sz w:val="24"/>
        </w:rPr>
        <w:t xml:space="preserve"> navrhnutý pre projekt Hinkley Point C v Spojenom kráľovstve alebo model Mankala</w:t>
      </w:r>
      <w:r>
        <w:rPr>
          <w:rStyle w:val="FootnoteReference"/>
          <w:rFonts w:ascii="Times New Roman" w:hAnsi="Times New Roman"/>
          <w:noProof/>
          <w:spacing w:val="5"/>
          <w:sz w:val="24"/>
        </w:rPr>
        <w:footnoteReference w:id="17"/>
      </w:r>
      <w:r>
        <w:rPr>
          <w:rStyle w:val="IntenseReference"/>
          <w:smallCaps w:val="0"/>
          <w:noProof/>
          <w:sz w:val="24"/>
        </w:rPr>
        <w:t xml:space="preserve"> navrhnutý pre projekt Hanhikivi vo Fínsku. </w:t>
      </w:r>
    </w:p>
    <w:p>
      <w:pPr>
        <w:spacing w:after="180" w:line="240" w:lineRule="auto"/>
        <w:jc w:val="both"/>
        <w:rPr>
          <w:rStyle w:val="IntenseReference"/>
          <w:smallCaps w:val="0"/>
          <w:noProof/>
          <w:sz w:val="24"/>
        </w:rPr>
      </w:pPr>
      <w:r>
        <w:rPr>
          <w:rFonts w:ascii="Times New Roman" w:hAnsi="Times New Roman"/>
          <w:noProof/>
          <w:spacing w:val="5"/>
          <w:sz w:val="24"/>
        </w:rPr>
        <w:t>Pri niektorých nových projektoch, ktoré sú zároveň prvé svojho druhu v EÚ, došlo k omeškaniu a prekročeniu stanovených nákladov. V budúcnosti by mali projekty, ktoré sa zakladajú na rovnakej technológii, profitovať zo získaných skúseností a možností zníženia nákladov. Musí sa však zaviesť zodpovedajúca politika.</w:t>
      </w:r>
    </w:p>
    <w:p>
      <w:pPr>
        <w:spacing w:after="180" w:line="240" w:lineRule="auto"/>
        <w:jc w:val="both"/>
        <w:rPr>
          <w:rStyle w:val="IntenseReference"/>
          <w:rFonts w:eastAsia="Times New Roman"/>
          <w:smallCaps w:val="0"/>
          <w:noProof/>
          <w:sz w:val="24"/>
          <w:szCs w:val="24"/>
        </w:rPr>
      </w:pPr>
      <w:r>
        <w:rPr>
          <w:rStyle w:val="IntenseReference"/>
          <w:smallCaps w:val="0"/>
          <w:noProof/>
          <w:sz w:val="24"/>
        </w:rPr>
        <w:t xml:space="preserve">Táto politika by sa mala sústrediť na posilnenie spolupráce medzi regulačnými orgánmi pri </w:t>
      </w:r>
      <w:r>
        <w:rPr>
          <w:rStyle w:val="IntenseReference"/>
          <w:b/>
          <w:smallCaps w:val="0"/>
          <w:noProof/>
          <w:sz w:val="24"/>
        </w:rPr>
        <w:t>udeľovaní licencií</w:t>
      </w:r>
      <w:r>
        <w:rPr>
          <w:rStyle w:val="IntenseReference"/>
          <w:smallCaps w:val="0"/>
          <w:noProof/>
          <w:sz w:val="24"/>
        </w:rPr>
        <w:t xml:space="preserve"> na nové reaktory a na podporu odvetvia pri </w:t>
      </w:r>
      <w:r>
        <w:rPr>
          <w:rStyle w:val="IntenseReference"/>
          <w:b/>
          <w:smallCaps w:val="0"/>
          <w:noProof/>
          <w:sz w:val="24"/>
        </w:rPr>
        <w:t>štandardizácii</w:t>
      </w:r>
      <w:r>
        <w:rPr>
          <w:rStyle w:val="IntenseReference"/>
          <w:smallCaps w:val="0"/>
          <w:noProof/>
          <w:sz w:val="24"/>
        </w:rPr>
        <w:t xml:space="preserve"> konštrukcie jadrových reaktorov. To by okrem nákladovej efektívnosti prispelo k zvýšeniu bezpečnosti nových jadrových elektrární.</w:t>
      </w:r>
    </w:p>
    <w:p>
      <w:pPr>
        <w:spacing w:after="180" w:line="240" w:lineRule="auto"/>
        <w:jc w:val="both"/>
        <w:rPr>
          <w:rStyle w:val="IntenseReference"/>
          <w:rFonts w:eastAsia="Times New Roman"/>
          <w:smallCaps w:val="0"/>
          <w:noProof/>
          <w:sz w:val="24"/>
          <w:szCs w:val="24"/>
        </w:rPr>
      </w:pPr>
      <w:r>
        <w:rPr>
          <w:rStyle w:val="IntenseReference"/>
          <w:smallCaps w:val="0"/>
          <w:noProof/>
          <w:sz w:val="24"/>
        </w:rPr>
        <w:t xml:space="preserve">Proces </w:t>
      </w:r>
      <w:r>
        <w:rPr>
          <w:rStyle w:val="IntenseReference"/>
          <w:b/>
          <w:smallCaps w:val="0"/>
          <w:noProof/>
          <w:sz w:val="24"/>
        </w:rPr>
        <w:t>udeľovania licencií</w:t>
      </w:r>
      <w:r>
        <w:rPr>
          <w:rStyle w:val="IntenseReference"/>
          <w:smallCaps w:val="0"/>
          <w:noProof/>
          <w:sz w:val="24"/>
        </w:rPr>
        <w:t xml:space="preserve"> je síce vo výlučnej právomoci národných regulačných orgánov pre jadrovú bezpečnosť, zároveň však vytvára príležitosti na posilnenie spolupráce, napríklad vo fázach pred udelením licencie alebo pri osvedčovaní konštrukčných riešení.</w:t>
      </w:r>
    </w:p>
    <w:p>
      <w:pPr>
        <w:spacing w:after="180" w:line="240" w:lineRule="auto"/>
        <w:jc w:val="both"/>
        <w:rPr>
          <w:rStyle w:val="IntenseReference"/>
          <w:rFonts w:eastAsia="Times New Roman"/>
          <w:smallCaps w:val="0"/>
          <w:noProof/>
          <w:sz w:val="24"/>
          <w:szCs w:val="24"/>
          <w:lang w:eastAsia="en-GB" w:bidi="ar-SA"/>
        </w:rPr>
      </w:pPr>
      <w:r>
        <w:rPr>
          <w:rStyle w:val="IntenseReference"/>
          <w:rFonts w:eastAsia="Times New Roman"/>
          <w:smallCaps w:val="0"/>
          <w:noProof/>
          <w:sz w:val="24"/>
          <w:szCs w:val="24"/>
          <w:lang w:eastAsia="en-GB" w:bidi="ar-SA"/>
        </w:rPr>
        <w:t>Cieľom spolupráce v oblasti požiadaviek pri udeľovaní licencií je zabezpečiť, aby sa konštrukcia, ktorá sa považuje za bezpečnú v jednej krajine, nemusela v záujme splnenia licenčných požiadaviek v inej krajine podstatne meniť, čím sa ušetrí čas i náklady. V tejto oblasti Komisia zamýšľa uskutočniť konzultácie so Skupinou európskych regulačných orgánov pre jadrovú bezpečnosť a s Európskou sieťou organizácií pre technickú bezpečnosť.</w:t>
      </w:r>
    </w:p>
    <w:p>
      <w:pPr>
        <w:spacing w:after="180" w:line="240" w:lineRule="auto"/>
        <w:jc w:val="both"/>
        <w:rPr>
          <w:rStyle w:val="IntenseReference"/>
          <w:noProof/>
          <w:sz w:val="24"/>
          <w:lang w:eastAsia="en-US" w:bidi="ar-SA"/>
        </w:rPr>
      </w:pPr>
      <w:r>
        <w:rPr>
          <w:rStyle w:val="IntenseReference"/>
          <w:smallCaps w:val="0"/>
          <w:noProof/>
          <w:sz w:val="24"/>
          <w:lang w:eastAsia="en-US" w:bidi="ar-SA"/>
        </w:rPr>
        <w:t xml:space="preserve">Pokiaľ ide o </w:t>
      </w:r>
      <w:r>
        <w:rPr>
          <w:rStyle w:val="IntenseReference"/>
          <w:b/>
          <w:smallCaps w:val="0"/>
          <w:noProof/>
          <w:sz w:val="24"/>
          <w:lang w:eastAsia="en-US" w:bidi="ar-SA"/>
        </w:rPr>
        <w:t>štandardizáciu</w:t>
      </w:r>
      <w:r>
        <w:rPr>
          <w:rStyle w:val="IntenseReference"/>
          <w:smallCaps w:val="0"/>
          <w:noProof/>
          <w:sz w:val="24"/>
          <w:lang w:eastAsia="en-US" w:bidi="ar-SA"/>
        </w:rPr>
        <w:t>, všetci aktéri zapojení do projektovania a výstavby elektrární a iných jadrových zariadení</w:t>
      </w:r>
      <w:r>
        <w:rPr>
          <w:rStyle w:val="IntenseReference"/>
          <w:noProof/>
          <w:lang w:eastAsia="en-US" w:bidi="ar-SA"/>
        </w:rPr>
        <w:footnoteReference w:id="18"/>
      </w:r>
      <w:r>
        <w:rPr>
          <w:rStyle w:val="IntenseReference"/>
          <w:smallCaps w:val="0"/>
          <w:noProof/>
          <w:sz w:val="24"/>
          <w:lang w:eastAsia="en-US" w:bidi="ar-SA"/>
        </w:rPr>
        <w:t xml:space="preserve"> používajú ako spoločnú referenciu stavebné predpisy. Vzhľadom na príchod potenciálnych nových dodávateľov a na potrebu zabezpečiť kontrolu všetkých nových modelov/technológií by bolo prospešné podnecovať poskytovateľov a dodávateľov k tomu, aby sa zapojili do iniciatívy zameranej na vyššiu štandardizáciu ich komponentov a predpisov v záujme zabezpečenia a) rýchlejšieho procesu obstarávania, b) lepšej porovnateľnosti a transparentnejších a vyšších bezpečnostných štandardov, c) zvýšenia kapacity prevádzkovateľov na kontrolu technológií a riadenie poznatkov. Keďže sa dôraz kladie na optimalizáciu využívania existujúcich zdrojov, ako aj na vzájomné uznávanie s cieľom vytvoriť viac príležitostí, Komisia pozorne sleduje prácu Európskeho výboru pre normalizáciu, aby zistila, aké politické riešenia by mohli byť potrebné na úrovni EÚ.</w:t>
      </w:r>
    </w:p>
    <w:p>
      <w:pPr>
        <w:pStyle w:val="ListParagraph"/>
        <w:numPr>
          <w:ilvl w:val="1"/>
          <w:numId w:val="1"/>
        </w:numPr>
        <w:spacing w:before="300" w:after="180" w:line="240" w:lineRule="auto"/>
        <w:ind w:left="788" w:hanging="431"/>
        <w:contextualSpacing w:val="0"/>
        <w:jc w:val="both"/>
        <w:rPr>
          <w:rFonts w:ascii="Times New Roman" w:hAnsi="Times New Roman"/>
          <w:b/>
          <w:iCs/>
          <w:noProof/>
          <w:sz w:val="24"/>
          <w:szCs w:val="24"/>
          <w:u w:val="single"/>
        </w:rPr>
      </w:pPr>
      <w:r>
        <w:rPr>
          <w:rFonts w:ascii="Times New Roman" w:hAnsi="Times New Roman"/>
          <w:b/>
          <w:noProof/>
          <w:sz w:val="24"/>
          <w:u w:val="single"/>
        </w:rPr>
        <w:t>Investície a podnikateľské prostredie v súvislosti so zvyšovaním bezpečnosti a s dlhodobou prevádzkou existujúcich jadrových elektrární</w:t>
      </w:r>
    </w:p>
    <w:p>
      <w:pPr>
        <w:autoSpaceDE w:val="0"/>
        <w:autoSpaceDN w:val="0"/>
        <w:adjustRightInd w:val="0"/>
        <w:spacing w:after="120" w:line="240" w:lineRule="auto"/>
        <w:jc w:val="both"/>
        <w:rPr>
          <w:rFonts w:ascii="Times New Roman" w:hAnsi="Times New Roman"/>
          <w:noProof/>
          <w:sz w:val="24"/>
        </w:rPr>
      </w:pPr>
      <w:r>
        <w:rPr>
          <w:rFonts w:ascii="Times New Roman" w:hAnsi="Times New Roman"/>
          <w:noProof/>
          <w:sz w:val="24"/>
        </w:rPr>
        <w:t>Aby sa sústavne zvyšovala jadrová bezpečnosť, pravidelne sa vykonávajú opatrenia na zvýšenie odolnosti jadrových elektrární, najmä v nadväznosti na špecifické hodnotenia, periodické hodnotenia bezpečnosti alebo partnerské hodnotenia, ako sú záťažové testy EÚ.</w:t>
      </w:r>
    </w:p>
    <w:p>
      <w:pPr>
        <w:autoSpaceDE w:val="0"/>
        <w:autoSpaceDN w:val="0"/>
        <w:adjustRightInd w:val="0"/>
        <w:spacing w:after="120" w:line="240" w:lineRule="auto"/>
        <w:jc w:val="both"/>
        <w:rPr>
          <w:rFonts w:ascii="Times New Roman" w:hAnsi="Times New Roman"/>
          <w:noProof/>
          <w:sz w:val="24"/>
        </w:rPr>
      </w:pPr>
      <w:r>
        <w:rPr>
          <w:rFonts w:ascii="Times New Roman" w:hAnsi="Times New Roman"/>
          <w:noProof/>
          <w:sz w:val="24"/>
        </w:rPr>
        <w:t>Mnohí prevádzkovatelia v Európe vyjadrili zámer prevádzkovať svoje jadrové elektrárne dlhšie, než sa predpokladalo v pôvodnom projekte. Z hľadiska jadrovej bezpečnosti si predĺženie prevádzky jadrovej elektrárne vyžaduje dve veci: preukázanie a udržiavanie súladu elektrárne s platnými regulačnými požiadavkami a zvýšenie bezpečnosti elektrárne.</w:t>
      </w:r>
    </w:p>
    <w:p>
      <w:pPr>
        <w:spacing w:after="180" w:line="240" w:lineRule="auto"/>
        <w:jc w:val="both"/>
        <w:rPr>
          <w:rStyle w:val="IntenseReference"/>
          <w:rFonts w:eastAsia="Times New Roman"/>
          <w:smallCaps w:val="0"/>
          <w:noProof/>
          <w:sz w:val="24"/>
          <w:szCs w:val="24"/>
        </w:rPr>
      </w:pPr>
      <w:r>
        <w:rPr>
          <w:rStyle w:val="IntenseReference"/>
          <w:smallCaps w:val="0"/>
          <w:noProof/>
          <w:sz w:val="24"/>
        </w:rPr>
        <w:t>Na základe informácií poskytnutých členskými štátmi sa podľa odhadov bude musieť do dlhodobej prevádzky existujúcich reaktorov do roku 2050 investovať 45 až 50 mld. EUR. V súlade s článkom 41 Zmluvy o Euratome bude potrebné príslušné investičné projekty oznámiť Komisii, ktorá k nim vydá stanovisko.</w:t>
      </w:r>
    </w:p>
    <w:p>
      <w:pPr>
        <w:spacing w:after="180" w:line="240" w:lineRule="auto"/>
        <w:jc w:val="both"/>
        <w:rPr>
          <w:rStyle w:val="IntenseReference"/>
          <w:rFonts w:eastAsia="Times New Roman"/>
          <w:smallCaps w:val="0"/>
          <w:noProof/>
          <w:sz w:val="24"/>
          <w:szCs w:val="24"/>
        </w:rPr>
      </w:pPr>
      <w:r>
        <w:rPr>
          <w:rStyle w:val="IntenseReference"/>
          <w:smallCaps w:val="0"/>
          <w:noProof/>
          <w:sz w:val="24"/>
        </w:rPr>
        <w:t>Vnútroštátne regulačné orgány predpokladajú, že schválenie programov dlhodobej prevádzky prinesie v závislosti od modelu a veku reaktora predĺženie životnosti v priemere o 10 až 20 rokov.</w:t>
      </w:r>
    </w:p>
    <w:p>
      <w:pPr>
        <w:spacing w:after="180" w:line="240" w:lineRule="auto"/>
        <w:jc w:val="both"/>
        <w:rPr>
          <w:rStyle w:val="IntenseReference"/>
          <w:rFonts w:eastAsia="Times New Roman"/>
          <w:smallCaps w:val="0"/>
          <w:noProof/>
          <w:sz w:val="24"/>
          <w:szCs w:val="24"/>
        </w:rPr>
      </w:pPr>
      <w:r>
        <w:rPr>
          <w:rFonts w:ascii="Times New Roman" w:hAnsi="Times New Roman"/>
          <w:noProof/>
          <w:sz w:val="24"/>
        </w:rPr>
        <w:t>Bezpečnostnú dokumentáciu súvisiacu s týmito plánmi musia verejné služby a regulačné orgány vypracovať, preveriť a schváliť v súlade so zmenenou smernicou o jadrovej bezpečnosti. Posilnenie spolupráce medzi regulačnými orgánmi pri udeľovaní licencií, napríklad v podobe stanovenia spoločných kritérií, prispeje k zabezpečeniu primeranej a včasnej reakcie na túto výzvu.</w:t>
      </w:r>
    </w:p>
    <w:p>
      <w:pPr>
        <w:pStyle w:val="ListParagraph"/>
        <w:numPr>
          <w:ilvl w:val="1"/>
          <w:numId w:val="1"/>
        </w:numPr>
        <w:spacing w:before="300" w:after="180" w:line="240" w:lineRule="auto"/>
        <w:ind w:left="788" w:hanging="431"/>
        <w:contextualSpacing w:val="0"/>
        <w:rPr>
          <w:rFonts w:ascii="Times New Roman" w:hAnsi="Times New Roman"/>
          <w:b/>
          <w:iCs/>
          <w:noProof/>
          <w:sz w:val="24"/>
          <w:szCs w:val="24"/>
          <w:u w:val="single"/>
        </w:rPr>
      </w:pPr>
      <w:r>
        <w:rPr>
          <w:rFonts w:ascii="Times New Roman" w:hAnsi="Times New Roman"/>
          <w:b/>
          <w:noProof/>
          <w:sz w:val="24"/>
          <w:u w:val="single"/>
        </w:rPr>
        <w:t>Zintenzívnenie činností na konci jadrového palivového cyklu: výzvy a príležitosti</w:t>
      </w:r>
    </w:p>
    <w:p>
      <w:pPr>
        <w:spacing w:line="240" w:lineRule="auto"/>
        <w:jc w:val="both"/>
        <w:rPr>
          <w:rFonts w:ascii="Times New Roman" w:hAnsi="Times New Roman"/>
          <w:iCs/>
          <w:noProof/>
          <w:sz w:val="24"/>
        </w:rPr>
      </w:pPr>
      <w:r>
        <w:rPr>
          <w:rFonts w:ascii="Times New Roman" w:hAnsi="Times New Roman"/>
          <w:noProof/>
          <w:sz w:val="24"/>
        </w:rPr>
        <w:t>Zvýšenú pozornosť si bude vyžadovať koniec jadrového palivového cyklu. Odhaduje sa, že viac ako 50 zo 129 reaktorov, ktoré sú v súčasnosti v EÚ v prevádzke, sa do roku 2025 odstaví. Preto bude treba dôkladne plánovať a posilniť spoluprácu medzi členskými štátmi. Všetky členské štáty EÚ prevádzkujúce jadrové elektrárne budú musieť prijať politicky citlivé rozhodnutia týkajúce sa geologického ukladania a dlhodobého nakladania s rádioaktívnym odpadom. Je dôležité, aby sa opatrenia a investičné rozhodnutia o týchto otázkach neodkladali.</w:t>
      </w:r>
    </w:p>
    <w:p>
      <w:pPr>
        <w:pStyle w:val="ListParagraph"/>
        <w:numPr>
          <w:ilvl w:val="2"/>
          <w:numId w:val="1"/>
        </w:numPr>
        <w:spacing w:before="300" w:after="180" w:line="240" w:lineRule="auto"/>
        <w:contextualSpacing w:val="0"/>
        <w:jc w:val="both"/>
        <w:rPr>
          <w:rFonts w:ascii="Times New Roman" w:hAnsi="Times New Roman"/>
          <w:noProof/>
          <w:sz w:val="24"/>
        </w:rPr>
      </w:pPr>
      <w:r>
        <w:rPr>
          <w:rFonts w:ascii="Times New Roman" w:hAnsi="Times New Roman"/>
          <w:noProof/>
          <w:sz w:val="24"/>
          <w:u w:val="single"/>
        </w:rPr>
        <w:t>Nakladanie s vyhoretým palivom a rádioaktívnym odpadom</w:t>
      </w:r>
    </w:p>
    <w:p>
      <w:pPr>
        <w:spacing w:line="240" w:lineRule="auto"/>
        <w:jc w:val="both"/>
        <w:rPr>
          <w:rFonts w:ascii="Times New Roman" w:hAnsi="Times New Roman"/>
          <w:noProof/>
          <w:sz w:val="24"/>
        </w:rPr>
      </w:pPr>
      <w:r>
        <w:rPr>
          <w:rFonts w:ascii="Times New Roman" w:hAnsi="Times New Roman"/>
          <w:noProof/>
          <w:sz w:val="24"/>
        </w:rPr>
        <w:t xml:space="preserve">V smernici o nakladaní s vyhoretým palivom a rádioaktívnym odpadom sa stanovujú právne záväzné požiadavky na bezpečné a zodpovedné dlhodobé nakladanie s rádioaktívnym odpadom a vyhoretým palivom s cieľom predísť neprimeranému zaťaženiu budúcich generácií. </w:t>
      </w:r>
    </w:p>
    <w:p>
      <w:pPr>
        <w:spacing w:line="240" w:lineRule="auto"/>
        <w:jc w:val="both"/>
        <w:rPr>
          <w:rFonts w:ascii="Times New Roman" w:hAnsi="Times New Roman"/>
          <w:noProof/>
          <w:sz w:val="24"/>
        </w:rPr>
      </w:pPr>
      <w:r>
        <w:rPr>
          <w:rFonts w:ascii="Times New Roman" w:hAnsi="Times New Roman"/>
          <w:noProof/>
          <w:sz w:val="24"/>
        </w:rPr>
        <w:t>Každý členský štát si môže určiť svoju politiku palivového cyklu. Vyhoreté palivo sa môže považovať buď za hodnotný zdroj, ktorý sa môže prepracovať, alebo za rádioaktívny odpad určený na priame uloženie. Bez ohľadu na vybratú možnosť by sa malo riešiť ukladanie vysokoaktívneho odpadu oddeleného v rámci prepracovania alebo vyhoretého paliva považovaného za odpad.</w:t>
      </w:r>
    </w:p>
    <w:p>
      <w:pPr>
        <w:spacing w:line="240" w:lineRule="auto"/>
        <w:jc w:val="both"/>
        <w:rPr>
          <w:rFonts w:ascii="Times New Roman" w:eastAsia="Times New Roman" w:hAnsi="Times New Roman"/>
          <w:bCs/>
          <w:noProof/>
          <w:sz w:val="24"/>
          <w:szCs w:val="24"/>
        </w:rPr>
      </w:pPr>
      <w:r>
        <w:rPr>
          <w:rFonts w:ascii="Times New Roman" w:hAnsi="Times New Roman"/>
          <w:noProof/>
          <w:sz w:val="24"/>
        </w:rPr>
        <w:t xml:space="preserve">Zariadenia na prepracovanie prevádzkuje Francúzsko a Spojené kráľovstvo, aj keď Spojené kráľovstvo sa rozhodlo toto zariadenie do roku 2018 vyradiť z prevádzky. V roku 2014 niektoré reaktory v Nemecku, Francúzsku a Holandsku využívali zmiešané oxidové palivo (MOX). </w:t>
      </w:r>
    </w:p>
    <w:p>
      <w:pPr>
        <w:spacing w:line="240" w:lineRule="auto"/>
        <w:jc w:val="both"/>
        <w:rPr>
          <w:rFonts w:ascii="Times New Roman" w:hAnsi="Times New Roman"/>
          <w:noProof/>
          <w:sz w:val="24"/>
        </w:rPr>
      </w:pPr>
      <w:r>
        <w:rPr>
          <w:rFonts w:ascii="Times New Roman" w:hAnsi="Times New Roman"/>
          <w:noProof/>
          <w:sz w:val="24"/>
        </w:rPr>
        <w:t>Vo väčšine členských štátov sú už v prevádzke úložiská nízkoaktívneho a stredneaktívneho odpadu. Prevádzkovatelia prechádzajú od výskumu k praxi a začínajú s výstavbou prvých geologických úložísk vysokoaktívneho odpadu a vyhoretého paliva na svete. Takéto úložiská by mali začať fungovať vo Fínsku, Švédsku a Francúzsku v období rokov 2020 až 2030. Tieto odborné znalosti by mali využiť ďalšie európske podniky, aby mohli konsolidovať požadované zručnosti a know-how a vytvárať obchodné príležitosti na globálnej úrovni.</w:t>
      </w:r>
    </w:p>
    <w:p>
      <w:pPr>
        <w:spacing w:line="240" w:lineRule="auto"/>
        <w:jc w:val="both"/>
        <w:rPr>
          <w:rFonts w:ascii="Times New Roman" w:hAnsi="Times New Roman"/>
          <w:noProof/>
          <w:sz w:val="24"/>
        </w:rPr>
      </w:pPr>
      <w:r>
        <w:rPr>
          <w:rFonts w:ascii="Times New Roman" w:hAnsi="Times New Roman"/>
          <w:noProof/>
          <w:sz w:val="24"/>
        </w:rPr>
        <w:t xml:space="preserve">Otvára sa tu priestor na spoluprácu medzi členskými štátmi, a to aj v podobe spoločného využívania osvedčených postupov alebo dokonca spoločných úložísk. Spoločné úložiská sú síce podľa smernice právne možné, treba však vyriešiť niekoľko otázok, najmä pokiaľ ide o komunikáciu s verejnosťou a budovanie akceptácie v spoločnosti. Dôležitým krokom je aj určenie toho, kto je pri medzinárodnom prístupe v konečnom dôsledku tým aktérom, ktorý je zodpovedný za uloženie rádioaktívneho odpadu. </w:t>
      </w:r>
    </w:p>
    <w:p>
      <w:pPr>
        <w:spacing w:line="240" w:lineRule="auto"/>
        <w:jc w:val="both"/>
        <w:rPr>
          <w:rFonts w:ascii="Times New Roman" w:eastAsia="Times New Roman" w:hAnsi="Times New Roman"/>
          <w:bCs/>
          <w:noProof/>
          <w:sz w:val="24"/>
          <w:szCs w:val="24"/>
        </w:rPr>
      </w:pPr>
      <w:r>
        <w:rPr>
          <w:rFonts w:ascii="Times New Roman" w:hAnsi="Times New Roman"/>
          <w:noProof/>
          <w:sz w:val="24"/>
        </w:rPr>
        <w:t xml:space="preserve">Členské štáty prevádzkujúce jadrové elektrárne v súčasnosti využívajú zariadenia na skladovanie odpadu na 40 až 100 rokov. Skladovanie rádioaktívneho odpadu vrátane dlhodobého skladovania je však dočasným riešením, a nie alternatívou jeho uloženia. </w:t>
      </w:r>
    </w:p>
    <w:p>
      <w:pPr>
        <w:pStyle w:val="ListParagraph"/>
        <w:keepNext/>
        <w:numPr>
          <w:ilvl w:val="2"/>
          <w:numId w:val="1"/>
        </w:numPr>
        <w:spacing w:before="300" w:after="180" w:line="240" w:lineRule="auto"/>
        <w:ind w:left="1225" w:hanging="505"/>
        <w:contextualSpacing w:val="0"/>
        <w:rPr>
          <w:rFonts w:ascii="Times New Roman" w:eastAsia="Times New Roman" w:hAnsi="Times New Roman"/>
          <w:bCs/>
          <w:noProof/>
          <w:sz w:val="24"/>
          <w:szCs w:val="24"/>
          <w:u w:val="single"/>
        </w:rPr>
      </w:pPr>
      <w:r>
        <w:rPr>
          <w:rFonts w:ascii="Times New Roman" w:hAnsi="Times New Roman"/>
          <w:noProof/>
          <w:sz w:val="24"/>
          <w:u w:val="single"/>
        </w:rPr>
        <w:t>Vyraďovanie z prevádzky</w:t>
      </w:r>
    </w:p>
    <w:p>
      <w:pPr>
        <w:spacing w:before="120" w:after="180" w:line="240" w:lineRule="auto"/>
        <w:jc w:val="both"/>
        <w:rPr>
          <w:rFonts w:ascii="Times New Roman" w:hAnsi="Times New Roman"/>
          <w:noProof/>
          <w:sz w:val="24"/>
        </w:rPr>
      </w:pPr>
      <w:r>
        <w:rPr>
          <w:rFonts w:ascii="Times New Roman" w:hAnsi="Times New Roman"/>
          <w:noProof/>
          <w:sz w:val="24"/>
        </w:rPr>
        <w:t>S vyraďovaním energetických reaktorov je v celosvetovom meradle málo skúseností. V októbri 2015 bolo v Európe 89 trvale odstavených jadrových reaktorov, doteraz však boli úplne vyradené z prevádzky iba 3 reaktory</w:t>
      </w:r>
      <w:r>
        <w:rPr>
          <w:rStyle w:val="FootnoteReference"/>
          <w:rFonts w:ascii="Times New Roman" w:hAnsi="Times New Roman"/>
          <w:noProof/>
          <w:sz w:val="24"/>
        </w:rPr>
        <w:footnoteReference w:id="19"/>
      </w:r>
      <w:r>
        <w:rPr>
          <w:rFonts w:ascii="Times New Roman" w:hAnsi="Times New Roman"/>
          <w:noProof/>
          <w:sz w:val="24"/>
        </w:rPr>
        <w:t xml:space="preserve"> (všetky v Nemecku). </w:t>
      </w:r>
    </w:p>
    <w:p>
      <w:pPr>
        <w:spacing w:after="180" w:line="240" w:lineRule="auto"/>
        <w:jc w:val="both"/>
        <w:rPr>
          <w:rFonts w:ascii="Times New Roman" w:eastAsia="Times New Roman" w:hAnsi="Times New Roman"/>
          <w:noProof/>
          <w:sz w:val="24"/>
        </w:rPr>
      </w:pPr>
      <w:r>
        <w:rPr>
          <w:rFonts w:ascii="Times New Roman" w:hAnsi="Times New Roman"/>
          <w:noProof/>
          <w:sz w:val="24"/>
        </w:rPr>
        <w:t>Európske podniky majú príležitosť stať sa v tomto smere globálnymi lídrami, ak budú rozvíjať potrebné zručnosti na domácom trhu, pričom sem patria aj opatrenia na podporu účasti malých a stredných podnikov. Používanie osvedčených postupov (napríklad používanie odstupňovaného prístupu, ktorý umožňuje, aby sa situácia v oblasti regulácie vyvíjala spôsobom, ktorý primerane odráža úrovne rádiologického nebezpečenstva počas celého procesu) v rôznych fázach procesu vyraďovania by prispelo k zvýšeniu efektívnosti a bezpečnosti. Osvedčené postupy by sa mohli podporiť vytvorením európskeho centra excelentnosti, v ktorom by sa spojili verejné a súkromné subjekty, alebo by sa mohli zavádzať v rámci skupiny na financovanie vyraďovania jadrových zariadení z prevádzky.</w:t>
      </w:r>
    </w:p>
    <w:p>
      <w:pPr>
        <w:pStyle w:val="ListParagraph"/>
        <w:numPr>
          <w:ilvl w:val="2"/>
          <w:numId w:val="1"/>
        </w:numPr>
        <w:spacing w:before="300" w:after="180" w:line="240" w:lineRule="auto"/>
        <w:contextualSpacing w:val="0"/>
        <w:jc w:val="both"/>
        <w:rPr>
          <w:rFonts w:ascii="Times New Roman" w:eastAsia="Times New Roman" w:hAnsi="Times New Roman"/>
          <w:bCs/>
          <w:noProof/>
          <w:sz w:val="24"/>
          <w:szCs w:val="24"/>
          <w:u w:val="single"/>
        </w:rPr>
      </w:pPr>
      <w:r>
        <w:rPr>
          <w:rFonts w:ascii="Times New Roman" w:hAnsi="Times New Roman"/>
          <w:noProof/>
          <w:sz w:val="24"/>
          <w:u w:val="single"/>
        </w:rPr>
        <w:t>Požiadavky na financovanie nakladania s vyhoretým palivom a rádioaktívnym odpadom a vyraďovania zariadení</w:t>
      </w:r>
    </w:p>
    <w:p>
      <w:pPr>
        <w:spacing w:after="180" w:line="240" w:lineRule="auto"/>
        <w:jc w:val="both"/>
        <w:rPr>
          <w:rFonts w:ascii="Times New Roman" w:eastAsia="Times New Roman" w:hAnsi="Times New Roman"/>
          <w:bCs/>
          <w:noProof/>
          <w:sz w:val="24"/>
          <w:szCs w:val="24"/>
        </w:rPr>
      </w:pPr>
      <w:r>
        <w:rPr>
          <w:rFonts w:ascii="Times New Roman" w:hAnsi="Times New Roman"/>
          <w:noProof/>
          <w:sz w:val="24"/>
        </w:rPr>
        <w:t>V smernici o nakladaní s vyhoretým palivom a rádioaktívnym odpadom sa uznáva, že za nakladanie s rádioaktívnym odpadom od jeho vzniku až po jeho uloženie nesú plnú zodpovednosť prevádzkovatelia. Od spustenia prevádzky musia zhromažďovať finančné prostriedky, ktoré musia byť viazané na účely čo najväčšieho zmiernenia rizika vzniku finančných záväzkov pre vlády. Členské štáty zabezpečia dodržiavanie tejto zásady tak, že zavedú a budú udržiavať národné programy, ktoré budú okrem iného zahŕňať posúdenie nákladov a uplatniteľný systém financovania.</w:t>
      </w:r>
    </w:p>
    <w:p>
      <w:pPr>
        <w:widowControl w:val="0"/>
        <w:spacing w:after="180" w:line="240" w:lineRule="auto"/>
        <w:jc w:val="both"/>
        <w:outlineLvl w:val="0"/>
        <w:rPr>
          <w:rFonts w:ascii="Times New Roman" w:eastAsia="Times New Roman" w:hAnsi="Times New Roman"/>
          <w:bCs/>
          <w:noProof/>
          <w:sz w:val="24"/>
          <w:szCs w:val="24"/>
        </w:rPr>
      </w:pPr>
      <w:r>
        <w:rPr>
          <w:rFonts w:ascii="Times New Roman" w:hAnsi="Times New Roman"/>
          <w:noProof/>
          <w:sz w:val="24"/>
        </w:rPr>
        <w:t>Na základe najnovších informácií od členských štátov</w:t>
      </w:r>
      <w:r>
        <w:rPr>
          <w:rStyle w:val="FootnoteReference"/>
          <w:rFonts w:ascii="Times New Roman" w:hAnsi="Times New Roman"/>
          <w:noProof/>
          <w:sz w:val="24"/>
        </w:rPr>
        <w:footnoteReference w:id="20"/>
      </w:r>
      <w:r>
        <w:rPr>
          <w:rFonts w:ascii="Times New Roman" w:hAnsi="Times New Roman"/>
          <w:noProof/>
          <w:sz w:val="24"/>
        </w:rPr>
        <w:t xml:space="preserve"> európski prevádzkovatelia jadrových zariadení v decembri 2014 odhadovali, že na vyraďovanie jadrových zariadení z prevádzky a nakladanie s rádioaktívnym odpadom bude do roku 2050 potrebných 253 mld. EUR, z čoho má 123 mld. EUR ísť na vyraďovanie zariadení a 130 mld. EUR na nakladanie s vyhoretým palivom a rádioaktívnym odpadom, ako aj na hlbinné geologické ukladanie.</w:t>
      </w:r>
    </w:p>
    <w:p>
      <w:pPr>
        <w:widowControl w:val="0"/>
        <w:spacing w:after="180" w:line="240" w:lineRule="auto"/>
        <w:jc w:val="both"/>
        <w:outlineLvl w:val="0"/>
        <w:rPr>
          <w:rFonts w:ascii="Times New Roman" w:hAnsi="Times New Roman"/>
          <w:b/>
          <w:bCs/>
          <w:iCs/>
          <w:noProof/>
          <w:sz w:val="24"/>
          <w:szCs w:val="24"/>
        </w:rPr>
      </w:pPr>
      <w:r>
        <w:rPr>
          <w:rFonts w:ascii="Times New Roman" w:hAnsi="Times New Roman"/>
          <w:noProof/>
          <w:sz w:val="24"/>
        </w:rPr>
        <w:t>Členské štáty poskytli aj údaje o aktívach na podporu týchto očakávaných investícií, ktoré predstavovali približne 133 mld. EUR. Tieto aktíva sa zvyčajne ukladajú do vyhradených fondov, ktoré majú často kombinované použitie tak na vyraďovanie jadrových zariadení z prevádzky, ako aj na nakladanie s rádioaktívnym odpadom. Najčastejšie používanou metódou na získavanie finančných prostriedkov je fixný príspevok stanovený na základe objemu elektrickej energie vyrobenej v príslušnej jadrovej elektrárni.</w:t>
      </w:r>
    </w:p>
    <w:p>
      <w:pPr>
        <w:widowControl w:val="0"/>
        <w:spacing w:before="120" w:after="180" w:line="240" w:lineRule="auto"/>
        <w:jc w:val="both"/>
        <w:outlineLvl w:val="0"/>
        <w:rPr>
          <w:rFonts w:ascii="Times New Roman" w:hAnsi="Times New Roman"/>
          <w:noProof/>
          <w:sz w:val="24"/>
        </w:rPr>
      </w:pPr>
      <w:r>
        <w:rPr>
          <w:rFonts w:ascii="Times New Roman" w:hAnsi="Times New Roman"/>
          <w:noProof/>
          <w:sz w:val="24"/>
        </w:rPr>
        <w:t>Na odhad nákladov na vykonávanie činností na konci jadrového palivového cyklu členské štáty používajú rôzne metódy. Komisia bude s pomocou skupiny na financovanie vyraďovania jadrových zariadení z prevádzky pokračovať v zhromažďovaní ďalších údajov a koncom roka 2016 plánuje vypracovať správu o vykonávaní smernice o nakladaní s rádioaktívnym odpadom a vyhoretým palivom.</w:t>
      </w:r>
    </w:p>
    <w:p>
      <w:pPr>
        <w:pStyle w:val="ListParagraph"/>
        <w:numPr>
          <w:ilvl w:val="0"/>
          <w:numId w:val="1"/>
        </w:numPr>
        <w:spacing w:before="300" w:after="240" w:line="240" w:lineRule="auto"/>
        <w:contextualSpacing w:val="0"/>
        <w:rPr>
          <w:rFonts w:ascii="Times New Roman" w:hAnsi="Times New Roman"/>
          <w:b/>
          <w:smallCaps/>
          <w:noProof/>
          <w:sz w:val="24"/>
          <w:szCs w:val="24"/>
          <w:u w:val="single"/>
        </w:rPr>
      </w:pPr>
      <w:r>
        <w:rPr>
          <w:rFonts w:ascii="Times New Roman" w:hAnsi="Times New Roman"/>
          <w:b/>
          <w:smallCaps/>
          <w:noProof/>
          <w:sz w:val="24"/>
          <w:u w:val="single"/>
        </w:rPr>
        <w:t>Použitia, ktoré nesúvisia s výrobou elektrickej energie</w:t>
      </w:r>
    </w:p>
    <w:p>
      <w:pPr>
        <w:spacing w:after="180" w:line="240" w:lineRule="auto"/>
        <w:jc w:val="both"/>
        <w:rPr>
          <w:rFonts w:ascii="Times New Roman" w:hAnsi="Times New Roman"/>
          <w:noProof/>
          <w:sz w:val="24"/>
          <w:szCs w:val="24"/>
        </w:rPr>
      </w:pPr>
      <w:r>
        <w:rPr>
          <w:rFonts w:ascii="Times New Roman" w:hAnsi="Times New Roman"/>
          <w:noProof/>
          <w:sz w:val="24"/>
        </w:rPr>
        <w:t xml:space="preserve">Jadrové technológie a technológie využívajúce žiarenie majú v zdravotníctve, priemysle, poľnohospodárstve a vo výskume mnohoraké použitie, ktoré predstavuje pre spoločnosť vo všetkých členských štátoch značný prínos. </w:t>
      </w:r>
    </w:p>
    <w:p>
      <w:pPr>
        <w:spacing w:after="180" w:line="240" w:lineRule="auto"/>
        <w:jc w:val="both"/>
        <w:rPr>
          <w:rFonts w:ascii="Times New Roman" w:hAnsi="Times New Roman"/>
          <w:noProof/>
          <w:sz w:val="24"/>
          <w:szCs w:val="24"/>
        </w:rPr>
      </w:pPr>
      <w:r>
        <w:rPr>
          <w:rFonts w:ascii="Times New Roman" w:hAnsi="Times New Roman"/>
          <w:noProof/>
          <w:sz w:val="24"/>
        </w:rPr>
        <w:t>Každý rok sa v Európe vykoná vyše 500 miliónov diagnostických postupov, pri ktorých sa využívajú röntgenové lúče alebo rádioizotopy, a viac ako 700 000 európskych zdravotníckych pracovníkov denne využíva jadrovú a radiačnú technológiu. V Európe existuje významný trh s lekárskymi zobrazovacími zariadeniami v hodnote vyše 20 mld. EUR a s ročným tempom rastu približne 5 %.</w:t>
      </w:r>
    </w:p>
    <w:p>
      <w:pPr>
        <w:spacing w:after="180" w:line="240" w:lineRule="auto"/>
        <w:jc w:val="both"/>
        <w:rPr>
          <w:rFonts w:ascii="Times New Roman" w:hAnsi="Times New Roman"/>
          <w:noProof/>
          <w:sz w:val="24"/>
          <w:szCs w:val="24"/>
        </w:rPr>
      </w:pPr>
      <w:r>
        <w:rPr>
          <w:rFonts w:ascii="Times New Roman" w:hAnsi="Times New Roman"/>
          <w:noProof/>
          <w:sz w:val="24"/>
        </w:rPr>
        <w:t xml:space="preserve">V EÚ sa prevádzkujú rôzne typy výskumných reaktorov. Používajú sa na skúšanie materiálov a jadrového paliva, ako aj na základný výskum a vývoj. Niektoré z nich vyrábajú aj lekárske rádioizotopy na diagnostiku a liečbu rôznych chorôb vrátane rakoviny, kardiovaskulárnych a mozgových porúch. Vyše 10 000 nemocníc na celom svete využíva rádioizotopy na diagnostiku alebo liečbu </w:t>
      </w:r>
      <w:r>
        <w:rPr>
          <w:rFonts w:ascii="Times New Roman" w:hAnsi="Times New Roman"/>
          <w:i/>
          <w:noProof/>
          <w:sz w:val="24"/>
        </w:rPr>
        <w:t>in vivo</w:t>
      </w:r>
      <w:r>
        <w:rPr>
          <w:rFonts w:ascii="Times New Roman" w:hAnsi="Times New Roman"/>
          <w:noProof/>
          <w:sz w:val="24"/>
        </w:rPr>
        <w:t xml:space="preserve"> približne 35 miliónov pacientov ročne, z toho 9 miliónov pacientov v Európe. </w:t>
      </w:r>
    </w:p>
    <w:p>
      <w:pPr>
        <w:spacing w:after="180" w:line="240" w:lineRule="auto"/>
        <w:jc w:val="both"/>
        <w:rPr>
          <w:rFonts w:ascii="Times New Roman" w:hAnsi="Times New Roman"/>
          <w:noProof/>
          <w:sz w:val="24"/>
          <w:szCs w:val="24"/>
        </w:rPr>
      </w:pPr>
      <w:r>
        <w:rPr>
          <w:rFonts w:ascii="Times New Roman" w:hAnsi="Times New Roman"/>
          <w:noProof/>
          <w:sz w:val="24"/>
        </w:rPr>
        <w:t>Európa je druhým najväčším spotrebiteľom technécia-99m (Tc-99m), ktoré je najčastejšie používaným diagnostickým rádioizotopom. Niekoľko európskych výskumných reaktorov, ktoré sú zapojené do výroby rádioizotopov na lekárske účely, sa blíži ku koncu svojej životnosti, čo v čoraz väčšej miere ohrozuje dodávky lekárskych rádioizotopov a spôsobuje závažné výpadky.</w:t>
      </w:r>
    </w:p>
    <w:p>
      <w:pPr>
        <w:spacing w:after="180" w:line="240" w:lineRule="auto"/>
        <w:jc w:val="both"/>
        <w:rPr>
          <w:rFonts w:ascii="Times New Roman" w:hAnsi="Times New Roman"/>
          <w:noProof/>
          <w:sz w:val="24"/>
          <w:szCs w:val="24"/>
        </w:rPr>
      </w:pPr>
      <w:r>
        <w:rPr>
          <w:rFonts w:ascii="Times New Roman" w:hAnsi="Times New Roman"/>
          <w:noProof/>
          <w:sz w:val="24"/>
        </w:rPr>
        <w:t>Nedávno boli v Európskej únii i mimo nej prijaté opatrenia na koordináciu prevádzky výskumných reaktorov a na minimalizovanie prerušení výroby rádioizotopov, napríklad v roku 2012 bolo zriadené Európske stredisko pre sledovanie dodávok rádioizotopov na lekárske účely</w:t>
      </w:r>
      <w:r>
        <w:rPr>
          <w:rStyle w:val="FootnoteReference"/>
          <w:rFonts w:ascii="Times New Roman" w:hAnsi="Times New Roman"/>
          <w:noProof/>
          <w:sz w:val="24"/>
        </w:rPr>
        <w:footnoteReference w:id="21"/>
      </w:r>
      <w:r>
        <w:rPr>
          <w:rFonts w:ascii="Times New Roman" w:hAnsi="Times New Roman"/>
          <w:noProof/>
          <w:sz w:val="24"/>
        </w:rPr>
        <w:t xml:space="preserve">. Napriek týmto snahám si problém výrobných kapacít lekárskych rádioizotopov, najmä v Európe, ešte stále vyžaduje plnú pozornosť všetkých zainteresovaných strán, pretože má zásadný význam pre zabezpečenie kľúčovej lekárskej diagnostiky a liečby v Európskej únii. </w:t>
      </w:r>
    </w:p>
    <w:p>
      <w:pPr>
        <w:spacing w:after="180" w:line="240" w:lineRule="auto"/>
        <w:jc w:val="both"/>
        <w:rPr>
          <w:rFonts w:ascii="Times New Roman" w:hAnsi="Times New Roman"/>
          <w:noProof/>
          <w:sz w:val="24"/>
          <w:szCs w:val="24"/>
        </w:rPr>
      </w:pPr>
      <w:r>
        <w:rPr>
          <w:rFonts w:ascii="Times New Roman" w:hAnsi="Times New Roman"/>
          <w:noProof/>
          <w:sz w:val="24"/>
        </w:rPr>
        <w:t>Komisia sa domnieva, že existuje potreba koordinovanejšieho európskeho prístupu k využívaniu jadrovej a radiačnej technológie na účely, ktoré nesúvisia s výrobou elektrickej energie.</w:t>
      </w:r>
    </w:p>
    <w:p>
      <w:pPr>
        <w:pStyle w:val="ListParagraph"/>
        <w:numPr>
          <w:ilvl w:val="0"/>
          <w:numId w:val="1"/>
        </w:numPr>
        <w:spacing w:before="300" w:after="240" w:line="240" w:lineRule="auto"/>
        <w:contextualSpacing w:val="0"/>
        <w:rPr>
          <w:rFonts w:ascii="Times New Roman Bold" w:hAnsi="Times New Roman Bold"/>
          <w:b/>
          <w:smallCaps/>
          <w:noProof/>
          <w:sz w:val="24"/>
          <w:u w:val="single"/>
        </w:rPr>
      </w:pPr>
      <w:r>
        <w:rPr>
          <w:rFonts w:ascii="Times New Roman Bold" w:hAnsi="Times New Roman Bold"/>
          <w:b/>
          <w:smallCaps/>
          <w:noProof/>
          <w:sz w:val="24"/>
          <w:u w:val="single"/>
        </w:rPr>
        <w:t>Zachovanie vedúceho postavenia EÚ vo sfére jadrových technológií vďaka ďalším činnostiam v oblasti výskumu a vývoja</w:t>
      </w:r>
    </w:p>
    <w:p>
      <w:pPr>
        <w:spacing w:line="240" w:lineRule="auto"/>
        <w:jc w:val="both"/>
        <w:rPr>
          <w:rFonts w:ascii="Times New Roman" w:hAnsi="Times New Roman"/>
          <w:noProof/>
          <w:sz w:val="24"/>
          <w:szCs w:val="24"/>
        </w:rPr>
      </w:pPr>
      <w:r>
        <w:rPr>
          <w:rFonts w:ascii="Times New Roman" w:hAnsi="Times New Roman"/>
          <w:noProof/>
          <w:sz w:val="24"/>
        </w:rPr>
        <w:t>EÚ si musí udržať vedúce postavenie vo sfére jadrových technológií, a to aj prostredníctvom medzinárodného termonukleárneho experimentálneho reaktora (ITER)</w:t>
      </w:r>
      <w:r>
        <w:rPr>
          <w:rStyle w:val="FootnoteReference"/>
          <w:rFonts w:ascii="Times New Roman" w:hAnsi="Times New Roman"/>
          <w:noProof/>
          <w:sz w:val="24"/>
        </w:rPr>
        <w:footnoteReference w:id="22"/>
      </w:r>
      <w:r>
        <w:rPr>
          <w:rFonts w:ascii="Times New Roman" w:hAnsi="Times New Roman"/>
          <w:noProof/>
          <w:sz w:val="24"/>
        </w:rPr>
        <w:t>, aby sa nezvyšovala jej energetická a technologická závislosť a aby sa vytvárali podnikateľské príležitosti pre európske spoločnosti. Tým sa zasa podporí rast a zamestnanosť v EÚ, ako aj jej konkurencieschopnosť.</w:t>
      </w:r>
    </w:p>
    <w:p>
      <w:pPr>
        <w:spacing w:line="240" w:lineRule="auto"/>
        <w:jc w:val="both"/>
        <w:rPr>
          <w:rFonts w:ascii="Times New Roman" w:hAnsi="Times New Roman" w:cs="Times New Roman"/>
          <w:noProof/>
          <w:sz w:val="24"/>
        </w:rPr>
      </w:pPr>
      <w:r>
        <w:rPr>
          <w:rFonts w:ascii="Times New Roman" w:hAnsi="Times New Roman"/>
          <w:noProof/>
          <w:sz w:val="24"/>
        </w:rPr>
        <w:t>V nedávnom oznámení o novom strategickom pláne pre energetické technológie (plán SET)</w:t>
      </w:r>
      <w:r>
        <w:rPr>
          <w:rStyle w:val="FootnoteReference"/>
          <w:rFonts w:ascii="Times New Roman" w:hAnsi="Times New Roman"/>
          <w:noProof/>
          <w:sz w:val="24"/>
        </w:rPr>
        <w:footnoteReference w:id="23"/>
      </w:r>
      <w:r>
        <w:rPr>
          <w:rFonts w:ascii="Times New Roman" w:hAnsi="Times New Roman"/>
          <w:noProof/>
          <w:sz w:val="24"/>
        </w:rPr>
        <w:t xml:space="preserve"> sa ďalej uvádza, že v prípade jadrovej energie je prioritou podporiť rozvoj najpokročilejších technológií, aby sa zachovala najvyššia úroveň bezpečnosti jadrových reaktorov a aby sa zvýšila efektívnosť ich prevádzky, činností na konci jadrového palivového cyklu a vyraďovania reaktorov z prevádzky. </w:t>
      </w:r>
    </w:p>
    <w:p>
      <w:pPr>
        <w:spacing w:after="120" w:line="240" w:lineRule="auto"/>
        <w:jc w:val="both"/>
        <w:rPr>
          <w:rFonts w:ascii="Times New Roman" w:hAnsi="Times New Roman" w:cs="Times New Roman"/>
          <w:noProof/>
          <w:sz w:val="24"/>
        </w:rPr>
      </w:pPr>
      <w:r>
        <w:rPr>
          <w:rFonts w:ascii="Times New Roman" w:hAnsi="Times New Roman"/>
          <w:noProof/>
          <w:sz w:val="24"/>
        </w:rPr>
        <w:t>K prebiehajúcim výskumným iniciatívam Euratomu patria:</w:t>
      </w:r>
    </w:p>
    <w:p>
      <w:pPr>
        <w:numPr>
          <w:ilvl w:val="0"/>
          <w:numId w:val="2"/>
        </w:numPr>
        <w:spacing w:after="180" w:line="240" w:lineRule="auto"/>
        <w:jc w:val="both"/>
        <w:rPr>
          <w:rFonts w:ascii="Times New Roman" w:hAnsi="Times New Roman" w:cs="Times New Roman"/>
          <w:iCs/>
          <w:noProof/>
          <w:sz w:val="24"/>
        </w:rPr>
      </w:pPr>
      <w:r>
        <w:rPr>
          <w:rFonts w:ascii="Times New Roman" w:hAnsi="Times New Roman"/>
          <w:noProof/>
          <w:sz w:val="24"/>
        </w:rPr>
        <w:t>Realizácia Európskej priemyselnej iniciatívy v oblasti udržateľnej jadrovej energie</w:t>
      </w:r>
      <w:r>
        <w:rPr>
          <w:rStyle w:val="FootnoteReference"/>
          <w:rFonts w:ascii="Times New Roman" w:hAnsi="Times New Roman"/>
          <w:noProof/>
          <w:sz w:val="24"/>
        </w:rPr>
        <w:footnoteReference w:id="24"/>
      </w:r>
      <w:r>
        <w:rPr>
          <w:rFonts w:ascii="Times New Roman" w:hAnsi="Times New Roman"/>
          <w:noProof/>
          <w:sz w:val="24"/>
        </w:rPr>
        <w:t>, ktorej cieľom je pripraviť budúce zavedenie jadrového systému štvrtej generácie využívajúceho technológiu rýchlych neutrónov s uzavretým palivovým cyklom. Niekoľko reaktorov je vo fáze výskumu (napr. ALLEGRO, ALFRED, MYRRHA a ASTRID), ktorý do roku 2050 môže výrazne pokročiť.</w:t>
      </w:r>
    </w:p>
    <w:p>
      <w:pPr>
        <w:numPr>
          <w:ilvl w:val="0"/>
          <w:numId w:val="2"/>
        </w:numPr>
        <w:spacing w:after="180" w:line="240" w:lineRule="auto"/>
        <w:jc w:val="both"/>
        <w:rPr>
          <w:rFonts w:ascii="Times New Roman" w:hAnsi="Times New Roman"/>
          <w:iCs/>
          <w:noProof/>
          <w:sz w:val="24"/>
          <w:szCs w:val="24"/>
        </w:rPr>
      </w:pPr>
      <w:r>
        <w:rPr>
          <w:rFonts w:ascii="Times New Roman" w:hAnsi="Times New Roman"/>
          <w:noProof/>
          <w:sz w:val="24"/>
        </w:rPr>
        <w:t>Výskum bezpečnosti malých modulárnych reaktorov, ku ktorých výhodám patrí skrátenie času výstavby vďaka vysokej modularite a integrovanému konštrukčnému riešeniu. Spojené kráľovstvo nedávno oznámilo, že plánuje investovať do vývoja malých modulárnych reaktorov.</w:t>
      </w:r>
    </w:p>
    <w:p>
      <w:pPr>
        <w:numPr>
          <w:ilvl w:val="0"/>
          <w:numId w:val="2"/>
        </w:numPr>
        <w:spacing w:after="180" w:line="240" w:lineRule="auto"/>
        <w:jc w:val="both"/>
        <w:rPr>
          <w:rFonts w:ascii="Times New Roman" w:hAnsi="Times New Roman"/>
          <w:iCs/>
          <w:noProof/>
          <w:sz w:val="24"/>
          <w:szCs w:val="24"/>
        </w:rPr>
      </w:pPr>
      <w:r>
        <w:rPr>
          <w:rFonts w:ascii="Times New Roman" w:hAnsi="Times New Roman"/>
          <w:noProof/>
          <w:sz w:val="24"/>
        </w:rPr>
        <w:t>Podpora profesionálnej kariéry v jadrovej oblasti. Je nevyhnutné v oblasti jadrovej energetiky vybudovať a udržiavať náležitú znalostnú a skúsenostnú bázu, a to prostredníctvom kontinuálnej odbornej prípravy a vzdelávania.</w:t>
      </w:r>
    </w:p>
    <w:p>
      <w:pPr>
        <w:pStyle w:val="ListParagraph"/>
        <w:numPr>
          <w:ilvl w:val="0"/>
          <w:numId w:val="1"/>
        </w:numPr>
        <w:spacing w:before="300" w:after="240" w:line="240" w:lineRule="auto"/>
        <w:contextualSpacing w:val="0"/>
        <w:rPr>
          <w:rFonts w:ascii="Times New Roman Bold" w:hAnsi="Times New Roman Bold"/>
          <w:b/>
          <w:smallCaps/>
          <w:noProof/>
          <w:sz w:val="24"/>
          <w:szCs w:val="20"/>
          <w:u w:val="single"/>
        </w:rPr>
      </w:pPr>
      <w:r>
        <w:rPr>
          <w:rFonts w:ascii="Times New Roman Bold" w:hAnsi="Times New Roman Bold"/>
          <w:b/>
          <w:smallCaps/>
          <w:noProof/>
          <w:sz w:val="24"/>
          <w:u w:val="single"/>
        </w:rPr>
        <w:t>Záver</w:t>
      </w:r>
    </w:p>
    <w:p>
      <w:pPr>
        <w:autoSpaceDE w:val="0"/>
        <w:autoSpaceDN w:val="0"/>
        <w:adjustRightInd w:val="0"/>
        <w:spacing w:after="120" w:line="240" w:lineRule="auto"/>
        <w:jc w:val="both"/>
        <w:rPr>
          <w:rFonts w:ascii="Times New Roman" w:hAnsi="Times New Roman" w:cs="Times New Roman"/>
          <w:noProof/>
          <w:sz w:val="24"/>
        </w:rPr>
      </w:pPr>
      <w:r>
        <w:rPr>
          <w:rFonts w:ascii="Times New Roman" w:hAnsi="Times New Roman"/>
          <w:noProof/>
          <w:sz w:val="24"/>
        </w:rPr>
        <w:t>Keďže jadrová energetika je nízkouhlíkovou technológiou a významne prispieva k bezpečnosti dodávok a k diverzifikácii, očakáva sa, že aj do roku 2050 zostane dôležitou zložkou energetického mixu EÚ.</w:t>
      </w:r>
    </w:p>
    <w:p>
      <w:pPr>
        <w:autoSpaceDE w:val="0"/>
        <w:autoSpaceDN w:val="0"/>
        <w:adjustRightInd w:val="0"/>
        <w:spacing w:after="120" w:line="240" w:lineRule="auto"/>
        <w:jc w:val="both"/>
        <w:rPr>
          <w:rFonts w:ascii="Times New Roman" w:hAnsi="Times New Roman" w:cs="Times New Roman"/>
          <w:noProof/>
          <w:sz w:val="24"/>
        </w:rPr>
      </w:pPr>
      <w:r>
        <w:rPr>
          <w:rFonts w:ascii="Times New Roman" w:hAnsi="Times New Roman"/>
          <w:noProof/>
          <w:sz w:val="24"/>
        </w:rPr>
        <w:t>V prípade členských štátov, ktoré sa rozhodnú jadrovú energiu využívať, musia byť počas celého jadrového palivového cyklu zaistené najvyššie štandardy bezpečnosti, bezpečnostnej ochrany, nakladania s odpadom a prevencie šírenia jadrového materiálu. Je nanajvýš dôležité zabezpečiť rýchle a dôsledné vykonávanie právnych predpisov prijatých po havárii vo Fukušime. Za prospešnú sa považuje spolupráca medzi národnými regulačnými orgánmi zodpovednými za udeľovanie licencií a všeobecný dohľad.</w:t>
      </w:r>
    </w:p>
    <w:p>
      <w:pPr>
        <w:autoSpaceDE w:val="0"/>
        <w:autoSpaceDN w:val="0"/>
        <w:adjustRightInd w:val="0"/>
        <w:spacing w:after="120" w:line="240" w:lineRule="auto"/>
        <w:jc w:val="both"/>
        <w:rPr>
          <w:rFonts w:ascii="Times New Roman" w:hAnsi="Times New Roman" w:cs="Times New Roman"/>
          <w:noProof/>
          <w:sz w:val="24"/>
        </w:rPr>
      </w:pPr>
      <w:r>
        <w:rPr>
          <w:rFonts w:ascii="Times New Roman" w:hAnsi="Times New Roman"/>
          <w:noProof/>
          <w:sz w:val="24"/>
        </w:rPr>
        <w:t>Jadrové elektrárne v Európe starnú a v prípadoch, v ktorých sa členské štáty rozhodnú pre predĺženie životnosti niektorých reaktorov (a súvisiace zvýšenie ich bezpečnosti), pre predpokladané činnosti vyraďovania a pre dlhodobé skladovanie jadrového odpadu, sú potrebné značné investície. Investície sú potrebné aj na nahradenie existujúcich jadrových elektrární. Čiastočne by mohli byť nasmerované aj do nových jadrových elektrární. Celkové odhadované investície do jadrového palivového cyklu v rokoch 2015 až 2050 sa odhadujú na 650 až 760 mld. EUR</w:t>
      </w:r>
      <w:r>
        <w:rPr>
          <w:rStyle w:val="FootnoteReference"/>
          <w:rFonts w:ascii="Times New Roman" w:hAnsi="Times New Roman"/>
          <w:noProof/>
          <w:sz w:val="24"/>
        </w:rPr>
        <w:footnoteReference w:id="25"/>
      </w:r>
      <w:r>
        <w:rPr>
          <w:rFonts w:ascii="Times New Roman" w:hAnsi="Times New Roman"/>
          <w:noProof/>
          <w:sz w:val="24"/>
        </w:rPr>
        <w:t>.</w:t>
      </w:r>
    </w:p>
    <w:p>
      <w:pPr>
        <w:autoSpaceDE w:val="0"/>
        <w:autoSpaceDN w:val="0"/>
        <w:adjustRightInd w:val="0"/>
        <w:spacing w:after="120" w:line="240" w:lineRule="auto"/>
        <w:jc w:val="both"/>
        <w:rPr>
          <w:rFonts w:ascii="Times New Roman" w:hAnsi="Times New Roman" w:cs="Times New Roman"/>
          <w:noProof/>
          <w:sz w:val="24"/>
        </w:rPr>
      </w:pPr>
      <w:r>
        <w:rPr>
          <w:rFonts w:ascii="Times New Roman" w:hAnsi="Times New Roman"/>
          <w:noProof/>
          <w:sz w:val="24"/>
        </w:rPr>
        <w:t>Pre udržanie nášho globálneho vedúceho postavenia a excelentnosti v technologickej a bezpečnostnej oblasti bude mať zásadný význam nepretržité investovanie do činností výskumu a vývoja, opodstatnené aj vzhľadom na rýchly rozvoj využívania jadrovej energie mimo EÚ (Čína, India atď.).</w:t>
      </w:r>
    </w:p>
    <w:sectPr>
      <w:headerReference w:type="even" r:id="rId17"/>
      <w:headerReference w:type="default" r:id="rId18"/>
      <w:footerReference w:type="even" r:id="rId19"/>
      <w:footerReference w:type="default" r:id="rId20"/>
      <w:headerReference w:type="first" r:id="rId21"/>
      <w:footerReference w:type="first" r:id="rId22"/>
      <w:pgSz w:w="11906" w:h="16838"/>
      <w:pgMar w:top="1200" w:right="1417" w:bottom="1417" w:left="1320" w:header="708" w:footer="708"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6382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71470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rPr>
        <w:t xml:space="preserve"> COM(2015) 80.</w:t>
      </w:r>
    </w:p>
  </w:footnote>
  <w:footnote w:id="3">
    <w:p>
      <w:pPr>
        <w:pStyle w:val="FootnoteText"/>
        <w:spacing w:after="0" w:line="240" w:lineRule="auto"/>
        <w:jc w:val="both"/>
        <w:rPr>
          <w:rFonts w:ascii="Times New Roman" w:hAnsi="Times New Roman"/>
          <w:lang w:val="pt-PT"/>
        </w:rPr>
      </w:pPr>
      <w:r>
        <w:rPr>
          <w:rStyle w:val="FootnoteReference"/>
          <w:rFonts w:ascii="Times New Roman" w:hAnsi="Times New Roman"/>
        </w:rPr>
        <w:footnoteRef/>
      </w:r>
      <w:r>
        <w:rPr>
          <w:rFonts w:ascii="Times New Roman" w:hAnsi="Times New Roman"/>
        </w:rPr>
        <w:t xml:space="preserve"> COM(2014) 330.</w:t>
      </w:r>
    </w:p>
  </w:footnote>
  <w:footnote w:id="4">
    <w:p>
      <w:pPr>
        <w:pStyle w:val="FootnoteText"/>
        <w:spacing w:after="0" w:line="240" w:lineRule="auto"/>
        <w:jc w:val="both"/>
        <w:rPr>
          <w:rFonts w:ascii="Times New Roman" w:hAnsi="Times New Roman"/>
          <w:lang w:val="pt-PT"/>
        </w:rPr>
      </w:pPr>
      <w:r>
        <w:rPr>
          <w:rStyle w:val="FootnoteReference"/>
          <w:rFonts w:ascii="Times New Roman" w:hAnsi="Times New Roman"/>
        </w:rPr>
        <w:footnoteRef/>
      </w:r>
      <w:r>
        <w:rPr>
          <w:rFonts w:ascii="Times New Roman" w:hAnsi="Times New Roman"/>
        </w:rPr>
        <w:t xml:space="preserve"> Eurostat, máj 2015.</w:t>
      </w:r>
    </w:p>
  </w:footnote>
  <w:footnote w:id="5">
    <w:p>
      <w:pPr>
        <w:pStyle w:val="FootnoteText"/>
        <w:spacing w:after="0" w:line="240" w:lineRule="auto"/>
        <w:jc w:val="both"/>
        <w:rPr>
          <w:rFonts w:ascii="Times New Roman" w:hAnsi="Times New Roman"/>
          <w:lang w:val="pt-PT"/>
        </w:rPr>
      </w:pPr>
      <w:r>
        <w:rPr>
          <w:rStyle w:val="FootnoteReference"/>
          <w:rFonts w:ascii="Times New Roman" w:hAnsi="Times New Roman"/>
        </w:rPr>
        <w:footnoteRef/>
      </w:r>
      <w:r>
        <w:rPr>
          <w:rFonts w:ascii="Times New Roman" w:hAnsi="Times New Roman"/>
        </w:rPr>
        <w:t xml:space="preserve"> Ďalšími sú Brazília a Kanada.</w:t>
      </w:r>
    </w:p>
  </w:footnote>
  <w:footnote w:id="6">
    <w:p>
      <w:pPr>
        <w:pStyle w:val="FootnoteText"/>
        <w:spacing w:after="0" w:line="240" w:lineRule="auto"/>
        <w:jc w:val="both"/>
        <w:rPr>
          <w:rFonts w:ascii="Times New Roman" w:hAnsi="Times New Roman"/>
          <w:lang w:val="es-ES"/>
        </w:rPr>
      </w:pPr>
      <w:r>
        <w:rPr>
          <w:rStyle w:val="FootnoteReference"/>
          <w:rFonts w:ascii="Times New Roman" w:hAnsi="Times New Roman"/>
        </w:rPr>
        <w:footnoteRef/>
      </w:r>
      <w:r>
        <w:rPr>
          <w:rFonts w:ascii="Times New Roman" w:hAnsi="Times New Roman"/>
        </w:rPr>
        <w:t xml:space="preserve"> Ú. v. EÚ L 219, 25.7.2014, s. 42 – 52.</w:t>
      </w:r>
    </w:p>
  </w:footnote>
  <w:footnote w:id="7">
    <w:p>
      <w:pPr>
        <w:pStyle w:val="FootnoteText"/>
        <w:spacing w:after="0" w:line="240" w:lineRule="auto"/>
        <w:jc w:val="both"/>
        <w:rPr>
          <w:rFonts w:ascii="Times New Roman" w:hAnsi="Times New Roman"/>
          <w:lang w:val="es-ES"/>
        </w:rPr>
      </w:pPr>
      <w:r>
        <w:rPr>
          <w:rStyle w:val="FootnoteReference"/>
          <w:rFonts w:ascii="Times New Roman" w:hAnsi="Times New Roman"/>
        </w:rPr>
        <w:footnoteRef/>
      </w:r>
      <w:r>
        <w:rPr>
          <w:rFonts w:ascii="Times New Roman" w:hAnsi="Times New Roman"/>
        </w:rPr>
        <w:t xml:space="preserve"> Ú. v. EÚ L 199, 2.8.2011, s. 48 – 56.</w:t>
      </w:r>
    </w:p>
  </w:footnote>
  <w:footnote w:id="8">
    <w:p>
      <w:pPr>
        <w:pStyle w:val="FootnoteText"/>
        <w:spacing w:after="0" w:line="240" w:lineRule="auto"/>
        <w:jc w:val="both"/>
        <w:rPr>
          <w:rFonts w:ascii="Times New Roman" w:hAnsi="Times New Roman"/>
          <w:lang w:val="en-GB"/>
        </w:rPr>
      </w:pPr>
      <w:r>
        <w:rPr>
          <w:rStyle w:val="FootnoteReference"/>
          <w:rFonts w:ascii="Times New Roman" w:hAnsi="Times New Roman"/>
        </w:rPr>
        <w:footnoteRef/>
      </w:r>
      <w:r>
        <w:rPr>
          <w:rFonts w:ascii="Times New Roman" w:hAnsi="Times New Roman"/>
        </w:rPr>
        <w:t xml:space="preserve"> Ú. v. EÚ L 13, 17.1.2014, s. 1 – 73.</w:t>
      </w:r>
    </w:p>
  </w:footnote>
  <w:footnote w:id="9">
    <w:p>
      <w:pPr>
        <w:pStyle w:val="FootnoteText"/>
        <w:spacing w:after="0" w:line="240" w:lineRule="auto"/>
        <w:jc w:val="both"/>
        <w:rPr>
          <w:rFonts w:ascii="Times New Roman" w:hAnsi="Times New Roman"/>
          <w:lang w:val="en-GB"/>
        </w:rPr>
      </w:pPr>
      <w:r>
        <w:rPr>
          <w:rStyle w:val="FootnoteReference"/>
          <w:rFonts w:ascii="Times New Roman" w:hAnsi="Times New Roman"/>
        </w:rPr>
        <w:footnoteRef/>
      </w:r>
      <w:r>
        <w:rPr>
          <w:rFonts w:ascii="Times New Roman" w:hAnsi="Times New Roman"/>
        </w:rPr>
        <w:t xml:space="preserve"> SWD(2014) 299.</w:t>
      </w:r>
    </w:p>
  </w:footnote>
  <w:footnote w:id="10">
    <w:p>
      <w:pPr>
        <w:pStyle w:val="FootnoteText"/>
        <w:spacing w:after="0" w:line="240" w:lineRule="auto"/>
        <w:jc w:val="both"/>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rPr>
          <w:t>http://ec.europa.eu/research/energy/euratom/publications/pdf/study2012_synthesis_report.pdf.</w:t>
        </w:r>
      </w:hyperlink>
      <w:r>
        <w:rPr>
          <w:rFonts w:ascii="Times New Roman" w:hAnsi="Times New Roman"/>
        </w:rPr>
        <w:t xml:space="preserve"> </w:t>
      </w:r>
    </w:p>
  </w:footnote>
  <w:footnote w:id="11">
    <w:p>
      <w:pPr>
        <w:pStyle w:val="FootnoteText"/>
        <w:spacing w:after="0" w:line="240" w:lineRule="auto"/>
        <w:jc w:val="both"/>
        <w:rPr>
          <w:rFonts w:ascii="Times New Roman" w:hAnsi="Times New Roman"/>
        </w:rPr>
      </w:pPr>
      <w:r>
        <w:rPr>
          <w:rStyle w:val="FootnoteReference"/>
        </w:rPr>
        <w:footnoteRef/>
      </w:r>
      <w:r>
        <w:t xml:space="preserve"> </w:t>
      </w:r>
      <w:r>
        <w:rPr>
          <w:rFonts w:ascii="Times New Roman" w:hAnsi="Times New Roman"/>
        </w:rPr>
        <w:t>Zdroj: Agentúra pre jadrovú energiu a Medzinárodná agentúra pre energiu, 2015 (1 USD = 0,75 EUR).</w:t>
      </w:r>
    </w:p>
  </w:footnote>
  <w:footnote w:id="12">
    <w:p>
      <w:pPr>
        <w:pStyle w:val="FootnoteText"/>
        <w:spacing w:after="0" w:line="240" w:lineRule="auto"/>
        <w:jc w:val="both"/>
        <w:rPr>
          <w:rFonts w:ascii="Times New Roman" w:hAnsi="Times New Roman"/>
        </w:rPr>
      </w:pPr>
      <w:r>
        <w:rPr>
          <w:rStyle w:val="FootnoteReference"/>
        </w:rPr>
        <w:footnoteRef/>
      </w:r>
      <w:r>
        <w:t xml:space="preserve"> </w:t>
      </w:r>
      <w:r>
        <w:rPr>
          <w:rFonts w:ascii="Times New Roman" w:hAnsi="Times New Roman"/>
        </w:rPr>
        <w:t>Napr. rozhodnutie Nemecka a nový francúzsky zákon o prechode na udržateľnú výrobu energie.</w:t>
      </w:r>
    </w:p>
  </w:footnote>
  <w:footnote w:id="1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Odhad na základe analýzy, ktorú Komisia vykonala počas vypracovávania rámca politík v oblasti klímy a energetiky na obdobie do roku 2030. Pozri SWD(2014) 255 a SWD(2014) 15.</w:t>
      </w:r>
    </w:p>
  </w:footnote>
  <w:footnote w:id="1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SWD(2014) 255. Sem patria aj investície do rozvodných sietí elektrickej energie, investície do elektrární (elektrická energia a kogenerácia) a parných kotlov. Pokiaľ nie je uvedené inak, sú všetky údaje v tomto oznámení vyjadrené v stálych hodnotách.</w:t>
      </w:r>
    </w:p>
  </w:footnote>
  <w:footnote w:id="15">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Náklady na výstavbu zahŕňajú: výstavbu, veľké zariadenia, systémy kontroly a regulácie, nepriame náklady a náklady vlastníka.</w:t>
      </w:r>
    </w:p>
  </w:footnote>
  <w:footnote w:id="16">
    <w:p>
      <w:pPr>
        <w:pStyle w:val="FootnoteText"/>
        <w:spacing w:after="0"/>
        <w:rPr>
          <w:rFonts w:ascii="Times New Roman" w:hAnsi="Times New Roman"/>
        </w:rPr>
      </w:pPr>
      <w:r>
        <w:rPr>
          <w:rStyle w:val="FootnoteReference"/>
        </w:rPr>
        <w:footnoteRef/>
      </w:r>
      <w:r>
        <w:t xml:space="preserve"> </w:t>
      </w:r>
      <w:r>
        <w:rPr>
          <w:rFonts w:ascii="Times New Roman" w:hAnsi="Times New Roman"/>
        </w:rPr>
        <w:t>Rozdielové zmluvy obsahujú pohyblivú prémiu na základe trhovej ceny za elektrickú energiu.</w:t>
      </w:r>
    </w:p>
  </w:footnote>
  <w:footnote w:id="17">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Dohoda podobná družstevným systémom podnikania v iných európskych krajinách. Tento model funguje na základe nulového zisku. Akcionári za výrobnú cenu dostávajú pomerný podiel elektrickej energie vyrobenej v danej jadrovej elektrárni.</w:t>
      </w:r>
    </w:p>
  </w:footnote>
  <w:footnote w:id="1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Patria k nim dodávatelia technológií, architekti, inžinieri, prevádzkovatelia, ako aj inšpektori a regulačné orgány pre jadrovú bezpečnosť.</w:t>
      </w:r>
    </w:p>
  </w:footnote>
  <w:footnote w:id="19">
    <w:p>
      <w:pPr>
        <w:pStyle w:val="FootnoteText"/>
        <w:spacing w:after="0" w:line="240" w:lineRule="auto"/>
        <w:jc w:val="both"/>
        <w:rPr>
          <w:rFonts w:ascii="Times New Roman" w:hAnsi="Times New Roman"/>
          <w:lang w:val="pl-PL"/>
        </w:rPr>
      </w:pPr>
      <w:r>
        <w:rPr>
          <w:rStyle w:val="FootnoteReference"/>
          <w:rFonts w:ascii="Times New Roman" w:hAnsi="Times New Roman"/>
        </w:rPr>
        <w:footnoteRef/>
      </w:r>
      <w:r>
        <w:rPr>
          <w:rFonts w:ascii="Times New Roman" w:hAnsi="Times New Roman"/>
        </w:rPr>
        <w:t xml:space="preserve"> Ide o uvoľnenie zariadenia spod regulačnej kontroly.</w:t>
      </w:r>
    </w:p>
  </w:footnote>
  <w:footnote w:id="20">
    <w:p>
      <w:pPr>
        <w:pStyle w:val="FootnoteText"/>
        <w:spacing w:after="0" w:line="240" w:lineRule="auto"/>
        <w:rPr>
          <w:rFonts w:ascii="Times New Roman" w:hAnsi="Times New Roman"/>
          <w:lang w:val="pl-PL"/>
        </w:rPr>
      </w:pPr>
      <w:r>
        <w:rPr>
          <w:rStyle w:val="FootnoteReference"/>
          <w:rFonts w:ascii="Times New Roman" w:hAnsi="Times New Roman"/>
        </w:rPr>
        <w:footnoteRef/>
      </w:r>
      <w:r>
        <w:rPr>
          <w:rFonts w:ascii="Times New Roman" w:hAnsi="Times New Roman"/>
        </w:rPr>
        <w:t xml:space="preserve"> Dotazník zaslaný členom skupiny na financovanie vyraďovania jadrových zariadení z prevádzky, ako aj národné programy predložené podľa smernice 2011/70/Euratom, ak sú k dispozícii.</w:t>
      </w:r>
    </w:p>
  </w:footnote>
  <w:footnote w:id="21">
    <w:p>
      <w:pPr>
        <w:pStyle w:val="FootnoteText"/>
        <w:spacing w:after="0" w:line="240" w:lineRule="auto"/>
        <w:jc w:val="both"/>
        <w:rPr>
          <w:rFonts w:ascii="Times New Roman" w:hAnsi="Times New Roman"/>
          <w:lang w:val="pl-PL"/>
        </w:rPr>
      </w:pPr>
      <w:r>
        <w:rPr>
          <w:rStyle w:val="FootnoteReference"/>
          <w:rFonts w:ascii="Times New Roman" w:hAnsi="Times New Roman"/>
        </w:rPr>
        <w:footnoteRef/>
      </w:r>
      <w:r>
        <w:rPr>
          <w:rStyle w:val="Strong"/>
          <w:rFonts w:ascii="Times New Roman" w:hAnsi="Times New Roman"/>
        </w:rPr>
        <w:t xml:space="preserve"> </w:t>
      </w:r>
      <w:hyperlink r:id="rId2">
        <w:r>
          <w:rPr>
            <w:rStyle w:val="Hyperlink"/>
            <w:rFonts w:ascii="Times New Roman" w:hAnsi="Times New Roman"/>
          </w:rPr>
          <w:t>http://ec.europa.eu/euratom/observatory_radioisotopes.html</w:t>
        </w:r>
      </w:hyperlink>
      <w:r>
        <w:rPr>
          <w:rStyle w:val="Hyperlink"/>
          <w:rFonts w:ascii="Times New Roman" w:hAnsi="Times New Roman"/>
        </w:rPr>
        <w:t>.</w:t>
      </w:r>
    </w:p>
  </w:footnote>
  <w:footnote w:id="2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Medzinárodný termonukleárny experimentálny reaktor, ktorý sa stavia vo Francúzsku, predstavuje rozsiahly vedecký experiment zacielený na preukázanie vedeckej a technologickej uskutočniteľnosti jadrovej syntézy. Ide o projekt medzinárodnej spolupráce medzi EÚ, Čínou, Indiou, Japonskom, Južnou Kóreou, Ruskom a USA.</w:t>
      </w:r>
    </w:p>
  </w:footnote>
  <w:footnote w:id="23">
    <w:p>
      <w:pPr>
        <w:pStyle w:val="FootnoteText"/>
        <w:spacing w:after="0" w:line="240" w:lineRule="auto"/>
        <w:jc w:val="both"/>
        <w:rPr>
          <w:rFonts w:ascii="Times New Roman" w:hAnsi="Times New Roman"/>
        </w:rPr>
      </w:pPr>
      <w:r>
        <w:rPr>
          <w:rStyle w:val="FootnoteReference"/>
        </w:rPr>
        <w:footnoteRef/>
      </w:r>
      <w:r>
        <w:t xml:space="preserve"> </w:t>
      </w:r>
      <w:r>
        <w:rPr>
          <w:rFonts w:ascii="Times New Roman" w:hAnsi="Times New Roman"/>
        </w:rPr>
        <w:t>COM(2015) 6317.</w:t>
      </w:r>
    </w:p>
  </w:footnote>
  <w:footnote w:id="24">
    <w:p>
      <w:pPr>
        <w:pStyle w:val="FootnoteText"/>
        <w:spacing w:after="0"/>
      </w:pPr>
      <w:r>
        <w:rPr>
          <w:rStyle w:val="FootnoteReference"/>
        </w:rPr>
        <w:footnoteRef/>
      </w:r>
      <w:r>
        <w:t xml:space="preserve"> </w:t>
      </w:r>
      <w:r>
        <w:rPr>
          <w:rFonts w:ascii="Times New Roman" w:hAnsi="Times New Roman"/>
        </w:rPr>
        <w:t>Táto iniciatíva je súčasťou Technologickej platformy pre udržateľnú jadrovú energiu (SNETP).</w:t>
      </w:r>
    </w:p>
  </w:footnote>
  <w:footnote w:id="25">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Podrobnosti pozri v pracovnom dokumente útvarov Komisie.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3">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9">
    <w:nsid w:val="4959133F"/>
    <w:multiLevelType w:val="multilevel"/>
    <w:tmpl w:val="81C4A17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5056221"/>
    <w:multiLevelType w:val="hybridMultilevel"/>
    <w:tmpl w:val="CE6483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11"/>
  </w:num>
  <w:num w:numId="3">
    <w:abstractNumId w:val="7"/>
  </w:num>
  <w:num w:numId="4">
    <w:abstractNumId w:val="2"/>
  </w:num>
  <w:num w:numId="5">
    <w:abstractNumId w:val="6"/>
  </w:num>
  <w:num w:numId="6">
    <w:abstractNumId w:val="14"/>
  </w:num>
  <w:num w:numId="7">
    <w:abstractNumId w:val="15"/>
  </w:num>
  <w:num w:numId="8">
    <w:abstractNumId w:val="4"/>
  </w:num>
  <w:num w:numId="9">
    <w:abstractNumId w:val="13"/>
  </w:num>
  <w:num w:numId="10">
    <w:abstractNumId w:val="12"/>
  </w:num>
  <w:num w:numId="11">
    <w:abstractNumId w:val="8"/>
  </w:num>
  <w:num w:numId="12">
    <w:abstractNumId w:val="10"/>
  </w:num>
  <w:num w:numId="13">
    <w:abstractNumId w:val="1"/>
  </w:num>
  <w:num w:numId="14">
    <w:abstractNumId w:val="5"/>
  </w:num>
  <w:num w:numId="15">
    <w:abstractNumId w:val="0"/>
  </w:num>
  <w:num w:numId="16">
    <w:abstractNumId w:val="3"/>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removePersonalInformation/>
  <w:removeDateAndTime/>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9B2FBECB5E3475BA723012F812841E5"/>
    <w:docVar w:name="LW_CROSSREFERENCE" w:val="{SWD(2016) 102 final}"/>
    <w:docVar w:name="LW_DocType" w:val="NORMAL"/>
    <w:docVar w:name="LW_EMISSION" w:val="4. 4. 2016"/>
    <w:docVar w:name="LW_EMISSION_ISODATE" w:val="2016-04-04"/>
    <w:docVar w:name="LW_EMISSION_LOCATION" w:val="BRX"/>
    <w:docVar w:name="LW_EMISSION_PREFIX" w:val="V Bruseli"/>
    <w:docVar w:name="LW_EMISSION_SUFFIX" w:val=" "/>
    <w:docVar w:name="LW_ID_DOCTYPE_NONLW" w:val="CP-009"/>
    <w:docVar w:name="LW_LANGUE" w:val="SK"/>
    <w:docVar w:name="LW_MARKING" w:val="&lt;UNUSED&gt;"/>
    <w:docVar w:name="LW_NOM.INST" w:val="EURÓPSKA KOMISIA"/>
    <w:docVar w:name="LW_NOM.INST_JOINTDOC" w:val="&lt;EMPTY&gt;"/>
    <w:docVar w:name="LW_PART_NBR" w:val="1"/>
    <w:docVar w:name="LW_PART_NBR_TOTAL" w:val="1"/>
    <w:docVar w:name="LW_REF.INST.NEW" w:val="COM"/>
    <w:docVar w:name="LW_REF.INST.NEW_ADOPTED" w:val="final"/>
    <w:docVar w:name="LW_REF.INST.NEW_TEXT" w:val="(2016) 177"/>
    <w:docVar w:name="LW_REF.INTERNE" w:val="&lt;UNUSED&gt;"/>
    <w:docVar w:name="LW_SOUS.TITRE.OBJ" w:val="predlo\u382?ené pod\u318?a \u269?lánku 40 Zmluvy o Euratome na vyjadrenie stanoviska Európskemu hospodárskemu a sociálnemu výboru"/>
    <w:docVar w:name="LW_SOUS.TITRE.OBJ.CP" w:val="predlo\u382?ené pod\u318?a \u269?lánku 40 Zmluvy o Euratome na vyjadrenie stanoviska Európskemu hospodárskemu a sociálnemu výboru"/>
    <w:docVar w:name="LW_SUPERTITRE" w:val="&lt;UNUSED&gt;"/>
    <w:docVar w:name="LW_TITRE.OBJ.CP" w:val="Jadrový objas\u328?ujúci program"/>
    <w:docVar w:name="LW_TYPE.DOC.CP" w:val="OZNÁMENIE KOMISIE"/>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sk-SK" w:bidi="sk-S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pPr>
      <w:keepNext/>
      <w:numPr>
        <w:ilvl w:val="2"/>
      </w:numPr>
      <w:spacing w:before="240" w:after="60" w:line="240" w:lineRule="auto"/>
      <w:ind w:left="720" w:hanging="720"/>
      <w:outlineLvl w:val="2"/>
    </w:pPr>
    <w:rPr>
      <w:rFonts w:asciiTheme="majorHAnsi" w:eastAsiaTheme="majorEastAsia" w:hAnsiTheme="majorHAnsi" w:cstheme="majorBidi"/>
      <w:b/>
      <w:bCs/>
      <w:color w:val="FF33CC"/>
      <w:sz w:val="24"/>
      <w:szCs w:val="24"/>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FootnoteText">
    <w:name w:val="footnote text"/>
    <w:aliases w:val="Fußnote,Schriftart: 9 pt,Schriftart: 10 pt,Schriftart: 8 pt,Testo nota a piè di pagina Carattere,Footnote text,Testo nota a piè di pagina Carattere1 Carattere,Testo nota a piè di pagina Carattere Carattere Carattere,fn,Fuﬂnote,f"/>
    <w:basedOn w:val="Normal"/>
    <w:link w:val="FootnoteTextChar"/>
    <w:unhideWhenUsed/>
    <w:qFormat/>
    <w:rPr>
      <w:rFonts w:ascii="Calibri" w:eastAsia="Calibri" w:hAnsi="Calibri" w:cs="Times New Roman"/>
      <w:sz w:val="20"/>
      <w:szCs w:val="20"/>
    </w:rPr>
  </w:style>
  <w:style w:type="character" w:customStyle="1" w:styleId="FootnoteTextChar">
    <w:name w:val="Footnote Text Char"/>
    <w:aliases w:val="Fußnote Char,Schriftart: 9 pt Char,Schriftart: 10 pt Char,Schriftart: 8 pt Char,Testo nota a piè di pagina Carattere Char,Footnote text Char,Testo nota a piè di pagina Carattere1 Carattere Char,fn Char,Fuﬂnote Char,f Char"/>
    <w:basedOn w:val="DefaultParagraphFont"/>
    <w:link w:val="FootnoteText"/>
    <w:rPr>
      <w:rFonts w:ascii="Calibri" w:eastAsia="Calibri" w:hAnsi="Calibri" w:cs="Times New Roman"/>
      <w:sz w:val="20"/>
      <w:szCs w:val="20"/>
      <w:lang w:val="sk-SK"/>
    </w:rPr>
  </w:style>
  <w:style w:type="character" w:styleId="FootnoteReference">
    <w:name w:val="footnote reference"/>
    <w:aliases w:val="SUPERS,Footnote symbol,Times 10 Point,Exposant 3 Point, Exposant 3 Point,Footnote,BVI fnr, BVI fnr,EN Footnote Reference,Footnote reference number,note TESI,Voetnootverwijzing,Footnote number,fr,o,Footnotemark,FR,Footnotemark1,ftref"/>
    <w:link w:val="ftrefCharCharCharCharCharCharCharCharChar"/>
    <w:unhideWhenUsed/>
    <w:qFormat/>
    <w:rPr>
      <w:vertAlign w:val="superscript"/>
    </w:rPr>
  </w:style>
  <w:style w:type="character" w:styleId="IntenseReference">
    <w:name w:val="Intense Reference"/>
    <w:uiPriority w:val="32"/>
    <w:qFormat/>
    <w:rPr>
      <w:rFonts w:ascii="Times New Roman" w:hAnsi="Times New Roman"/>
      <w:bCs/>
      <w:smallCaps/>
      <w:spacing w:val="5"/>
    </w:rPr>
  </w:style>
  <w:style w:type="character" w:styleId="Strong">
    <w:name w:val="Strong"/>
    <w:uiPriority w:val="22"/>
    <w:qFormat/>
    <w:rPr>
      <w:b/>
      <w:bCs/>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FF33CC"/>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pPr>
      <w:spacing w:after="0" w:line="240" w:lineRule="auto"/>
    </w:p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table" w:styleId="LightList-Accent1">
    <w:name w:val="Light List Accent 1"/>
    <w:basedOn w:val="TableNormal"/>
    <w:uiPriority w:val="61"/>
    <w:pPr>
      <w:spacing w:after="120" w:line="240" w:lineRule="auto"/>
      <w:jc w:val="both"/>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MS Mincho" w:hAnsi="Times New Roman" w:cs="Times New Roman"/>
      <w:sz w:val="24"/>
      <w:szCs w:val="28"/>
    </w:rPr>
  </w:style>
  <w:style w:type="character" w:customStyle="1" w:styleId="FooterCoverPageChar">
    <w:name w:val="Footer Cover Page Char"/>
    <w:basedOn w:val="DefaultParagraphFont"/>
    <w:link w:val="FooterCoverPage"/>
    <w:rPr>
      <w:rFonts w:ascii="Times New Roman" w:eastAsia="MS Mincho"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MS Mincho" w:hAnsi="Times New Roman" w:cs="Times New Roman"/>
      <w:sz w:val="24"/>
      <w:szCs w:val="28"/>
    </w:rPr>
  </w:style>
  <w:style w:type="character" w:customStyle="1" w:styleId="HeaderCoverPageChar">
    <w:name w:val="Header Cover Page Char"/>
    <w:basedOn w:val="DefaultParagraphFont"/>
    <w:link w:val="HeaderCoverPage"/>
    <w:rPr>
      <w:rFonts w:ascii="Times New Roman" w:eastAsia="MS Mincho" w:hAnsi="Times New Roman" w:cs="Times New Roman"/>
      <w:sz w:val="24"/>
      <w:szCs w:val="28"/>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sk-SK" w:bidi="sk-S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pPr>
      <w:keepNext/>
      <w:numPr>
        <w:ilvl w:val="2"/>
      </w:numPr>
      <w:spacing w:before="240" w:after="60" w:line="240" w:lineRule="auto"/>
      <w:ind w:left="720" w:hanging="720"/>
      <w:outlineLvl w:val="2"/>
    </w:pPr>
    <w:rPr>
      <w:rFonts w:asciiTheme="majorHAnsi" w:eastAsiaTheme="majorEastAsia" w:hAnsiTheme="majorHAnsi" w:cstheme="majorBidi"/>
      <w:b/>
      <w:bCs/>
      <w:color w:val="FF33CC"/>
      <w:sz w:val="24"/>
      <w:szCs w:val="24"/>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FootnoteText">
    <w:name w:val="footnote text"/>
    <w:aliases w:val="Fußnote,Schriftart: 9 pt,Schriftart: 10 pt,Schriftart: 8 pt,Testo nota a piè di pagina Carattere,Footnote text,Testo nota a piè di pagina Carattere1 Carattere,Testo nota a piè di pagina Carattere Carattere Carattere,fn,Fuﬂnote,f"/>
    <w:basedOn w:val="Normal"/>
    <w:link w:val="FootnoteTextChar"/>
    <w:unhideWhenUsed/>
    <w:qFormat/>
    <w:rPr>
      <w:rFonts w:ascii="Calibri" w:eastAsia="Calibri" w:hAnsi="Calibri" w:cs="Times New Roman"/>
      <w:sz w:val="20"/>
      <w:szCs w:val="20"/>
    </w:rPr>
  </w:style>
  <w:style w:type="character" w:customStyle="1" w:styleId="FootnoteTextChar">
    <w:name w:val="Footnote Text Char"/>
    <w:aliases w:val="Fußnote Char,Schriftart: 9 pt Char,Schriftart: 10 pt Char,Schriftart: 8 pt Char,Testo nota a piè di pagina Carattere Char,Footnote text Char,Testo nota a piè di pagina Carattere1 Carattere Char,fn Char,Fuﬂnote Char,f Char"/>
    <w:basedOn w:val="DefaultParagraphFont"/>
    <w:link w:val="FootnoteText"/>
    <w:rPr>
      <w:rFonts w:ascii="Calibri" w:eastAsia="Calibri" w:hAnsi="Calibri" w:cs="Times New Roman"/>
      <w:sz w:val="20"/>
      <w:szCs w:val="20"/>
      <w:lang w:val="sk-SK"/>
    </w:rPr>
  </w:style>
  <w:style w:type="character" w:styleId="FootnoteReference">
    <w:name w:val="footnote reference"/>
    <w:aliases w:val="SUPERS,Footnote symbol,Times 10 Point,Exposant 3 Point, Exposant 3 Point,Footnote,BVI fnr, BVI fnr,EN Footnote Reference,Footnote reference number,note TESI,Voetnootverwijzing,Footnote number,fr,o,Footnotemark,FR,Footnotemark1,ftref"/>
    <w:link w:val="ftrefCharCharCharCharCharCharCharCharChar"/>
    <w:unhideWhenUsed/>
    <w:qFormat/>
    <w:rPr>
      <w:vertAlign w:val="superscript"/>
    </w:rPr>
  </w:style>
  <w:style w:type="character" w:styleId="IntenseReference">
    <w:name w:val="Intense Reference"/>
    <w:uiPriority w:val="32"/>
    <w:qFormat/>
    <w:rPr>
      <w:rFonts w:ascii="Times New Roman" w:hAnsi="Times New Roman"/>
      <w:bCs/>
      <w:smallCaps/>
      <w:spacing w:val="5"/>
    </w:rPr>
  </w:style>
  <w:style w:type="character" w:styleId="Strong">
    <w:name w:val="Strong"/>
    <w:uiPriority w:val="22"/>
    <w:qFormat/>
    <w:rPr>
      <w:b/>
      <w:bCs/>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FF33CC"/>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pPr>
      <w:spacing w:after="0" w:line="240" w:lineRule="auto"/>
    </w:p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table" w:styleId="LightList-Accent1">
    <w:name w:val="Light List Accent 1"/>
    <w:basedOn w:val="TableNormal"/>
    <w:uiPriority w:val="61"/>
    <w:pPr>
      <w:spacing w:after="120" w:line="240" w:lineRule="auto"/>
      <w:jc w:val="both"/>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MS Mincho" w:hAnsi="Times New Roman" w:cs="Times New Roman"/>
      <w:sz w:val="24"/>
      <w:szCs w:val="28"/>
    </w:rPr>
  </w:style>
  <w:style w:type="character" w:customStyle="1" w:styleId="FooterCoverPageChar">
    <w:name w:val="Footer Cover Page Char"/>
    <w:basedOn w:val="DefaultParagraphFont"/>
    <w:link w:val="FooterCoverPage"/>
    <w:rPr>
      <w:rFonts w:ascii="Times New Roman" w:eastAsia="MS Mincho"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MS Mincho" w:hAnsi="Times New Roman" w:cs="Times New Roman"/>
      <w:sz w:val="24"/>
      <w:szCs w:val="28"/>
    </w:rPr>
  </w:style>
  <w:style w:type="character" w:customStyle="1" w:styleId="HeaderCoverPageChar">
    <w:name w:val="Header Cover Page Char"/>
    <w:basedOn w:val="DefaultParagraphFont"/>
    <w:link w:val="HeaderCoverPage"/>
    <w:rPr>
      <w:rFonts w:ascii="Times New Roman" w:eastAsia="MS Mincho" w:hAnsi="Times New Roman" w:cs="Times New Roman"/>
      <w:sz w:val="24"/>
      <w:szCs w:val="28"/>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1783">
      <w:bodyDiv w:val="1"/>
      <w:marLeft w:val="0"/>
      <w:marRight w:val="0"/>
      <w:marTop w:val="0"/>
      <w:marBottom w:val="0"/>
      <w:divBdr>
        <w:top w:val="none" w:sz="0" w:space="0" w:color="auto"/>
        <w:left w:val="none" w:sz="0" w:space="0" w:color="auto"/>
        <w:bottom w:val="none" w:sz="0" w:space="0" w:color="auto"/>
        <w:right w:val="none" w:sz="0" w:space="0" w:color="auto"/>
      </w:divBdr>
    </w:div>
    <w:div w:id="140510250">
      <w:bodyDiv w:val="1"/>
      <w:marLeft w:val="0"/>
      <w:marRight w:val="0"/>
      <w:marTop w:val="0"/>
      <w:marBottom w:val="0"/>
      <w:divBdr>
        <w:top w:val="none" w:sz="0" w:space="0" w:color="auto"/>
        <w:left w:val="none" w:sz="0" w:space="0" w:color="auto"/>
        <w:bottom w:val="none" w:sz="0" w:space="0" w:color="auto"/>
        <w:right w:val="none" w:sz="0" w:space="0" w:color="auto"/>
      </w:divBdr>
    </w:div>
    <w:div w:id="426119895">
      <w:bodyDiv w:val="1"/>
      <w:marLeft w:val="0"/>
      <w:marRight w:val="0"/>
      <w:marTop w:val="0"/>
      <w:marBottom w:val="0"/>
      <w:divBdr>
        <w:top w:val="none" w:sz="0" w:space="0" w:color="auto"/>
        <w:left w:val="none" w:sz="0" w:space="0" w:color="auto"/>
        <w:bottom w:val="none" w:sz="0" w:space="0" w:color="auto"/>
        <w:right w:val="none" w:sz="0" w:space="0" w:color="auto"/>
      </w:divBdr>
    </w:div>
    <w:div w:id="1451128923">
      <w:bodyDiv w:val="1"/>
      <w:marLeft w:val="0"/>
      <w:marRight w:val="0"/>
      <w:marTop w:val="0"/>
      <w:marBottom w:val="0"/>
      <w:divBdr>
        <w:top w:val="none" w:sz="0" w:space="0" w:color="auto"/>
        <w:left w:val="none" w:sz="0" w:space="0" w:color="auto"/>
        <w:bottom w:val="none" w:sz="0" w:space="0" w:color="auto"/>
        <w:right w:val="none" w:sz="0" w:space="0" w:color="auto"/>
      </w:divBdr>
      <w:divsChild>
        <w:div w:id="413480235">
          <w:marLeft w:val="0"/>
          <w:marRight w:val="0"/>
          <w:marTop w:val="0"/>
          <w:marBottom w:val="0"/>
          <w:divBdr>
            <w:top w:val="none" w:sz="0" w:space="0" w:color="auto"/>
            <w:left w:val="none" w:sz="0" w:space="0" w:color="auto"/>
            <w:bottom w:val="none" w:sz="0" w:space="0" w:color="auto"/>
            <w:right w:val="none" w:sz="0" w:space="0" w:color="auto"/>
          </w:divBdr>
          <w:divsChild>
            <w:div w:id="815024611">
              <w:marLeft w:val="0"/>
              <w:marRight w:val="0"/>
              <w:marTop w:val="0"/>
              <w:marBottom w:val="0"/>
              <w:divBdr>
                <w:top w:val="none" w:sz="0" w:space="0" w:color="auto"/>
                <w:left w:val="none" w:sz="0" w:space="0" w:color="auto"/>
                <w:bottom w:val="none" w:sz="0" w:space="0" w:color="auto"/>
                <w:right w:val="none" w:sz="0" w:space="0" w:color="auto"/>
              </w:divBdr>
              <w:divsChild>
                <w:div w:id="3976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08248">
      <w:bodyDiv w:val="1"/>
      <w:marLeft w:val="0"/>
      <w:marRight w:val="0"/>
      <w:marTop w:val="0"/>
      <w:marBottom w:val="0"/>
      <w:divBdr>
        <w:top w:val="none" w:sz="0" w:space="0" w:color="auto"/>
        <w:left w:val="none" w:sz="0" w:space="0" w:color="auto"/>
        <w:bottom w:val="none" w:sz="0" w:space="0" w:color="auto"/>
        <w:right w:val="none" w:sz="0" w:space="0" w:color="auto"/>
      </w:divBdr>
    </w:div>
    <w:div w:id="203889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uratom/observatory_radioisotopes.html" TargetMode="External"/><Relationship Id="rId1" Type="http://schemas.openxmlformats.org/officeDocument/2006/relationships/hyperlink" Target="http://ec.europa.eu/research/energy/euratom/publications/pdf/study2012_synthesis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B8B1A-0E91-413A-9FC1-82FE3769F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4040</Words>
  <Characters>24928</Characters>
  <Application>Microsoft Office Word</Application>
  <DocSecurity>0</DocSecurity>
  <Lines>377</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2016-02-24T13:05:00Z</dcterms:created>
  <dcterms:modified xsi:type="dcterms:W3CDTF">2016-03-30T15:02:00Z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