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1E" w:rsidRDefault="00B1261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307CAF35BB4998B1849CA8B5183797" style="width:450.6pt;height:307.85pt">
            <v:imagedata r:id="rId9" o:title=""/>
          </v:shape>
        </w:pict>
      </w:r>
    </w:p>
    <w:bookmarkEnd w:id="0"/>
    <w:p w:rsidR="007B4B1E" w:rsidRDefault="007B4B1E">
      <w:pPr>
        <w:rPr>
          <w:noProof/>
        </w:rPr>
        <w:sectPr w:rsidR="007B4B1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Migracije so bile v preteklosti eno najpomembnejših vprašanj za Evropo in to ostajajo tudi v </w:t>
      </w:r>
      <w:r>
        <w:rPr>
          <w:rFonts w:ascii="Times New Roman" w:hAnsi="Times New Roman"/>
          <w:noProof/>
          <w:sz w:val="24"/>
        </w:rPr>
        <w:t>naslednjih desetletjih. Osnovni trendi v gospodarskem razvoju, podnebne spremembe, globalizacija, promet in komunikacije, vojne in nestabilnosti v sosednjih regijah – vse to pomeni, da bodo ljudje še naprej poskušali priti k nam, da najdejo pribežališče, b</w:t>
      </w:r>
      <w:r>
        <w:rPr>
          <w:rFonts w:ascii="Times New Roman" w:hAnsi="Times New Roman"/>
          <w:noProof/>
          <w:sz w:val="24"/>
        </w:rPr>
        <w:t>oljše življenje ali se pridružijo družinskim članom. Evropske države bodo še naprej odločno izpolnjevale svoje pravne in moralne obveznosti do tistih, ki potrebujejo zaščito pred vojno in preganjanjem, zaradi svojih demografskih sprememb pa bodo morale izk</w:t>
      </w:r>
      <w:r>
        <w:rPr>
          <w:rFonts w:ascii="Times New Roman" w:hAnsi="Times New Roman"/>
          <w:noProof/>
          <w:sz w:val="24"/>
        </w:rPr>
        <w:t>oristiti priložnosti in koristi privabljanja nadarjenih in kvalificiranih državljanov tretjih držav.</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 stalen odziv na trenutno migracijsko in begunsko krizo je Komisija 10. februarja poročala</w:t>
      </w:r>
      <w:r>
        <w:rPr>
          <w:rFonts w:ascii="Times New Roman" w:hAnsi="Times New Roman"/>
          <w:noProof/>
          <w:sz w:val="24"/>
          <w:vertAlign w:val="superscript"/>
        </w:rPr>
        <w:footnoteReference w:id="1"/>
      </w:r>
      <w:r>
        <w:rPr>
          <w:rFonts w:ascii="Times New Roman" w:hAnsi="Times New Roman"/>
          <w:noProof/>
          <w:sz w:val="24"/>
        </w:rPr>
        <w:t xml:space="preserve"> o prednostnih ukrepih v okviru evropske agende o migracijah</w:t>
      </w:r>
      <w:r>
        <w:rPr>
          <w:rFonts w:ascii="Times New Roman" w:hAnsi="Times New Roman"/>
          <w:noProof/>
          <w:sz w:val="24"/>
          <w:vertAlign w:val="superscript"/>
        </w:rPr>
        <w:footnoteReference w:id="2"/>
      </w:r>
      <w:r>
        <w:rPr>
          <w:rFonts w:ascii="Times New Roman" w:hAnsi="Times New Roman"/>
          <w:noProof/>
          <w:sz w:val="24"/>
        </w:rPr>
        <w:t>,</w:t>
      </w:r>
      <w:r>
        <w:rPr>
          <w:rFonts w:ascii="Times New Roman" w:hAnsi="Times New Roman"/>
          <w:noProof/>
          <w:sz w:val="24"/>
        </w:rPr>
        <w:t xml:space="preserve"> namenjenih takojšnji ponovni vzpostavitvi reda na vzhodnosredozemski oziroma zahodnobalkanski poti. Po zasedanjih Evropskega sveta 18. in 19. februarja ter 17. in 18. marca ter po zasedanju voditeljev držav ali vlad EU 7. marca</w:t>
      </w:r>
      <w:r>
        <w:rPr>
          <w:rFonts w:ascii="Times New Roman" w:hAnsi="Times New Roman"/>
          <w:noProof/>
          <w:sz w:val="24"/>
          <w:vertAlign w:val="superscript"/>
        </w:rPr>
        <w:footnoteReference w:id="3"/>
      </w:r>
      <w:r>
        <w:rPr>
          <w:rFonts w:ascii="Times New Roman" w:hAnsi="Times New Roman"/>
          <w:noProof/>
          <w:sz w:val="24"/>
        </w:rPr>
        <w:t xml:space="preserve"> bo Komisija še naprej zago</w:t>
      </w:r>
      <w:r>
        <w:rPr>
          <w:rFonts w:ascii="Times New Roman" w:hAnsi="Times New Roman"/>
          <w:noProof/>
          <w:sz w:val="24"/>
        </w:rPr>
        <w:t>tavljala podporo državam članicam pri izvajanju vseh dogovorjenih elementov za zajezitev nedovoljenih migracijskih tokov, zaščito naših zunanjih meja in varovanje celovitosti schengenskega območja. Zlasti je potrebna podpora glede odločitev o premestitvah,</w:t>
      </w:r>
      <w:r>
        <w:rPr>
          <w:rFonts w:ascii="Times New Roman" w:hAnsi="Times New Roman"/>
          <w:noProof/>
          <w:sz w:val="24"/>
        </w:rPr>
        <w:t xml:space="preserve"> žariščnih točkah in ukrepih, ki zagotavljajo vračanje in ponovni sprejem, ter pri omogočanju učinkovitega dostopa do azilnih postopkov za osebe, ki potrebujejo mednarodno zaščito.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Uporaba veljavnih pravil ter izboljšanje delovanja obstoječih orodij in m</w:t>
      </w:r>
      <w:r>
        <w:rPr>
          <w:rFonts w:ascii="Times New Roman" w:hAnsi="Times New Roman"/>
          <w:noProof/>
          <w:sz w:val="24"/>
        </w:rPr>
        <w:t>ehanizmov sta ključnega pomena za ponovno pridobitev nadzora nad trenutnimi razmerami. Hkrati pa je, kakor je navedeno v sklepih Evropskega sveta z dne 18. in 19. februarja ter 17. in 18. marca</w:t>
      </w:r>
      <w:r>
        <w:rPr>
          <w:rStyle w:val="FootnoteReference"/>
          <w:rFonts w:ascii="Times New Roman" w:hAnsi="Times New Roman"/>
          <w:noProof/>
          <w:sz w:val="24"/>
        </w:rPr>
        <w:footnoteReference w:id="4"/>
      </w:r>
      <w:r>
        <w:rPr>
          <w:rFonts w:ascii="Times New Roman" w:hAnsi="Times New Roman"/>
          <w:noProof/>
          <w:sz w:val="24"/>
        </w:rPr>
        <w:t>, zdaj čas za napredek pri reformi obstoječega okvira EU, da s</w:t>
      </w:r>
      <w:r>
        <w:rPr>
          <w:rFonts w:ascii="Times New Roman" w:hAnsi="Times New Roman"/>
          <w:noProof/>
          <w:sz w:val="24"/>
        </w:rPr>
        <w:t>e vzpostavi humana in učinkovita azilna politika. Zasnova ter izvajanje evropske azilne in migracijske politike imata znatne strukturne slabosti in pomanjkljivosti, ki so postale očitne v kriznem obdobju. EU mora zdaj uvesti orodja za boljše upravljanje mi</w:t>
      </w:r>
      <w:r>
        <w:rPr>
          <w:rFonts w:ascii="Times New Roman" w:hAnsi="Times New Roman"/>
          <w:noProof/>
          <w:sz w:val="24"/>
        </w:rPr>
        <w:t xml:space="preserve">gracijskih tokov v srednjeročnem in dolgoročnem obdobju, v skladu s pristopom iz evropske agende o migracijah.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Splošni cilj je prehod s sistema, ki zaradi zasnove ali slabega izvajanja nalaga nesorazmerno odgovornost nekaterim državam članicam ter spodbu</w:t>
      </w:r>
      <w:r>
        <w:rPr>
          <w:rFonts w:ascii="Times New Roman" w:hAnsi="Times New Roman"/>
          <w:noProof/>
          <w:sz w:val="24"/>
        </w:rPr>
        <w:t>ja nenadzorovane in nedovoljene migracijske tokove, na pravičnejši sistem, ki zagotavlja zakonito in varno pot v EU za državljane tretjih držav, ki potrebujejo zaščito ali ki lahko prispevajo h gospodarskemu razvoju EU. EU potrebuje trden in učinkovit sist</w:t>
      </w:r>
      <w:r>
        <w:rPr>
          <w:rFonts w:ascii="Times New Roman" w:hAnsi="Times New Roman"/>
          <w:noProof/>
          <w:sz w:val="24"/>
        </w:rPr>
        <w:t xml:space="preserve">em za trajnostno upravljanje migracij v prihodnosti, ki bo pravičen do družb gostiteljic in državljanov EU kot tudi državljanov tretjih držav ter držav izvora in tranzita. Da bi ta sistem deloval, mora biti celovit ter temeljiti na načelih odgovornosti in </w:t>
      </w:r>
      <w:r>
        <w:rPr>
          <w:rFonts w:ascii="Times New Roman" w:hAnsi="Times New Roman"/>
          <w:noProof/>
          <w:sz w:val="24"/>
        </w:rPr>
        <w:t xml:space="preserve">solidarnosti.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zadnjih mesecih so bili sprejeti pomembni ukrepi za odločen boj proti nezakonitemu priseljevanju in za učinkovitejše upravljanje zunanjih meja EU. Zato je bistvenega pomena najpozneje do junija sprejeti predlagano uredbo o evropski mejni </w:t>
      </w:r>
      <w:r>
        <w:rPr>
          <w:rFonts w:ascii="Times New Roman" w:hAnsi="Times New Roman"/>
          <w:noProof/>
          <w:sz w:val="24"/>
        </w:rPr>
        <w:t>in obalni straži</w:t>
      </w:r>
      <w:r>
        <w:rPr>
          <w:rFonts w:ascii="Times New Roman" w:hAnsi="Times New Roman"/>
          <w:noProof/>
          <w:sz w:val="24"/>
          <w:vertAlign w:val="superscript"/>
        </w:rPr>
        <w:footnoteReference w:id="5"/>
      </w:r>
      <w:r>
        <w:rPr>
          <w:rFonts w:ascii="Times New Roman" w:hAnsi="Times New Roman"/>
          <w:noProof/>
          <w:sz w:val="24"/>
        </w:rPr>
        <w:t>, da bo ta poleti lahko začela delovati. Izvajanje akcijskih načrtov za boj proti tihotapljenju migrantov</w:t>
      </w:r>
      <w:r>
        <w:rPr>
          <w:rFonts w:ascii="Times New Roman" w:hAnsi="Times New Roman"/>
          <w:noProof/>
          <w:sz w:val="24"/>
          <w:vertAlign w:val="superscript"/>
        </w:rPr>
        <w:footnoteReference w:id="6"/>
      </w:r>
      <w:r>
        <w:rPr>
          <w:rFonts w:ascii="Times New Roman" w:hAnsi="Times New Roman"/>
          <w:noProof/>
          <w:sz w:val="24"/>
        </w:rPr>
        <w:t xml:space="preserve"> </w:t>
      </w:r>
      <w:r>
        <w:rPr>
          <w:rFonts w:ascii="Times New Roman" w:hAnsi="Times New Roman"/>
          <w:noProof/>
          <w:sz w:val="24"/>
        </w:rPr>
        <w:lastRenderedPageBreak/>
        <w:t>in o vračanju</w:t>
      </w:r>
      <w:r>
        <w:rPr>
          <w:rFonts w:ascii="Times New Roman" w:hAnsi="Times New Roman"/>
          <w:noProof/>
          <w:sz w:val="24"/>
          <w:vertAlign w:val="superscript"/>
        </w:rPr>
        <w:footnoteReference w:id="7"/>
      </w:r>
      <w:r>
        <w:rPr>
          <w:rFonts w:ascii="Times New Roman" w:hAnsi="Times New Roman"/>
          <w:noProof/>
          <w:sz w:val="24"/>
        </w:rPr>
        <w:t xml:space="preserve"> prav tako napreduje, vse ustrezne agencije in države članice pa so okrepile svoje delo na tem področju.</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Vendar sta </w:t>
      </w:r>
      <w:r>
        <w:rPr>
          <w:rFonts w:ascii="Times New Roman" w:hAnsi="Times New Roman"/>
          <w:noProof/>
          <w:sz w:val="24"/>
        </w:rPr>
        <w:t>lahko zmanjševanje nezakonitih tokov proti Evropi in znotraj nje ter zaščita naših zunanjih meja uspešna le, če na pojav migracij gledamo široko in celovito. To pomeni, da je treba obenem okrepiti zakonite in varne poti v Evropo, izboljšati uporabo in izva</w:t>
      </w:r>
      <w:r>
        <w:rPr>
          <w:rFonts w:ascii="Times New Roman" w:hAnsi="Times New Roman"/>
          <w:noProof/>
          <w:sz w:val="24"/>
        </w:rPr>
        <w:t>janje obstoječih pravnih instrumentov za migracijo, okrepiti skupni evropski azilni sistem ter si še naprej prizadevati za odpravo temeljnih vzrokov migracij. Če želimo izboljšati upravljanje migracij, moramo izboljšati privabljanje nadarjenih in kvalifici</w:t>
      </w:r>
      <w:r>
        <w:rPr>
          <w:rFonts w:ascii="Times New Roman" w:hAnsi="Times New Roman"/>
          <w:noProof/>
          <w:sz w:val="24"/>
        </w:rPr>
        <w:t>ranih posameznikov, ki jih bomo potrebovali v prihodnosti, in izkoriščanje prednosti migracij z zagotavljanjem učinkovitega vključevanja beguncev in zakonitih priseljencev ter njihove udeležbe v družbi gostiteljici.</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Skupaj z drugimi ukrepi v skladu z evro</w:t>
      </w:r>
      <w:r>
        <w:rPr>
          <w:rFonts w:ascii="Times New Roman" w:hAnsi="Times New Roman"/>
          <w:noProof/>
          <w:sz w:val="24"/>
        </w:rPr>
        <w:t>psko agendo o migracijah to sporočilo določa ukrepe, ki jih je treba sprejeti za bolj humano, pravičnejšo in učinkovitejšo evropsko azilno politiko ter boljše upravljanje politike zakonitih migracij.</w:t>
      </w:r>
    </w:p>
    <w:p w:rsidR="007B4B1E" w:rsidRDefault="007B4B1E">
      <w:pPr>
        <w:spacing w:after="0"/>
        <w:jc w:val="both"/>
        <w:rPr>
          <w:rFonts w:ascii="Times New Roman" w:eastAsia="Times New Roman" w:hAnsi="Times New Roman" w:cs="Times New Roman"/>
          <w:b/>
          <w:noProof/>
          <w:sz w:val="28"/>
          <w:szCs w:val="28"/>
        </w:rPr>
      </w:pPr>
    </w:p>
    <w:p w:rsidR="007B4B1E" w:rsidRDefault="00B1261F">
      <w:pPr>
        <w:spacing w:after="0"/>
        <w:ind w:left="720" w:hanging="720"/>
        <w:jc w:val="both"/>
        <w:rPr>
          <w:rFonts w:ascii="Times New Roman" w:eastAsia="Times New Roman" w:hAnsi="Times New Roman" w:cs="Times New Roman"/>
          <w:b/>
          <w:smallCaps/>
          <w:noProof/>
          <w:sz w:val="28"/>
          <w:szCs w:val="28"/>
          <w:u w:val="single"/>
        </w:rPr>
      </w:pPr>
      <w:r>
        <w:rPr>
          <w:rFonts w:ascii="Times New Roman" w:hAnsi="Times New Roman"/>
          <w:b/>
          <w:noProof/>
          <w:sz w:val="28"/>
        </w:rPr>
        <w:t xml:space="preserve">I. </w:t>
      </w:r>
      <w:r>
        <w:rPr>
          <w:noProof/>
        </w:rPr>
        <w:tab/>
      </w:r>
      <w:r>
        <w:rPr>
          <w:rFonts w:ascii="Times New Roman" w:hAnsi="Times New Roman"/>
          <w:b/>
          <w:smallCaps/>
          <w:noProof/>
          <w:sz w:val="28"/>
        </w:rPr>
        <w:t>Oblikovanje trdne in vzdržne skupne azilne politike</w:t>
      </w:r>
    </w:p>
    <w:p w:rsidR="007B4B1E" w:rsidRDefault="007B4B1E">
      <w:pPr>
        <w:spacing w:after="0"/>
        <w:jc w:val="both"/>
        <w:rPr>
          <w:rFonts w:ascii="Times New Roman" w:eastAsia="Times New Roman" w:hAnsi="Times New Roman" w:cs="Times New Roman"/>
          <w:b/>
          <w:noProof/>
          <w:sz w:val="24"/>
          <w:szCs w:val="24"/>
        </w:rPr>
      </w:pPr>
    </w:p>
    <w:p w:rsidR="007B4B1E" w:rsidRDefault="00B1261F">
      <w:pPr>
        <w:spacing w:after="0"/>
        <w:jc w:val="both"/>
        <w:rPr>
          <w:rFonts w:ascii="Times New Roman" w:eastAsia="Times New Roman" w:hAnsi="Times New Roman" w:cs="Times New Roman"/>
          <w:b/>
          <w:noProof/>
          <w:sz w:val="24"/>
          <w:szCs w:val="24"/>
        </w:rPr>
      </w:pPr>
      <w:r>
        <w:rPr>
          <w:rFonts w:ascii="Times New Roman" w:hAnsi="Times New Roman"/>
          <w:b/>
          <w:noProof/>
          <w:sz w:val="24"/>
        </w:rPr>
        <w:t>I.1</w:t>
      </w:r>
      <w:r>
        <w:rPr>
          <w:noProof/>
        </w:rPr>
        <w:tab/>
      </w:r>
      <w:r>
        <w:rPr>
          <w:rFonts w:ascii="Times New Roman" w:hAnsi="Times New Roman"/>
          <w:b/>
          <w:noProof/>
          <w:sz w:val="24"/>
        </w:rPr>
        <w:t>Pomanjkljivosti skupnega evropskega azilnega sistema v času migracijske krize</w:t>
      </w:r>
    </w:p>
    <w:p w:rsidR="007B4B1E" w:rsidRDefault="007B4B1E">
      <w:pPr>
        <w:spacing w:after="0"/>
        <w:jc w:val="both"/>
        <w:rPr>
          <w:rFonts w:ascii="Times New Roman" w:eastAsia="Times New Roman" w:hAnsi="Times New Roman" w:cs="Times New Roman"/>
          <w:b/>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Množičen in nenadzorovan prihod migrantov ter prosilcev za azil v letu 2015 obremenjuje azilne sisteme v veliko državah članicah, poleg tega pa tudi skupni evropski azilni</w:t>
      </w:r>
      <w:r>
        <w:rPr>
          <w:rFonts w:ascii="Times New Roman" w:hAnsi="Times New Roman"/>
          <w:noProof/>
          <w:sz w:val="24"/>
        </w:rPr>
        <w:t xml:space="preserve"> sistem kot celoto. Skupni evropski azilni sistem sestavljata pravni okvir, ki zajema vse vidike azilnega postopka, in podporna agencija (Evropski azilni podporni urad) za podporo izvajanja pravnega okvira in lažje praktično sodelovanje med državami članic</w:t>
      </w:r>
      <w:r>
        <w:rPr>
          <w:rFonts w:ascii="Times New Roman" w:hAnsi="Times New Roman"/>
          <w:noProof/>
          <w:sz w:val="24"/>
        </w:rPr>
        <w:t>ami. Kriza je razkrila slabosti v zasnovi in izvajanju sistema ter zlasti dublinske ureditve.</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Dublinska uredba</w:t>
      </w:r>
      <w:r>
        <w:rPr>
          <w:rFonts w:ascii="Times New Roman" w:hAnsi="Times New Roman"/>
          <w:noProof/>
          <w:sz w:val="24"/>
          <w:vertAlign w:val="superscript"/>
        </w:rPr>
        <w:footnoteReference w:id="8"/>
      </w:r>
      <w:r>
        <w:rPr>
          <w:rFonts w:ascii="Times New Roman" w:hAnsi="Times New Roman"/>
          <w:noProof/>
          <w:sz w:val="24"/>
        </w:rPr>
        <w:t xml:space="preserve"> določa merila in mehanizme, s katerimi se določi, katera država članica je odgovorna za obravnavanje prošnje za mednarodno zaščito. Osebe, ki ž</w:t>
      </w:r>
      <w:r>
        <w:rPr>
          <w:rFonts w:ascii="Times New Roman" w:hAnsi="Times New Roman"/>
          <w:noProof/>
          <w:sz w:val="24"/>
        </w:rPr>
        <w:t>elijo zaščito ali jim je bila ta odobrena, nimajo pravice do izbire države članice, v kateri se želijo naseliti. Če država članica, v kateri zaprosijo za azil, ni država članica, ki je odgovorna za obravnavo prošnje, bi jih bilo treba predati odgovorni drž</w:t>
      </w:r>
      <w:r>
        <w:rPr>
          <w:rFonts w:ascii="Times New Roman" w:hAnsi="Times New Roman"/>
          <w:noProof/>
          <w:sz w:val="24"/>
        </w:rPr>
        <w:t xml:space="preserve">avi članici.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Dublinski sistem ni bil zasnovan tako, da bi zagotavljal trajnostno delitev odgovornosti za prosilce za azil po vsej EU, in ta pomanjkljivost je postala očitna v sedanji krizi. Glavno merilo za določanje odgovornosti za obravnavo prošenj za </w:t>
      </w:r>
      <w:r>
        <w:rPr>
          <w:rFonts w:ascii="Times New Roman" w:hAnsi="Times New Roman"/>
          <w:noProof/>
          <w:sz w:val="24"/>
        </w:rPr>
        <w:t xml:space="preserve">azil v praksi je nezakonit vstop </w:t>
      </w:r>
      <w:r>
        <w:rPr>
          <w:rFonts w:ascii="Times New Roman" w:hAnsi="Times New Roman"/>
          <w:noProof/>
          <w:sz w:val="24"/>
        </w:rPr>
        <w:lastRenderedPageBreak/>
        <w:t xml:space="preserve">prek ozemlja ene države članice. Odločanje na podlagi tega merila je temeljilo na domnevi, da bi bilo treba dodelitev odgovornosti na področju azila povezati s spoštovanjem obveznosti glede varovanja zunanjih meja s strani </w:t>
      </w:r>
      <w:r>
        <w:rPr>
          <w:rFonts w:ascii="Times New Roman" w:hAnsi="Times New Roman"/>
          <w:noProof/>
          <w:sz w:val="24"/>
        </w:rPr>
        <w:t>držav članic. Toda sposobnost za učinkovit nadzor nezakonitih prehodov zunanjih meja je do neke mere odvisna od sodelovanja s tretjimi državami. Poleg tega izkušnje iz preteklih let kažejo, da predvsem v primerih množičnih prihodov po nekaterih migracijski</w:t>
      </w:r>
      <w:r>
        <w:rPr>
          <w:rFonts w:ascii="Times New Roman" w:hAnsi="Times New Roman"/>
          <w:noProof/>
          <w:sz w:val="24"/>
        </w:rPr>
        <w:t xml:space="preserve">h poteh sedanji sistem pravno odgovornost za veliko večino prosilcev za azil naloži omejenemu številu posameznih držav članic, kar bi povzročilo težave z zmogljivostjo v kateri koli državi članici. To deloma pojasnjuje, zakaj so se v zadnjih letih pravila </w:t>
      </w:r>
      <w:r>
        <w:rPr>
          <w:rFonts w:ascii="Times New Roman" w:hAnsi="Times New Roman"/>
          <w:noProof/>
          <w:sz w:val="24"/>
        </w:rPr>
        <w:t>EU vedno manj upoštevala. Poleg tega migranti pogosto nočejo vložiti prošnje za azil in ne spoštujejo obveznosti glede identifikacije v državi članici prvega vstopa, nato pa odpotujejo v državo članico, v kateri se želijo naseliti, in tam zaprosijo za azil</w:t>
      </w:r>
      <w:r>
        <w:rPr>
          <w:rFonts w:ascii="Times New Roman" w:hAnsi="Times New Roman"/>
          <w:noProof/>
          <w:sz w:val="24"/>
        </w:rPr>
        <w:t xml:space="preserve">. Ta sekundarna gibanja so povzročila, da veliko prosilcev zaprosi za azil v državah članicah, ki niso države prvega vstopa, zaradi česar je več držav članic ponovno uvedlo nadzor na notranjih mejah, da bi uravnavale pritok migrantov. </w:t>
      </w: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Tudi pred trenutno</w:t>
      </w:r>
      <w:r>
        <w:rPr>
          <w:rFonts w:ascii="Times New Roman" w:hAnsi="Times New Roman"/>
          <w:noProof/>
          <w:sz w:val="24"/>
        </w:rPr>
        <w:t xml:space="preserve"> krizo je imelo izvajanje dublinske uredbe resne pomanjkljivosti, tako da kljub učinkovitejšemu in strožjemu izvrševanju veljavnih pravil v vseh državah članicah ter dodatnim ukrepom za preprečevanje sekundarnega gibanja obstaja velika verjetnost, da bi se</w:t>
      </w:r>
      <w:r>
        <w:rPr>
          <w:rFonts w:ascii="Times New Roman" w:hAnsi="Times New Roman"/>
          <w:noProof/>
          <w:sz w:val="24"/>
        </w:rPr>
        <w:t>danji sistem ostal nevzdržen zaradi nenehnih migracijskih pritiskov</w:t>
      </w:r>
      <w:r>
        <w:rPr>
          <w:rFonts w:ascii="Times New Roman" w:hAnsi="Times New Roman"/>
          <w:noProof/>
          <w:sz w:val="24"/>
          <w:vertAlign w:val="superscript"/>
        </w:rPr>
        <w:footnoteReference w:id="9"/>
      </w:r>
      <w:r>
        <w:rPr>
          <w:rFonts w:ascii="Times New Roman" w:hAnsi="Times New Roman"/>
          <w:noProof/>
          <w:sz w:val="24"/>
        </w:rPr>
        <w:t>. Težave vključujejo ovire pri pridobivanju dokazov in soglasja o odgovornosti države članice za obravnavanje prošnje za azil, kar torej povečuje število primerov zavrnitve zahtev za sprej</w:t>
      </w:r>
      <w:r>
        <w:rPr>
          <w:rFonts w:ascii="Times New Roman" w:hAnsi="Times New Roman"/>
          <w:noProof/>
          <w:sz w:val="24"/>
        </w:rPr>
        <w:t>etje predaje prosilcev. Tudi kadar države članice sprejmejo zahteve za predajo, se le v približno četrtini primerov predaja tudi dejansko izvede, po zaključku predaje pa pogosto prihaja do sekundarnih gibanj nazaj v državo članico, ki je izvedla predajo. U</w:t>
      </w:r>
      <w:r>
        <w:rPr>
          <w:rFonts w:ascii="Times New Roman" w:hAnsi="Times New Roman"/>
          <w:noProof/>
          <w:sz w:val="24"/>
        </w:rPr>
        <w:t xml:space="preserve">činkovitost sistema je dodatno oslabljena zaradi sedanjih pravil, ki omogočajo prenos odgovornosti med državami članicami po določenem času. Če prosilec za dovolj dolgo obdobje pobegne v neko državo članico, ne da bi bil dejansko predan, ta država članica </w:t>
      </w:r>
      <w:r>
        <w:rPr>
          <w:rFonts w:ascii="Times New Roman" w:hAnsi="Times New Roman"/>
          <w:noProof/>
          <w:sz w:val="24"/>
        </w:rPr>
        <w:t xml:space="preserve">sčasoma postane odgovorna zanj.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Nadaljnja ovira za učinkovito delovanje dublinskega sistema je posledica težav pri predaji prosilcev v države članice s sistemskimi pomanjkljivostmi v ključnih vidikih azilnih postopkov in pogojev za sprejem. Dejansko pren</w:t>
      </w:r>
      <w:r>
        <w:rPr>
          <w:rFonts w:ascii="Times New Roman" w:hAnsi="Times New Roman"/>
          <w:noProof/>
          <w:sz w:val="24"/>
        </w:rPr>
        <w:t>ehanje izvajanja predaj na podlagi dublinske uredbe v Grčijo od leta 2011 se je izkazala za še posebej veliko pomanjkljivost sistema, zlasti glede na veliko število migrantov, ki prihajajo v Grčijo v zadnjih mesecih</w:t>
      </w:r>
      <w:r>
        <w:rPr>
          <w:rStyle w:val="FootnoteReference"/>
          <w:rFonts w:ascii="Times New Roman" w:hAnsi="Times New Roman"/>
          <w:noProof/>
          <w:sz w:val="24"/>
        </w:rPr>
        <w:footnoteReference w:id="10"/>
      </w:r>
      <w:r>
        <w:rPr>
          <w:rFonts w:ascii="Times New Roman" w:hAnsi="Times New Roman"/>
          <w:noProof/>
          <w:sz w:val="24"/>
        </w:rPr>
        <w:t>.</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Za skupni evropski azilni sistem je z</w:t>
      </w:r>
      <w:r>
        <w:rPr>
          <w:rFonts w:ascii="Times New Roman" w:hAnsi="Times New Roman"/>
          <w:noProof/>
          <w:sz w:val="24"/>
        </w:rPr>
        <w:t>načilna tudi različna obravnava prosilcev za azil, tudi glede dolžine azilnega postopka ali pogojev sprejema v državah članicah, kar spet spodbuja sekundarna gibanja. Takšna razhajanja deloma izhajajo iz diskrecijskih določb veljavne direktive o azilnih po</w:t>
      </w:r>
      <w:r>
        <w:rPr>
          <w:rFonts w:ascii="Times New Roman" w:hAnsi="Times New Roman"/>
          <w:noProof/>
          <w:sz w:val="24"/>
        </w:rPr>
        <w:t>stopkih</w:t>
      </w:r>
      <w:r>
        <w:rPr>
          <w:rFonts w:ascii="Times New Roman" w:hAnsi="Times New Roman"/>
          <w:noProof/>
          <w:sz w:val="24"/>
          <w:vertAlign w:val="superscript"/>
        </w:rPr>
        <w:footnoteReference w:id="11"/>
      </w:r>
      <w:r>
        <w:rPr>
          <w:rFonts w:ascii="Times New Roman" w:hAnsi="Times New Roman"/>
          <w:noProof/>
          <w:sz w:val="24"/>
        </w:rPr>
        <w:t xml:space="preserve"> in direktive o pogojih za sprejem</w:t>
      </w:r>
      <w:r>
        <w:rPr>
          <w:rFonts w:ascii="Times New Roman" w:hAnsi="Times New Roman"/>
          <w:noProof/>
          <w:sz w:val="24"/>
          <w:vertAlign w:val="superscript"/>
        </w:rPr>
        <w:footnoteReference w:id="12"/>
      </w:r>
      <w:r>
        <w:rPr>
          <w:rFonts w:ascii="Times New Roman" w:hAnsi="Times New Roman"/>
          <w:noProof/>
          <w:sz w:val="24"/>
        </w:rPr>
        <w:t>. Poleg tega se v praksi stopnje priznanja azila včasih zelo razlikujejo med državami članicami</w:t>
      </w:r>
      <w:r>
        <w:rPr>
          <w:rFonts w:ascii="Times New Roman" w:hAnsi="Times New Roman"/>
          <w:noProof/>
          <w:sz w:val="24"/>
          <w:vertAlign w:val="superscript"/>
        </w:rPr>
        <w:footnoteReference w:id="13"/>
      </w:r>
      <w:r>
        <w:rPr>
          <w:rFonts w:ascii="Times New Roman" w:hAnsi="Times New Roman"/>
          <w:noProof/>
          <w:sz w:val="24"/>
        </w:rPr>
        <w:t>, čeprav direktiva o pogojih za azil</w:t>
      </w:r>
      <w:r>
        <w:rPr>
          <w:rFonts w:ascii="Times New Roman" w:hAnsi="Times New Roman"/>
          <w:noProof/>
          <w:sz w:val="24"/>
          <w:vertAlign w:val="superscript"/>
        </w:rPr>
        <w:footnoteReference w:id="14"/>
      </w:r>
      <w:r>
        <w:rPr>
          <w:rFonts w:ascii="Times New Roman" w:hAnsi="Times New Roman"/>
          <w:noProof/>
          <w:sz w:val="24"/>
        </w:rPr>
        <w:t xml:space="preserve"> določa standarde za priznanje in zaščito na ravni EU. Prav tako ni ustrezne skl</w:t>
      </w:r>
      <w:r>
        <w:rPr>
          <w:rFonts w:ascii="Times New Roman" w:hAnsi="Times New Roman"/>
          <w:noProof/>
          <w:sz w:val="24"/>
        </w:rPr>
        <w:t>adnosti glede sklepa o dodelitvi statusa begunca (odobri se osebam, ki bežijo pred preganjanjem) ali statusa subsidiarne zaščite (odobri se osebam, ki bežijo pred tveganjem, da bi utrpeli resno škodo, tudi pred oboroženimi spori) za prosilce iz določene dr</w:t>
      </w:r>
      <w:r>
        <w:rPr>
          <w:rFonts w:ascii="Times New Roman" w:hAnsi="Times New Roman"/>
          <w:noProof/>
          <w:sz w:val="24"/>
        </w:rPr>
        <w:t xml:space="preserve">žave izvora. To razhajanje je prav tako spodbudilo sekundarnega gibanja, tako kot razlike v trajanju dovoljenj za prebivanje ter dostop do socialnega varstva in združitev družine.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 ima enega najbolj zaščitniških in velikodušnih azilnih sistemov na svet</w:t>
      </w:r>
      <w:r>
        <w:rPr>
          <w:rFonts w:ascii="Times New Roman" w:hAnsi="Times New Roman"/>
          <w:noProof/>
          <w:sz w:val="24"/>
        </w:rPr>
        <w:t>u, odobritev statusa mednarodne zaščite v državah članicah EU pa v praksi skoraj vedno privede do stalne naselitve v EU, medtem ko je bil njegov prvotni in poglavitni namen le dodelitev varstva za toliko časa, dokler še vedno obstaja tveganje preganjanja a</w:t>
      </w:r>
      <w:r>
        <w:rPr>
          <w:rFonts w:ascii="Times New Roman" w:hAnsi="Times New Roman"/>
          <w:noProof/>
          <w:sz w:val="24"/>
        </w:rPr>
        <w:t>li resne škode. Ko se razmere v državi izvora ali položaj prosilca spremenijo, zaščita več ni potrebna. Toda čeprav direktiva o pogojih za azil vsebuje določbe o prenehanju statusa, se te trenutno v praksi ne uporabljajo sistematično.</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Komisija je na podla</w:t>
      </w:r>
      <w:r>
        <w:rPr>
          <w:rFonts w:ascii="Times New Roman" w:hAnsi="Times New Roman"/>
          <w:noProof/>
          <w:sz w:val="24"/>
        </w:rPr>
        <w:t>gi najnujnejših prioritet, opredeljenih v evropski agendi o migracijah, sprejela finančne, pravne</w:t>
      </w:r>
      <w:r>
        <w:rPr>
          <w:rFonts w:ascii="Times New Roman" w:hAnsi="Times New Roman"/>
          <w:noProof/>
          <w:sz w:val="24"/>
          <w:vertAlign w:val="superscript"/>
        </w:rPr>
        <w:footnoteReference w:id="15"/>
      </w:r>
      <w:r>
        <w:rPr>
          <w:rFonts w:ascii="Times New Roman" w:hAnsi="Times New Roman"/>
          <w:noProof/>
          <w:sz w:val="24"/>
        </w:rPr>
        <w:t xml:space="preserve"> in operativne ukrepe za boljše izvajanje pravil skupnega evropskega azilnega sistema, kot je podrobneje opisano v sporočilu z dne 10. februarja 2016. Natančn</w:t>
      </w:r>
      <w:r>
        <w:rPr>
          <w:rFonts w:ascii="Times New Roman" w:hAnsi="Times New Roman"/>
          <w:noProof/>
          <w:sz w:val="24"/>
        </w:rPr>
        <w:t xml:space="preserve">eje, Komisija je predlagala dva začasna programa za nujno premestitev, ki sta bila sprejeta septembra in določata prenos odgovornosti za nekatere prosilce za azil iz Italije in Grčije na druge države članice.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 bi obravnavali pereče izzive, je treba te </w:t>
      </w:r>
      <w:r>
        <w:rPr>
          <w:rFonts w:ascii="Times New Roman" w:hAnsi="Times New Roman"/>
          <w:noProof/>
          <w:sz w:val="24"/>
        </w:rPr>
        <w:t>ukrepe začeti v celoti in nemudoma izvajati. Unija mora z usklajenim delovanjem vseh držav članic ter ob polni podpori Komisije in organov Unije doseči pravilno izvajanje obstoječega pravnega okvira, da se utrdita stabilnost in red v delovanju skupnega evr</w:t>
      </w:r>
      <w:r>
        <w:rPr>
          <w:rFonts w:ascii="Times New Roman" w:hAnsi="Times New Roman"/>
          <w:noProof/>
          <w:sz w:val="24"/>
        </w:rPr>
        <w:t>opskega azilnega sistema. Hkrati mora EU izkušnje, pridobljene v času sedanje krize, uporabiti pri dolgoročnem odpravljanju svojih notranjih pomanjkljivosti. Zato je treba ukrepati, da se zagotovijo humani, pravični in učinkoviti prihodnji sistemi.</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I.2 </w:t>
      </w:r>
      <w:r>
        <w:rPr>
          <w:rFonts w:ascii="Times New Roman" w:hAnsi="Times New Roman"/>
          <w:b/>
          <w:noProof/>
          <w:sz w:val="24"/>
        </w:rPr>
        <w:t>Odprava strukturnih pomanjkljivosti: pet prioritet</w:t>
      </w:r>
    </w:p>
    <w:p w:rsidR="007B4B1E" w:rsidRDefault="007B4B1E">
      <w:pPr>
        <w:spacing w:after="0" w:line="240" w:lineRule="auto"/>
        <w:jc w:val="both"/>
        <w:rPr>
          <w:rFonts w:ascii="Times New Roman" w:eastAsia="Times New Roman" w:hAnsi="Times New Roman" w:cs="Times New Roman"/>
          <w:bCs/>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 zvezi s tem Komisija meni, da obstaja pet prednostnih področij, na katerih bi bilo treba skupni evropski azilni sistem strukturno izboljšati.</w:t>
      </w:r>
    </w:p>
    <w:p w:rsidR="007B4B1E" w:rsidRDefault="007B4B1E">
      <w:pPr>
        <w:spacing w:after="0" w:line="240" w:lineRule="auto"/>
        <w:jc w:val="both"/>
        <w:rPr>
          <w:rFonts w:ascii="Times New Roman" w:eastAsia="Times New Roman" w:hAnsi="Times New Roman" w:cs="Times New Roman"/>
          <w:bCs/>
          <w:noProof/>
          <w:sz w:val="24"/>
          <w:szCs w:val="24"/>
        </w:rPr>
      </w:pP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sz w:val="24"/>
        </w:rPr>
        <w:t>Prioritete</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a)</w:t>
      </w:r>
      <w:r>
        <w:rPr>
          <w:rFonts w:ascii="Times New Roman" w:hAnsi="Times New Roman"/>
          <w:noProof/>
          <w:sz w:val="24"/>
          <w:u w:val="single"/>
        </w:rPr>
        <w:t xml:space="preserve"> Vzpostavitev vzdržnega in pravičnega sistema za določanje države članice, odgovorne za prosilce za azil</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Cilj: </w:t>
      </w:r>
      <w:r>
        <w:rPr>
          <w:rFonts w:ascii="Times New Roman" w:hAnsi="Times New Roman"/>
          <w:noProof/>
          <w:sz w:val="24"/>
        </w:rPr>
        <w:t>Prilagoditev skupnega evropskega azilnega sistema velikemu številu prosilcev za azil oziroma beguncev prek posebnih vstopnih točk ter zagotovitev</w:t>
      </w:r>
      <w:r>
        <w:rPr>
          <w:rFonts w:ascii="Times New Roman" w:hAnsi="Times New Roman"/>
          <w:noProof/>
          <w:sz w:val="24"/>
        </w:rPr>
        <w:t xml:space="preserve"> visoke stopnje solidarnosti in pravične delitve odgovornosti med državami članicami na podlagi pravičnega dodeljevanja prosilcev za azil. </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Ukrepi: </w:t>
      </w:r>
      <w:r>
        <w:rPr>
          <w:rFonts w:ascii="Times New Roman" w:hAnsi="Times New Roman"/>
          <w:noProof/>
          <w:sz w:val="24"/>
        </w:rPr>
        <w:t>Komisija bo predlagala spremembo dublinske uredbe, bodisi tako, da jo bo poenostavila in jo dopolnila s kore</w:t>
      </w:r>
      <w:r>
        <w:rPr>
          <w:rFonts w:ascii="Times New Roman" w:hAnsi="Times New Roman"/>
          <w:noProof/>
          <w:sz w:val="24"/>
        </w:rPr>
        <w:t xml:space="preserve">ktivnim mehanizmom pravičnosti, bodisi s prehodom na nov sistem na podlagi razdelitvenega ključa. </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noProof/>
          <w:sz w:val="24"/>
        </w:rPr>
        <w:t>b)</w:t>
      </w:r>
      <w:r>
        <w:rPr>
          <w:rFonts w:ascii="Times New Roman" w:hAnsi="Times New Roman"/>
          <w:i/>
          <w:noProof/>
          <w:sz w:val="24"/>
        </w:rPr>
        <w:t xml:space="preserve"> </w:t>
      </w:r>
      <w:r>
        <w:rPr>
          <w:rFonts w:ascii="Times New Roman" w:hAnsi="Times New Roman"/>
          <w:noProof/>
          <w:sz w:val="24"/>
          <w:u w:val="single"/>
        </w:rPr>
        <w:t>Okrepitev sistema Eurodac</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Cilj: </w:t>
      </w:r>
      <w:r>
        <w:rPr>
          <w:rFonts w:ascii="Times New Roman" w:hAnsi="Times New Roman"/>
          <w:noProof/>
          <w:sz w:val="24"/>
        </w:rPr>
        <w:t xml:space="preserve">Podpora uporabe dublinske uredbe in olajšanje boja proti nedovoljenim migracijam. </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Ukrepi: </w:t>
      </w:r>
      <w:r>
        <w:rPr>
          <w:rFonts w:ascii="Times New Roman" w:hAnsi="Times New Roman"/>
          <w:noProof/>
          <w:sz w:val="24"/>
        </w:rPr>
        <w:t>Komisija bo predlagala prilagod</w:t>
      </w:r>
      <w:r>
        <w:rPr>
          <w:rFonts w:ascii="Times New Roman" w:hAnsi="Times New Roman"/>
          <w:noProof/>
          <w:sz w:val="24"/>
        </w:rPr>
        <w:t>itev sistema Eurodac, da bo odražal spremembe dublinskega mehanizma, in razširitev njegove uporabe na druga področja poleg azila.</w:t>
      </w:r>
      <w:r>
        <w:rPr>
          <w:rFonts w:ascii="Times New Roman" w:hAnsi="Times New Roman"/>
          <w:i/>
          <w:noProof/>
          <w:sz w:val="24"/>
        </w:rPr>
        <w:t xml:space="preserve"> </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c) </w:t>
      </w:r>
      <w:r>
        <w:rPr>
          <w:rFonts w:ascii="Times New Roman" w:hAnsi="Times New Roman"/>
          <w:noProof/>
          <w:sz w:val="24"/>
          <w:u w:val="single"/>
        </w:rPr>
        <w:t>Doseganje večje skladnosti azilnega sistema EU</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Cilj: </w:t>
      </w:r>
      <w:r>
        <w:rPr>
          <w:rFonts w:ascii="Times New Roman" w:hAnsi="Times New Roman"/>
          <w:noProof/>
          <w:sz w:val="24"/>
        </w:rPr>
        <w:t>Nadaljnja okrepitev in uskladitev pravil skupnega evropskega azilnega</w:t>
      </w:r>
      <w:r>
        <w:rPr>
          <w:rFonts w:ascii="Times New Roman" w:hAnsi="Times New Roman"/>
          <w:noProof/>
          <w:sz w:val="24"/>
        </w:rPr>
        <w:t xml:space="preserve"> sistema ter s tem zagotovitev enakopravnejše obravnave po vsej EU ter zmanjšanje neupravičenih učinkov spodbude za prihod v EU. </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 Ukrepi: </w:t>
      </w:r>
      <w:r>
        <w:rPr>
          <w:rFonts w:ascii="Times New Roman" w:hAnsi="Times New Roman"/>
          <w:noProof/>
          <w:sz w:val="24"/>
        </w:rPr>
        <w:t>Komisija bo predlagala novo uredbo o ustanovitvi enotnega skupnega azilnega postopka v EU in nadomestitvi direktive o</w:t>
      </w:r>
      <w:r>
        <w:rPr>
          <w:rFonts w:ascii="Times New Roman" w:hAnsi="Times New Roman"/>
          <w:noProof/>
          <w:sz w:val="24"/>
        </w:rPr>
        <w:t xml:space="preserve"> azilnih postopkih, novo uredbo o pogojih za azil, ki bo nadomestila direktivo o pogojih za azil, ter ciljno usmerjene spremembe direktive o pogojih za sprejem. </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d) </w:t>
      </w:r>
      <w:r>
        <w:rPr>
          <w:rFonts w:ascii="Times New Roman" w:hAnsi="Times New Roman"/>
          <w:noProof/>
          <w:sz w:val="24"/>
          <w:u w:val="single"/>
        </w:rPr>
        <w:t>Preprečevanje sekundarnih gibanj znotraj EU</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Cilj: </w:t>
      </w:r>
      <w:r>
        <w:rPr>
          <w:rFonts w:ascii="Times New Roman" w:hAnsi="Times New Roman"/>
          <w:noProof/>
          <w:sz w:val="24"/>
        </w:rPr>
        <w:t>Zagotovitev, da delovanje dublinskega meh</w:t>
      </w:r>
      <w:r>
        <w:rPr>
          <w:rFonts w:ascii="Times New Roman" w:hAnsi="Times New Roman"/>
          <w:noProof/>
          <w:sz w:val="24"/>
        </w:rPr>
        <w:t xml:space="preserve">anizma ni moteno zaradi zlorab in iskanja najboljših pogojev za pridobitev azila (t. i. „asylum shopping“) s strani prosilcev za mednarodno zaščito in upravičencev do mednarodne zaščite. </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Ukrepi: </w:t>
      </w:r>
      <w:r>
        <w:rPr>
          <w:rFonts w:ascii="Times New Roman" w:hAnsi="Times New Roman"/>
          <w:noProof/>
          <w:sz w:val="24"/>
        </w:rPr>
        <w:t xml:space="preserve">Komisija bo predlagala okrepitev procesnih ukrepov v svojih </w:t>
      </w:r>
      <w:r>
        <w:rPr>
          <w:rFonts w:ascii="Times New Roman" w:hAnsi="Times New Roman"/>
          <w:noProof/>
          <w:sz w:val="24"/>
        </w:rPr>
        <w:t xml:space="preserve">predlogih na podlagi novih uredb o azilnih postopkih in pogojih za azil ter direktive o pogojih za sprejem, in sicer za odvračanje in kaznovanje nezakonitih gibanj v druge države članice. </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e) </w:t>
      </w:r>
      <w:r>
        <w:rPr>
          <w:rFonts w:ascii="Times New Roman" w:hAnsi="Times New Roman"/>
          <w:noProof/>
          <w:sz w:val="24"/>
          <w:u w:val="single"/>
        </w:rPr>
        <w:t>Nove pristojnosti agencije EU za azil</w:t>
      </w:r>
    </w:p>
    <w:p w:rsidR="007B4B1E" w:rsidRDefault="00B1261F">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Cilj: </w:t>
      </w:r>
      <w:r>
        <w:rPr>
          <w:rFonts w:ascii="Times New Roman" w:hAnsi="Times New Roman"/>
          <w:noProof/>
          <w:sz w:val="24"/>
        </w:rPr>
        <w:t>Lažje delovanje skup</w:t>
      </w:r>
      <w:r>
        <w:rPr>
          <w:rFonts w:ascii="Times New Roman" w:hAnsi="Times New Roman"/>
          <w:noProof/>
          <w:sz w:val="24"/>
        </w:rPr>
        <w:t xml:space="preserve">nega evropskega azilnega sistema in spremenjenega dublinskega razdelitvenega mehanizma, razvoj usmerjenih ukrepov na ključnih področjih in zagotovitev bolj usklajene ocene potreb po zaščiti v državah članicah. </w:t>
      </w:r>
    </w:p>
    <w:p w:rsidR="007B4B1E" w:rsidRDefault="00B126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noProof/>
          <w:sz w:val="24"/>
          <w:szCs w:val="24"/>
        </w:rPr>
      </w:pPr>
      <w:r>
        <w:rPr>
          <w:rFonts w:ascii="Times New Roman" w:hAnsi="Times New Roman"/>
          <w:i/>
          <w:noProof/>
          <w:sz w:val="24"/>
        </w:rPr>
        <w:t xml:space="preserve">Ukrepi: </w:t>
      </w:r>
      <w:r>
        <w:rPr>
          <w:rFonts w:ascii="Times New Roman" w:hAnsi="Times New Roman"/>
          <w:noProof/>
          <w:sz w:val="24"/>
        </w:rPr>
        <w:t xml:space="preserve">Komisija bo predlagala spremembe </w:t>
      </w:r>
      <w:r>
        <w:rPr>
          <w:rFonts w:ascii="Times New Roman" w:hAnsi="Times New Roman"/>
          <w:noProof/>
          <w:sz w:val="24"/>
        </w:rPr>
        <w:t>pristojnosti urada EASO, da bi ta lahko prevzel novo vlogo za izvajanje politike in okrepljeno operativno vlogo, ter zagotovitev zadostnih finančnih in pravnih sredstev za ta namen.</w:t>
      </w:r>
    </w:p>
    <w:p w:rsidR="007B4B1E" w:rsidRDefault="007B4B1E">
      <w:pPr>
        <w:spacing w:after="0" w:line="240" w:lineRule="auto"/>
        <w:jc w:val="both"/>
        <w:rPr>
          <w:rFonts w:ascii="Times New Roman" w:eastAsia="Times New Roman" w:hAnsi="Times New Roman" w:cs="Times New Roman"/>
          <w:bCs/>
          <w:noProof/>
          <w:sz w:val="24"/>
          <w:szCs w:val="24"/>
        </w:rPr>
      </w:pP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(a)</w:t>
      </w:r>
      <w:r>
        <w:rPr>
          <w:rFonts w:ascii="Times New Roman" w:hAnsi="Times New Roman"/>
          <w:noProof/>
          <w:sz w:val="24"/>
        </w:rPr>
        <w:t xml:space="preserve"> </w:t>
      </w:r>
      <w:r>
        <w:rPr>
          <w:rFonts w:ascii="Times New Roman" w:hAnsi="Times New Roman"/>
          <w:b/>
          <w:i/>
          <w:noProof/>
          <w:sz w:val="24"/>
          <w:u w:val="single"/>
        </w:rPr>
        <w:t>Vzdržen in pravičen sistem za določanje države članice, odgovor</w:t>
      </w:r>
      <w:r>
        <w:rPr>
          <w:rFonts w:ascii="Times New Roman" w:hAnsi="Times New Roman"/>
          <w:b/>
          <w:i/>
          <w:noProof/>
          <w:sz w:val="24"/>
          <w:u w:val="single"/>
        </w:rPr>
        <w:t>ne za obravnavanje prošenj za azil</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Dublinska uredba določa merila in mehanizme, s katerimi se določi, katera država članica je odgovorna za obravnavanje prošnje za mednarodno zaščito. Njihov cilj je zagotoviti, da bi imeli prosilci za azil hiter dostop do</w:t>
      </w:r>
      <w:r>
        <w:rPr>
          <w:rFonts w:ascii="Times New Roman" w:hAnsi="Times New Roman"/>
          <w:noProof/>
          <w:sz w:val="24"/>
        </w:rPr>
        <w:t xml:space="preserve"> azilnega postopka in bi njihovo prošnjo vsebinsko obravnavala ena, jasno določena država članica. Ta cilj je še vedno upravičen. Druga možnost – dovoliti, da bi prošnje prosilcev za azil obravnavala država članica po njihovi izbiri – bi imela učinek spodb</w:t>
      </w:r>
      <w:r>
        <w:rPr>
          <w:rFonts w:ascii="Times New Roman" w:hAnsi="Times New Roman"/>
          <w:noProof/>
          <w:sz w:val="24"/>
        </w:rPr>
        <w:t>ude, tudi če bi bili pogoji za sprejem prosilcev za azil in obravnavanje njihovih prošenj v vseh državah članicah enaki. Prav tako ne bi zagotavljala solidarnosti ali pravične delitve odgovornosti. Potreba po takšnih merilih in mehanizmih je predvidena v P</w:t>
      </w:r>
      <w:r>
        <w:rPr>
          <w:rFonts w:ascii="Times New Roman" w:hAnsi="Times New Roman"/>
          <w:noProof/>
          <w:sz w:val="24"/>
        </w:rPr>
        <w:t>ogodbi.</w:t>
      </w:r>
      <w:r>
        <w:rPr>
          <w:noProof/>
        </w:rPr>
        <w:t xml:space="preserv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Komisija namerava prednostno predložiti predlog za reformo dublinskega sistema. Na tej stopnji bi bilo treba preučiti dve glavni možnosti za reformo določanja odgovornosti po dublinskem sistemu. V skladu z obema možnostma bi morala država članica</w:t>
      </w:r>
      <w:r>
        <w:rPr>
          <w:rFonts w:ascii="Times New Roman" w:hAnsi="Times New Roman"/>
          <w:noProof/>
          <w:sz w:val="24"/>
        </w:rPr>
        <w:t xml:space="preserve"> prvega vstopa identificirati in evidentirati vse migrante ter jim odvzeti prstne odtise in vrniti vse tiste, ki ne potrebujejo zaščite. Poleg tega bi bilo treba kot dodatni izraz solidarnosti razmisliti o financiranju obeh možnosti s sredstvi EU. Ker bi b</w:t>
      </w:r>
      <w:r>
        <w:rPr>
          <w:rFonts w:ascii="Times New Roman" w:hAnsi="Times New Roman"/>
          <w:noProof/>
          <w:sz w:val="24"/>
        </w:rPr>
        <w:t>ili obe možnosti zasnovani z namenom obvladovanja situacij množičnega prihoda, bi bilo treba preučiti tudi razveljavitev direktive o začasni zaščiti</w:t>
      </w:r>
      <w:r>
        <w:rPr>
          <w:rFonts w:ascii="Times New Roman" w:hAnsi="Times New Roman"/>
          <w:noProof/>
          <w:sz w:val="24"/>
          <w:vertAlign w:val="superscript"/>
        </w:rPr>
        <w:footnoteReference w:id="16"/>
      </w:r>
      <w:r>
        <w:rPr>
          <w:rFonts w:ascii="Times New Roman" w:hAnsi="Times New Roman"/>
          <w:noProof/>
          <w:sz w:val="24"/>
        </w:rPr>
        <w:t>.</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numPr>
          <w:ilvl w:val="0"/>
          <w:numId w:val="2"/>
        </w:numPr>
        <w:spacing w:after="0" w:line="240" w:lineRule="auto"/>
        <w:contextualSpacing/>
        <w:jc w:val="both"/>
        <w:rPr>
          <w:rFonts w:ascii="Times New Roman" w:eastAsia="Times New Roman" w:hAnsi="Times New Roman" w:cs="Times New Roman"/>
          <w:i/>
          <w:noProof/>
          <w:sz w:val="24"/>
          <w:szCs w:val="24"/>
        </w:rPr>
      </w:pPr>
      <w:r>
        <w:rPr>
          <w:rFonts w:ascii="Times New Roman" w:hAnsi="Times New Roman"/>
          <w:i/>
          <w:noProof/>
          <w:sz w:val="24"/>
        </w:rPr>
        <w:t>Možnost 1: Dopolnitev sedanjega sistema s korektivnim mehanizmom pravičnosti</w:t>
      </w:r>
    </w:p>
    <w:p w:rsidR="007B4B1E" w:rsidRDefault="007B4B1E">
      <w:pPr>
        <w:spacing w:after="0" w:line="240" w:lineRule="auto"/>
        <w:ind w:left="720"/>
        <w:contextualSpacing/>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 okviru te možnosti bi se</w:t>
      </w:r>
      <w:r>
        <w:rPr>
          <w:rFonts w:ascii="Times New Roman" w:hAnsi="Times New Roman"/>
          <w:noProof/>
          <w:sz w:val="24"/>
        </w:rPr>
        <w:t xml:space="preserve"> v bistvu ohranila sedanja merila za dodelitev odgovornosti, vendar bi sistem dopolnil korektivni mehanizem pravičnosti na podlagi razdelitvenega ključa, ki bi v nekaterih okoliščinah omogočal prilagoditev dodelitve. Ta možnost bi ohranila povezavo med dod</w:t>
      </w:r>
      <w:r>
        <w:rPr>
          <w:rFonts w:ascii="Times New Roman" w:hAnsi="Times New Roman"/>
          <w:noProof/>
          <w:sz w:val="24"/>
        </w:rPr>
        <w:t xml:space="preserve">elitvijo odgovornosti na področju azila in spoštovanjem obveznosti držav članic za varovanje zunanje meje, vendar bi omogočila učinkovitejše obvladovanje situacij množičnega prihoda preko posameznih držav članic in zagotovila večjo pravičnost med državami </w:t>
      </w:r>
      <w:r>
        <w:rPr>
          <w:rFonts w:ascii="Times New Roman" w:hAnsi="Times New Roman"/>
          <w:noProof/>
          <w:sz w:val="24"/>
        </w:rPr>
        <w:t>članicami. Korektivni mehanizem bi bilo mogoče kombinirati s spremembami dublinske uredbe, s čimer bi se povečala učinkovitost postopkov, zlasti s črtanjem klavzul o prenehanju obveznosti.</w:t>
      </w: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Dopolnilni korektivni mehanizem bi bilo mogoče oblikovati na podl</w:t>
      </w:r>
      <w:r>
        <w:rPr>
          <w:rFonts w:ascii="Times New Roman" w:hAnsi="Times New Roman"/>
          <w:noProof/>
          <w:sz w:val="24"/>
        </w:rPr>
        <w:t>agi programa za nujno premestitev, kakršnega je Komisija predlagala septembra lani</w:t>
      </w:r>
      <w:r>
        <w:rPr>
          <w:rFonts w:ascii="Times New Roman" w:hAnsi="Times New Roman"/>
          <w:noProof/>
          <w:sz w:val="24"/>
          <w:vertAlign w:val="superscript"/>
        </w:rPr>
        <w:footnoteReference w:id="17"/>
      </w:r>
      <w:r>
        <w:rPr>
          <w:rFonts w:ascii="Times New Roman" w:hAnsi="Times New Roman"/>
          <w:noProof/>
          <w:sz w:val="24"/>
        </w:rPr>
        <w:t xml:space="preserve"> ter ki bi se uporabil v okoliščinah, v katerih bi bila ogrožena uporaba dublinske uredbe zaradi izrednih pritiskov v smislu množičnega in nesorazmernega prihoda državljanov</w:t>
      </w:r>
      <w:r>
        <w:rPr>
          <w:rFonts w:ascii="Times New Roman" w:hAnsi="Times New Roman"/>
          <w:noProof/>
          <w:sz w:val="24"/>
        </w:rPr>
        <w:t xml:space="preserve"> tretjih držav, ob katerem se močno poveča obremenitev azilnih sistemov držav članic. Razmislili bi lahko, ali bi bilo treba za uporabo dopolnilnega mehanizma zahtevati predhodno uporabo operativne podpore na zunanjih mejah, ki bi jo zagotovila prihodnja e</w:t>
      </w:r>
      <w:r>
        <w:rPr>
          <w:rFonts w:ascii="Times New Roman" w:hAnsi="Times New Roman"/>
          <w:noProof/>
          <w:sz w:val="24"/>
        </w:rPr>
        <w:t>vropska mejna in obalna straža</w:t>
      </w:r>
      <w:r>
        <w:rPr>
          <w:rFonts w:ascii="Times New Roman" w:hAnsi="Times New Roman"/>
          <w:noProof/>
          <w:sz w:val="24"/>
          <w:vertAlign w:val="superscript"/>
        </w:rPr>
        <w:footnoteReference w:id="18"/>
      </w:r>
      <w:r>
        <w:rPr>
          <w:rFonts w:ascii="Times New Roman" w:hAnsi="Times New Roman"/>
          <w:noProof/>
          <w:sz w:val="24"/>
        </w:rPr>
        <w:t xml:space="preserv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Za učinkovito podporo držav članic, ki se soočajo z množičnim prihodom migrantov, bi bilo treba razmisliti o prilagoditvah dopolnilnega mehanizma, ki ga je Komisija predlagala lani. Zlasti bi lahko z namenom zmanjšanja </w:t>
      </w:r>
      <w:r>
        <w:rPr>
          <w:rFonts w:ascii="Times New Roman" w:hAnsi="Times New Roman"/>
          <w:noProof/>
          <w:sz w:val="24"/>
        </w:rPr>
        <w:t>vsake znatne nepravičnosti v dodelitvi med države članice premestitev izvedli takoj, ko bi bil dosežen vnaprej določen prag števila prosilcev za azil v dani državi članici. Prag bi lahko na primer določili tako, da bi prišla premestitev v poštev šele, ko b</w:t>
      </w:r>
      <w:r>
        <w:rPr>
          <w:rFonts w:ascii="Times New Roman" w:hAnsi="Times New Roman"/>
          <w:noProof/>
          <w:sz w:val="24"/>
        </w:rPr>
        <w:t>i število prosilcev za azil, dodeljenih dani državi članici, znatno preseglo število, ki bi bilo rezultat razdelitve prosilcev za azil po vsej EU na podlagi določenih objektivnih meril. Druga prilagoditev bi lahko omogočila premestitev vsakega prosilca, za</w:t>
      </w:r>
      <w:r>
        <w:rPr>
          <w:rFonts w:ascii="Times New Roman" w:hAnsi="Times New Roman"/>
          <w:noProof/>
          <w:sz w:val="24"/>
        </w:rPr>
        <w:t xml:space="preserve"> katerega je verjetno, da mu bo dodeljena mednarodna zaščita</w:t>
      </w:r>
      <w:r>
        <w:rPr>
          <w:rStyle w:val="FootnoteReference"/>
          <w:rFonts w:ascii="Times New Roman" w:hAnsi="Times New Roman"/>
          <w:noProof/>
          <w:sz w:val="24"/>
        </w:rPr>
        <w:footnoteReference w:id="19"/>
      </w:r>
      <w:r>
        <w:rPr>
          <w:rFonts w:ascii="Times New Roman" w:hAnsi="Times New Roman"/>
          <w:noProof/>
          <w:sz w:val="24"/>
        </w:rPr>
        <w:t>, in ne le državljanov, za katere je stopnja priznanja azila vsaj 75 %,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rsidP="00B1261F">
      <w:pPr>
        <w:keepNext/>
        <w:numPr>
          <w:ilvl w:val="0"/>
          <w:numId w:val="2"/>
        </w:numPr>
        <w:spacing w:after="0" w:line="240" w:lineRule="auto"/>
        <w:contextualSpacing/>
        <w:jc w:val="both"/>
        <w:rPr>
          <w:rFonts w:ascii="Times New Roman" w:eastAsia="Times New Roman" w:hAnsi="Times New Roman" w:cs="Times New Roman"/>
          <w:i/>
          <w:noProof/>
          <w:sz w:val="24"/>
          <w:szCs w:val="24"/>
        </w:rPr>
      </w:pPr>
      <w:r>
        <w:rPr>
          <w:rFonts w:ascii="Times New Roman" w:hAnsi="Times New Roman"/>
          <w:i/>
          <w:noProof/>
          <w:sz w:val="24"/>
        </w:rPr>
        <w:t>Možnost 2: Nov sistem za dodeljevanje prošenj za azil v EU z uporabo razdelitvenega ključa</w:t>
      </w:r>
    </w:p>
    <w:p w:rsidR="007B4B1E" w:rsidRDefault="007B4B1E" w:rsidP="00B1261F">
      <w:pPr>
        <w:keepNext/>
        <w:spacing w:after="0" w:line="240" w:lineRule="auto"/>
        <w:ind w:left="720"/>
        <w:contextualSpacing/>
        <w:jc w:val="both"/>
        <w:rPr>
          <w:rFonts w:ascii="Times New Roman" w:eastAsia="Times New Roman" w:hAnsi="Times New Roman" w:cs="Times New Roman"/>
          <w:b/>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 novem sistemu za dodeljevan</w:t>
      </w:r>
      <w:r>
        <w:rPr>
          <w:rFonts w:ascii="Times New Roman" w:hAnsi="Times New Roman"/>
          <w:noProof/>
          <w:sz w:val="24"/>
        </w:rPr>
        <w:t>je prošenj za azil v EU določitev odgovornosti večinoma ne bi bila več vezana na državo članico, v kateri je bila najprej vložena prošnja ali v katero je prosilec nezakonito vstopil. Namesto tega bi se odgovornost v prvi vrsti dodeljevala na podlagi razdel</w:t>
      </w:r>
      <w:r>
        <w:rPr>
          <w:rFonts w:ascii="Times New Roman" w:hAnsi="Times New Roman"/>
          <w:noProof/>
          <w:sz w:val="24"/>
        </w:rPr>
        <w:t>itvenega ključa, ki bi odražal sorazmerno velikost, raven blaginje in sposobnost absorpcije držav članic</w:t>
      </w:r>
      <w:r>
        <w:rPr>
          <w:rStyle w:val="FootnoteReference"/>
          <w:rFonts w:ascii="Times New Roman" w:hAnsi="Times New Roman"/>
          <w:noProof/>
          <w:sz w:val="24"/>
        </w:rPr>
        <w:footnoteReference w:id="20"/>
      </w:r>
      <w:r>
        <w:rPr>
          <w:rFonts w:ascii="Times New Roman" w:hAnsi="Times New Roman"/>
          <w:noProof/>
          <w:sz w:val="24"/>
        </w:rPr>
        <w:t>. To bi pomenilo korenito spremembo sedanjega sistema. Vendar bi imela nekatera merila – zlasti družinska vez ali vez odvisnosti, interes otroka in pos</w:t>
      </w:r>
      <w:r>
        <w:rPr>
          <w:rFonts w:ascii="Times New Roman" w:hAnsi="Times New Roman"/>
          <w:noProof/>
          <w:sz w:val="24"/>
        </w:rPr>
        <w:t>edovanje vizuma ali dovoljenja za prebivanje – kot že v sedanji ureditvi, prednost pred uporabo razdelitvenega ključa in bi lahko povzročila ustrezno zmanjšanje dodelitve državi članici po ključu. Poleg tega bi po dokončni določitvi odgovornosti za dano dr</w:t>
      </w:r>
      <w:r>
        <w:rPr>
          <w:rFonts w:ascii="Times New Roman" w:hAnsi="Times New Roman"/>
          <w:noProof/>
          <w:sz w:val="24"/>
        </w:rPr>
        <w:t>žavo članico ta država članica ostala edina odgovorna za obravnavanje prošnje danega prosilca, kar bi odvrnilo sekundarno gibanje ter omogočilo krajše in učinkovitejše postopke.</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nasprotju z možnostjo 1 bi bila večina prosilcev na podlagi razdelitvenega </w:t>
      </w:r>
      <w:r>
        <w:rPr>
          <w:rFonts w:ascii="Times New Roman" w:hAnsi="Times New Roman"/>
          <w:noProof/>
          <w:sz w:val="24"/>
        </w:rPr>
        <w:t>ključa ob vložitvi prošnje kjer koli v EU takoj dodeljena drugi državi članici. Države članice, v katerih je bila najprej vložena prošnja za azil, bi bile ne glede na to odgovorne za obravnavanje prošenj za azil prosilcev, na primer tistih iz držav izvora,</w:t>
      </w:r>
      <w:r>
        <w:rPr>
          <w:rFonts w:ascii="Times New Roman" w:hAnsi="Times New Roman"/>
          <w:noProof/>
          <w:sz w:val="24"/>
        </w:rPr>
        <w:t xml:space="preserve"> ki jih EU opredeljuje kot varne, tako da se omogoči njihova hitra vrnitev in se ohrani povezava z obveznostmi držav članic za varstvo zunanje meje schengenskega območja. Na voljo je več različic te možnosti, ki državi članici, v kateri je bila vložena pro</w:t>
      </w:r>
      <w:r>
        <w:rPr>
          <w:rFonts w:ascii="Times New Roman" w:hAnsi="Times New Roman"/>
          <w:noProof/>
          <w:sz w:val="24"/>
        </w:rPr>
        <w:t>šnja, nalagajo večjo ali manjšo odgovornost, da preveri, ali se uporabijo prednostna merila, kot na primer, ali ima prosilec družinske vezi z drugo državo članico. Prva možnost bi bila, da bi to preverjanje opravila država članica, v kateri je bila vložena</w:t>
      </w:r>
      <w:r>
        <w:rPr>
          <w:rFonts w:ascii="Times New Roman" w:hAnsi="Times New Roman"/>
          <w:noProof/>
          <w:sz w:val="24"/>
        </w:rPr>
        <w:t xml:space="preserve"> prošnja, druga pa, da bi se to preverjanje opravilo šele v državi članici, kateri je bil prosilec dodeljen na podlagi razdelitvenega ključa.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numPr>
          <w:ilvl w:val="0"/>
          <w:numId w:val="2"/>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i/>
          <w:noProof/>
          <w:sz w:val="24"/>
        </w:rPr>
        <w:t>Dolgoročna perspektiva</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Kot je bilo navedeno že v evropski agendi o migracijah bi bilo treba dolgoročno razmisli</w:t>
      </w:r>
      <w:r>
        <w:rPr>
          <w:rFonts w:ascii="Times New Roman" w:hAnsi="Times New Roman"/>
          <w:noProof/>
          <w:sz w:val="24"/>
        </w:rPr>
        <w:t>ti o možnosti prenosa odgovornosti za obdelavo prošenj za azil z nacionalne ravni na raven EU, na primer s preoblikovanjem urada EASO v agencijo za prvostopenjsko odločanje na ravni EU z nacionalnimi podružnicami v vsaki državi članici in z ustanovitvijo p</w:t>
      </w:r>
      <w:r>
        <w:rPr>
          <w:rFonts w:ascii="Times New Roman" w:hAnsi="Times New Roman"/>
          <w:noProof/>
          <w:sz w:val="24"/>
        </w:rPr>
        <w:t xml:space="preserve">ritožbene strukture na ravni EU. V okviru takšnega pristopa bi države članice ostale odgovorne za sprejem prosilcev za azil in beguncev, ko bi se jim priznal status. Ti bi se jim dodelili na podlagi razdelitvenega ključa, kot je predlagano zgoraj.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Tako b</w:t>
      </w:r>
      <w:r>
        <w:rPr>
          <w:rFonts w:ascii="Times New Roman" w:hAnsi="Times New Roman"/>
          <w:noProof/>
          <w:sz w:val="24"/>
        </w:rPr>
        <w:t>i dobili enoten in centraliziran postopek odločanja na prvi stopnji in na pritožbeni stopnji, s čimer bi bila zagotovljena popolna uskladitev postopkov ter dosledno ocenjevanje potreb po zaščiti na ravni EU. Razdeljevanje prosilcev za azil med države člani</w:t>
      </w:r>
      <w:r>
        <w:rPr>
          <w:rFonts w:ascii="Times New Roman" w:hAnsi="Times New Roman"/>
          <w:noProof/>
          <w:sz w:val="24"/>
        </w:rPr>
        <w:t>ce na podlagi razdelitvenega ključa bi hkrati zagotovilo pravično delitev odgovornosti za skrb zanje. Poleg tega, da bi bilo za to potrebno precej preoblikovati institucionalni ustroj, bi bilo treba tem novim evropskim organom za azil dodeliti znatna sreds</w:t>
      </w:r>
      <w:r>
        <w:rPr>
          <w:rFonts w:ascii="Times New Roman" w:hAnsi="Times New Roman"/>
          <w:noProof/>
          <w:sz w:val="24"/>
        </w:rPr>
        <w:t>tva za obdelavo zelo velikega števila prošenj, ki jih trenutno obravnavajo organi držav članic</w:t>
      </w:r>
      <w:r>
        <w:rPr>
          <w:rFonts w:ascii="Times New Roman" w:hAnsi="Times New Roman"/>
          <w:noProof/>
          <w:sz w:val="24"/>
          <w:vertAlign w:val="superscript"/>
        </w:rPr>
        <w:footnoteReference w:id="21"/>
      </w:r>
      <w:r>
        <w:rPr>
          <w:rFonts w:ascii="Times New Roman" w:hAnsi="Times New Roman"/>
          <w:noProof/>
          <w:sz w:val="24"/>
        </w:rPr>
        <w:t xml:space="preserve">. Takšno daljnosežno rešitev bi bilo zato kratkoročno ali srednjeročno težko izvesti.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i/>
          <w:noProof/>
          <w:sz w:val="24"/>
          <w:szCs w:val="24"/>
        </w:rPr>
      </w:pPr>
      <w:r>
        <w:rPr>
          <w:rFonts w:ascii="Times New Roman" w:hAnsi="Times New Roman"/>
          <w:b/>
          <w:i/>
          <w:noProof/>
          <w:sz w:val="24"/>
        </w:rPr>
        <w:t>(b)</w:t>
      </w:r>
      <w:r>
        <w:rPr>
          <w:rFonts w:ascii="Times New Roman" w:hAnsi="Times New Roman"/>
          <w:i/>
          <w:noProof/>
          <w:sz w:val="24"/>
        </w:rPr>
        <w:t xml:space="preserve"> </w:t>
      </w:r>
      <w:r>
        <w:rPr>
          <w:rFonts w:ascii="Times New Roman" w:hAnsi="Times New Roman"/>
          <w:b/>
          <w:i/>
          <w:noProof/>
          <w:sz w:val="24"/>
          <w:u w:val="single"/>
        </w:rPr>
        <w:t>Okrepitev sistema Eurodac</w:t>
      </w:r>
      <w:r>
        <w:rPr>
          <w:noProof/>
        </w:rPr>
        <w:tab/>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Države članice uporabljajo sistem Eurodac in v tej podatkovni zbirki shranjene prstne odtise kot dokaz, da je bil prosilec za mednarodno zaščito ali migrant brez urejenega statusa prisoten v eni od držav članic, preden je vstopil v drugo, ter na tej podlag</w:t>
      </w:r>
      <w:r>
        <w:rPr>
          <w:rFonts w:ascii="Times New Roman" w:hAnsi="Times New Roman"/>
          <w:noProof/>
          <w:sz w:val="24"/>
        </w:rPr>
        <w:t xml:space="preserve">i uporabljajo dublinsko uredbo. Komisija bo predlagala, da se sistem Eurodac prilagodi, tako da bo odražal spremembe dublinskega mehanizma in bo zagotavljal prstne odtise, ki jih potrebuje za delovanje.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Glede na težave, ki jih imajo države članice pri uč</w:t>
      </w:r>
      <w:r>
        <w:rPr>
          <w:rFonts w:ascii="Times New Roman" w:hAnsi="Times New Roman"/>
          <w:noProof/>
          <w:sz w:val="24"/>
        </w:rPr>
        <w:t xml:space="preserve">inkovitem spremljanju nedovoljenih vstopov na zunanjih mejah in gibanja teh oseb, je poleg tega pomembno, da se področje uporabe sistema Eurodac razširi, tako da ne bo namenjen zgolj azilu. S sistemom Eurodac se lahko znatno okrepi sposobnost držav članic </w:t>
      </w:r>
      <w:r>
        <w:rPr>
          <w:rFonts w:ascii="Times New Roman" w:hAnsi="Times New Roman"/>
          <w:noProof/>
          <w:sz w:val="24"/>
        </w:rPr>
        <w:t xml:space="preserve">za spremljanje migrantov brez urejenega statusa v EU, in sicer tako, da se podatki o prstnih odtisih shranjujejo v vse kategorije ter se dovoli njihova primerjava z vsemi shranjenimi podatki.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hAnsi="Times New Roman" w:cs="Times New Roman"/>
          <w:noProof/>
          <w:sz w:val="24"/>
          <w:szCs w:val="24"/>
        </w:rPr>
      </w:pPr>
      <w:r>
        <w:rPr>
          <w:rFonts w:ascii="Times New Roman" w:hAnsi="Times New Roman"/>
          <w:noProof/>
          <w:sz w:val="24"/>
        </w:rPr>
        <w:t>Komisija bo predlagala, da se področje uporabe sistema Eurodac</w:t>
      </w:r>
      <w:r>
        <w:rPr>
          <w:rFonts w:ascii="Times New Roman" w:hAnsi="Times New Roman"/>
          <w:noProof/>
          <w:sz w:val="24"/>
        </w:rPr>
        <w:t xml:space="preserve"> razširi, da bi se s tem okrepil boj proti nedovoljenim migracijam, saj bi se sistem lahko uporabljal za lažje vračanje migrantov brez urejenega statusa. Tako se bo sistem Eurodac lahko uporabljal kot sredstvo za pospešeno identifikacijo in ponovno dokumen</w:t>
      </w:r>
      <w:r>
        <w:rPr>
          <w:rFonts w:ascii="Times New Roman" w:hAnsi="Times New Roman"/>
          <w:noProof/>
          <w:sz w:val="24"/>
        </w:rPr>
        <w:t>tacijo migrantov ter bo omogočil boljše ocenjevanje verjetnosti pobega, s čimer se bosta izboljšali učinkovitost in hitrost postopkov vračanja ter ponovnega sprejema.</w:t>
      </w:r>
    </w:p>
    <w:p w:rsidR="007B4B1E" w:rsidRDefault="007B4B1E">
      <w:pPr>
        <w:spacing w:after="0" w:line="240" w:lineRule="auto"/>
        <w:jc w:val="both"/>
        <w:rPr>
          <w:noProof/>
        </w:rPr>
      </w:pPr>
    </w:p>
    <w:p w:rsidR="007B4B1E" w:rsidRDefault="00B1261F">
      <w:pPr>
        <w:spacing w:after="0" w:line="240" w:lineRule="auto"/>
        <w:jc w:val="both"/>
        <w:rPr>
          <w:rFonts w:ascii="Times New Roman" w:hAnsi="Times New Roman" w:cs="Times New Roman"/>
          <w:noProof/>
          <w:sz w:val="24"/>
          <w:szCs w:val="24"/>
        </w:rPr>
      </w:pPr>
      <w:r>
        <w:rPr>
          <w:rFonts w:ascii="Times New Roman" w:hAnsi="Times New Roman"/>
          <w:noProof/>
          <w:sz w:val="24"/>
        </w:rPr>
        <w:t>Kot je Komisija navedla v svojem sporočilu o trdnejših in pametnejših informacijskih sis</w:t>
      </w:r>
      <w:r>
        <w:rPr>
          <w:rFonts w:ascii="Times New Roman" w:hAnsi="Times New Roman"/>
          <w:noProof/>
          <w:sz w:val="24"/>
        </w:rPr>
        <w:t>temih za meje in varnost</w:t>
      </w:r>
      <w:r>
        <w:rPr>
          <w:rStyle w:val="FootnoteReference"/>
          <w:rFonts w:ascii="Times New Roman" w:hAnsi="Times New Roman"/>
          <w:noProof/>
          <w:sz w:val="24"/>
        </w:rPr>
        <w:footnoteReference w:id="22"/>
      </w:r>
      <w:r>
        <w:rPr>
          <w:rFonts w:ascii="Times New Roman" w:hAnsi="Times New Roman"/>
          <w:noProof/>
          <w:sz w:val="24"/>
        </w:rPr>
        <w:t>, bo poleg tega v okviru splošne ocene obstoječega sistema poiskala vrzeli, ki jih je treba dolgoročno zapolniti z razvojem nekaterih tehničnih funkcionalnosti sistema, vključno z možnostjo uporabe drugih biometričnih identifikator</w:t>
      </w:r>
      <w:r>
        <w:rPr>
          <w:rFonts w:ascii="Times New Roman" w:hAnsi="Times New Roman"/>
          <w:noProof/>
          <w:sz w:val="24"/>
        </w:rPr>
        <w:t>jev, v skladu s standardi za varstvo podatkov.</w:t>
      </w:r>
    </w:p>
    <w:p w:rsidR="007B4B1E" w:rsidRDefault="007B4B1E">
      <w:pPr>
        <w:spacing w:after="0" w:line="240" w:lineRule="auto"/>
        <w:jc w:val="both"/>
        <w:rPr>
          <w:rFonts w:ascii="Times New Roman" w:hAnsi="Times New Roman" w:cs="Times New Roman"/>
          <w:noProof/>
          <w:sz w:val="24"/>
          <w:szCs w:val="24"/>
        </w:rPr>
      </w:pPr>
    </w:p>
    <w:p w:rsidR="007B4B1E" w:rsidRDefault="007B4B1E">
      <w:pPr>
        <w:spacing w:after="0" w:line="240" w:lineRule="auto"/>
        <w:ind w:left="720" w:hanging="720"/>
        <w:rPr>
          <w:rFonts w:ascii="Times New Roman" w:eastAsia="Times New Roman" w:hAnsi="Times New Roman" w:cs="Times New Roman"/>
          <w:noProof/>
          <w:sz w:val="24"/>
          <w:szCs w:val="24"/>
        </w:rPr>
      </w:pPr>
    </w:p>
    <w:p w:rsidR="007B4B1E" w:rsidRDefault="00B1261F">
      <w:pPr>
        <w:spacing w:after="0" w:line="240" w:lineRule="auto"/>
        <w:ind w:left="720" w:hanging="720"/>
        <w:rPr>
          <w:rFonts w:ascii="Times New Roman" w:eastAsia="Times New Roman" w:hAnsi="Times New Roman" w:cs="Times New Roman"/>
          <w:noProof/>
          <w:sz w:val="24"/>
          <w:szCs w:val="24"/>
        </w:rPr>
      </w:pPr>
      <w:r>
        <w:rPr>
          <w:rFonts w:ascii="Times New Roman" w:hAnsi="Times New Roman"/>
          <w:b/>
          <w:noProof/>
          <w:sz w:val="24"/>
        </w:rPr>
        <w:t>(c)</w:t>
      </w:r>
      <w:r>
        <w:rPr>
          <w:noProof/>
        </w:rPr>
        <w:tab/>
      </w:r>
      <w:r>
        <w:rPr>
          <w:rFonts w:ascii="Times New Roman" w:hAnsi="Times New Roman"/>
          <w:b/>
          <w:i/>
          <w:noProof/>
          <w:sz w:val="24"/>
          <w:u w:val="single"/>
        </w:rPr>
        <w:t>Večja skladnost in resnično skupni azilni sistem EU</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Bolj splošno namerava Komisija predlagati, da se s preoblikovanjem sedanje direktive o azilnih postopkih v </w:t>
      </w:r>
      <w:r>
        <w:rPr>
          <w:rFonts w:ascii="Times New Roman" w:hAnsi="Times New Roman"/>
          <w:b/>
          <w:noProof/>
          <w:sz w:val="24"/>
        </w:rPr>
        <w:t xml:space="preserve">novo uredbo o vzpostavitvi enotnega </w:t>
      </w:r>
      <w:r>
        <w:rPr>
          <w:rFonts w:ascii="Times New Roman" w:hAnsi="Times New Roman"/>
          <w:b/>
          <w:noProof/>
          <w:sz w:val="24"/>
        </w:rPr>
        <w:t>skupnega azilnega postopka v EU</w:t>
      </w:r>
      <w:r>
        <w:rPr>
          <w:rFonts w:ascii="Times New Roman" w:hAnsi="Times New Roman"/>
          <w:noProof/>
          <w:sz w:val="24"/>
        </w:rPr>
        <w:t xml:space="preserve"> celostno uskladijo postopki v EU in nadomestijo trenutne neskladne ureditve v državah članicah. Tako bi se zmanjšale spodbude za vstop v Unijo in gibanje znotraj nje. Po posvetovanju z državami članicami in zainteresiranimi </w:t>
      </w:r>
      <w:r>
        <w:rPr>
          <w:rFonts w:ascii="Times New Roman" w:hAnsi="Times New Roman"/>
          <w:noProof/>
          <w:sz w:val="24"/>
        </w:rPr>
        <w:t>stranmi namerava Komisija predlagati opredelitev novih pravil – namesto sedanjih diskrecijskih pravil – v zvezi s ključnimi vidiki azilnega postopka, vključno s pravili o dopustnosti, uporabi postopkov na mejah in pospešenih postopkov, obravnavanjem naknad</w:t>
      </w:r>
      <w:r>
        <w:rPr>
          <w:rFonts w:ascii="Times New Roman" w:hAnsi="Times New Roman"/>
          <w:noProof/>
          <w:sz w:val="24"/>
        </w:rPr>
        <w:t>nih prošenj in pravico ostati na ozemlju. Bistvena značilnost takšnega skupnega postopka bo uskladitev najdaljšega dovoljenega trajanja postopka na prvi stopnji in na pritožbeni stopnji.</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Kritični vidik skupnega pristopa se nanaša na uporabo mehanizmov „va</w:t>
      </w:r>
      <w:r>
        <w:rPr>
          <w:rFonts w:ascii="Times New Roman" w:hAnsi="Times New Roman"/>
          <w:noProof/>
          <w:sz w:val="24"/>
        </w:rPr>
        <w:t>rne države“. Komisija je septembra 2015 predlagala sprejetje Uredbe o vzpostavitvi skupnega evropskega seznama varnih izvornih držav</w:t>
      </w:r>
      <w:r>
        <w:rPr>
          <w:rFonts w:ascii="Times New Roman" w:hAnsi="Times New Roman"/>
          <w:noProof/>
          <w:sz w:val="24"/>
          <w:vertAlign w:val="superscript"/>
        </w:rPr>
        <w:footnoteReference w:id="23"/>
      </w:r>
      <w:r>
        <w:rPr>
          <w:rFonts w:ascii="Times New Roman" w:hAnsi="Times New Roman"/>
          <w:noProof/>
          <w:sz w:val="24"/>
        </w:rPr>
        <w:t>, da bi olajšala hitro obravnavo prošenj oseb iz teh držav. Pomembno je, da Evropski parlament in Svet Uredbo nemudoma spre</w:t>
      </w:r>
      <w:r>
        <w:rPr>
          <w:rFonts w:ascii="Times New Roman" w:hAnsi="Times New Roman"/>
          <w:noProof/>
          <w:sz w:val="24"/>
        </w:rPr>
        <w:t>jmeta. Cilj je oblikovati popolnoma usklajen seznam varnih izvornih držav na ravni EU na podlagi predlogov Komisije, pri čemer je treba prednost dati vključitvi tretjih držav, iz katerih izvira znatno število prosilcev. Poleg tega namerava Komisija predlag</w:t>
      </w:r>
      <w:r>
        <w:rPr>
          <w:rFonts w:ascii="Times New Roman" w:hAnsi="Times New Roman"/>
          <w:noProof/>
          <w:sz w:val="24"/>
        </w:rPr>
        <w:t xml:space="preserve">ati uskladitev postopkovnih posledic uporabe mehanizma varne izvorne države ter odpraviti trenutno diskrecijsko pravico glede njegove uporabe.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Kar zadeva mehanizem „varne izvorne države“, ki omogoča, da se nekatere prošnje označijo za nedopustne, če bi b</w:t>
      </w:r>
      <w:r>
        <w:rPr>
          <w:rFonts w:ascii="Times New Roman" w:hAnsi="Times New Roman"/>
          <w:noProof/>
          <w:sz w:val="24"/>
        </w:rPr>
        <w:t xml:space="preserve">ilo zaščito mogoče pridobiti v tretji državi, je Komisija v sporočilu z dne 10. februarja 2016 vse države članice pozvala, naj v svojih nacionalnih zakonodajah opredelijo in predpišejo njegovo uporabo. Komisija namerava predlagati tudi usklajen pristop EU </w:t>
      </w:r>
      <w:r>
        <w:rPr>
          <w:rFonts w:ascii="Times New Roman" w:hAnsi="Times New Roman"/>
          <w:noProof/>
          <w:sz w:val="24"/>
        </w:rPr>
        <w:t>k njegovi uporabi ob polnem upoštevanju mednarodnih obveznosti, določenih v Listini Evropske unije o temeljnih pravicah, Evropski konvenciji o človekovih pravicah in Ženevski konvenciji, da se zagotovi enotna uporaba seznama v vseh državah članicah, ter bo</w:t>
      </w:r>
      <w:r>
        <w:rPr>
          <w:rFonts w:ascii="Times New Roman" w:hAnsi="Times New Roman"/>
          <w:noProof/>
          <w:sz w:val="24"/>
        </w:rPr>
        <w:t xml:space="preserve"> vzpostavila mehanizem za sprejetje seznama EU varnih tretjih držav.</w:t>
      </w:r>
    </w:p>
    <w:p w:rsidR="007B4B1E" w:rsidRDefault="007B4B1E">
      <w:pPr>
        <w:spacing w:after="0" w:line="240" w:lineRule="auto"/>
        <w:contextualSpacing/>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Poleg tega je treba zagotoviti, da se prosilcem dodeli take vrste zaščita, do kakršne imajo pravico (status begunca ali subsidiarna zaščita), vendar samo za toliko časa, kolikor jo potre</w:t>
      </w:r>
      <w:r>
        <w:rPr>
          <w:rFonts w:ascii="Times New Roman" w:hAnsi="Times New Roman"/>
          <w:noProof/>
          <w:sz w:val="24"/>
        </w:rPr>
        <w:t xml:space="preserve">bujejo, in da se jim dodeli bolj usklajen sklop pravic, pri čemer se ohrani doslednost z Ženevsko konvencijo in Evropsko konvencijo o človekovih pravicah. Komisija zato namerava po posvetovanju z državami članicami predlagati, da se </w:t>
      </w:r>
      <w:r>
        <w:rPr>
          <w:rFonts w:ascii="Times New Roman" w:hAnsi="Times New Roman"/>
          <w:b/>
          <w:noProof/>
          <w:sz w:val="24"/>
        </w:rPr>
        <w:t>veljavna direktiva o po</w:t>
      </w:r>
      <w:r>
        <w:rPr>
          <w:rFonts w:ascii="Times New Roman" w:hAnsi="Times New Roman"/>
          <w:b/>
          <w:noProof/>
          <w:sz w:val="24"/>
        </w:rPr>
        <w:t>gojih za azil nadomesti z uredbo, ki bo določala enotna pravila o postopkih in pravicah, ki se dodelijo upravičencem do mednarodne zaščite</w:t>
      </w:r>
      <w:r>
        <w:rPr>
          <w:rFonts w:ascii="Times New Roman" w:hAnsi="Times New Roman"/>
          <w:noProof/>
          <w:sz w:val="24"/>
        </w:rPr>
        <w:t xml:space="preserve">. Nekatere pravice, ki se dodelijo, bi lahko ustrezale režimu, ki se uporablja v posameznih državah članicah za druge </w:t>
      </w:r>
      <w:r>
        <w:rPr>
          <w:rFonts w:ascii="Times New Roman" w:hAnsi="Times New Roman"/>
          <w:noProof/>
          <w:sz w:val="24"/>
        </w:rPr>
        <w:t>državljane tretjih držav ali za državljane tiste države članice. Vendar bo Komisija ob polnem spoštovanju temeljnih pravic in mednarodnih standardov skrbno preučila potrebo po prilagoditvi ravni pravic, da bi zmanjšala neupravičene učinke spodbude in sekun</w:t>
      </w:r>
      <w:r>
        <w:rPr>
          <w:rFonts w:ascii="Times New Roman" w:hAnsi="Times New Roman"/>
          <w:noProof/>
          <w:sz w:val="24"/>
        </w:rPr>
        <w:t>darno gibanje. Komisija namerava tudi bolje pojasniti razliko med statusom begunca in statusom subsidiarne zaščite ter še nadalje razlikovati med pravicami, ki pripadajo tema kategorijama.</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Poleg tega bo navedena uredba določala ukrepe, s katerimi se bo za</w:t>
      </w:r>
      <w:r>
        <w:rPr>
          <w:rFonts w:ascii="Times New Roman" w:hAnsi="Times New Roman"/>
          <w:noProof/>
          <w:sz w:val="24"/>
        </w:rPr>
        <w:t xml:space="preserve">gotovilo izvajanje rednih in sistematičnih preverjanj, vsaj v prvih letih po dodelitvi statusa zaščite, ter da bo pred dodelitvijo statusa rezidenta za daljši čas obnovitev dovoljenja za prebivanje povezana s potrditvijo, da še obstaja potreba po zaščiti, </w:t>
      </w:r>
      <w:r>
        <w:rPr>
          <w:rFonts w:ascii="Times New Roman" w:hAnsi="Times New Roman"/>
          <w:noProof/>
          <w:sz w:val="24"/>
        </w:rPr>
        <w:t>in sicer na podlagi preučitve trenutnega položaja v izvorni državi prosilca ter njegovih trenutnih osebnih okoliščin. Sedaj ima takšen sistem rednega pregledovanja statusa le malo držav članic. Glede na to, da je narava statusa sama po sebi začasna, bi bil</w:t>
      </w:r>
      <w:r>
        <w:rPr>
          <w:rFonts w:ascii="Times New Roman" w:hAnsi="Times New Roman"/>
          <w:noProof/>
          <w:sz w:val="24"/>
        </w:rPr>
        <w:t xml:space="preserve">o treba razmisliti o uvedbi rednejših pregledov zaradi prenehanja statusa za upravičence do subsidiarne zaščite.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Predlagana bodo tudi bolj usklajena pravila o osebnih dokumentih upravičencev do mednarodne zaščite. Razen tega bi bilo mogoče dolgoročno spr</w:t>
      </w:r>
      <w:r>
        <w:rPr>
          <w:rFonts w:ascii="Times New Roman" w:hAnsi="Times New Roman"/>
          <w:noProof/>
          <w:sz w:val="24"/>
        </w:rPr>
        <w:t xml:space="preserve">ejeti nadaljnje pobude za razvoj vzajemnega priznavanja zaščite, ki jo dodelijo različne države članice, kar bi lahko bila podlaga za oblikovanje okvira za prenos zaščite.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Po posvetovanju z državami članicami bodo predlagane tudi </w:t>
      </w:r>
      <w:r>
        <w:rPr>
          <w:rFonts w:ascii="Times New Roman" w:hAnsi="Times New Roman"/>
          <w:b/>
          <w:noProof/>
          <w:sz w:val="24"/>
        </w:rPr>
        <w:t>spremembe direktive o po</w:t>
      </w:r>
      <w:r>
        <w:rPr>
          <w:rFonts w:ascii="Times New Roman" w:hAnsi="Times New Roman"/>
          <w:b/>
          <w:noProof/>
          <w:sz w:val="24"/>
        </w:rPr>
        <w:t>gojih za sprejem</w:t>
      </w:r>
      <w:r>
        <w:rPr>
          <w:rFonts w:ascii="Times New Roman" w:hAnsi="Times New Roman"/>
          <w:b/>
          <w:noProof/>
          <w:sz w:val="24"/>
          <w:vertAlign w:val="superscript"/>
        </w:rPr>
        <w:footnoteReference w:id="24"/>
      </w:r>
      <w:r>
        <w:rPr>
          <w:rFonts w:ascii="Times New Roman" w:hAnsi="Times New Roman"/>
          <w:noProof/>
          <w:sz w:val="24"/>
        </w:rPr>
        <w:t>, da bi se kar najbolj povečala uskladitev po državah članicah. Dodatna uskladitev obravnave prosilcev za azil v EU je nujna, ne le da se zagotovi humana obravnava, temveč tudi da se zmanjšajo spodbude za preselitev v Evropo in v druge drž</w:t>
      </w:r>
      <w:r>
        <w:rPr>
          <w:rFonts w:ascii="Times New Roman" w:hAnsi="Times New Roman"/>
          <w:noProof/>
          <w:sz w:val="24"/>
        </w:rPr>
        <w:t>ave članice znotraj Evrope. Komisija je za začetek pozvala urad EASO, naj v sodelovanju z novoustanovljeno mrežo organov EU za sprejem prosilcev za azil in Agencijo za temeljne pravice razvije skupne tehnične standarde in navodila za uporabo sistemov držav</w:t>
      </w:r>
      <w:r>
        <w:rPr>
          <w:rFonts w:ascii="Times New Roman" w:hAnsi="Times New Roman"/>
          <w:noProof/>
          <w:sz w:val="24"/>
        </w:rPr>
        <w:t xml:space="preserve"> članic za sprejem. Ti novi standardi bodo tudi merilo za lažje spremljanje. </w:t>
      </w:r>
    </w:p>
    <w:p w:rsidR="007B4B1E" w:rsidRDefault="007B4B1E">
      <w:pPr>
        <w:rPr>
          <w:noProof/>
        </w:rPr>
      </w:pPr>
    </w:p>
    <w:p w:rsidR="007B4B1E" w:rsidRDefault="00B1261F">
      <w:pPr>
        <w:spacing w:after="0" w:line="240" w:lineRule="auto"/>
        <w:ind w:left="720" w:hanging="720"/>
        <w:jc w:val="both"/>
        <w:rPr>
          <w:rFonts w:ascii="Times New Roman" w:eastAsia="Times New Roman" w:hAnsi="Times New Roman" w:cs="Times New Roman"/>
          <w:i/>
          <w:noProof/>
          <w:sz w:val="24"/>
          <w:szCs w:val="24"/>
        </w:rPr>
      </w:pPr>
      <w:r>
        <w:rPr>
          <w:rFonts w:ascii="Times New Roman" w:hAnsi="Times New Roman"/>
          <w:b/>
          <w:noProof/>
          <w:sz w:val="24"/>
        </w:rPr>
        <w:t>(d)</w:t>
      </w:r>
      <w:r>
        <w:rPr>
          <w:noProof/>
        </w:rPr>
        <w:tab/>
      </w:r>
      <w:r>
        <w:rPr>
          <w:rFonts w:ascii="Times New Roman" w:hAnsi="Times New Roman"/>
          <w:b/>
          <w:i/>
          <w:noProof/>
          <w:sz w:val="24"/>
          <w:u w:val="single"/>
        </w:rPr>
        <w:t>Preprečevanje sekundarnih gibanj znotraj EU</w:t>
      </w:r>
      <w:r>
        <w:rPr>
          <w:rFonts w:ascii="Times New Roman" w:hAnsi="Times New Roman"/>
          <w:i/>
          <w:noProof/>
          <w:sz w:val="24"/>
        </w:rPr>
        <w:t xml:space="preserv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Komisija namerava predlagati številne ukrepe v okviru celotnega pravnega reda na področju azila, s katerimi bo zagotovila, da delovanje sistema ne bo moteno zaradi sekundarnega gibanja prosilcev za azil in upravičencev do mednarodne zaščite v poljubno drža</w:t>
      </w:r>
      <w:r>
        <w:rPr>
          <w:rFonts w:ascii="Times New Roman" w:hAnsi="Times New Roman"/>
          <w:noProof/>
          <w:sz w:val="24"/>
        </w:rPr>
        <w:t xml:space="preserve">vo članico.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Če prosilec ne bo ostal v državi članici, ki je zanj odgovorna, bi morale temu slediti ustrezne sankcije. Druge države članice bi bile dolžne poslati prosilce za azil, ki so pobegnili, nazaj v odgovorno državo članico, kjer bi se obravnavali </w:t>
      </w:r>
      <w:r>
        <w:rPr>
          <w:rFonts w:ascii="Times New Roman" w:hAnsi="Times New Roman"/>
          <w:noProof/>
          <w:sz w:val="24"/>
        </w:rPr>
        <w:t>po hitrem postopku pregleda brez samodejne pravice ostati v državi članici do odločitve o pritožbi ter brez poseganja v načelo nevračanja in pravico do učinkovitega pravnega sredstva. Poleg tega bi bilo treba prosilca, ki je pobegnil ali bi lahko pobegnil,</w:t>
      </w:r>
      <w:r>
        <w:rPr>
          <w:rFonts w:ascii="Times New Roman" w:hAnsi="Times New Roman"/>
          <w:noProof/>
          <w:sz w:val="24"/>
        </w:rPr>
        <w:t xml:space="preserve"> namestiti na določenem kraju v državi članici ali ga po potrebi pridržati, če je le mogoče pa bi se lahko materialni pogoji za sprejem zagotovili samo v naravi. Obenem bi se lahko nadgradile in okrepile obstoječe določbe pravnega reda, ki povezujejo dejst</w:t>
      </w:r>
      <w:r>
        <w:rPr>
          <w:rFonts w:ascii="Times New Roman" w:hAnsi="Times New Roman"/>
          <w:noProof/>
          <w:sz w:val="24"/>
        </w:rPr>
        <w:t>vo, da prosilec ni vložil prošnje v najkrajšem možnem času, čeprav bi glede na okoliščine to lahko storil, z oceno verodostojnosti zahtevka. To bi lahko posledično pomenilo, da bi bilo dejstvo, da je oseba nezakonito zapustila odgovorno državo članico, mog</w:t>
      </w:r>
      <w:r>
        <w:rPr>
          <w:rFonts w:ascii="Times New Roman" w:hAnsi="Times New Roman"/>
          <w:noProof/>
          <w:sz w:val="24"/>
        </w:rPr>
        <w:t>oče upoštevati pri presoji prošnje za azil.</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Poleg tega se bodo v izogib sekundarnemu gibanju upravičencev do mednarodne zaščite okrepila pravila iz direktive o pogojih za azil v zvezi z obveznostmi zagotavljanja informacij, sodelovanja in poročanja (za prosilce za azil). Jasno bo določeno, da so beg</w:t>
      </w:r>
      <w:r>
        <w:rPr>
          <w:rFonts w:ascii="Times New Roman" w:hAnsi="Times New Roman"/>
          <w:noProof/>
          <w:sz w:val="24"/>
        </w:rPr>
        <w:t>unci upravičeni do pravic in ugodnosti le v državi članici, ki jim je odobrila zaščito, in so dolžni v tej državi članici ostati. Hkrati bo spremenjena Dublinska uredba, tako da bo države članice zavezovala, da sprejmejo nazaj upravičence do mednarodne zaš</w:t>
      </w:r>
      <w:r>
        <w:rPr>
          <w:rFonts w:ascii="Times New Roman" w:hAnsi="Times New Roman"/>
          <w:noProof/>
          <w:sz w:val="24"/>
        </w:rPr>
        <w:t xml:space="preserve">čite, ki bi morali ostati v državi članici, ki jim je odobrila zaščito. Dejstvo, da je oseba nezakonito zapustila ozemlje te države članice, bi bilo lahko razlog za začetek ponovne presoje statusa.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Ob polnem upoštevanju zahtev Listine o temeljnih pravica</w:t>
      </w:r>
      <w:r>
        <w:rPr>
          <w:rFonts w:ascii="Times New Roman" w:hAnsi="Times New Roman"/>
          <w:noProof/>
          <w:sz w:val="24"/>
        </w:rPr>
        <w:t>h Evropske unije bo dodelitev vseh pravic, povezanih z azilnim postopkom, vključno z materialnimi pogoji za sprejem, pogojena z evidentiranjem, odvzemom prstnih odtisov, prisotnostjo in bivanjem v odgovorni državi članici. Določbe o obveščanju prosilcev gl</w:t>
      </w:r>
      <w:r>
        <w:rPr>
          <w:rFonts w:ascii="Times New Roman" w:hAnsi="Times New Roman"/>
          <w:noProof/>
          <w:sz w:val="24"/>
        </w:rPr>
        <w:t>ede obveznosti, da zaprosijo za azil čim prej po prihodu v EU in da ostanejo v odgovorni državi članici, bodo okrepljene. Pravila, da morajo prosilci sodelovati z organi in jim poročati, se bodo prav tako okrepila, poleg tega pa bodo sprejeti posebni ukrep</w:t>
      </w:r>
      <w:r>
        <w:rPr>
          <w:rFonts w:ascii="Times New Roman" w:hAnsi="Times New Roman"/>
          <w:noProof/>
          <w:sz w:val="24"/>
        </w:rPr>
        <w:t xml:space="preserve">i za obravnavanje prosilcev, za katere obstaja visoko tveganje pobega, vključno s hitrimi postopki pregleda. Poleg tega bo podan predlog za skupna pravila EU o dokumentih, ki se izdajo prosilcem za azil ter potrjujejo njihovo identiteto in jasno navajajo, </w:t>
      </w:r>
      <w:r>
        <w:rPr>
          <w:rFonts w:ascii="Times New Roman" w:hAnsi="Times New Roman"/>
          <w:noProof/>
          <w:sz w:val="24"/>
        </w:rPr>
        <w:t>da se načeloma nimajo pravice preseliti v drugo državo članico. Medtem ko bi lahko države članice ohranile možnost, da prosilcem izdajo potno listino, kadar nastopijo resni humanitarni razlogi, ki zahtevajo navzočnost v drugi državi članici, je treba pojas</w:t>
      </w:r>
      <w:r>
        <w:rPr>
          <w:rFonts w:ascii="Times New Roman" w:hAnsi="Times New Roman"/>
          <w:noProof/>
          <w:sz w:val="24"/>
        </w:rPr>
        <w:t>niti zakonodajne določbe, da se zagotovi, da se potne listine nikoli ne izdajo izven teh izjemnih okoliščin.</w:t>
      </w: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Tudi </w:t>
      </w:r>
      <w:r>
        <w:rPr>
          <w:rFonts w:ascii="Times New Roman" w:hAnsi="Times New Roman"/>
          <w:b/>
          <w:noProof/>
          <w:sz w:val="24"/>
        </w:rPr>
        <w:t>direktiva o dolgoročnem prebivanju</w:t>
      </w:r>
      <w:r>
        <w:rPr>
          <w:rFonts w:ascii="Times New Roman" w:hAnsi="Times New Roman"/>
          <w:b/>
          <w:noProof/>
          <w:sz w:val="24"/>
          <w:vertAlign w:val="superscript"/>
        </w:rPr>
        <w:footnoteReference w:id="25"/>
      </w:r>
      <w:r>
        <w:rPr>
          <w:rFonts w:ascii="Times New Roman" w:hAnsi="Times New Roman"/>
          <w:noProof/>
          <w:sz w:val="24"/>
        </w:rPr>
        <w:t xml:space="preserve"> bo spremenjena, tako da se bo petletno obdobje, po katerem bi upravičenci do mednarodne zaščite postali </w:t>
      </w:r>
      <w:r>
        <w:rPr>
          <w:rFonts w:ascii="Times New Roman" w:hAnsi="Times New Roman"/>
          <w:noProof/>
          <w:sz w:val="24"/>
        </w:rPr>
        <w:t xml:space="preserve">upravičeni do statusa rezidenta za daljši čas, ponovno začelo vsakič, ko bo ta oseba brez dovoljenja zapustila ozemlje države članice, ki je odobrila zaščito.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 splošno bi morale biti države članice dolžne določiti učinkovite, odvračilne in sorazmerne s</w:t>
      </w:r>
      <w:r>
        <w:rPr>
          <w:rFonts w:ascii="Times New Roman" w:hAnsi="Times New Roman"/>
          <w:noProof/>
          <w:sz w:val="24"/>
        </w:rPr>
        <w:t>ankcije za nezakonito sekundarno gibanje.</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i/>
          <w:noProof/>
          <w:sz w:val="24"/>
          <w:szCs w:val="24"/>
        </w:rPr>
      </w:pPr>
      <w:r>
        <w:rPr>
          <w:rFonts w:ascii="Times New Roman" w:hAnsi="Times New Roman"/>
          <w:b/>
          <w:i/>
          <w:noProof/>
          <w:sz w:val="24"/>
        </w:rPr>
        <w:t>(e)</w:t>
      </w:r>
      <w:r>
        <w:rPr>
          <w:noProof/>
        </w:rPr>
        <w:tab/>
      </w:r>
      <w:r>
        <w:rPr>
          <w:rFonts w:ascii="Times New Roman" w:hAnsi="Times New Roman"/>
          <w:b/>
          <w:i/>
          <w:noProof/>
          <w:sz w:val="24"/>
          <w:u w:val="single"/>
        </w:rPr>
        <w:t>Nove pristojnosti agencije EU za azil</w:t>
      </w:r>
      <w:r>
        <w:rPr>
          <w:rFonts w:ascii="Times New Roman" w:hAnsi="Times New Roman"/>
          <w:i/>
          <w:noProof/>
          <w:sz w:val="24"/>
        </w:rPr>
        <w:t xml:space="preserve"> </w:t>
      </w:r>
    </w:p>
    <w:p w:rsidR="007B4B1E" w:rsidRDefault="00B1261F">
      <w:pPr>
        <w:tabs>
          <w:tab w:val="left" w:pos="5961"/>
        </w:tabs>
        <w:spacing w:after="0" w:line="240" w:lineRule="auto"/>
        <w:jc w:val="both"/>
        <w:rPr>
          <w:rFonts w:ascii="Times New Roman" w:eastAsia="Times New Roman" w:hAnsi="Times New Roman" w:cs="Times New Roman"/>
          <w:noProof/>
          <w:sz w:val="24"/>
          <w:szCs w:val="24"/>
        </w:rPr>
      </w:pPr>
      <w:r>
        <w:rPr>
          <w:noProof/>
        </w:rPr>
        <w:tab/>
      </w:r>
    </w:p>
    <w:p w:rsidR="007B4B1E" w:rsidRDefault="00B1261F">
      <w:pPr>
        <w:spacing w:after="0" w:line="240" w:lineRule="auto"/>
        <w:jc w:val="both"/>
        <w:rPr>
          <w:rFonts w:ascii="Times New Roman" w:hAnsi="Times New Roman"/>
          <w:b/>
          <w:noProof/>
          <w:sz w:val="24"/>
        </w:rPr>
      </w:pPr>
      <w:r>
        <w:rPr>
          <w:rFonts w:ascii="Times New Roman" w:hAnsi="Times New Roman"/>
          <w:noProof/>
          <w:sz w:val="24"/>
        </w:rPr>
        <w:t xml:space="preserve">Komisija bo predlagala okrepitev nalog Evropskega azilnega podpornega urada, da bo lahko imel novo </w:t>
      </w:r>
      <w:r>
        <w:rPr>
          <w:rFonts w:ascii="Times New Roman" w:hAnsi="Times New Roman"/>
          <w:b/>
          <w:noProof/>
          <w:sz w:val="24"/>
        </w:rPr>
        <w:t>vlogo pri izvajanju politik in okrepljeno operativno vlogo</w:t>
      </w:r>
      <w:r>
        <w:rPr>
          <w:rFonts w:ascii="Times New Roman" w:hAnsi="Times New Roman"/>
          <w:noProof/>
          <w:sz w:val="24"/>
        </w:rPr>
        <w:t>, s čimer s</w:t>
      </w:r>
      <w:r>
        <w:rPr>
          <w:rFonts w:ascii="Times New Roman" w:hAnsi="Times New Roman"/>
          <w:noProof/>
          <w:sz w:val="24"/>
        </w:rPr>
        <w:t xml:space="preserve">e bo </w:t>
      </w:r>
      <w:r>
        <w:rPr>
          <w:rFonts w:ascii="Times New Roman" w:hAnsi="Times New Roman"/>
          <w:b/>
          <w:noProof/>
          <w:sz w:val="24"/>
        </w:rPr>
        <w:t xml:space="preserve">olajšalo ustrezno delovanje skupnega evropskega azilnega sistema. </w:t>
      </w:r>
    </w:p>
    <w:p w:rsidR="007B4B1E" w:rsidRDefault="007B4B1E">
      <w:pPr>
        <w:spacing w:after="0" w:line="240" w:lineRule="auto"/>
        <w:jc w:val="both"/>
        <w:rPr>
          <w:rFonts w:ascii="Times New Roman" w:hAnsi="Times New Roman"/>
          <w:b/>
          <w:noProof/>
          <w:sz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Agencija bi bila v tesnem sodelovanju s Komisijo in ne da bi to vplivalo na odgovornost slednje kot varuhinje pogodb, odgovorna za </w:t>
      </w:r>
      <w:r>
        <w:rPr>
          <w:rFonts w:ascii="Times New Roman" w:hAnsi="Times New Roman"/>
          <w:b/>
          <w:noProof/>
          <w:sz w:val="24"/>
        </w:rPr>
        <w:t>poseben ocenjevalni mehanizem</w:t>
      </w:r>
      <w:r>
        <w:rPr>
          <w:rFonts w:ascii="Times New Roman" w:hAnsi="Times New Roman"/>
          <w:noProof/>
          <w:sz w:val="24"/>
        </w:rPr>
        <w:t xml:space="preserve"> za spremljanje spoštov</w:t>
      </w:r>
      <w:r>
        <w:rPr>
          <w:rFonts w:ascii="Times New Roman" w:hAnsi="Times New Roman"/>
          <w:noProof/>
          <w:sz w:val="24"/>
        </w:rPr>
        <w:t>anja azilnih standardov v državah članicah, pri čemer je treba te standarde upoštevati predvsem, da bi zagotovili pravilno delovanje dublinskega sistema, zlasti glede pogojev za sprejem, dostopa do azilnih postopkov in spoštovanja bistvenih zaščitnih ukrep</w:t>
      </w:r>
      <w:r>
        <w:rPr>
          <w:rFonts w:ascii="Times New Roman" w:hAnsi="Times New Roman"/>
          <w:noProof/>
          <w:sz w:val="24"/>
        </w:rPr>
        <w:t xml:space="preserve">ov. To bi pomenilo spremljanje razmer v vseh državah članicah in opredelitev ukrepov, ki jih je treba sprejeti v državah članicah, da se odpravijo obstoječe pomanjkljivosti. Če ukrepi posameznih držav članic ne bi zadostovali za rešitev položaja, bi lahko </w:t>
      </w:r>
      <w:r>
        <w:rPr>
          <w:rFonts w:ascii="Times New Roman" w:hAnsi="Times New Roman"/>
          <w:noProof/>
          <w:sz w:val="24"/>
        </w:rPr>
        <w:t>agencija posredovala z uporabo okrepljene podpore. Da bi imele države članice in prosilci za azil čim manj spodbud za nespoštovanje pravil, bi bilo treba predvideti tudi ukrepe za primere, ko zadevna država članica ne sprejme ustreznih ukrepov. Če bi agenc</w:t>
      </w:r>
      <w:r>
        <w:rPr>
          <w:rFonts w:ascii="Times New Roman" w:hAnsi="Times New Roman"/>
          <w:noProof/>
          <w:sz w:val="24"/>
        </w:rPr>
        <w:t>ija na podlagi utemeljene ocene razmer ugotovila, da zadevna država članica ni sprejela nobenih ukrepov ali da sprejeti ukrepi niso zadostni, bi bila lahko Komisija pooblaščena, da z izvedbenimi akti določi operativne ukrepe, ki jih mora sprejeti ta država</w:t>
      </w:r>
      <w:r>
        <w:rPr>
          <w:rFonts w:ascii="Times New Roman" w:hAnsi="Times New Roman"/>
          <w:noProof/>
          <w:sz w:val="24"/>
        </w:rPr>
        <w:t xml:space="preserve"> članica, ob upoštevanju priporočil agencije.</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Še ena od glavnih nalog agencije bi bilo </w:t>
      </w:r>
      <w:r>
        <w:rPr>
          <w:rFonts w:ascii="Times New Roman" w:hAnsi="Times New Roman"/>
          <w:b/>
          <w:noProof/>
          <w:sz w:val="24"/>
        </w:rPr>
        <w:t>zagotavljanje bolj usklajenega ocenjevanja prošenj za mednarodno zaščito v vsej EU</w:t>
      </w:r>
      <w:r>
        <w:rPr>
          <w:rFonts w:ascii="Times New Roman" w:hAnsi="Times New Roman"/>
          <w:noProof/>
          <w:sz w:val="24"/>
        </w:rPr>
        <w:t xml:space="preserve"> na podlagi meril, opredeljenih v direktivi o pogojih za azil. Cilj bi bil odpraviti s</w:t>
      </w:r>
      <w:r>
        <w:rPr>
          <w:rFonts w:ascii="Times New Roman" w:hAnsi="Times New Roman"/>
          <w:noProof/>
          <w:sz w:val="24"/>
        </w:rPr>
        <w:t>edanje razlike v stopnjah priznanja azila z izdajo podrobnih smernic na podlagi skupne analize o pristopu do prosilcev za azil iz specifičnih držav izvora, brez poseganja v individualno obravnavo vsakega zahtevka. Takšne smernice bi potrdil upravni odbor i</w:t>
      </w:r>
      <w:r>
        <w:rPr>
          <w:rFonts w:ascii="Times New Roman" w:hAnsi="Times New Roman"/>
          <w:noProof/>
          <w:sz w:val="24"/>
        </w:rPr>
        <w:t>n bi jih uporabljale države članice. Mehanizem poročanja bi olajšal oceno o tem, ali države članice smernice agencije upoštevajo v praksi. Urad EASO ob podpori Komisije in nizozemskega predsedstva trenutno poskusno izvaja ta pristop, tako da usklajuje stro</w:t>
      </w:r>
      <w:r>
        <w:rPr>
          <w:rFonts w:ascii="Times New Roman" w:hAnsi="Times New Roman"/>
          <w:noProof/>
          <w:sz w:val="24"/>
        </w:rPr>
        <w:t>kovnjake držav članic pri oblikovanju skupnih smernic za oceno prošenj za azil afganistanskih prosilcev. Poleg tega bi bil vzpostavljen sistem pregleda posameznih primerov za spremljanje kakovosti odločitev o azilu v državah članicah, vključno s spoštovanj</w:t>
      </w:r>
      <w:r>
        <w:rPr>
          <w:rFonts w:ascii="Times New Roman" w:hAnsi="Times New Roman"/>
          <w:noProof/>
          <w:sz w:val="24"/>
        </w:rPr>
        <w:t>em teh smernic.</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Hkrati bi bila agenciji dodeljena odgovornost za dokazno oceno, ali tretje države izpolnjujejo merila za uvrstitev med varne tretje države ali varne tretje države izvora in bi lahko Komisiji podajal mnenja z namenom zagotovitve usklajenega</w:t>
      </w:r>
      <w:r>
        <w:rPr>
          <w:rFonts w:ascii="Times New Roman" w:hAnsi="Times New Roman"/>
          <w:noProof/>
          <w:sz w:val="24"/>
        </w:rPr>
        <w:t xml:space="preserve"> pristopa.</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Agencija je prav tako najočitnejša izbira za </w:t>
      </w:r>
      <w:r>
        <w:rPr>
          <w:rFonts w:ascii="Times New Roman" w:hAnsi="Times New Roman"/>
          <w:b/>
          <w:noProof/>
          <w:sz w:val="24"/>
        </w:rPr>
        <w:t>upravljavca razdelitvenega mehanizma</w:t>
      </w:r>
      <w:r>
        <w:rPr>
          <w:rFonts w:ascii="Times New Roman" w:hAnsi="Times New Roman"/>
          <w:noProof/>
          <w:sz w:val="24"/>
        </w:rPr>
        <w:t xml:space="preserve"> v okviru prenovljenega dublinskega sistema, ne glede na to, katera možnost bo izbrana.</w:t>
      </w:r>
      <w:r>
        <w:rPr>
          <w:rFonts w:ascii="Times New Roman" w:hAnsi="Times New Roman"/>
          <w:b/>
          <w:noProof/>
          <w:sz w:val="24"/>
        </w:rPr>
        <w:t xml:space="preserve"> </w:t>
      </w:r>
      <w:r>
        <w:rPr>
          <w:rFonts w:ascii="Times New Roman" w:hAnsi="Times New Roman"/>
          <w:noProof/>
          <w:sz w:val="24"/>
        </w:rPr>
        <w:t xml:space="preserve">To bi pomenilo uporabo kakršnega koli razdelitvenega ključa za dodelitev prosilcev za azil med posamezne države članice, in sicer prek mehanizma, ki ne bi omogočal, da bi o tem arbitrarno odločala agencija.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 vzoru predlagane evropske mejne in obalne st</w:t>
      </w:r>
      <w:r>
        <w:rPr>
          <w:rFonts w:ascii="Times New Roman" w:hAnsi="Times New Roman"/>
          <w:noProof/>
          <w:sz w:val="24"/>
        </w:rPr>
        <w:t xml:space="preserve">raže bi morala imeti agencija možnost, da ukrepa na lastno pobudo v podporo državam članicam, ki niso sprejele potrebnih popravnih ukrepov ali se srečujejo z </w:t>
      </w:r>
      <w:r>
        <w:rPr>
          <w:rFonts w:ascii="Times New Roman" w:hAnsi="Times New Roman"/>
          <w:b/>
          <w:noProof/>
          <w:sz w:val="24"/>
        </w:rPr>
        <w:t>izrednimi razmerami</w:t>
      </w:r>
      <w:r>
        <w:rPr>
          <w:rFonts w:ascii="Times New Roman" w:hAnsi="Times New Roman"/>
          <w:noProof/>
          <w:sz w:val="24"/>
        </w:rPr>
        <w:t>. Ukrepi agencije bi bili zlasti v pomoč pri obravnavanju primerov in v podporo</w:t>
      </w:r>
      <w:r>
        <w:rPr>
          <w:rFonts w:ascii="Times New Roman" w:hAnsi="Times New Roman"/>
          <w:noProof/>
          <w:sz w:val="24"/>
        </w:rPr>
        <w:t xml:space="preserve"> pri sprejemu. Take intervencije bi morale biti tesno povezane z intervencijami predlagane evropske mejne in obalne straže, povod za njihov začetek pa bi lahko bil v številnih primerih isti. Agenciji bi moral biti na voljo hitri rezervni seznam strokovnjak</w:t>
      </w:r>
      <w:r>
        <w:rPr>
          <w:rFonts w:ascii="Times New Roman" w:hAnsi="Times New Roman"/>
          <w:noProof/>
          <w:sz w:val="24"/>
        </w:rPr>
        <w:t>ov, na katerega bi morale države članice dodati svoje strokovnjake. Ti strokovnjaki bi bili lahko napoteni v zelo kratkem času, če bi bilo to potrebno za izvedbo nujnih ukrepov.</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Agencija bi morala imeti na voljo zadostne finančne vire in pravna sredstva</w:t>
      </w:r>
      <w:r>
        <w:rPr>
          <w:rFonts w:ascii="Times New Roman" w:hAnsi="Times New Roman"/>
          <w:noProof/>
          <w:sz w:val="24"/>
        </w:rPr>
        <w:t xml:space="preserve">, </w:t>
      </w:r>
      <w:r>
        <w:rPr>
          <w:rFonts w:ascii="Times New Roman" w:hAnsi="Times New Roman"/>
          <w:noProof/>
          <w:sz w:val="24"/>
        </w:rPr>
        <w:t xml:space="preserve">da bi lahko učinkovito opravljala svojo okrepljeno vlogo, zlasti kar zadeva preprečevanje in obvladovanje krize. Ukrepi, ki jih bo sprejel urad EASO, bodo morali biti v celoti usklajeni z drugimi ukrepi podpore, ki bi se lahko izvajali v državah članicah, </w:t>
      </w:r>
      <w:r>
        <w:rPr>
          <w:rFonts w:ascii="Times New Roman" w:hAnsi="Times New Roman"/>
          <w:noProof/>
          <w:sz w:val="24"/>
        </w:rPr>
        <w:t>ki so pod posebnim pritiskom, tudi v okviru novega mehanizma, ki ga je Komisija predlagala za zagotavljanje humanitarne pomoči v EU</w:t>
      </w:r>
      <w:r>
        <w:rPr>
          <w:rFonts w:ascii="Times New Roman" w:hAnsi="Times New Roman"/>
          <w:noProof/>
          <w:sz w:val="24"/>
          <w:vertAlign w:val="superscript"/>
        </w:rPr>
        <w:footnoteReference w:id="26"/>
      </w:r>
      <w:r>
        <w:rPr>
          <w:rFonts w:ascii="Times New Roman" w:hAnsi="Times New Roman"/>
          <w:noProof/>
          <w:sz w:val="24"/>
        </w:rPr>
        <w:t xml:space="preserve">.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rPr>
          <w:rFonts w:ascii="Times New Roman" w:eastAsia="Times New Roman" w:hAnsi="Times New Roman" w:cs="Times New Roman"/>
          <w:b/>
          <w:smallCaps/>
          <w:noProof/>
          <w:sz w:val="32"/>
          <w:szCs w:val="32"/>
          <w:u w:val="single"/>
        </w:rPr>
      </w:pPr>
      <w:r>
        <w:rPr>
          <w:rFonts w:ascii="Times New Roman" w:hAnsi="Times New Roman"/>
          <w:b/>
          <w:smallCaps/>
          <w:noProof/>
          <w:sz w:val="32"/>
          <w:u w:val="single"/>
        </w:rPr>
        <w:t xml:space="preserve">II. Odprtje varnih in zakonitih migracijskih poti ter njihovo izboljšanje </w:t>
      </w:r>
    </w:p>
    <w:p w:rsidR="007B4B1E" w:rsidRDefault="007B4B1E">
      <w:pPr>
        <w:spacing w:after="0" w:line="240" w:lineRule="auto"/>
        <w:rPr>
          <w:rFonts w:ascii="Times New Roman" w:eastAsia="Times New Roman" w:hAnsi="Times New Roman" w:cs="Times New Roman"/>
          <w:b/>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Za pametno upravljanje migracij nista nujna </w:t>
      </w:r>
      <w:r>
        <w:rPr>
          <w:rFonts w:ascii="Times New Roman" w:hAnsi="Times New Roman"/>
          <w:noProof/>
          <w:sz w:val="24"/>
        </w:rPr>
        <w:t xml:space="preserve">le trdna politika pri obravnavanju nezakonitih tokov in zagotavljanje zaščite tistim, ki jo potrebujejo, temveč tudi proaktivna politika trajnostnih, preglednih in dostopnih zakonitih poti. V skladu z Agendo za trajnostni razvoj do leta 2030 se priznavata </w:t>
      </w:r>
      <w:r>
        <w:rPr>
          <w:rFonts w:ascii="Times New Roman" w:hAnsi="Times New Roman"/>
          <w:noProof/>
          <w:sz w:val="24"/>
        </w:rPr>
        <w:t>pozitiven prispevek migrantov k vključujoči rasti ter večrazsežnostna realnost migracij, za katero je potreben skladen in celovit odziv.</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 eni strani je potrebnih več zakonitih poti, da bi ljudje, ki potrebujejo mednarodno zaščito, prispeli v EU na ureje</w:t>
      </w:r>
      <w:r>
        <w:rPr>
          <w:rFonts w:ascii="Times New Roman" w:hAnsi="Times New Roman"/>
          <w:noProof/>
          <w:sz w:val="24"/>
        </w:rPr>
        <w:t>n, varen in dostojanstven način, ter da bi se rešila življenja, hkrati pa zmanjšale nedovoljene migracije in uničil poslovni model tihotapcev ljudi. Obenem se odgovornost za zaščito ne bi smela povečati le za EU kot celoto, temveč tudi za mednarodno skupno</w:t>
      </w:r>
      <w:r>
        <w:rPr>
          <w:rFonts w:ascii="Times New Roman" w:hAnsi="Times New Roman"/>
          <w:noProof/>
          <w:sz w:val="24"/>
        </w:rPr>
        <w:t>st, saj je trenutno njena porazdelitev po svetu neenakomerna.</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Nasprotno EU potrebuje bolj proaktivno politiko na področju delovne migracije, da bi privabila usposobljene in nadarjene posameznike, ki jih potrebuje za ukrepanje proti demografskim trendom te</w:t>
      </w:r>
      <w:r>
        <w:rPr>
          <w:rFonts w:ascii="Times New Roman" w:hAnsi="Times New Roman"/>
          <w:noProof/>
          <w:sz w:val="24"/>
        </w:rPr>
        <w:t>r pomanjkanju znanj in spretnosti, s čimer bi prispevali h gospodarski rasti in vzdržnosti našega sistema socialnega varstva. Na splošno bi morala EU izkoristiti to priložnost za oceno in izboljšanje splošnega okvira za zakonite in delovne migracije.</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hAnsi="Times New Roman" w:cs="Times New Roman"/>
          <w:noProof/>
          <w:sz w:val="24"/>
          <w:szCs w:val="24"/>
        </w:rPr>
      </w:pPr>
      <w:r>
        <w:rPr>
          <w:rFonts w:ascii="Times New Roman" w:hAnsi="Times New Roman"/>
          <w:noProof/>
          <w:sz w:val="24"/>
        </w:rPr>
        <w:t>Pole</w:t>
      </w:r>
      <w:r>
        <w:rPr>
          <w:rFonts w:ascii="Times New Roman" w:hAnsi="Times New Roman"/>
          <w:noProof/>
          <w:sz w:val="24"/>
        </w:rPr>
        <w:t>g tega je, kot je poudarjeno v sporočilu o evropskem semestru za leto 2016</w:t>
      </w:r>
      <w:r>
        <w:rPr>
          <w:rStyle w:val="FootnoteReference"/>
          <w:rFonts w:ascii="Times New Roman" w:hAnsi="Times New Roman"/>
          <w:noProof/>
          <w:sz w:val="24"/>
        </w:rPr>
        <w:footnoteReference w:id="27"/>
      </w:r>
      <w:r>
        <w:rPr>
          <w:rFonts w:ascii="Times New Roman" w:hAnsi="Times New Roman"/>
          <w:noProof/>
          <w:sz w:val="24"/>
        </w:rPr>
        <w:t>, bistvenega pomena učinkovito vključevanje državljanov tretjih držav, ki zakonito prebivajo v EU, tako glede na nedavne izzive, ki nastajajo zaradi begunske krize, kot tudi sedanje</w:t>
      </w:r>
      <w:r>
        <w:rPr>
          <w:rFonts w:ascii="Times New Roman" w:hAnsi="Times New Roman"/>
          <w:noProof/>
          <w:sz w:val="24"/>
        </w:rPr>
        <w:t xml:space="preserve"> in prihodnje izzive, povezane z migracijami. Na podlagi že opravljenega dela na ravni EU namerava Komisija okrepiti svoje ukrepe za vključevanje državljanov tretjih držav, in sicer predlaga akcijski načrt EU za vključevanje. V akcijskem načrtu bodo obliko</w:t>
      </w:r>
      <w:r>
        <w:rPr>
          <w:rFonts w:ascii="Times New Roman" w:hAnsi="Times New Roman"/>
          <w:noProof/>
          <w:sz w:val="24"/>
        </w:rPr>
        <w:t>vani ukrepi, povezani s področji politike, ki so najpomembnejši za vključevanje (npr. izobraževanje, vključevanje na trg dela – tudi podjetništvo – socialna vključenost, nediskriminacija), njegov cilj pa bo podpirati države članice. V njem bodo navedena tu</w:t>
      </w:r>
      <w:r>
        <w:rPr>
          <w:rFonts w:ascii="Times New Roman" w:hAnsi="Times New Roman"/>
          <w:noProof/>
          <w:sz w:val="24"/>
        </w:rPr>
        <w:t>di razpoložljiva proračunska sredstva EU.</w:t>
      </w:r>
    </w:p>
    <w:p w:rsidR="007B4B1E" w:rsidRDefault="00B1261F">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rsidR="007B4B1E" w:rsidRDefault="00B1261F">
      <w:pPr>
        <w:spacing w:after="0" w:line="240" w:lineRule="auto"/>
        <w:jc w:val="both"/>
        <w:rPr>
          <w:rFonts w:ascii="Times New Roman" w:hAnsi="Times New Roman" w:cs="Times New Roman"/>
          <w:noProof/>
          <w:sz w:val="24"/>
          <w:szCs w:val="24"/>
        </w:rPr>
      </w:pPr>
      <w:r>
        <w:rPr>
          <w:rFonts w:ascii="Times New Roman" w:hAnsi="Times New Roman"/>
          <w:noProof/>
          <w:sz w:val="24"/>
        </w:rPr>
        <w:t>EU bo morala okrepiti tudi sodelovanje s ključnimi tretjimi državami izvora, da bi zagotovila boljše in bolj celostno upravljanje migracij in mobilnosti.</w:t>
      </w:r>
    </w:p>
    <w:p w:rsidR="007B4B1E" w:rsidRDefault="007B4B1E">
      <w:pPr>
        <w:spacing w:after="0" w:line="240" w:lineRule="auto"/>
        <w:jc w:val="both"/>
        <w:rPr>
          <w:rFonts w:ascii="Times New Roman" w:hAnsi="Times New Roman" w:cs="Times New Roman"/>
          <w:noProof/>
          <w:sz w:val="24"/>
          <w:szCs w:val="24"/>
        </w:rPr>
      </w:pPr>
    </w:p>
    <w:p w:rsidR="007B4B1E" w:rsidRDefault="007B4B1E">
      <w:pPr>
        <w:spacing w:after="0" w:line="240" w:lineRule="auto"/>
        <w:rPr>
          <w:rFonts w:ascii="Times New Roman" w:eastAsia="Times New Roman" w:hAnsi="Times New Roman" w:cs="Times New Roman"/>
          <w:b/>
          <w:noProof/>
          <w:sz w:val="24"/>
          <w:szCs w:val="24"/>
        </w:rPr>
      </w:pPr>
    </w:p>
    <w:p w:rsidR="007B4B1E" w:rsidRDefault="00B1261F">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II.1 Premik k bolj urejenemu pristopu k zaščiti beguncev</w:t>
      </w:r>
      <w:r>
        <w:rPr>
          <w:rFonts w:ascii="Times New Roman" w:hAnsi="Times New Roman"/>
          <w:b/>
          <w:noProof/>
          <w:sz w:val="24"/>
        </w:rPr>
        <w:t xml:space="preserve"> v EU </w:t>
      </w:r>
    </w:p>
    <w:p w:rsidR="007B4B1E" w:rsidRDefault="00B1261F">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 strukturiran sistem preselitev</w:t>
      </w:r>
    </w:p>
    <w:p w:rsidR="007B4B1E" w:rsidRDefault="007B4B1E">
      <w:pPr>
        <w:spacing w:after="0" w:line="240" w:lineRule="auto"/>
        <w:jc w:val="both"/>
        <w:rPr>
          <w:rFonts w:ascii="Times New Roman" w:eastAsia="Times New Roman" w:hAnsi="Times New Roman" w:cs="Times New Roman"/>
          <w:b/>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Komisija že ima izkušnje pri razvoju strukturiranega sistema preselitev. Priporočila je že vseevropski pristop, v skladu s katerim so se države članice dogovorile o preselitvi 22 504 beguncev v letih 2015–2016 iz be</w:t>
      </w:r>
      <w:r>
        <w:rPr>
          <w:rFonts w:ascii="Times New Roman" w:hAnsi="Times New Roman"/>
          <w:noProof/>
          <w:sz w:val="24"/>
        </w:rPr>
        <w:t>gunskih taborišč na Bližnjem vzhodu, v severni Afriki in Afriškem rogu, in sicer s posredovanjem Urada visokega komisarja ZN za begunce (UNHCR). Kakor je bilo objavljeno v izjavi držav članic in Turčije z dne 18. marca</w:t>
      </w:r>
      <w:r>
        <w:rPr>
          <w:rStyle w:val="FootnoteReference"/>
          <w:rFonts w:ascii="Times New Roman" w:hAnsi="Times New Roman"/>
          <w:noProof/>
          <w:sz w:val="24"/>
        </w:rPr>
        <w:footnoteReference w:id="28"/>
      </w:r>
      <w:r>
        <w:rPr>
          <w:rFonts w:ascii="Times New Roman" w:hAnsi="Times New Roman"/>
          <w:noProof/>
          <w:sz w:val="24"/>
        </w:rPr>
        <w:t>, je vzpostavljen mehanizem, ki naj b</w:t>
      </w:r>
      <w:r>
        <w:rPr>
          <w:rFonts w:ascii="Times New Roman" w:hAnsi="Times New Roman"/>
          <w:noProof/>
          <w:sz w:val="24"/>
        </w:rPr>
        <w:t>i nedovoljene in nevarne prehode migrantov iz Turčije do grških otokov nadomestil z zakonito potjo za preselitev iz Turčije v EU. Za vsakega Sirca, ki bo vrnjen v Turčijo, bo drug Sirec preseljen iz Turčije v EU. V EU bo preselitev na podlagi tega mehanizm</w:t>
      </w:r>
      <w:r>
        <w:rPr>
          <w:rFonts w:ascii="Times New Roman" w:hAnsi="Times New Roman"/>
          <w:noProof/>
          <w:sz w:val="24"/>
        </w:rPr>
        <w:t>a najprej potekala ob spoštovanju zavez prej omenjenega vseevropskega pristopa, v okviru katerega je prostih še 18 000 od prvotnih 22 504 mest za premestitev. Komisija je predlagala, da bi bilo 54 000 mest, ki so bila predvidena za premestitve, zdaj prav t</w:t>
      </w:r>
      <w:r>
        <w:rPr>
          <w:rFonts w:ascii="Times New Roman" w:hAnsi="Times New Roman"/>
          <w:noProof/>
          <w:sz w:val="24"/>
        </w:rPr>
        <w:t>ako na voljo za preselitev Sircev iz Turčije v EU</w:t>
      </w:r>
      <w:r>
        <w:rPr>
          <w:rStyle w:val="FootnoteReference"/>
          <w:rFonts w:ascii="Times New Roman" w:hAnsi="Times New Roman"/>
          <w:noProof/>
          <w:sz w:val="24"/>
        </w:rPr>
        <w:footnoteReference w:id="29"/>
      </w:r>
      <w:r>
        <w:rPr>
          <w:rFonts w:ascii="Times New Roman" w:hAnsi="Times New Roman"/>
          <w:noProof/>
          <w:sz w:val="24"/>
        </w:rPr>
        <w:t>, če bi se pojavila potreba po dodatnih preselitvah. Hkrati se nadaljuje delo držav članic za vzpostavitev sistema za humanitarni sprejem sirskih beguncev, ki so trenutno v Turčiji. Ta sistem bo začel delov</w:t>
      </w:r>
      <w:r>
        <w:rPr>
          <w:rFonts w:ascii="Times New Roman" w:hAnsi="Times New Roman"/>
          <w:noProof/>
          <w:sz w:val="24"/>
        </w:rPr>
        <w:t xml:space="preserve">ati, ko se bodo nedovoljeni prehodi med Turčijo in EU začeli zaključevati ali se bodo vsaj bistveno in vzdržno zmanjšali. Države članice EU bodo prostovoljno prispevale k temu sistemu. </w:t>
      </w: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Na podlagi teh obstoječih pobud bo Komisija pripravila </w:t>
      </w:r>
      <w:r>
        <w:rPr>
          <w:rFonts w:ascii="Times New Roman" w:hAnsi="Times New Roman"/>
          <w:b/>
          <w:noProof/>
          <w:sz w:val="24"/>
        </w:rPr>
        <w:t xml:space="preserve">predlog o </w:t>
      </w:r>
      <w:r>
        <w:rPr>
          <w:rFonts w:ascii="Times New Roman" w:hAnsi="Times New Roman"/>
          <w:b/>
          <w:noProof/>
          <w:sz w:val="24"/>
        </w:rPr>
        <w:t>oblikovanju politike EU na področju preselitve</w:t>
      </w:r>
      <w:r>
        <w:rPr>
          <w:rFonts w:ascii="Times New Roman" w:hAnsi="Times New Roman"/>
          <w:noProof/>
          <w:sz w:val="24"/>
        </w:rPr>
        <w:t>, ki bo opredelil skupen pristop k varnemu in zakonitemu vstopu v EU za osebe, ki potrebujejo zaščito. S predlogom bo vzpostavljen horizontalni mehanizem za začetek usmerjenih pobud EU za preselitev, in sicer z</w:t>
      </w:r>
      <w:r>
        <w:rPr>
          <w:rFonts w:ascii="Times New Roman" w:hAnsi="Times New Roman"/>
          <w:noProof/>
          <w:sz w:val="24"/>
        </w:rPr>
        <w:t xml:space="preserve"> določitvijo skupnih pravil EU za sprejem in razdelitev, pravil o statusu, ki se dodeli preseljenim osebam, finančni podpori ter ukrepih za preprečevanje sekundarnega gibanja. Take pobude na ravni EU bi se lahko splošno uporabljale in bi bile lahko namenje</w:t>
      </w:r>
      <w:r>
        <w:rPr>
          <w:rFonts w:ascii="Times New Roman" w:hAnsi="Times New Roman"/>
          <w:noProof/>
          <w:sz w:val="24"/>
        </w:rPr>
        <w:t>ne za izboljšanje preselitve na svetovni ravni ali olajšanje preselitev iz določene tretje države ali regije, po možnosti v povezavi z določenimi pogoji za učinkovito sodelovanje pri upravljanju migracij (npr. zmanjšanje števila oseb, ki v države članice E</w:t>
      </w:r>
      <w:r>
        <w:rPr>
          <w:rFonts w:ascii="Times New Roman" w:hAnsi="Times New Roman"/>
          <w:noProof/>
          <w:sz w:val="24"/>
        </w:rPr>
        <w:t>U prihajajo spontano, sklepanje sporazumov o ponovnem sprejemu ali izboljšanje njihovega izvajanja). Takšen mehanizem bi se lahko sprožil z izvedbenim aktom Komisije, ki bi bil sprejet na podlagi objektivno določenih meril (npr. globalnih ciljev UNHCR za p</w:t>
      </w:r>
      <w:r>
        <w:rPr>
          <w:rFonts w:ascii="Times New Roman" w:hAnsi="Times New Roman"/>
          <w:noProof/>
          <w:sz w:val="24"/>
        </w:rPr>
        <w:t>reselitev).</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Krovni cilj politike EU glede preselitve bi morala biti zagotovitev, da Unija prevzame svoj del svetovne odgovornosti za zagotavljanje varnega zavetja beguncev z vsega sveta. Gre za skupno odgovornost mednarodne skupnosti kot celote, ki bo ust</w:t>
      </w:r>
      <w:r>
        <w:rPr>
          <w:rFonts w:ascii="Times New Roman" w:hAnsi="Times New Roman"/>
          <w:noProof/>
          <w:sz w:val="24"/>
        </w:rPr>
        <w:t>rezno in trajnostno izpolnjena le z usklajenim in odločnim pristopom vseh mednarodnih akterjev. V tem okviru mora EU povečati svojo podporo in sodelovanje v mednarodnih pobudah, namenjenih reševanju svetovnih migracijskih in begunskih izzivov, kot so progr</w:t>
      </w:r>
      <w:r>
        <w:rPr>
          <w:rFonts w:ascii="Times New Roman" w:hAnsi="Times New Roman"/>
          <w:noProof/>
          <w:sz w:val="24"/>
        </w:rPr>
        <w:t>ami UNHCR za preselitev</w:t>
      </w:r>
      <w:r>
        <w:rPr>
          <w:rStyle w:val="FootnoteReference"/>
          <w:rFonts w:ascii="Times New Roman" w:hAnsi="Times New Roman"/>
          <w:noProof/>
          <w:sz w:val="24"/>
        </w:rPr>
        <w:footnoteReference w:id="30"/>
      </w:r>
      <w:r>
        <w:rPr>
          <w:rFonts w:ascii="Times New Roman" w:hAnsi="Times New Roman"/>
          <w:noProof/>
          <w:sz w:val="24"/>
        </w:rPr>
        <w:t>, pa tudi spodbujati donacije v drugih mednarodnih okvirih, na primer v skupini G20. Zato EU potrebuje strukturiran skupen sistem za bolj sistematično združevanje evropskih prizadevanj za preselitev. Tako bo lahko EU drugim za zgled</w:t>
      </w:r>
      <w:r>
        <w:rPr>
          <w:rFonts w:ascii="Times New Roman" w:hAnsi="Times New Roman"/>
          <w:noProof/>
          <w:sz w:val="24"/>
        </w:rPr>
        <w:t xml:space="preserve"> ter bo jasno in konkretno izrazila evropsko solidarnost do mednarodne skupnosti. </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Države članice bi morale preučiti tudi druge načine za povečanje možnosti za zakonit vstop ljudi, ki potrebujejo mednarodno zaščito. Programe, prilagojene beguncem, kakršna</w:t>
      </w:r>
      <w:r>
        <w:rPr>
          <w:rFonts w:ascii="Times New Roman" w:hAnsi="Times New Roman"/>
          <w:noProof/>
          <w:sz w:val="24"/>
        </w:rPr>
        <w:t xml:space="preserve"> sta preselitev in humanitarni sprejem, bi bilo treba dopolniti, tako da bi obstoječi redni programi sprejema za splošne kategorije, kot so študenti, raziskovalci in delavci, postali dostopnejši za begunce, pobude, ki so že uveljavljene, pa bi bilo treba v</w:t>
      </w:r>
      <w:r>
        <w:rPr>
          <w:rFonts w:ascii="Times New Roman" w:hAnsi="Times New Roman"/>
          <w:noProof/>
          <w:sz w:val="24"/>
        </w:rPr>
        <w:t xml:space="preserve"> celoti podpreti. Druge pobude, kot so </w:t>
      </w:r>
      <w:r>
        <w:rPr>
          <w:rFonts w:ascii="Times New Roman" w:hAnsi="Times New Roman"/>
          <w:b/>
          <w:noProof/>
          <w:sz w:val="24"/>
        </w:rPr>
        <w:t>zasebno sponzorstvo</w:t>
      </w:r>
      <w:r>
        <w:rPr>
          <w:rFonts w:ascii="Times New Roman" w:hAnsi="Times New Roman"/>
          <w:noProof/>
          <w:sz w:val="24"/>
        </w:rPr>
        <w:t>, pri katerih lahko stroške sponzorstva in podporo za namestitev oseb, ki potrebujejo zaščito, nudijo zasebne skupine ali organizacije, imajo lahko pomembno vlogo pri povečevanju možnosti zakonitega</w:t>
      </w:r>
      <w:r>
        <w:rPr>
          <w:rFonts w:ascii="Times New Roman" w:hAnsi="Times New Roman"/>
          <w:noProof/>
          <w:sz w:val="24"/>
        </w:rPr>
        <w:t xml:space="preserve"> vstopa. Zasebno sponzorstvo ima lahko različne oblike, od štipendij za študente in člane akademske skupnosti do podpore pri vključevanju sponzoriranih družinskih članov. Zasebno sponzorstvo ni le sredstvo za povečanje možnosti zakonitega vstopa, temveč tu</w:t>
      </w:r>
      <w:r>
        <w:rPr>
          <w:rFonts w:ascii="Times New Roman" w:hAnsi="Times New Roman"/>
          <w:noProof/>
          <w:sz w:val="24"/>
        </w:rPr>
        <w:t>di za ozaveščanje javnosti in podporo beguncem, ki hkrati omogoča večjo naklonjenost okolice, saj so ponavadi vključene tudi lokalne skupnosti. To bi bilo torej treba spodbujati z razvojem najboljših praks na ravni EU, pri čemer bi se lahko zgledovali po v</w:t>
      </w:r>
      <w:r>
        <w:rPr>
          <w:rFonts w:ascii="Times New Roman" w:hAnsi="Times New Roman"/>
          <w:noProof/>
          <w:sz w:val="24"/>
        </w:rPr>
        <w:t>zorih in izkušnjah iz drugih tretjih držav.</w:t>
      </w:r>
      <w:r>
        <w:rPr>
          <w:noProof/>
        </w:rPr>
        <w:t xml:space="preserve"> </w:t>
      </w:r>
      <w:r>
        <w:rPr>
          <w:rFonts w:ascii="Times New Roman" w:hAnsi="Times New Roman"/>
          <w:noProof/>
          <w:sz w:val="24"/>
        </w:rPr>
        <w:t xml:space="preserve">Države članice se spodbujajo tudi k polni uporabi drugih razpoložljivih zakonitih poti za osebe, ki potrebujejo zaščito, na primer humanitarnih dovoljenj, Komisija pa bo poleg tega preučila načine za spodbujanje </w:t>
      </w:r>
      <w:r>
        <w:rPr>
          <w:rFonts w:ascii="Times New Roman" w:hAnsi="Times New Roman"/>
          <w:noProof/>
          <w:sz w:val="24"/>
        </w:rPr>
        <w:t>usklajenega evropskega pristopa na tem področju.</w:t>
      </w:r>
    </w:p>
    <w:p w:rsidR="007B4B1E" w:rsidRDefault="007B4B1E">
      <w:pPr>
        <w:spacing w:after="0" w:line="240" w:lineRule="auto"/>
        <w:rPr>
          <w:rFonts w:ascii="Times New Roman" w:eastAsia="Times New Roman" w:hAnsi="Times New Roman" w:cs="Times New Roman"/>
          <w:noProof/>
          <w:sz w:val="24"/>
          <w:szCs w:val="24"/>
        </w:rPr>
      </w:pPr>
    </w:p>
    <w:p w:rsidR="007B4B1E" w:rsidRDefault="007B4B1E">
      <w:pPr>
        <w:spacing w:after="0" w:line="240" w:lineRule="auto"/>
        <w:rPr>
          <w:rFonts w:ascii="Times New Roman" w:eastAsia="Times New Roman" w:hAnsi="Times New Roman" w:cs="Times New Roman"/>
          <w:noProof/>
          <w:sz w:val="24"/>
          <w:szCs w:val="24"/>
        </w:rPr>
      </w:pPr>
    </w:p>
    <w:p w:rsidR="007B4B1E" w:rsidRDefault="007B4B1E">
      <w:pPr>
        <w:spacing w:after="0" w:line="240" w:lineRule="auto"/>
        <w:rPr>
          <w:rFonts w:ascii="Times New Roman" w:eastAsia="Times New Roman" w:hAnsi="Times New Roman" w:cs="Times New Roman"/>
          <w:noProof/>
          <w:sz w:val="24"/>
          <w:szCs w:val="24"/>
        </w:rPr>
      </w:pPr>
    </w:p>
    <w:p w:rsidR="007B4B1E" w:rsidRDefault="00B1261F">
      <w:pPr>
        <w:spacing w:after="0" w:line="240" w:lineRule="auto"/>
        <w:ind w:left="720" w:hanging="720"/>
        <w:rPr>
          <w:rFonts w:ascii="Times New Roman" w:eastAsia="Times New Roman" w:hAnsi="Times New Roman" w:cs="Times New Roman"/>
          <w:b/>
          <w:noProof/>
          <w:sz w:val="24"/>
          <w:szCs w:val="24"/>
        </w:rPr>
      </w:pPr>
      <w:r>
        <w:rPr>
          <w:rFonts w:ascii="Times New Roman" w:hAnsi="Times New Roman"/>
          <w:b/>
          <w:noProof/>
          <w:sz w:val="24"/>
        </w:rPr>
        <w:t>II.2 Pametnejša in dobro vodena politika zakonitih migracij</w:t>
      </w:r>
    </w:p>
    <w:p w:rsidR="007B4B1E" w:rsidRDefault="007B4B1E">
      <w:pPr>
        <w:spacing w:after="0" w:line="240" w:lineRule="auto"/>
        <w:jc w:val="both"/>
        <w:rPr>
          <w:rFonts w:ascii="Times New Roman" w:hAnsi="Times New Roman" w:cs="Times New Roman"/>
          <w:noProof/>
          <w:sz w:val="24"/>
          <w:szCs w:val="24"/>
        </w:rPr>
      </w:pPr>
    </w:p>
    <w:p w:rsidR="007B4B1E" w:rsidRDefault="00B1261F">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V zadnjih trinajstih letih je EU razvila širok nabor instrumentov za sprejem različnih kategorij zakonitih migrantov. „Modra karta“ in </w:t>
      </w:r>
      <w:r>
        <w:rPr>
          <w:rFonts w:ascii="Times New Roman" w:hAnsi="Times New Roman"/>
          <w:noProof/>
          <w:sz w:val="24"/>
        </w:rPr>
        <w:t>direktiva o premestitvah znotraj podjetja</w:t>
      </w:r>
      <w:r>
        <w:rPr>
          <w:rFonts w:ascii="Times New Roman" w:hAnsi="Times New Roman"/>
          <w:noProof/>
          <w:sz w:val="24"/>
          <w:vertAlign w:val="superscript"/>
        </w:rPr>
        <w:footnoteReference w:id="31"/>
      </w:r>
      <w:r>
        <w:rPr>
          <w:rFonts w:ascii="Times New Roman" w:hAnsi="Times New Roman"/>
          <w:noProof/>
          <w:sz w:val="24"/>
        </w:rPr>
        <w:t xml:space="preserve"> sta pravna podlaga za visoko kvalificirane migrante; spremenjena direktiva o študentih in raziskovalcih</w:t>
      </w:r>
      <w:r>
        <w:rPr>
          <w:rFonts w:ascii="Times New Roman" w:hAnsi="Times New Roman"/>
          <w:noProof/>
          <w:sz w:val="24"/>
          <w:vertAlign w:val="superscript"/>
        </w:rPr>
        <w:footnoteReference w:id="32"/>
      </w:r>
      <w:r>
        <w:rPr>
          <w:rFonts w:ascii="Times New Roman" w:hAnsi="Times New Roman"/>
          <w:noProof/>
          <w:sz w:val="24"/>
        </w:rPr>
        <w:t xml:space="preserve"> omogoča sprejem tujih študentov in raziskovalcev ter njihovo mobilnost v EU in določa njihovo pravico do biv</w:t>
      </w:r>
      <w:r>
        <w:rPr>
          <w:rFonts w:ascii="Times New Roman" w:hAnsi="Times New Roman"/>
          <w:noProof/>
          <w:sz w:val="24"/>
        </w:rPr>
        <w:t>anja nadaljnjih devet mesecev, da si poiščejo službo ali ustanovijo podjetje; direktiva o sezonskih delavcih</w:t>
      </w:r>
      <w:r>
        <w:rPr>
          <w:rFonts w:ascii="Times New Roman" w:hAnsi="Times New Roman"/>
          <w:noProof/>
          <w:sz w:val="24"/>
          <w:vertAlign w:val="superscript"/>
        </w:rPr>
        <w:footnoteReference w:id="33"/>
      </w:r>
      <w:r>
        <w:rPr>
          <w:rFonts w:ascii="Times New Roman" w:hAnsi="Times New Roman"/>
          <w:noProof/>
          <w:sz w:val="24"/>
        </w:rPr>
        <w:t>, ki jo bodo morale države članice v celoti prenesti pozneje v letošnjem letu, pa ureja vstop in začasno bivanje sezonskih delavcev, s čimer omogoč</w:t>
      </w:r>
      <w:r>
        <w:rPr>
          <w:rFonts w:ascii="Times New Roman" w:hAnsi="Times New Roman"/>
          <w:noProof/>
          <w:sz w:val="24"/>
        </w:rPr>
        <w:t>a krožno migracijo in ščiti to posebej ranljivo kategorijo delavcev. Poleg tega direktiva o enotnem dovoljenju</w:t>
      </w:r>
      <w:r>
        <w:rPr>
          <w:rFonts w:ascii="Times New Roman" w:hAnsi="Times New Roman"/>
          <w:noProof/>
          <w:sz w:val="24"/>
          <w:vertAlign w:val="superscript"/>
        </w:rPr>
        <w:footnoteReference w:id="34"/>
      </w:r>
      <w:r>
        <w:rPr>
          <w:rFonts w:ascii="Times New Roman" w:hAnsi="Times New Roman"/>
          <w:noProof/>
          <w:sz w:val="24"/>
        </w:rPr>
        <w:t xml:space="preserve"> uvaja enotno dovoljenje, ki združuje dovoljenji za prebivanje in delo za državljane tretjih držav, direktiva o dolgotrajnem prebivanju</w:t>
      </w:r>
      <w:r>
        <w:rPr>
          <w:rFonts w:ascii="Times New Roman" w:hAnsi="Times New Roman"/>
          <w:noProof/>
          <w:sz w:val="24"/>
          <w:vertAlign w:val="superscript"/>
        </w:rPr>
        <w:footnoteReference w:id="35"/>
      </w:r>
      <w:r>
        <w:rPr>
          <w:rFonts w:ascii="Times New Roman" w:hAnsi="Times New Roman"/>
          <w:noProof/>
          <w:sz w:val="24"/>
        </w:rPr>
        <w:t xml:space="preserve"> ureja po</w:t>
      </w:r>
      <w:r>
        <w:rPr>
          <w:rFonts w:ascii="Times New Roman" w:hAnsi="Times New Roman"/>
          <w:noProof/>
          <w:sz w:val="24"/>
        </w:rPr>
        <w:t>goje in pravice prebivanja za državljane tretjih držav, ki v EU prebivajo več kot pet let, direktiva o združitvi družine</w:t>
      </w:r>
      <w:r>
        <w:rPr>
          <w:rFonts w:ascii="Times New Roman" w:hAnsi="Times New Roman"/>
          <w:noProof/>
          <w:sz w:val="24"/>
          <w:vertAlign w:val="superscript"/>
        </w:rPr>
        <w:footnoteReference w:id="36"/>
      </w:r>
      <w:r>
        <w:rPr>
          <w:rFonts w:ascii="Times New Roman" w:hAnsi="Times New Roman"/>
          <w:noProof/>
          <w:sz w:val="24"/>
        </w:rPr>
        <w:t xml:space="preserve"> pa določa pogoje za vstop in prebivanje družinskih članov državljanov tretjih držav.</w:t>
      </w:r>
    </w:p>
    <w:p w:rsidR="007B4B1E" w:rsidRDefault="007B4B1E">
      <w:pPr>
        <w:autoSpaceDE w:val="0"/>
        <w:autoSpaceDN w:val="0"/>
        <w:adjustRightInd w:val="0"/>
        <w:spacing w:after="0" w:line="240" w:lineRule="auto"/>
        <w:jc w:val="both"/>
        <w:rPr>
          <w:rFonts w:ascii="Times New Roman" w:eastAsia="Times New Roman" w:hAnsi="Times New Roman" w:cs="Times New Roman"/>
          <w:noProof/>
          <w:sz w:val="24"/>
          <w:szCs w:val="24"/>
        </w:rPr>
      </w:pPr>
    </w:p>
    <w:p w:rsidR="007B4B1E" w:rsidRDefault="00B1261F">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Vendar je treba na ravni EU sprejeti še nadaljnj</w:t>
      </w:r>
      <w:r>
        <w:rPr>
          <w:rFonts w:ascii="Times New Roman" w:hAnsi="Times New Roman"/>
          <w:noProof/>
          <w:sz w:val="24"/>
        </w:rPr>
        <w:t>e ukrepe. EU mora prenoviti modro karto EU, da bi izboljšala pravila o migracijah za visokokvalificirane migrante. Poleg tega bi morala preučiti načine, na katere bi lahko privabila inovativne podjetnike, ki lahko spodbudijo gospodarsko rast in pomagajo us</w:t>
      </w:r>
      <w:r>
        <w:rPr>
          <w:rFonts w:ascii="Times New Roman" w:hAnsi="Times New Roman"/>
          <w:noProof/>
          <w:sz w:val="24"/>
        </w:rPr>
        <w:t xml:space="preserve">tvarjati nova delovna mesta. Prav tako so zakonite migracije v celoti del splošnih razprav s tretjimi državami izvora in tranzita o možnostih sodelovanja na področju obvladovanja migracijskih tokov. Nenazadnje bi bilo treba začeti razmislek o možnostih za </w:t>
      </w:r>
      <w:r>
        <w:rPr>
          <w:rFonts w:ascii="Times New Roman" w:hAnsi="Times New Roman"/>
          <w:noProof/>
          <w:sz w:val="24"/>
        </w:rPr>
        <w:t>dolgoročno spremembo celotnega modela EU za upravljanje zakonitih migracij, zlasti delovnih migracij, med drugim morda z zgledovanjem pri uspešnih modelih, ki so jih razvile druge razvite države.</w:t>
      </w:r>
    </w:p>
    <w:p w:rsidR="007B4B1E" w:rsidRDefault="007B4B1E">
      <w:pPr>
        <w:spacing w:after="0" w:line="240" w:lineRule="auto"/>
        <w:rPr>
          <w:rFonts w:ascii="Times New Roman" w:eastAsia="Times New Roman" w:hAnsi="Times New Roman" w:cs="Times New Roman"/>
          <w:noProof/>
          <w:sz w:val="24"/>
          <w:szCs w:val="24"/>
          <w:u w:val="single"/>
        </w:rPr>
      </w:pPr>
    </w:p>
    <w:p w:rsidR="007B4B1E" w:rsidRDefault="00B1261F">
      <w:pPr>
        <w:pStyle w:val="ListParagraph"/>
        <w:numPr>
          <w:ilvl w:val="0"/>
          <w:numId w:val="9"/>
        </w:numPr>
        <w:spacing w:after="0" w:line="240" w:lineRule="auto"/>
        <w:rPr>
          <w:rFonts w:ascii="Times New Roman" w:hAnsi="Times New Roman"/>
          <w:i/>
          <w:noProof/>
          <w:sz w:val="24"/>
        </w:rPr>
      </w:pPr>
      <w:r>
        <w:rPr>
          <w:rFonts w:ascii="Times New Roman" w:hAnsi="Times New Roman"/>
          <w:i/>
          <w:noProof/>
          <w:sz w:val="24"/>
        </w:rPr>
        <w:t>Privlačevanje visokokvalificiranih delavcev v Evropo: učink</w:t>
      </w:r>
      <w:r>
        <w:rPr>
          <w:rFonts w:ascii="Times New Roman" w:hAnsi="Times New Roman"/>
          <w:i/>
          <w:noProof/>
          <w:sz w:val="24"/>
        </w:rPr>
        <w:t xml:space="preserve">ovitejša modra karta </w:t>
      </w:r>
    </w:p>
    <w:p w:rsidR="007B4B1E" w:rsidRDefault="007B4B1E">
      <w:pPr>
        <w:spacing w:after="0" w:line="240" w:lineRule="auto"/>
        <w:jc w:val="both"/>
        <w:rPr>
          <w:rFonts w:ascii="Times New Roman" w:eastAsia="Times New Roman" w:hAnsi="Times New Roman" w:cs="Times New Roman"/>
          <w:i/>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Evropa je starajoča se celina, katere delež delovno sposobnega prebivalstva</w:t>
      </w:r>
      <w:r>
        <w:rPr>
          <w:rStyle w:val="FootnoteReference"/>
          <w:rFonts w:ascii="Times New Roman" w:hAnsi="Times New Roman"/>
          <w:noProof/>
          <w:sz w:val="24"/>
        </w:rPr>
        <w:footnoteReference w:id="37"/>
      </w:r>
      <w:r>
        <w:rPr>
          <w:rFonts w:ascii="Times New Roman" w:hAnsi="Times New Roman"/>
          <w:noProof/>
          <w:sz w:val="24"/>
        </w:rPr>
        <w:t xml:space="preserve"> upada in se bo v prihodnjem desetletju predvidoma skrčil na 18 milijonov. Poleg tega spremembe med letoma 2012 in 2025 v strokovnem znanju in spretnostih, ki jih zahteva trg dela EU, kažejo na vse večjo potrebo po visokokvalificiranem človeškem kapitalu (</w:t>
      </w:r>
      <w:r>
        <w:rPr>
          <w:rFonts w:ascii="Times New Roman" w:hAnsi="Times New Roman"/>
          <w:noProof/>
          <w:sz w:val="24"/>
        </w:rPr>
        <w:t>23-odstotno povečanje z 68 milijonov na 83 milijonov)</w:t>
      </w:r>
      <w:r>
        <w:rPr>
          <w:rFonts w:ascii="Times New Roman" w:hAnsi="Times New Roman"/>
          <w:noProof/>
          <w:sz w:val="24"/>
          <w:vertAlign w:val="superscript"/>
        </w:rPr>
        <w:footnoteReference w:id="38"/>
      </w:r>
      <w:r>
        <w:rPr>
          <w:rFonts w:ascii="Times New Roman" w:hAnsi="Times New Roman"/>
          <w:noProof/>
          <w:sz w:val="24"/>
        </w:rPr>
        <w:t>. Hkrati je treba bolje izkoristiti potencial delovne sile EU, kar kažejo visoke stopnje brezposelnosti, zlasti med mladimi, nizke stopnje udeležbe ter vztrajna neusklajenost ponudbe in povpraševanja na</w:t>
      </w:r>
      <w:r>
        <w:rPr>
          <w:rFonts w:ascii="Times New Roman" w:hAnsi="Times New Roman"/>
          <w:noProof/>
          <w:sz w:val="24"/>
        </w:rPr>
        <w:t xml:space="preserve"> trgu dela v EU. Zato so potrebna usklajena prizadevanja na vseh ravneh, pri čemer je treba poudariti vlaganje v razvoj strokovnega znanja in spretnosti pri obstoječi delovni sili, oblikovanje politik, namenjenih povečanju stopnje delovne aktivnosti, da se</w:t>
      </w:r>
      <w:r>
        <w:rPr>
          <w:rFonts w:ascii="Times New Roman" w:hAnsi="Times New Roman"/>
          <w:noProof/>
          <w:sz w:val="24"/>
        </w:rPr>
        <w:t xml:space="preserve"> uporabijo vsa razpoložljiva strokovna znanja in spretnosti, ter spodbujanje mobilnosti delavcev znotraj EU. Prihodnji program za znanja in spretnosti za Evropo bo ključna komponenta teh prizadevanj, saj so v njegovem osrčju boljša uporaba in priznavanje o</w:t>
      </w:r>
      <w:r>
        <w:rPr>
          <w:rFonts w:ascii="Times New Roman" w:hAnsi="Times New Roman"/>
          <w:noProof/>
          <w:sz w:val="24"/>
        </w:rPr>
        <w:t>bstoječih strokovnih znanj in spretnosti v EU, izboljšanje priznavanja tujih kvalifikacij ter spodbujanje pridobivanja novih strokovnih znanj in spretnosti, kjer so potrebni</w:t>
      </w:r>
      <w:r>
        <w:rPr>
          <w:rFonts w:ascii="Times New Roman" w:hAnsi="Times New Roman"/>
          <w:noProof/>
          <w:sz w:val="24"/>
          <w:vertAlign w:val="superscript"/>
        </w:rPr>
        <w:footnoteReference w:id="39"/>
      </w:r>
      <w:r>
        <w:rPr>
          <w:rFonts w:ascii="Times New Roman" w:hAnsi="Times New Roman"/>
          <w:noProof/>
          <w:sz w:val="24"/>
        </w:rPr>
        <w:t>.</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Vendar se zdi jasno, da samo ti ukrepi ne bodo zadoščali za odpravo primanjklja</w:t>
      </w:r>
      <w:r>
        <w:rPr>
          <w:rFonts w:ascii="Times New Roman" w:hAnsi="Times New Roman"/>
          <w:noProof/>
          <w:sz w:val="24"/>
        </w:rPr>
        <w:t>ja strokovnih znanj in spretnosti: EU bo morala poleg tega privabiti nadarjeno in visokokvalificirano delovno silo iz tujine, če želi ostati konkurenčna na svetovni ravni. To ni bistveno zgolj za zapolnitev trenutnih in prihodnjih potreb po strokovnem znan</w:t>
      </w:r>
      <w:r>
        <w:rPr>
          <w:rFonts w:ascii="Times New Roman" w:hAnsi="Times New Roman"/>
          <w:noProof/>
          <w:sz w:val="24"/>
        </w:rPr>
        <w:t>ju in spretnostih ter za dinamično gospodarstvo, temveč tudi, da se zagotovi dolgoročna vzdržnost naših sistemov socialnega varstva.</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 jasno potrjujejo stališča zainteresiranih strani: v javnem posvetovanju o modri karti, ki se je lani začelo po vsej EU</w:t>
      </w:r>
      <w:r>
        <w:rPr>
          <w:rStyle w:val="FootnoteReference"/>
          <w:rFonts w:ascii="Times New Roman" w:hAnsi="Times New Roman"/>
          <w:noProof/>
          <w:sz w:val="24"/>
        </w:rPr>
        <w:footnoteReference w:id="40"/>
      </w:r>
      <w:r>
        <w:rPr>
          <w:rFonts w:ascii="Times New Roman" w:hAnsi="Times New Roman"/>
          <w:noProof/>
          <w:sz w:val="24"/>
        </w:rPr>
        <w:t>, je 85 % sodelujočih (vključno z delodajalci in sindikati) menilo, da je – poleg ukrepov politike, kot sta zaposlovanje iz drugih držav članic ter povečanje upokojitvene starosti in stopnje udeležbe na trgu dela – nujen ukrep tudi zaposlovanje visokokvali</w:t>
      </w:r>
      <w:r>
        <w:rPr>
          <w:rFonts w:ascii="Times New Roman" w:hAnsi="Times New Roman"/>
          <w:noProof/>
          <w:sz w:val="24"/>
        </w:rPr>
        <w:t xml:space="preserve">ficiranih delavcev iz tretjih držav, da se zapolnijo vrzeli v delovni sili v nekaterih sektorjih oziroma poklicih v EU. Obenem je prvi Evropski dialog o znanjih in migracijah pozval k odpravi razdrobljenosti politik sprejema za visokokvalificirane delavce </w:t>
      </w:r>
      <w:r>
        <w:rPr>
          <w:rFonts w:ascii="Times New Roman" w:hAnsi="Times New Roman"/>
          <w:noProof/>
          <w:sz w:val="24"/>
        </w:rPr>
        <w:t>v Evropi ter zagovarjal hiter in pregleden program sprejema</w:t>
      </w:r>
      <w:r>
        <w:rPr>
          <w:rStyle w:val="FootnoteReference"/>
          <w:rFonts w:ascii="Times New Roman" w:hAnsi="Times New Roman"/>
          <w:noProof/>
          <w:sz w:val="24"/>
        </w:rPr>
        <w:footnoteReference w:id="41"/>
      </w:r>
      <w:r>
        <w:rPr>
          <w:rFonts w:ascii="Times New Roman" w:hAnsi="Times New Roman"/>
          <w:noProof/>
          <w:sz w:val="24"/>
        </w:rPr>
        <w:t>.</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Direktiva o modri karti iz leta 2009 ni izpolnila zastavljenega potenciala vseevropske sheme za privabitev nadarjenih in visokokvalificiranih državljanov tretjih držav. Pogoji sprejema so prece</w:t>
      </w:r>
      <w:r>
        <w:rPr>
          <w:rFonts w:ascii="Times New Roman" w:hAnsi="Times New Roman"/>
          <w:noProof/>
          <w:sz w:val="24"/>
        </w:rPr>
        <w:t>j restriktivni, direktiva ne prinaša skladnosti in usklajevanja, prav tako pa je precej omejena tudi mobilnost imetnikov modre karte znotraj EU. Razen tega vzporedno z modro karto EU obstaja še vrsta nacionalnih shem za visokokvalificirane delavce, kar vna</w:t>
      </w:r>
      <w:r>
        <w:rPr>
          <w:rFonts w:ascii="Times New Roman" w:hAnsi="Times New Roman"/>
          <w:noProof/>
          <w:sz w:val="24"/>
        </w:rPr>
        <w:t>ša razdrobljenost v okvir s številnimi različnimi veljavnimi pravili in postopki. Zato ostaja skupno število sprejemov visokokvalificiranih delavcev v EU majhno</w:t>
      </w:r>
      <w:r>
        <w:rPr>
          <w:rFonts w:ascii="Times New Roman" w:hAnsi="Times New Roman"/>
          <w:noProof/>
          <w:sz w:val="24"/>
          <w:vertAlign w:val="superscript"/>
        </w:rPr>
        <w:footnoteReference w:id="42"/>
      </w:r>
      <w:r>
        <w:rPr>
          <w:rFonts w:ascii="Times New Roman" w:hAnsi="Times New Roman"/>
          <w:noProof/>
          <w:sz w:val="24"/>
        </w:rPr>
        <w:t>, v primerjavi z neevropskimi državami OECD pa EU namesto visokokvalificiranih migrantov v prvi</w:t>
      </w:r>
      <w:r>
        <w:rPr>
          <w:rFonts w:ascii="Times New Roman" w:hAnsi="Times New Roman"/>
          <w:noProof/>
          <w:sz w:val="24"/>
        </w:rPr>
        <w:t xml:space="preserve"> vrsti privablja nizkokvalificirane migrante</w:t>
      </w:r>
      <w:r>
        <w:rPr>
          <w:rStyle w:val="FootnoteReference"/>
          <w:rFonts w:ascii="Times New Roman" w:hAnsi="Times New Roman"/>
          <w:noProof/>
          <w:sz w:val="24"/>
        </w:rPr>
        <w:footnoteReference w:id="43"/>
      </w:r>
      <w:r>
        <w:rPr>
          <w:rFonts w:ascii="Times New Roman" w:hAnsi="Times New Roman"/>
          <w:noProof/>
          <w:sz w:val="24"/>
        </w:rPr>
        <w:t>.</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 bi modra karta postala učinkovit instrument, ki omogoča sprejem visokokvalificiranih delavcev, bo Komisija predlagala spremembe veljavne direktive, katerih glavni namen bo okrepitev vloge modre karte kot v</w:t>
      </w:r>
      <w:r>
        <w:rPr>
          <w:rFonts w:ascii="Times New Roman" w:hAnsi="Times New Roman"/>
          <w:noProof/>
          <w:sz w:val="24"/>
        </w:rPr>
        <w:t xml:space="preserve">seevropske sheme, in sicer z razvojem usklajenega skupnega pristopa EU, vključno z: opredelitvijo prožnejših pogojev sprejema; izboljšanjem in poenostavitvijo postopkov sprejema ter okrepitvijo pravic, vključno z mobilnostjo znotraj EU. Poleg zakonodajnih </w:t>
      </w:r>
      <w:r>
        <w:rPr>
          <w:rFonts w:ascii="Times New Roman" w:hAnsi="Times New Roman"/>
          <w:noProof/>
          <w:sz w:val="24"/>
        </w:rPr>
        <w:t>sprememb se bo izboljšala tudi promocija modre karte, da se bodo delodajalci in migranti v celoti zavedali prednosti sheme.</w:t>
      </w:r>
    </w:p>
    <w:p w:rsidR="007B4B1E" w:rsidRDefault="007B4B1E">
      <w:pPr>
        <w:spacing w:after="0" w:line="240" w:lineRule="auto"/>
        <w:jc w:val="both"/>
        <w:rPr>
          <w:rFonts w:ascii="Times New Roman" w:eastAsia="Times New Roman" w:hAnsi="Times New Roman" w:cs="Times New Roman"/>
          <w:noProof/>
          <w:sz w:val="24"/>
          <w:szCs w:val="24"/>
        </w:rPr>
      </w:pPr>
    </w:p>
    <w:p w:rsidR="007B4B1E" w:rsidRDefault="00B1261F">
      <w:pPr>
        <w:pStyle w:val="ListParagraph"/>
        <w:numPr>
          <w:ilvl w:val="0"/>
          <w:numId w:val="9"/>
        </w:numPr>
        <w:spacing w:after="0" w:line="240" w:lineRule="auto"/>
        <w:rPr>
          <w:rFonts w:ascii="Times New Roman" w:eastAsia="Times New Roman" w:hAnsi="Times New Roman" w:cs="Times New Roman"/>
          <w:i/>
          <w:noProof/>
          <w:sz w:val="24"/>
          <w:szCs w:val="24"/>
        </w:rPr>
      </w:pPr>
      <w:r>
        <w:rPr>
          <w:rFonts w:ascii="Times New Roman" w:hAnsi="Times New Roman"/>
          <w:i/>
          <w:noProof/>
          <w:sz w:val="24"/>
        </w:rPr>
        <w:t>Privabljanje inovativnih podjetnikov v EU</w:t>
      </w:r>
    </w:p>
    <w:p w:rsidR="007B4B1E" w:rsidRDefault="007B4B1E">
      <w:pPr>
        <w:spacing w:after="0" w:line="240" w:lineRule="auto"/>
        <w:rPr>
          <w:rFonts w:ascii="Times New Roman" w:eastAsia="Times New Roman" w:hAnsi="Times New Roman" w:cs="Times New Roman"/>
          <w:noProof/>
          <w:sz w:val="24"/>
          <w:szCs w:val="24"/>
          <w:u w:val="single"/>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 bi EU ostala konkurenčna na svetovni ravni, mora poiskati boljše načine privabljanja </w:t>
      </w:r>
      <w:r>
        <w:rPr>
          <w:rFonts w:ascii="Times New Roman" w:hAnsi="Times New Roman"/>
          <w:noProof/>
          <w:sz w:val="24"/>
        </w:rPr>
        <w:t>novih in podpiranja že prisotnih inovativnih podjetnikov-migrantov z zagotavljanjem človeškega ter finančnega kapitala, da bodo pozitivno prispevali k rasti in konkurenčnosti EU. Privabljanje inovativnih podjetnikov v EU ne bi le splošno omililo učinka dem</w:t>
      </w:r>
      <w:r>
        <w:rPr>
          <w:rFonts w:ascii="Times New Roman" w:hAnsi="Times New Roman"/>
          <w:noProof/>
          <w:sz w:val="24"/>
        </w:rPr>
        <w:t>ografskega upada. Prav tako bi prineslo razširitev inovativnih trendov v gospodarstvu (zlasti digitalnem gospodarstvu, zelenem gospodarstvu in socialnem gospodarstvu), kar bi širše prispevalo k spodbujanju gospodarske rasti in konkurenčnosti EU. To je tudi</w:t>
      </w:r>
      <w:r>
        <w:rPr>
          <w:rFonts w:ascii="Times New Roman" w:hAnsi="Times New Roman"/>
          <w:noProof/>
          <w:sz w:val="24"/>
        </w:rPr>
        <w:t xml:space="preserve"> povsem skladno s pobudo EU za zagonska podjetja v okviru strategije za enotni trg</w:t>
      </w:r>
      <w:r>
        <w:rPr>
          <w:rStyle w:val="FootnoteReference"/>
          <w:rFonts w:ascii="Times New Roman" w:hAnsi="Times New Roman"/>
          <w:noProof/>
          <w:sz w:val="24"/>
        </w:rPr>
        <w:footnoteReference w:id="44"/>
      </w:r>
      <w:r>
        <w:rPr>
          <w:rFonts w:ascii="Times New Roman" w:hAnsi="Times New Roman"/>
          <w:noProof/>
          <w:sz w:val="24"/>
        </w:rPr>
        <w:t>.</w:t>
      </w:r>
    </w:p>
    <w:p w:rsidR="007B4B1E" w:rsidRDefault="007B4B1E">
      <w:pPr>
        <w:spacing w:after="0" w:line="240" w:lineRule="auto"/>
        <w:ind w:left="720"/>
        <w:jc w:val="both"/>
        <w:rPr>
          <w:rFonts w:ascii="Times New Roman" w:eastAsia="Times New Roman" w:hAnsi="Times New Roman" w:cs="Times New Roman"/>
          <w:noProof/>
          <w:sz w:val="24"/>
          <w:szCs w:val="24"/>
        </w:rPr>
      </w:pPr>
    </w:p>
    <w:p w:rsidR="007B4B1E" w:rsidRDefault="00B1261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Komisija bo glede na to preučila še druge načine privabljanja in podpiranja inovativnih podjetnikov, tudi zagonskih podjetij, iz tretjih držav. To bi lahko vključevalo opredelitev vseevropskih pravil o sprejemu (in o mobilnosti znotraj EU) in tudi ukrepe, </w:t>
      </w:r>
      <w:r>
        <w:rPr>
          <w:rFonts w:ascii="Times New Roman" w:hAnsi="Times New Roman"/>
          <w:noProof/>
          <w:sz w:val="24"/>
        </w:rPr>
        <w:t>ki bi bili namenjeni podpori visokokvalificiranih podjetnikov-migrantov pri oblikovanju podjetij v sektorjih z visoko dodano vrednostjo. Opisani pristop bi bil lahko zasnovan na obstoječih pobudah in storitvah na evropski, nacionalni, regionalni ali lokaln</w:t>
      </w:r>
      <w:r>
        <w:rPr>
          <w:rFonts w:ascii="Times New Roman" w:hAnsi="Times New Roman"/>
          <w:noProof/>
          <w:sz w:val="24"/>
        </w:rPr>
        <w:t xml:space="preserve">i ravni v državah članicah in bi lahko ustvaril ustrezne sinergije. </w:t>
      </w:r>
    </w:p>
    <w:p w:rsidR="007B4B1E" w:rsidRDefault="007B4B1E">
      <w:pPr>
        <w:spacing w:after="0" w:line="240" w:lineRule="auto"/>
        <w:rPr>
          <w:rFonts w:ascii="Times New Roman" w:eastAsia="Times New Roman" w:hAnsi="Times New Roman" w:cs="Times New Roman"/>
          <w:noProof/>
          <w:sz w:val="24"/>
          <w:szCs w:val="24"/>
          <w:u w:val="single"/>
        </w:rPr>
      </w:pPr>
    </w:p>
    <w:p w:rsidR="007B4B1E" w:rsidRDefault="00B1261F">
      <w:pPr>
        <w:pStyle w:val="ListParagraph"/>
        <w:numPr>
          <w:ilvl w:val="0"/>
          <w:numId w:val="9"/>
        </w:numPr>
        <w:spacing w:after="0" w:line="240" w:lineRule="auto"/>
        <w:rPr>
          <w:rFonts w:ascii="Times New Roman" w:eastAsia="Times New Roman" w:hAnsi="Times New Roman" w:cs="Times New Roman"/>
          <w:i/>
          <w:noProof/>
          <w:sz w:val="24"/>
          <w:szCs w:val="24"/>
        </w:rPr>
      </w:pPr>
      <w:r>
        <w:rPr>
          <w:rFonts w:ascii="Times New Roman" w:hAnsi="Times New Roman"/>
          <w:i/>
          <w:noProof/>
          <w:sz w:val="24"/>
        </w:rPr>
        <w:t>Skladnejši in učinkovitejši model upravljanja zakonitih migracij na ravni EU</w:t>
      </w:r>
    </w:p>
    <w:p w:rsidR="007B4B1E" w:rsidRDefault="007B4B1E">
      <w:pPr>
        <w:spacing w:after="0" w:line="240" w:lineRule="auto"/>
        <w:rPr>
          <w:rFonts w:ascii="Times New Roman" w:eastAsia="Times New Roman" w:hAnsi="Times New Roman" w:cs="Times New Roman"/>
          <w:noProof/>
          <w:sz w:val="24"/>
          <w:szCs w:val="24"/>
          <w:u w:val="single"/>
        </w:rPr>
      </w:pPr>
    </w:p>
    <w:p w:rsidR="007B4B1E" w:rsidRDefault="00B1261F">
      <w:pPr>
        <w:autoSpaceDE w:val="0"/>
        <w:autoSpaceDN w:val="0"/>
        <w:adjustRightInd w:val="0"/>
        <w:spacing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Da bi učinkovito upravljala politike zakonitih migracij, bo morala EU bolje uporabiti vse svoje obstoječe in</w:t>
      </w:r>
      <w:r>
        <w:rPr>
          <w:rFonts w:ascii="Times New Roman" w:hAnsi="Times New Roman"/>
          <w:noProof/>
          <w:sz w:val="24"/>
        </w:rPr>
        <w:t>strumente in se osredotočiti na različne kategorije ter strokovno znanje in spretnosti državljanov tretjih držav. Zato bo Komisija začela vrednotenje obstoječih migracijskih instrumentov na podlagi programa REFIT</w:t>
      </w:r>
      <w:r>
        <w:rPr>
          <w:rStyle w:val="FootnoteReference"/>
          <w:rFonts w:ascii="Times New Roman" w:hAnsi="Times New Roman"/>
          <w:noProof/>
          <w:sz w:val="24"/>
        </w:rPr>
        <w:footnoteReference w:id="45"/>
      </w:r>
      <w:r>
        <w:rPr>
          <w:rFonts w:ascii="Times New Roman" w:hAnsi="Times New Roman"/>
          <w:noProof/>
          <w:sz w:val="24"/>
        </w:rPr>
        <w:t>, da bi odkrila morebitna neskladja in vrze</w:t>
      </w:r>
      <w:r>
        <w:rPr>
          <w:rFonts w:ascii="Times New Roman" w:hAnsi="Times New Roman"/>
          <w:noProof/>
          <w:sz w:val="24"/>
        </w:rPr>
        <w:t>li ter racionalizirala in poenostavila trenutno veljavna pravila. Komisija bo pri tem obravnavala tudi vprašanje, ali je treba določiti posebna pravila EU v zvezi z mednarodnimi ponudniki storitev v povezavi s trgovinskimi sporazumi. Splošni cilj tega vred</w:t>
      </w:r>
      <w:r>
        <w:rPr>
          <w:rFonts w:ascii="Times New Roman" w:hAnsi="Times New Roman"/>
          <w:noProof/>
          <w:sz w:val="24"/>
        </w:rPr>
        <w:t>notenja bo izboljšanje obstoječih pravil, kolikor je mogoče, med drugim tudi glede na potrebo po preprečevanju izkoriščanja delovne sile</w:t>
      </w:r>
      <w:r>
        <w:rPr>
          <w:noProof/>
        </w:rPr>
        <w:t xml:space="preserve"> </w:t>
      </w:r>
      <w:r>
        <w:rPr>
          <w:rFonts w:ascii="Times New Roman" w:hAnsi="Times New Roman"/>
          <w:noProof/>
          <w:sz w:val="24"/>
        </w:rPr>
        <w:t>in boju proti njemu, ki je po navedbah Agencije za temeljne pravice</w:t>
      </w:r>
      <w:r>
        <w:rPr>
          <w:rStyle w:val="FootnoteReference"/>
          <w:rFonts w:ascii="Times New Roman" w:hAnsi="Times New Roman"/>
          <w:noProof/>
          <w:sz w:val="24"/>
        </w:rPr>
        <w:footnoteReference w:id="46"/>
      </w:r>
      <w:r>
        <w:rPr>
          <w:rFonts w:ascii="Times New Roman" w:hAnsi="Times New Roman"/>
          <w:noProof/>
          <w:sz w:val="24"/>
        </w:rPr>
        <w:t xml:space="preserve"> med delavci migranti pogosto. Komisija bo pri tem </w:t>
      </w:r>
      <w:r>
        <w:rPr>
          <w:rFonts w:ascii="Times New Roman" w:hAnsi="Times New Roman"/>
          <w:noProof/>
          <w:sz w:val="24"/>
        </w:rPr>
        <w:t>še naprej spremljala učinkovito izvrševanje zadevnega pravnega reda EU, da bi zagotovila varstvo pravic migrantov, ki delajo v EU, ter zlasti preprečila izkoriščanje delovne sile, ne glede na pravni položaj migrantov.</w:t>
      </w:r>
    </w:p>
    <w:p w:rsidR="007B4B1E" w:rsidRDefault="007B4B1E">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rsidR="007B4B1E" w:rsidRDefault="00B1261F">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Komisija bo začela izvajati študijo m</w:t>
      </w:r>
      <w:r>
        <w:rPr>
          <w:rFonts w:ascii="Times New Roman" w:hAnsi="Times New Roman"/>
          <w:noProof/>
          <w:sz w:val="24"/>
        </w:rPr>
        <w:t>ožnosti za razvoj mehanizma na ravni EU, katerega namen bi bil izboljšanje preglednosti ter olajšanje usklajevanja potencialnih migrantov in delodajalcev. Iz tega vidika so nekatere države v razvoju, ki pri privabljanju kvalificiranih migrantov konkurirajo</w:t>
      </w:r>
      <w:r>
        <w:rPr>
          <w:rFonts w:ascii="Times New Roman" w:hAnsi="Times New Roman"/>
          <w:noProof/>
          <w:sz w:val="24"/>
        </w:rPr>
        <w:t xml:space="preserve"> EU</w:t>
      </w:r>
      <w:r>
        <w:rPr>
          <w:rFonts w:ascii="Times New Roman" w:hAnsi="Times New Roman"/>
          <w:noProof/>
          <w:sz w:val="24"/>
          <w:vertAlign w:val="superscript"/>
        </w:rPr>
        <w:footnoteReference w:id="47"/>
      </w:r>
      <w:r>
        <w:rPr>
          <w:rFonts w:ascii="Times New Roman" w:hAnsi="Times New Roman"/>
          <w:noProof/>
          <w:sz w:val="24"/>
        </w:rPr>
        <w:t>, nedavno prešle na sistem predizbora iz „nabora predhodno preverjanih kandidatov“, ki mu sledi postopek dejanskega sprejema. Takšen sistem je odvisen od povpraševanja (tj. zahteva predložitev ponudbe za delovno mesto ali pogodbe o zaposlitvi) in osred</w:t>
      </w:r>
      <w:r>
        <w:rPr>
          <w:rFonts w:ascii="Times New Roman" w:hAnsi="Times New Roman"/>
          <w:noProof/>
          <w:sz w:val="24"/>
        </w:rPr>
        <w:t>otočen na elemente človeškega kapitala (tj. strokovno znanje in spretnosti ter kvalifikacije osebe, izkušnje itd.)</w:t>
      </w:r>
      <w:r>
        <w:rPr>
          <w:rFonts w:ascii="Times New Roman" w:hAnsi="Times New Roman"/>
          <w:noProof/>
          <w:sz w:val="24"/>
          <w:vertAlign w:val="superscript"/>
        </w:rPr>
        <w:footnoteReference w:id="48"/>
      </w:r>
      <w:r>
        <w:rPr>
          <w:rFonts w:ascii="Times New Roman" w:hAnsi="Times New Roman"/>
          <w:noProof/>
          <w:sz w:val="24"/>
        </w:rPr>
        <w:t>. Ne glede na sposobnost držav članic za določanje števila ekonomskih migrantov, ki jih lahko sprejmejo, bi študija preučila možnost mehanizm</w:t>
      </w:r>
      <w:r>
        <w:rPr>
          <w:rFonts w:ascii="Times New Roman" w:hAnsi="Times New Roman"/>
          <w:noProof/>
          <w:sz w:val="24"/>
        </w:rPr>
        <w:t>a predhodnega preverjanja, na podlagi katerega bi se pripravil nabor, iz katerega bi lahko države članice in delodajalci iz EU črpali kandidate.</w:t>
      </w:r>
    </w:p>
    <w:p w:rsidR="007B4B1E" w:rsidRDefault="007B4B1E">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rsidR="007B4B1E" w:rsidRDefault="00B1261F">
      <w:pPr>
        <w:pStyle w:val="ListParagraph"/>
        <w:numPr>
          <w:ilvl w:val="0"/>
          <w:numId w:val="9"/>
        </w:numPr>
        <w:spacing w:after="0" w:line="240" w:lineRule="auto"/>
        <w:rPr>
          <w:rFonts w:ascii="Times New Roman" w:eastAsia="Times New Roman" w:hAnsi="Times New Roman" w:cs="Times New Roman"/>
          <w:i/>
          <w:noProof/>
          <w:sz w:val="24"/>
          <w:szCs w:val="24"/>
        </w:rPr>
      </w:pPr>
      <w:r>
        <w:rPr>
          <w:rFonts w:ascii="Times New Roman" w:hAnsi="Times New Roman"/>
          <w:i/>
          <w:noProof/>
          <w:sz w:val="24"/>
        </w:rPr>
        <w:t xml:space="preserve">Okrepitev sodelovanja s ključnimi državami izvora </w:t>
      </w:r>
    </w:p>
    <w:p w:rsidR="007B4B1E" w:rsidRDefault="007B4B1E">
      <w:pPr>
        <w:spacing w:after="0" w:line="240" w:lineRule="auto"/>
        <w:rPr>
          <w:rFonts w:ascii="Times New Roman" w:eastAsia="Times New Roman" w:hAnsi="Times New Roman" w:cs="Times New Roman"/>
          <w:i/>
          <w:noProof/>
          <w:sz w:val="24"/>
          <w:szCs w:val="24"/>
        </w:rPr>
      </w:pPr>
    </w:p>
    <w:p w:rsidR="007B4B1E" w:rsidRDefault="00B1261F">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 drugi strani je krepitev ponovnega sprejema in vračanja</w:t>
      </w:r>
      <w:r>
        <w:rPr>
          <w:rFonts w:ascii="Times New Roman" w:hAnsi="Times New Roman"/>
          <w:noProof/>
          <w:sz w:val="24"/>
        </w:rPr>
        <w:t xml:space="preserve"> tistih, ki nimajo pravice do bivanja, zagotovitev zakonitih migracijskih poti, pri čemer je treba oba elementa v celoti vključiti v razprave s tretjimi državami, zlasti državami izvora migrantov, glede načinov sodelovanja za učinkovito obvladovanje migrac</w:t>
      </w:r>
      <w:r>
        <w:rPr>
          <w:rFonts w:ascii="Times New Roman" w:hAnsi="Times New Roman"/>
          <w:noProof/>
          <w:sz w:val="24"/>
        </w:rPr>
        <w:t>ijskih tokov. Tak pristop je bil sprejet pri izvajanju dialogov o politiki in operativnega sodelovanja s tretjimi državami v okviru globalnega pristopa k vprašanju migracij in mobilnosti, v skladu s katerim se zakonite migracije in dobro upravljanje mobiln</w:t>
      </w:r>
      <w:r>
        <w:rPr>
          <w:rFonts w:ascii="Times New Roman" w:hAnsi="Times New Roman"/>
          <w:noProof/>
          <w:sz w:val="24"/>
        </w:rPr>
        <w:t>osti v zunanji migracijski in azilni politiki EU prednostno obravnavajo. EU se je z globalnim pristopom k vprašanju migracij in mobilnosti zavezala partnerstvom za mobilnost ter skupnim programom za migracije in mobilnost z več državami v njenem bližnjem i</w:t>
      </w:r>
      <w:r>
        <w:rPr>
          <w:rFonts w:ascii="Times New Roman" w:hAnsi="Times New Roman"/>
          <w:noProof/>
          <w:sz w:val="24"/>
        </w:rPr>
        <w:t>n daljnem sosedstvu</w:t>
      </w:r>
      <w:r>
        <w:rPr>
          <w:rStyle w:val="FootnoteReference"/>
          <w:rFonts w:ascii="Times New Roman" w:hAnsi="Times New Roman"/>
          <w:noProof/>
          <w:sz w:val="24"/>
        </w:rPr>
        <w:footnoteReference w:id="49"/>
      </w:r>
      <w:r>
        <w:rPr>
          <w:rFonts w:ascii="Times New Roman" w:hAnsi="Times New Roman"/>
          <w:noProof/>
          <w:sz w:val="24"/>
        </w:rPr>
        <w:t>.</w:t>
      </w:r>
    </w:p>
    <w:p w:rsidR="007B4B1E" w:rsidRDefault="007B4B1E">
      <w:pPr>
        <w:autoSpaceDE w:val="0"/>
        <w:autoSpaceDN w:val="0"/>
        <w:adjustRightInd w:val="0"/>
        <w:spacing w:after="0" w:line="240" w:lineRule="auto"/>
        <w:jc w:val="both"/>
        <w:rPr>
          <w:rFonts w:ascii="Times New Roman" w:eastAsia="Times New Roman" w:hAnsi="Times New Roman" w:cs="Times New Roman"/>
          <w:noProof/>
          <w:sz w:val="24"/>
          <w:szCs w:val="24"/>
        </w:rPr>
      </w:pPr>
    </w:p>
    <w:p w:rsidR="007B4B1E" w:rsidRDefault="00B1261F">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 si bo prizadevala za tesnejše sodelovanje s partnerji, s katerimi ima skupne interese in ki so pripravljeni sprejeti skupne zaveze z EU in njenimi državami članicami, zlasti kar zadeva sodelovanje na področju ponovnega sprejema. P</w:t>
      </w:r>
      <w:r>
        <w:rPr>
          <w:rFonts w:ascii="Times New Roman" w:hAnsi="Times New Roman"/>
          <w:noProof/>
          <w:sz w:val="24"/>
        </w:rPr>
        <w:t>onujati bi morala celovitejši izbor operativnih mehanizmov in pobud za izvajanje globalnega pristopa na bolj strukturiran in sistematičen način, kot so dialogi na visoki ravni, v okviru katerih tretje države redno zahtevajo več kanalov za zakonite migracij</w:t>
      </w:r>
      <w:r>
        <w:rPr>
          <w:rFonts w:ascii="Times New Roman" w:hAnsi="Times New Roman"/>
          <w:noProof/>
          <w:sz w:val="24"/>
        </w:rPr>
        <w:t>e.</w:t>
      </w:r>
    </w:p>
    <w:p w:rsidR="007B4B1E" w:rsidRDefault="007B4B1E">
      <w:pPr>
        <w:autoSpaceDE w:val="0"/>
        <w:autoSpaceDN w:val="0"/>
        <w:adjustRightInd w:val="0"/>
        <w:spacing w:after="0" w:line="240" w:lineRule="auto"/>
        <w:jc w:val="both"/>
        <w:rPr>
          <w:rFonts w:ascii="Times New Roman" w:eastAsia="Times New Roman" w:hAnsi="Times New Roman" w:cs="Times New Roman"/>
          <w:noProof/>
          <w:sz w:val="24"/>
          <w:szCs w:val="24"/>
        </w:rPr>
      </w:pPr>
    </w:p>
    <w:p w:rsidR="007B4B1E" w:rsidRDefault="00B1261F">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Evropski svet je v Sklepih o migraciji z dne 18. februarja 2016 poudaril, da morajo EU in države članice v odnosih z relevantnimi tretjimi državami ponujati polno podporo celovitim in prilagojenim svežnjem pobud, ki se razvijajo za nekatere države, da </w:t>
      </w:r>
      <w:r>
        <w:rPr>
          <w:rFonts w:ascii="Times New Roman" w:hAnsi="Times New Roman"/>
          <w:noProof/>
          <w:sz w:val="24"/>
        </w:rPr>
        <w:t>se zagotovijo učinkovito vračanje ter ponovni sprejem. Komisija ter visoki predstavnik Evropske unije in podpredsednik Komisije si ob polnem sodelovanju držav članic prizadevata za to, da bi lahko Evropskemu svetu predlagala celovite in prilagojene spodbud</w:t>
      </w:r>
      <w:r>
        <w:rPr>
          <w:rFonts w:ascii="Times New Roman" w:hAnsi="Times New Roman"/>
          <w:noProof/>
          <w:sz w:val="24"/>
        </w:rPr>
        <w:t>e, tako pozitivne kot negativne, ki bi zajemale vsa področja politik in se uporabile v razpravah s tretjimi državami.</w:t>
      </w:r>
    </w:p>
    <w:p w:rsidR="007B4B1E" w:rsidRDefault="007B4B1E">
      <w:pPr>
        <w:autoSpaceDE w:val="0"/>
        <w:autoSpaceDN w:val="0"/>
        <w:adjustRightInd w:val="0"/>
        <w:spacing w:after="0" w:line="240" w:lineRule="auto"/>
        <w:jc w:val="both"/>
        <w:rPr>
          <w:rFonts w:ascii="Times New Roman" w:eastAsia="Times New Roman" w:hAnsi="Times New Roman" w:cs="Times New Roman"/>
          <w:noProof/>
          <w:sz w:val="24"/>
          <w:szCs w:val="24"/>
        </w:rPr>
      </w:pPr>
    </w:p>
    <w:p w:rsidR="007B4B1E" w:rsidRDefault="00B1261F">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 tem se bo EU v sodelovanju z afriškimi partnerji opirala na zaključke akcijskega načrta iz Valete</w:t>
      </w:r>
      <w:r>
        <w:rPr>
          <w:rFonts w:ascii="Times New Roman" w:hAnsi="Times New Roman"/>
          <w:noProof/>
          <w:sz w:val="24"/>
          <w:vertAlign w:val="superscript"/>
        </w:rPr>
        <w:footnoteReference w:id="50"/>
      </w:r>
      <w:r>
        <w:rPr>
          <w:rFonts w:ascii="Times New Roman" w:hAnsi="Times New Roman"/>
          <w:noProof/>
          <w:sz w:val="24"/>
        </w:rPr>
        <w:t>, ki med možnimi ukrepi na področju</w:t>
      </w:r>
      <w:r>
        <w:rPr>
          <w:rFonts w:ascii="Times New Roman" w:hAnsi="Times New Roman"/>
          <w:noProof/>
          <w:sz w:val="24"/>
        </w:rPr>
        <w:t xml:space="preserve"> zakonitih migracij in mobilnosti predlagajo združevanje ponudb za zakonite migracije na strani EU (tudi pilotnih projektov za poenostavitev priznavanja kvalifikacij v nekaterih sektorjih/poklicih) in povečanje števila štipendij v okviru programa Erasmus+ </w:t>
      </w:r>
      <w:r>
        <w:rPr>
          <w:rFonts w:ascii="Times New Roman" w:hAnsi="Times New Roman"/>
          <w:noProof/>
          <w:sz w:val="24"/>
        </w:rPr>
        <w:t xml:space="preserve">ter zagotavljanje podpore ukrepom pred odhodom in javnim službam za zaposlovanje. </w:t>
      </w:r>
    </w:p>
    <w:p w:rsidR="007B4B1E" w:rsidRDefault="007B4B1E">
      <w:pPr>
        <w:autoSpaceDE w:val="0"/>
        <w:autoSpaceDN w:val="0"/>
        <w:adjustRightInd w:val="0"/>
        <w:spacing w:after="0" w:line="240" w:lineRule="auto"/>
        <w:jc w:val="both"/>
        <w:rPr>
          <w:rFonts w:ascii="Times New Roman" w:eastAsia="Times New Roman" w:hAnsi="Times New Roman" w:cs="Times New Roman"/>
          <w:noProof/>
          <w:sz w:val="24"/>
          <w:szCs w:val="24"/>
        </w:rPr>
      </w:pPr>
    </w:p>
    <w:p w:rsidR="007B4B1E" w:rsidRDefault="007B4B1E">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rsidR="007B4B1E" w:rsidRDefault="00B1261F">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III. ZAKLJUČEK</w:t>
      </w:r>
    </w:p>
    <w:p w:rsidR="007B4B1E" w:rsidRDefault="00B1261F">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Prioriteta, ki jo je opredelil predsednik Jean-Claude Juncker, da „</w:t>
      </w:r>
      <w:r>
        <w:rPr>
          <w:rFonts w:ascii="Times New Roman" w:hAnsi="Times New Roman"/>
          <w:i/>
          <w:noProof/>
          <w:sz w:val="24"/>
        </w:rPr>
        <w:t>mora Evropa bolje obvladovati migracije, in to z vseh vidikov</w:t>
      </w:r>
      <w:r>
        <w:rPr>
          <w:rFonts w:ascii="Times New Roman" w:hAnsi="Times New Roman"/>
          <w:noProof/>
          <w:sz w:val="24"/>
        </w:rPr>
        <w:t xml:space="preserve">“ – iz humanitarnih </w:t>
      </w:r>
      <w:r>
        <w:rPr>
          <w:rFonts w:ascii="Times New Roman" w:hAnsi="Times New Roman"/>
          <w:noProof/>
          <w:sz w:val="24"/>
        </w:rPr>
        <w:t>razlogov, potrebe po solidarnosti ter izzivov demografskega razvoja in razpoložljivosti strokovnega znanja in spretnosti – drži bolj, kot kdaj koli prej. Komisija je zato v celoti predana izpolnitvi pomembnega cilja oblikovanja integrirane, vzdržne in celo</w:t>
      </w:r>
      <w:r>
        <w:rPr>
          <w:rFonts w:ascii="Times New Roman" w:hAnsi="Times New Roman"/>
          <w:noProof/>
          <w:sz w:val="24"/>
        </w:rPr>
        <w:t>vite evropske migracijske politike.</w:t>
      </w:r>
    </w:p>
    <w:p w:rsidR="007B4B1E" w:rsidRDefault="00B1261F">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V ta namen je primerno, da se v tem sporočilu pozove k razpravi o obravnavanih pomembnih temah. Brez odlašanja moramo ubrati dvojno strategijo stabilizacije sedanjih razmer s polnim spoštovanjem in uporabo obstoječega pr</w:t>
      </w:r>
      <w:r>
        <w:rPr>
          <w:rFonts w:ascii="Times New Roman" w:hAnsi="Times New Roman"/>
          <w:noProof/>
          <w:sz w:val="24"/>
        </w:rPr>
        <w:t>avnega okvira ter ob tem pripraviti prihodnjo perspektivo reforme strukture teh pravil. Sedanja kriza je razgalila omejitve trenutnega sistema in izzive, s katerimi se skupaj soočamo. Zato je treba ravno zdaj, ko sta usklajeno ravnanje in močna solidarnost</w:t>
      </w:r>
      <w:r>
        <w:rPr>
          <w:rFonts w:ascii="Times New Roman" w:hAnsi="Times New Roman"/>
          <w:noProof/>
          <w:sz w:val="24"/>
        </w:rPr>
        <w:t xml:space="preserve"> najbolj potrebna, pripraviti to prihodnjo perspektivo, da omogočimo oblikovanje humane in učinkovite evropske migracijske in azilne politike, ki bo temeljila na pravični razdelitvi odgovornosti. Komisija bo na podlagi odziva na to sporočilo pripravila pri</w:t>
      </w:r>
      <w:r>
        <w:rPr>
          <w:rFonts w:ascii="Times New Roman" w:hAnsi="Times New Roman"/>
          <w:noProof/>
          <w:sz w:val="24"/>
        </w:rPr>
        <w:t xml:space="preserve">merne predloge. </w:t>
      </w:r>
    </w:p>
    <w:p w:rsidR="007B4B1E" w:rsidRDefault="007B4B1E">
      <w:pPr>
        <w:spacing w:line="240" w:lineRule="auto"/>
        <w:jc w:val="both"/>
        <w:rPr>
          <w:rFonts w:ascii="Times New Roman" w:eastAsia="Times New Roman" w:hAnsi="Times New Roman" w:cs="Times New Roman"/>
          <w:noProof/>
          <w:sz w:val="24"/>
          <w:szCs w:val="24"/>
        </w:rPr>
      </w:pPr>
    </w:p>
    <w:sectPr w:rsidR="007B4B1E">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1E" w:rsidRDefault="00B1261F">
      <w:pPr>
        <w:spacing w:after="0" w:line="240" w:lineRule="auto"/>
      </w:pPr>
      <w:r>
        <w:separator/>
      </w:r>
    </w:p>
  </w:endnote>
  <w:endnote w:type="continuationSeparator" w:id="0">
    <w:p w:rsidR="007B4B1E" w:rsidRDefault="00B1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B1261F">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934109"/>
      <w:docPartObj>
        <w:docPartGallery w:val="Page Numbers (Bottom of Page)"/>
        <w:docPartUnique/>
      </w:docPartObj>
    </w:sdtPr>
    <w:sdtEndPr>
      <w:rPr>
        <w:noProof/>
      </w:rPr>
    </w:sdtEndPr>
    <w:sdtContent>
      <w:p w:rsidR="007B4B1E" w:rsidRDefault="00B1261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7B4B1E" w:rsidRDefault="007B4B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1E" w:rsidRDefault="00B1261F">
      <w:pPr>
        <w:spacing w:after="0" w:line="240" w:lineRule="auto"/>
      </w:pPr>
      <w:r>
        <w:separator/>
      </w:r>
    </w:p>
  </w:footnote>
  <w:footnote w:type="continuationSeparator" w:id="0">
    <w:p w:rsidR="007B4B1E" w:rsidRDefault="00B1261F">
      <w:pPr>
        <w:spacing w:after="0" w:line="240" w:lineRule="auto"/>
      </w:pPr>
      <w:r>
        <w:continuationSeparator/>
      </w:r>
    </w:p>
  </w:footnote>
  <w:footnote w:id="1">
    <w:p w:rsidR="007B4B1E" w:rsidRDefault="00B1261F">
      <w:pPr>
        <w:pStyle w:val="FootnoteText"/>
        <w:rPr>
          <w:lang w:val="pt-PT"/>
        </w:rPr>
      </w:pPr>
      <w:r>
        <w:rPr>
          <w:rStyle w:val="FootnoteReference"/>
        </w:rPr>
        <w:footnoteRef/>
      </w:r>
      <w:r>
        <w:t xml:space="preserve"> COM(2016) 85 final.</w:t>
      </w:r>
    </w:p>
  </w:footnote>
  <w:footnote w:id="2">
    <w:p w:rsidR="007B4B1E" w:rsidRDefault="00B1261F">
      <w:pPr>
        <w:pStyle w:val="FootnoteText"/>
        <w:rPr>
          <w:lang w:val="pt-PT"/>
        </w:rPr>
      </w:pPr>
      <w:r>
        <w:rPr>
          <w:rStyle w:val="FootnoteReference"/>
        </w:rPr>
        <w:footnoteRef/>
      </w:r>
      <w:r>
        <w:t xml:space="preserve"> COM(2015) 240 final.</w:t>
      </w:r>
    </w:p>
  </w:footnote>
  <w:footnote w:id="3">
    <w:p w:rsidR="007B4B1E" w:rsidRDefault="00B1261F">
      <w:pPr>
        <w:pStyle w:val="FootnoteText"/>
        <w:rPr>
          <w:lang w:val="pt-PT"/>
        </w:rPr>
      </w:pPr>
      <w:r>
        <w:rPr>
          <w:rStyle w:val="FootnoteReference"/>
        </w:rPr>
        <w:footnoteRef/>
      </w:r>
      <w:r>
        <w:t xml:space="preserve"> EUCO 1/16; SN 28/16.</w:t>
      </w:r>
    </w:p>
  </w:footnote>
  <w:footnote w:id="4">
    <w:p w:rsidR="007B4B1E" w:rsidRDefault="00B1261F">
      <w:pPr>
        <w:pStyle w:val="FootnoteText"/>
        <w:rPr>
          <w:lang w:val="pt-PT"/>
        </w:rPr>
      </w:pPr>
      <w:r>
        <w:rPr>
          <w:rStyle w:val="FootnoteReference"/>
        </w:rPr>
        <w:footnoteRef/>
      </w:r>
      <w:r>
        <w:t xml:space="preserve"> EUCO 12/1/16.</w:t>
      </w:r>
    </w:p>
  </w:footnote>
  <w:footnote w:id="5">
    <w:p w:rsidR="007B4B1E" w:rsidRDefault="00B1261F">
      <w:pPr>
        <w:pStyle w:val="FootnoteText"/>
        <w:rPr>
          <w:lang w:val="pt-PT"/>
        </w:rPr>
      </w:pPr>
      <w:r>
        <w:rPr>
          <w:rStyle w:val="FootnoteReference"/>
        </w:rPr>
        <w:footnoteRef/>
      </w:r>
      <w:r>
        <w:t xml:space="preserve"> COM(2015) 671 final.</w:t>
      </w:r>
    </w:p>
  </w:footnote>
  <w:footnote w:id="6">
    <w:p w:rsidR="007B4B1E" w:rsidRDefault="00B1261F">
      <w:pPr>
        <w:pStyle w:val="FootnoteText"/>
        <w:rPr>
          <w:lang w:val="pt-PT"/>
        </w:rPr>
      </w:pPr>
      <w:r>
        <w:rPr>
          <w:rStyle w:val="FootnoteReference"/>
        </w:rPr>
        <w:footnoteRef/>
      </w:r>
      <w:r>
        <w:t xml:space="preserve"> COM(2015) 285 final.</w:t>
      </w:r>
    </w:p>
  </w:footnote>
  <w:footnote w:id="7">
    <w:p w:rsidR="007B4B1E" w:rsidRDefault="00B1261F">
      <w:pPr>
        <w:pStyle w:val="FootnoteText"/>
      </w:pPr>
      <w:r>
        <w:rPr>
          <w:rStyle w:val="FootnoteReference"/>
        </w:rPr>
        <w:footnoteRef/>
      </w:r>
      <w:r>
        <w:t xml:space="preserve"> COM(2015) 668 final.</w:t>
      </w:r>
    </w:p>
  </w:footnote>
  <w:footnote w:id="8">
    <w:p w:rsidR="007B4B1E" w:rsidRDefault="00B1261F">
      <w:pPr>
        <w:jc w:val="both"/>
      </w:pPr>
      <w:r>
        <w:rPr>
          <w:rStyle w:val="FootnoteReference"/>
        </w:rPr>
        <w:footnoteRef/>
      </w:r>
      <w:r>
        <w:rPr>
          <w:rFonts w:ascii="Times New Roman" w:hAnsi="Times New Roman"/>
          <w:sz w:val="20"/>
        </w:rPr>
        <w:t xml:space="preserve"> Uredba (EU) št. 604/2013 Evropskega parlamenta in Sveta z dne 26. junija 2013 o vzpostavitvi meril in mehanizmov za določitev države članice, odgovorne za obravnavanje prošnje za mednarodno zaščito, ki jo v eni od držav članic vloži državljan tretje držav</w:t>
      </w:r>
      <w:r>
        <w:rPr>
          <w:rFonts w:ascii="Times New Roman" w:hAnsi="Times New Roman"/>
          <w:sz w:val="20"/>
        </w:rPr>
        <w:t>e ali oseba brez državljanstva (UL L 180, 29.6.2013, str. 31).</w:t>
      </w:r>
      <w:r>
        <w:rPr>
          <w:rFonts w:ascii="Times New Roman" w:hAnsi="Times New Roman"/>
        </w:rPr>
        <w:t xml:space="preserve"> </w:t>
      </w:r>
      <w:r>
        <w:t>Ta uredba je za Združeno kraljestvo in Irsko zavezujoča, saj sta na podlagi Protokola 21 k pogodbama poslala uradno obvestilo, da želita sodelovati pri sprejetju in uporabi navedene uredbe. Sta</w:t>
      </w:r>
      <w:r>
        <w:t>lišče teh držav članic glede morebitnih sprememb te uredbe je opredeljeno v Protokolu št. 21. Danska uporablja dublinsko uredbo na podlagi mednarodnega sporazuma (</w:t>
      </w:r>
      <w:r>
        <w:rPr>
          <w:rFonts w:ascii="Times New Roman" w:hAnsi="Times New Roman"/>
          <w:sz w:val="20"/>
        </w:rPr>
        <w:t>UL L 66, 8.3.2006, str. 38). V skladu s členom 3 navedenega sporazuma Danska obvesti Komisijo</w:t>
      </w:r>
      <w:r>
        <w:rPr>
          <w:rFonts w:ascii="Times New Roman" w:hAnsi="Times New Roman"/>
          <w:sz w:val="20"/>
        </w:rPr>
        <w:t xml:space="preserve"> o svoji odločitvi glede izvajanja vsebine morebitnih sprememb Uredbe.</w:t>
      </w:r>
    </w:p>
  </w:footnote>
  <w:footnote w:id="9">
    <w:p w:rsidR="007B4B1E" w:rsidRDefault="00B1261F">
      <w:pPr>
        <w:pStyle w:val="FootnoteText"/>
        <w:jc w:val="both"/>
        <w:rPr>
          <w:lang w:val="x-none"/>
        </w:rPr>
      </w:pPr>
      <w:r>
        <w:rPr>
          <w:rStyle w:val="FootnoteReference"/>
        </w:rPr>
        <w:footnoteRef/>
      </w:r>
      <w:r>
        <w:t xml:space="preserve"> To je bilo potrjeno z zunanjo oceno o izvajanju Uredbe (EU) št. 604/2013 (uredba Dublin III) in poročilom o oceni, ki sta na voljo na naslednji povezavi http://ec.europa.eu/dgs/home-a</w:t>
      </w:r>
      <w:r>
        <w:t>ffairs/what-we-do/policies/asylum/examination-of-applicants/index_en.htm.</w:t>
      </w:r>
    </w:p>
  </w:footnote>
  <w:footnote w:id="10">
    <w:p w:rsidR="007B4B1E" w:rsidRDefault="00B1261F">
      <w:pPr>
        <w:pStyle w:val="FootnoteText"/>
      </w:pPr>
      <w:r>
        <w:rPr>
          <w:rStyle w:val="FootnoteReference"/>
        </w:rPr>
        <w:footnoteRef/>
      </w:r>
      <w:r>
        <w:t xml:space="preserve"> Komisija je 10. februarja 2016 sprejela Priporočilo [C(2016) 871 final] o nujnih ukrepih, ki jih mora Grčija sprejeti za ponovno vzpostavitev predaje na podlagi dublinske uredbe.</w:t>
      </w:r>
    </w:p>
  </w:footnote>
  <w:footnote w:id="11">
    <w:p w:rsidR="007B4B1E" w:rsidRDefault="00B1261F">
      <w:pPr>
        <w:pStyle w:val="FootnoteText"/>
        <w:jc w:val="both"/>
      </w:pPr>
      <w:r>
        <w:rPr>
          <w:rStyle w:val="FootnoteReference"/>
        </w:rPr>
        <w:footnoteRef/>
      </w:r>
      <w:r>
        <w:t>Direktiva 2013/32/EU Evropskega parlamenta in Sveta z dne 26. junija 2013 o skupnih postopkih za priznanje ali odvzem mednarodne zaščite (UL L 180, 29.6.2013, str. 249).</w:t>
      </w:r>
    </w:p>
  </w:footnote>
  <w:footnote w:id="12">
    <w:p w:rsidR="007B4B1E" w:rsidRDefault="00B1261F">
      <w:pPr>
        <w:pStyle w:val="FootnoteText"/>
        <w:jc w:val="both"/>
      </w:pPr>
      <w:r>
        <w:rPr>
          <w:rStyle w:val="FootnoteReference"/>
        </w:rPr>
        <w:footnoteRef/>
      </w:r>
      <w:r>
        <w:t xml:space="preserve"> Direktiva 2013/33/EU Evropskega parlamenta in Sveta z dne 26. junija 2013 o standardih za sprejem prosilcev za mednarodno zaščito (UL L 180, 29.6.2013, str. 96).</w:t>
      </w:r>
    </w:p>
  </w:footnote>
  <w:footnote w:id="13">
    <w:p w:rsidR="007B4B1E" w:rsidRDefault="00B1261F">
      <w:pPr>
        <w:pStyle w:val="FootnoteText"/>
      </w:pPr>
      <w:r>
        <w:rPr>
          <w:rStyle w:val="FootnoteReference"/>
        </w:rPr>
        <w:footnoteRef/>
      </w:r>
      <w:r>
        <w:t xml:space="preserve"> Na primer, za obdobje med januarjem in septembrom 2015 so stopnje priznanja azila za prosil</w:t>
      </w:r>
      <w:r>
        <w:t>ce iz Afganistana znašale od skoraj 100 % v Italiji do 5,88 % v Bolgariji.</w:t>
      </w:r>
    </w:p>
  </w:footnote>
  <w:footnote w:id="14">
    <w:p w:rsidR="007B4B1E" w:rsidRDefault="00B1261F">
      <w:pPr>
        <w:pStyle w:val="FootnoteText"/>
        <w:jc w:val="both"/>
      </w:pPr>
      <w:r>
        <w:rPr>
          <w:rStyle w:val="FootnoteReference"/>
        </w:rPr>
        <w:footnoteRef/>
      </w:r>
      <w:r>
        <w:t xml:space="preserve"> Direktiva 2011/95/EU Evropskega parlamenta in Sveta z dne 13. decembra 2011 o standardih glede pogojev, ki jih morajo izpolnjevati državljani tretjih držav ali osebe brez državlja</w:t>
      </w:r>
      <w:r>
        <w:t>nstva, da so upravičeni do mednarodne zaščite, glede enotnega statusa beguncev ali oseb, upravičenih do subsidiarne zaščite, in glede vsebine te zaščite (UL L 337, 20.12.2011, str. 9).</w:t>
      </w:r>
    </w:p>
  </w:footnote>
  <w:footnote w:id="15">
    <w:p w:rsidR="007B4B1E" w:rsidRDefault="00B1261F">
      <w:pPr>
        <w:pStyle w:val="FootnoteText"/>
      </w:pPr>
      <w:r>
        <w:rPr>
          <w:rStyle w:val="FootnoteReference"/>
        </w:rPr>
        <w:footnoteRef/>
      </w:r>
      <w:r>
        <w:t xml:space="preserve"> Komisija je 10. februarja 2016 sprejela obrazložena mnenja proti drža</w:t>
      </w:r>
      <w:r>
        <w:t>vam članicam v okviru devetih postopkov za ugotavljanje kršitev v zvezi s prenosom direktiv, ki so del skupnega evropskega azilnega sistema, v nacionalno zakonodajo.</w:t>
      </w:r>
    </w:p>
  </w:footnote>
  <w:footnote w:id="16">
    <w:p w:rsidR="007B4B1E" w:rsidRDefault="00B1261F">
      <w:pPr>
        <w:pStyle w:val="FootnoteText"/>
        <w:jc w:val="both"/>
      </w:pPr>
      <w:r>
        <w:rPr>
          <w:rStyle w:val="FootnoteReference"/>
        </w:rPr>
        <w:footnoteRef/>
      </w:r>
      <w:r>
        <w:t xml:space="preserve"> Direktiva Sveta 2001/55/ES z dne 20. julija 2001 (UL L 212, 7.8.2001). Ta azilni instrum</w:t>
      </w:r>
      <w:r>
        <w:t>ent EU, ki naj bi se uporabil ob množičnem prihodu oseb, ki potrebujejo mednarodno zaščito, ni bil nikoli uporabljen, predvsem zaradi pomanjkanja vgrajenega mehanizma obvezne solidarnosti, s katerim bi se zagotovila pravična delitev odgovornosti med vse dr</w:t>
      </w:r>
      <w:r>
        <w:t>žave članice.</w:t>
      </w:r>
    </w:p>
  </w:footnote>
  <w:footnote w:id="17">
    <w:p w:rsidR="007B4B1E" w:rsidRDefault="00B1261F">
      <w:pPr>
        <w:pStyle w:val="FootnoteText"/>
      </w:pPr>
      <w:r>
        <w:rPr>
          <w:rStyle w:val="FootnoteReference"/>
        </w:rPr>
        <w:footnoteRef/>
      </w:r>
      <w:r>
        <w:t xml:space="preserve"> COM(2015) 450 final.</w:t>
      </w:r>
    </w:p>
  </w:footnote>
  <w:footnote w:id="18">
    <w:p w:rsidR="007B4B1E" w:rsidRDefault="00B1261F">
      <w:pPr>
        <w:pStyle w:val="FootnoteText"/>
      </w:pPr>
      <w:r>
        <w:rPr>
          <w:rStyle w:val="FootnoteReference"/>
        </w:rPr>
        <w:footnoteRef/>
      </w:r>
      <w:r>
        <w:t xml:space="preserve"> COM(2015) 671 final.</w:t>
      </w:r>
    </w:p>
  </w:footnote>
  <w:footnote w:id="19">
    <w:p w:rsidR="007B4B1E" w:rsidRDefault="00B1261F">
      <w:pPr>
        <w:pStyle w:val="FootnoteText"/>
      </w:pPr>
      <w:r>
        <w:rPr>
          <w:rStyle w:val="FootnoteReference"/>
        </w:rPr>
        <w:footnoteRef/>
      </w:r>
      <w:r>
        <w:t xml:space="preserve"> Na primer vsem prosilcem, ki ne izhajajo iz države izvora, ki jo EU opredeljuje kot varno.</w:t>
      </w:r>
    </w:p>
  </w:footnote>
  <w:footnote w:id="20">
    <w:p w:rsidR="007B4B1E" w:rsidRDefault="00B1261F">
      <w:pPr>
        <w:pStyle w:val="FootnoteText"/>
        <w:jc w:val="both"/>
      </w:pPr>
      <w:r>
        <w:rPr>
          <w:rStyle w:val="FootnoteReference"/>
        </w:rPr>
        <w:footnoteRef/>
      </w:r>
      <w:r>
        <w:t xml:space="preserve"> Čeprav bi se lahko pri razdelitvenem ključu uporabil pristop, skladen s trenutnimi in predlaganimi pr</w:t>
      </w:r>
      <w:r>
        <w:t>ogrami za premestitev, bi bilo mogoče nadalje razmisliti o zasnovi ključa, zlasti kar zadeva upoštevanje meril, kot so velikost begunske skupnosti v državah članicah in raven brezposelnosti ter drugi sprejeti ukrepi, med drugim tudi preselitve.</w:t>
      </w:r>
    </w:p>
  </w:footnote>
  <w:footnote w:id="21">
    <w:p w:rsidR="007B4B1E" w:rsidRDefault="00B1261F">
      <w:pPr>
        <w:pStyle w:val="FootnoteText"/>
      </w:pPr>
      <w:r>
        <w:rPr>
          <w:rStyle w:val="FootnoteReference"/>
        </w:rPr>
        <w:footnoteRef/>
      </w:r>
      <w:r>
        <w:t xml:space="preserve"> V letu 20</w:t>
      </w:r>
      <w:r>
        <w:t>15 je bilo v EU vloženih 1,3 milijona prošenj.</w:t>
      </w:r>
    </w:p>
  </w:footnote>
  <w:footnote w:id="22">
    <w:p w:rsidR="007B4B1E" w:rsidRDefault="00B1261F">
      <w:pPr>
        <w:pStyle w:val="FootnoteText"/>
      </w:pPr>
      <w:r>
        <w:rPr>
          <w:rStyle w:val="FootnoteReference"/>
        </w:rPr>
        <w:footnoteRef/>
      </w:r>
      <w:r>
        <w:t xml:space="preserve"> COM(2016) 205 final.</w:t>
      </w:r>
    </w:p>
  </w:footnote>
  <w:footnote w:id="23">
    <w:p w:rsidR="007B4B1E" w:rsidRDefault="00B1261F">
      <w:pPr>
        <w:pStyle w:val="FootnoteText"/>
      </w:pPr>
      <w:r>
        <w:rPr>
          <w:rStyle w:val="FootnoteReference"/>
        </w:rPr>
        <w:footnoteRef/>
      </w:r>
      <w:r>
        <w:t xml:space="preserve"> COM(2015) 240 final.</w:t>
      </w:r>
    </w:p>
  </w:footnote>
  <w:footnote w:id="24">
    <w:p w:rsidR="007B4B1E" w:rsidRDefault="00B1261F">
      <w:pPr>
        <w:pStyle w:val="FootnoteText"/>
      </w:pPr>
      <w:r>
        <w:rPr>
          <w:rStyle w:val="FootnoteReference"/>
        </w:rPr>
        <w:footnoteRef/>
      </w:r>
      <w:r>
        <w:t xml:space="preserve"> Direktiva 2013/33/EU Evropskega parlamenta in Sveta z dne 26. junija 2013 o standardih za sprejem prosilcev za mednarodno zaščito (UL L 180, 29.6.2013, str. 96).</w:t>
      </w:r>
    </w:p>
  </w:footnote>
  <w:footnote w:id="25">
    <w:p w:rsidR="007B4B1E" w:rsidRDefault="00B1261F">
      <w:pPr>
        <w:pStyle w:val="FootnoteText"/>
        <w:jc w:val="both"/>
      </w:pPr>
      <w:r>
        <w:rPr>
          <w:rStyle w:val="FootnoteReference"/>
        </w:rPr>
        <w:footnoteRef/>
      </w:r>
      <w:r>
        <w:t xml:space="preserve"> Direktiva 2011/51/EU Evropskega parlamenta in Sveta z dne 11. maja 2011 o spremembah Direktive Sveta 2003/109/ES, da se razširi njeno področje uporabe na upravičence do mednarodne zaščite (UL L 132, 19.5.2011, str. 1).</w:t>
      </w:r>
    </w:p>
  </w:footnote>
  <w:footnote w:id="26">
    <w:p w:rsidR="007B4B1E" w:rsidRDefault="00B1261F">
      <w:pPr>
        <w:pStyle w:val="FootnoteText"/>
      </w:pPr>
      <w:r>
        <w:rPr>
          <w:rStyle w:val="FootnoteReference"/>
        </w:rPr>
        <w:footnoteRef/>
      </w:r>
      <w:r>
        <w:t xml:space="preserve"> Predlog uredbe Sveta o zagotavlj</w:t>
      </w:r>
      <w:r>
        <w:t>anju nujne pomoči v Uniji, COM(2016)115 final.</w:t>
      </w:r>
    </w:p>
  </w:footnote>
  <w:footnote w:id="27">
    <w:p w:rsidR="007B4B1E" w:rsidRDefault="00B1261F">
      <w:pPr>
        <w:pStyle w:val="Default"/>
        <w:jc w:val="both"/>
      </w:pPr>
      <w:r>
        <w:rPr>
          <w:rStyle w:val="FootnoteReference"/>
        </w:rPr>
        <w:footnoteRef/>
      </w:r>
      <w:r>
        <w:t xml:space="preserve"> </w:t>
      </w:r>
      <w:r>
        <w:rPr>
          <w:sz w:val="20"/>
        </w:rPr>
        <w:t>COM(2016) 95 final.</w:t>
      </w:r>
    </w:p>
  </w:footnote>
  <w:footnote w:id="28">
    <w:p w:rsidR="007B4B1E" w:rsidRDefault="00B1261F">
      <w:pPr>
        <w:pStyle w:val="FootnoteText"/>
      </w:pPr>
      <w:r>
        <w:rPr>
          <w:rStyle w:val="FootnoteReference"/>
        </w:rPr>
        <w:footnoteRef/>
      </w:r>
      <w:r>
        <w:t xml:space="preserve"> SN 38/16.</w:t>
      </w:r>
    </w:p>
  </w:footnote>
  <w:footnote w:id="29">
    <w:p w:rsidR="007B4B1E" w:rsidRDefault="00B1261F">
      <w:pPr>
        <w:pStyle w:val="FootnoteText"/>
      </w:pPr>
      <w:r>
        <w:rPr>
          <w:rStyle w:val="FootnoteReference"/>
        </w:rPr>
        <w:footnoteRef/>
      </w:r>
      <w:r>
        <w:t xml:space="preserve"> COM(2016) 171 final.</w:t>
      </w:r>
    </w:p>
  </w:footnote>
  <w:footnote w:id="30">
    <w:p w:rsidR="007B4B1E" w:rsidRDefault="00B1261F">
      <w:pPr>
        <w:pStyle w:val="FootnoteText"/>
        <w:jc w:val="both"/>
      </w:pPr>
      <w:r>
        <w:rPr>
          <w:rStyle w:val="FootnoteReference"/>
        </w:rPr>
        <w:footnoteRef/>
      </w:r>
      <w:r>
        <w:t xml:space="preserve"> Zlasti srečanje UNHCR na visoki ravni o svetovni delitvi odgovornosti prek poti za sprejem sirskih beguncev v Ženevi 30. marca 2016, prvo svetovno humanitarno srečanje na vrhu v Istanbulu 23. in 24. maja 2016 ter srečanje na vrhu Generalne skupščine ZN o </w:t>
      </w:r>
      <w:r>
        <w:t>velikih gibanjih beguncev in migrantov v New Yorku 19. septembra 2016.</w:t>
      </w:r>
    </w:p>
  </w:footnote>
  <w:footnote w:id="31">
    <w:p w:rsidR="007B4B1E" w:rsidRDefault="00B1261F">
      <w:pPr>
        <w:pStyle w:val="FootnoteText"/>
      </w:pPr>
      <w:r>
        <w:rPr>
          <w:rStyle w:val="FootnoteReference"/>
        </w:rPr>
        <w:footnoteRef/>
      </w:r>
      <w:r>
        <w:t xml:space="preserve"> Direktiva 2009/50/ES oziroma Direktiva 2014/66/EU.</w:t>
      </w:r>
    </w:p>
  </w:footnote>
  <w:footnote w:id="32">
    <w:p w:rsidR="007B4B1E" w:rsidRDefault="00B1261F">
      <w:pPr>
        <w:pStyle w:val="FootnoteText"/>
      </w:pPr>
      <w:r>
        <w:rPr>
          <w:rStyle w:val="FootnoteReference"/>
        </w:rPr>
        <w:footnoteRef/>
      </w:r>
      <w:r>
        <w:t xml:space="preserve"> Politično soglasje o prenovljeni direktivi sta sozakonodajalca dosegla leta 2015. Direktiva bo formalno sprejeta v prvi polovici l</w:t>
      </w:r>
      <w:r>
        <w:t xml:space="preserve">eta 2016. </w:t>
      </w:r>
    </w:p>
  </w:footnote>
  <w:footnote w:id="33">
    <w:p w:rsidR="007B4B1E" w:rsidRDefault="00B1261F">
      <w:pPr>
        <w:pStyle w:val="FootnoteText"/>
      </w:pPr>
      <w:r>
        <w:rPr>
          <w:rStyle w:val="FootnoteReference"/>
        </w:rPr>
        <w:footnoteRef/>
      </w:r>
      <w:r>
        <w:t xml:space="preserve"> Direktiva 2014/36/EU.</w:t>
      </w:r>
    </w:p>
  </w:footnote>
  <w:footnote w:id="34">
    <w:p w:rsidR="007B4B1E" w:rsidRDefault="00B1261F">
      <w:pPr>
        <w:pStyle w:val="FootnoteText"/>
      </w:pPr>
      <w:r>
        <w:rPr>
          <w:rStyle w:val="FootnoteReference"/>
        </w:rPr>
        <w:footnoteRef/>
      </w:r>
      <w:r>
        <w:t xml:space="preserve"> Direktiva 2011/98/EU.</w:t>
      </w:r>
    </w:p>
  </w:footnote>
  <w:footnote w:id="35">
    <w:p w:rsidR="007B4B1E" w:rsidRDefault="00B1261F">
      <w:pPr>
        <w:pStyle w:val="FootnoteText"/>
      </w:pPr>
      <w:r>
        <w:rPr>
          <w:rStyle w:val="FootnoteReference"/>
        </w:rPr>
        <w:footnoteRef/>
      </w:r>
      <w:r>
        <w:t xml:space="preserve"> Direktiva 2003/109/ES.</w:t>
      </w:r>
    </w:p>
  </w:footnote>
  <w:footnote w:id="36">
    <w:p w:rsidR="007B4B1E" w:rsidRDefault="00B1261F">
      <w:pPr>
        <w:pStyle w:val="FootnoteText"/>
      </w:pPr>
      <w:r>
        <w:rPr>
          <w:rStyle w:val="FootnoteReference"/>
        </w:rPr>
        <w:footnoteRef/>
      </w:r>
      <w:r>
        <w:t xml:space="preserve"> Direktiva 2003/86/ES.</w:t>
      </w:r>
    </w:p>
  </w:footnote>
  <w:footnote w:id="37">
    <w:p w:rsidR="007B4B1E" w:rsidRDefault="00B1261F">
      <w:pPr>
        <w:pStyle w:val="FootnoteText"/>
      </w:pPr>
      <w:r>
        <w:rPr>
          <w:rStyle w:val="FootnoteReference"/>
        </w:rPr>
        <w:footnoteRef/>
      </w:r>
      <w:r>
        <w:t xml:space="preserve"> Glej Evropska komisija, </w:t>
      </w:r>
      <w:r>
        <w:rPr>
          <w:i/>
        </w:rPr>
        <w:t>The 2015 Ageing Report</w:t>
      </w:r>
      <w:r>
        <w:t xml:space="preserve"> (Poročilo o staranju prebivalstva za leto 2015), European Economy 3/2015.</w:t>
      </w:r>
    </w:p>
  </w:footnote>
  <w:footnote w:id="38">
    <w:p w:rsidR="007B4B1E" w:rsidRDefault="00B1261F">
      <w:pPr>
        <w:pStyle w:val="FootnoteText"/>
        <w:jc w:val="both"/>
      </w:pPr>
      <w:r>
        <w:rPr>
          <w:rStyle w:val="FootnoteReference"/>
        </w:rPr>
        <w:footnoteRef/>
      </w:r>
      <w:r>
        <w:t xml:space="preserve"> Napovedi CEDEFOP. </w:t>
      </w:r>
    </w:p>
  </w:footnote>
  <w:footnote w:id="39">
    <w:p w:rsidR="007B4B1E" w:rsidRDefault="00B1261F">
      <w:pPr>
        <w:pStyle w:val="FootnoteText"/>
      </w:pPr>
      <w:r>
        <w:rPr>
          <w:rStyle w:val="FootnoteReference"/>
        </w:rPr>
        <w:footnoteRef/>
      </w:r>
      <w:r>
        <w:t xml:space="preserve"> Pr</w:t>
      </w:r>
      <w:r>
        <w:t>ihodnja pobuda/sporočilo/strategija in ena od desetih političnih prioritet Evropske komisije.</w:t>
      </w:r>
    </w:p>
  </w:footnote>
  <w:footnote w:id="40">
    <w:p w:rsidR="007B4B1E" w:rsidRDefault="00B1261F">
      <w:pPr>
        <w:pStyle w:val="FootnoteText"/>
      </w:pPr>
      <w:r>
        <w:rPr>
          <w:rStyle w:val="FootnoteReference"/>
        </w:rPr>
        <w:footnoteRef/>
      </w:r>
      <w:r>
        <w:t xml:space="preserve"> </w:t>
      </w:r>
      <w:hyperlink r:id="rId1">
        <w:r>
          <w:rPr>
            <w:rStyle w:val="Hyperlink"/>
          </w:rPr>
          <w:t>http://ec.europa.eu/dgs/home-affairs/what-is-new/public-consultation/2015/consulting_0029_en.htm</w:t>
        </w:r>
      </w:hyperlink>
      <w:r>
        <w:rPr>
          <w:rStyle w:val="Hyperlink"/>
        </w:rPr>
        <w:t>.</w:t>
      </w:r>
    </w:p>
    <w:p w:rsidR="007B4B1E" w:rsidRDefault="007B4B1E">
      <w:pPr>
        <w:pStyle w:val="FootnoteText"/>
      </w:pPr>
    </w:p>
  </w:footnote>
  <w:footnote w:id="41">
    <w:p w:rsidR="007B4B1E" w:rsidRDefault="00B1261F">
      <w:pPr>
        <w:pStyle w:val="FootnoteText"/>
      </w:pPr>
      <w:r>
        <w:rPr>
          <w:rStyle w:val="FootnoteReference"/>
        </w:rPr>
        <w:footnoteRef/>
      </w:r>
      <w:r>
        <w:t xml:space="preserve"> Komisija je 27. in 28. januarja začela Evropski dialog o znanjih in migracijah, ki se bo redno ponavljal, da bi podjetja in sindikate tesneje pritegnila v </w:t>
      </w:r>
      <w:r>
        <w:t>postopek privabljanja in vključevanja kvalificiranih državljanov tretjih držav na trg dela (</w:t>
      </w:r>
      <w:hyperlink r:id="rId2">
        <w:r>
          <w:rPr>
            <w:rStyle w:val="Hyperlink"/>
          </w:rPr>
          <w:t>http://www.skillsandmigration.eu/</w:t>
        </w:r>
      </w:hyperlink>
      <w:r>
        <w:t>).</w:t>
      </w:r>
    </w:p>
  </w:footnote>
  <w:footnote w:id="42">
    <w:p w:rsidR="007B4B1E" w:rsidRDefault="00B1261F">
      <w:pPr>
        <w:pStyle w:val="FootnoteText"/>
      </w:pPr>
      <w:r>
        <w:rPr>
          <w:rStyle w:val="FootnoteReference"/>
        </w:rPr>
        <w:footnoteRef/>
      </w:r>
      <w:r>
        <w:t xml:space="preserve"> V letu 2014 je bilo izdanih le 13 852 modrih kart (v predhodnih letih še </w:t>
      </w:r>
      <w:r>
        <w:t xml:space="preserve">manj) – od tega jih je 87 % izdala ena država članica – in okoli 25 000 nacionalnih dovoljenj za visokokvalificirane delavce. </w:t>
      </w:r>
    </w:p>
  </w:footnote>
  <w:footnote w:id="43">
    <w:p w:rsidR="007B4B1E" w:rsidRDefault="00B1261F">
      <w:pPr>
        <w:pStyle w:val="FootnoteText"/>
      </w:pPr>
      <w:r>
        <w:rPr>
          <w:rStyle w:val="FootnoteReference"/>
        </w:rPr>
        <w:footnoteRef/>
      </w:r>
      <w:r>
        <w:t xml:space="preserve"> Od vseh migrantov iz tretjih držav, ki prihajajo v države OECD, se 48 % nizkokvalificiranih migrantov zateče v EU in 68 % visok</w:t>
      </w:r>
      <w:r>
        <w:t>okvalificiranih migrantov za namembno državo izbere neevropsko državo OECD.</w:t>
      </w:r>
    </w:p>
  </w:footnote>
  <w:footnote w:id="44">
    <w:p w:rsidR="007B4B1E" w:rsidRDefault="00B1261F">
      <w:pPr>
        <w:pStyle w:val="FootnoteText"/>
      </w:pPr>
      <w:r>
        <w:rPr>
          <w:rStyle w:val="FootnoteReference"/>
        </w:rPr>
        <w:footnoteRef/>
      </w:r>
      <w:r>
        <w:t xml:space="preserve"> COM(2015) 550 final.</w:t>
      </w:r>
    </w:p>
  </w:footnote>
  <w:footnote w:id="45">
    <w:p w:rsidR="007B4B1E" w:rsidRDefault="00B1261F">
      <w:pPr>
        <w:pStyle w:val="FootnoteText"/>
      </w:pPr>
      <w:r>
        <w:rPr>
          <w:rStyle w:val="FootnoteReference"/>
        </w:rPr>
        <w:footnoteRef/>
      </w:r>
      <w:r>
        <w:t xml:space="preserve"> Glej Delovni dokument služb Komisije z naslovom „Program ustreznosti in uspešnosti (REFIT) – Trenutno stanje in obeti – pregled stanja programa REFIT“ (SWD</w:t>
      </w:r>
      <w:r>
        <w:t>(2015) 110 final), priložen sporočilu Komisije Evropskemu parlamentu, Svetu, Evropskemu ekonomsko-socialnemu odboru in Odboru regij z naslovom „Boljše pravno urejanje za boljše rezultate – agenda EU“ (COM(2015) 215 final).</w:t>
      </w:r>
    </w:p>
  </w:footnote>
  <w:footnote w:id="46">
    <w:p w:rsidR="007B4B1E" w:rsidRDefault="00B1261F">
      <w:pPr>
        <w:pStyle w:val="FootnoteText"/>
      </w:pPr>
      <w:r>
        <w:rPr>
          <w:rStyle w:val="FootnoteReference"/>
        </w:rPr>
        <w:footnoteRef/>
      </w:r>
      <w:r>
        <w:t xml:space="preserve"> </w:t>
      </w:r>
      <w:r>
        <w:rPr>
          <w:i/>
        </w:rPr>
        <w:t>Hudo izkoriščanje delovne sile:</w:t>
      </w:r>
      <w:r>
        <w:rPr>
          <w:i/>
        </w:rPr>
        <w:t xml:space="preserve"> delavci, ki se gibljejo v Evropski uniji ali vstopajo vanjo</w:t>
      </w:r>
      <w:r>
        <w:t xml:space="preserve"> na strani http://fra.europa.eu/en/publication/2015/severe-labour-exploitation-workers-moving-within-or-european-union.</w:t>
      </w:r>
    </w:p>
  </w:footnote>
  <w:footnote w:id="47">
    <w:p w:rsidR="007B4B1E" w:rsidRDefault="00B1261F">
      <w:pPr>
        <w:pStyle w:val="FootnoteText"/>
      </w:pPr>
      <w:r>
        <w:rPr>
          <w:rStyle w:val="FootnoteReference"/>
        </w:rPr>
        <w:footnoteRef/>
      </w:r>
      <w:r>
        <w:t xml:space="preserve"> Na primer Kanada, Avstralija in Nova Zelandija.</w:t>
      </w:r>
    </w:p>
  </w:footnote>
  <w:footnote w:id="48">
    <w:p w:rsidR="007B4B1E" w:rsidRDefault="00B1261F">
      <w:pPr>
        <w:pStyle w:val="FootnoteText"/>
      </w:pPr>
      <w:r>
        <w:rPr>
          <w:rStyle w:val="FootnoteReference"/>
        </w:rPr>
        <w:footnoteRef/>
      </w:r>
      <w:r>
        <w:t xml:space="preserve"> Glej na primer kanadski </w:t>
      </w:r>
      <w:r>
        <w:t xml:space="preserve">sistem za „hitri vstop“: </w:t>
      </w:r>
      <w:hyperlink r:id="rId3">
        <w:r>
          <w:rPr>
            <w:rStyle w:val="Hyperlink"/>
          </w:rPr>
          <w:t>http://www.cic.gc.ca/english/Immigrate/skilled/index.asp</w:t>
        </w:r>
      </w:hyperlink>
      <w:r>
        <w:t>.</w:t>
      </w:r>
    </w:p>
  </w:footnote>
  <w:footnote w:id="49">
    <w:p w:rsidR="007B4B1E" w:rsidRDefault="00B1261F">
      <w:pPr>
        <w:pStyle w:val="FootnoteText"/>
      </w:pPr>
      <w:r>
        <w:rPr>
          <w:rStyle w:val="FootnoteReference"/>
        </w:rPr>
        <w:footnoteRef/>
      </w:r>
      <w:r>
        <w:t xml:space="preserve"> Partnerstva za mobilnost so sklenjena z Jordanijo, Marokom, Tunizijo, Republiko Moldavijo, Zele</w:t>
      </w:r>
      <w:r>
        <w:t>nortskimi otoki, Gruzijo, Armenijo in Azerbajdžanom. Skupni programi za migracije in mobilnost so sklenjeni z Nigerijo in Etiopijo.</w:t>
      </w:r>
    </w:p>
  </w:footnote>
  <w:footnote w:id="50">
    <w:p w:rsidR="007B4B1E" w:rsidRDefault="00B1261F">
      <w:pPr>
        <w:pStyle w:val="FootnoteText"/>
      </w:pPr>
      <w:r>
        <w:rPr>
          <w:rStyle w:val="FootnoteReference"/>
        </w:rPr>
        <w:footnoteRef/>
      </w:r>
      <w:r>
        <w:t xml:space="preserve"> Vrh v Valeti, 11.–12. novembra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1E" w:rsidRDefault="007B4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F24"/>
    <w:multiLevelType w:val="hybridMultilevel"/>
    <w:tmpl w:val="D492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5402F"/>
    <w:multiLevelType w:val="hybridMultilevel"/>
    <w:tmpl w:val="D5163F14"/>
    <w:lvl w:ilvl="0" w:tplc="25CA3F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E72FA0"/>
    <w:multiLevelType w:val="hybridMultilevel"/>
    <w:tmpl w:val="B34C12A8"/>
    <w:lvl w:ilvl="0" w:tplc="358A7908">
      <w:start w:val="1"/>
      <w:numFmt w:val="bullet"/>
      <w:lvlText w:val="•"/>
      <w:lvlJc w:val="left"/>
      <w:pPr>
        <w:tabs>
          <w:tab w:val="num" w:pos="720"/>
        </w:tabs>
        <w:ind w:left="720" w:hanging="360"/>
      </w:pPr>
      <w:rPr>
        <w:rFonts w:ascii="Arial" w:hAnsi="Arial" w:cs="Times New Roman" w:hint="default"/>
      </w:rPr>
    </w:lvl>
    <w:lvl w:ilvl="1" w:tplc="8A5C7516">
      <w:start w:val="1"/>
      <w:numFmt w:val="bullet"/>
      <w:lvlText w:val="•"/>
      <w:lvlJc w:val="left"/>
      <w:pPr>
        <w:tabs>
          <w:tab w:val="num" w:pos="1440"/>
        </w:tabs>
        <w:ind w:left="1440" w:hanging="360"/>
      </w:pPr>
      <w:rPr>
        <w:rFonts w:ascii="Arial" w:hAnsi="Arial" w:cs="Times New Roman" w:hint="default"/>
      </w:rPr>
    </w:lvl>
    <w:lvl w:ilvl="2" w:tplc="6D282C12">
      <w:start w:val="1"/>
      <w:numFmt w:val="bullet"/>
      <w:lvlText w:val="•"/>
      <w:lvlJc w:val="left"/>
      <w:pPr>
        <w:tabs>
          <w:tab w:val="num" w:pos="2160"/>
        </w:tabs>
        <w:ind w:left="2160" w:hanging="360"/>
      </w:pPr>
      <w:rPr>
        <w:rFonts w:ascii="Arial" w:hAnsi="Arial" w:cs="Times New Roman" w:hint="default"/>
      </w:rPr>
    </w:lvl>
    <w:lvl w:ilvl="3" w:tplc="F7E4835E">
      <w:start w:val="1"/>
      <w:numFmt w:val="bullet"/>
      <w:lvlText w:val="•"/>
      <w:lvlJc w:val="left"/>
      <w:pPr>
        <w:tabs>
          <w:tab w:val="num" w:pos="2880"/>
        </w:tabs>
        <w:ind w:left="2880" w:hanging="360"/>
      </w:pPr>
      <w:rPr>
        <w:rFonts w:ascii="Arial" w:hAnsi="Arial" w:cs="Times New Roman" w:hint="default"/>
      </w:rPr>
    </w:lvl>
    <w:lvl w:ilvl="4" w:tplc="347497BC">
      <w:start w:val="1"/>
      <w:numFmt w:val="bullet"/>
      <w:lvlText w:val="•"/>
      <w:lvlJc w:val="left"/>
      <w:pPr>
        <w:tabs>
          <w:tab w:val="num" w:pos="3600"/>
        </w:tabs>
        <w:ind w:left="3600" w:hanging="360"/>
      </w:pPr>
      <w:rPr>
        <w:rFonts w:ascii="Arial" w:hAnsi="Arial" w:cs="Times New Roman" w:hint="default"/>
      </w:rPr>
    </w:lvl>
    <w:lvl w:ilvl="5" w:tplc="9D36CE00">
      <w:start w:val="1"/>
      <w:numFmt w:val="bullet"/>
      <w:lvlText w:val="•"/>
      <w:lvlJc w:val="left"/>
      <w:pPr>
        <w:tabs>
          <w:tab w:val="num" w:pos="4320"/>
        </w:tabs>
        <w:ind w:left="4320" w:hanging="360"/>
      </w:pPr>
      <w:rPr>
        <w:rFonts w:ascii="Arial" w:hAnsi="Arial" w:cs="Times New Roman" w:hint="default"/>
      </w:rPr>
    </w:lvl>
    <w:lvl w:ilvl="6" w:tplc="71982D78">
      <w:start w:val="1"/>
      <w:numFmt w:val="bullet"/>
      <w:lvlText w:val="•"/>
      <w:lvlJc w:val="left"/>
      <w:pPr>
        <w:tabs>
          <w:tab w:val="num" w:pos="5040"/>
        </w:tabs>
        <w:ind w:left="5040" w:hanging="360"/>
      </w:pPr>
      <w:rPr>
        <w:rFonts w:ascii="Arial" w:hAnsi="Arial" w:cs="Times New Roman" w:hint="default"/>
      </w:rPr>
    </w:lvl>
    <w:lvl w:ilvl="7" w:tplc="E436A5C2">
      <w:start w:val="1"/>
      <w:numFmt w:val="bullet"/>
      <w:lvlText w:val="•"/>
      <w:lvlJc w:val="left"/>
      <w:pPr>
        <w:tabs>
          <w:tab w:val="num" w:pos="5760"/>
        </w:tabs>
        <w:ind w:left="5760" w:hanging="360"/>
      </w:pPr>
      <w:rPr>
        <w:rFonts w:ascii="Arial" w:hAnsi="Arial" w:cs="Times New Roman" w:hint="default"/>
      </w:rPr>
    </w:lvl>
    <w:lvl w:ilvl="8" w:tplc="6E60B596">
      <w:start w:val="1"/>
      <w:numFmt w:val="bullet"/>
      <w:lvlText w:val="•"/>
      <w:lvlJc w:val="left"/>
      <w:pPr>
        <w:tabs>
          <w:tab w:val="num" w:pos="6480"/>
        </w:tabs>
        <w:ind w:left="6480" w:hanging="360"/>
      </w:pPr>
      <w:rPr>
        <w:rFonts w:ascii="Arial" w:hAnsi="Arial" w:cs="Times New Roman" w:hint="default"/>
      </w:rPr>
    </w:lvl>
  </w:abstractNum>
  <w:abstractNum w:abstractNumId="3">
    <w:nsid w:val="345B4FEC"/>
    <w:multiLevelType w:val="hybridMultilevel"/>
    <w:tmpl w:val="9C0C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A40B18"/>
    <w:multiLevelType w:val="hybridMultilevel"/>
    <w:tmpl w:val="4782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B92D3B"/>
    <w:multiLevelType w:val="hybridMultilevel"/>
    <w:tmpl w:val="0772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4915B0"/>
    <w:multiLevelType w:val="hybridMultilevel"/>
    <w:tmpl w:val="B6461E6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974B6A"/>
    <w:multiLevelType w:val="hybridMultilevel"/>
    <w:tmpl w:val="C6B80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B686C24"/>
    <w:multiLevelType w:val="hybridMultilevel"/>
    <w:tmpl w:val="D5163F14"/>
    <w:lvl w:ilvl="0" w:tplc="25CA3F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244465"/>
    <w:multiLevelType w:val="hybridMultilevel"/>
    <w:tmpl w:val="2C4CB416"/>
    <w:lvl w:ilvl="0" w:tplc="25CA3F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6E725C"/>
    <w:multiLevelType w:val="hybridMultilevel"/>
    <w:tmpl w:val="F4A2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0"/>
  </w:num>
  <w:num w:numId="6">
    <w:abstractNumId w:val="3"/>
  </w:num>
  <w:num w:numId="7">
    <w:abstractNumId w:val="7"/>
  </w:num>
  <w:num w:numId="8">
    <w:abstractNumId w:val="6"/>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8307CAF35BB4998B1849CA8B5183797"/>
    <w:docVar w:name="LW_CROSSREFERENCE" w:val="&lt;UNUSED&gt;"/>
    <w:docVar w:name="LW_DocType" w:val="NORMAL"/>
    <w:docVar w:name="LW_EMISSION" w:val="6.4.2016"/>
    <w:docVar w:name="LW_EMISSION_ISODATE" w:val="2016-04-06"/>
    <w:docVar w:name="LW_EMISSION_LOCATION" w:val="BRX"/>
    <w:docVar w:name="LW_EMISSION_PREFIX" w:val="Bruselj, "/>
    <w:docVar w:name="LW_EMISSION_SUFFIX" w:val=" "/>
    <w:docVar w:name="LW_ID_DOCTYPE_NONLW" w:val="CP-012"/>
    <w:docVar w:name="LW_LANGUE" w:val="SL"/>
    <w:docVar w:name="LW_MARKING" w:val="&lt;UNUSED&g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6) 197"/>
    <w:docVar w:name="LW_REF.INTERNE" w:val="&lt;UNUSED&gt;"/>
    <w:docVar w:name="LW_SOUS.TITRE.OBJ.CP" w:val="&lt;UNUSED&gt;"/>
    <w:docVar w:name="LW_SUPERTITRE" w:val="&lt;UNUSED&gt;"/>
    <w:docVar w:name="LW_TITRE.OBJ.CP" w:val="K REFORMI SKUPNEGA EVROPSKEGA AZILNEGA SISTEMA IN KREPITVI ZAKONITIH POTI V EVROPO"/>
    <w:docVar w:name="LW_TYPE.DOC.CP" w:val="SPORO\u268?ILO KOMISIJE EVROPSKEMU PARLAMENTU IN SVETU"/>
    <w:docVar w:name="LW_TYPE.DOC.CP.USERTEXT" w:val="&lt;EMPTY&gt;"/>
  </w:docVars>
  <w:rsids>
    <w:rsidRoot w:val="007B4B1E"/>
    <w:rsid w:val="007B4B1E"/>
    <w:rsid w:val="00B126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imes New Roman" w:eastAsia="Times New Roman" w:hAnsi="Times New Roman" w:cs="Times New Roman"/>
      <w:sz w:val="20"/>
      <w:szCs w:val="20"/>
      <w:lang w:eastAsia="sl-SI"/>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sl-S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sl-SI"/>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after="15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imes New Roman" w:eastAsia="Times New Roman" w:hAnsi="Times New Roman" w:cs="Times New Roman"/>
      <w:sz w:val="20"/>
      <w:szCs w:val="20"/>
      <w:lang w:eastAsia="sl-SI"/>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sl-S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sl-SI"/>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after="150" w:line="240" w:lineRule="auto"/>
    </w:pPr>
    <w:rPr>
      <w:rFonts w:ascii="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5224">
      <w:bodyDiv w:val="1"/>
      <w:marLeft w:val="0"/>
      <w:marRight w:val="0"/>
      <w:marTop w:val="0"/>
      <w:marBottom w:val="0"/>
      <w:divBdr>
        <w:top w:val="none" w:sz="0" w:space="0" w:color="auto"/>
        <w:left w:val="none" w:sz="0" w:space="0" w:color="auto"/>
        <w:bottom w:val="none" w:sz="0" w:space="0" w:color="auto"/>
        <w:right w:val="none" w:sz="0" w:space="0" w:color="auto"/>
      </w:divBdr>
    </w:div>
    <w:div w:id="1400708654">
      <w:bodyDiv w:val="1"/>
      <w:marLeft w:val="0"/>
      <w:marRight w:val="0"/>
      <w:marTop w:val="0"/>
      <w:marBottom w:val="0"/>
      <w:divBdr>
        <w:top w:val="none" w:sz="0" w:space="0" w:color="auto"/>
        <w:left w:val="none" w:sz="0" w:space="0" w:color="auto"/>
        <w:bottom w:val="none" w:sz="0" w:space="0" w:color="auto"/>
        <w:right w:val="none" w:sz="0" w:space="0" w:color="auto"/>
      </w:divBdr>
    </w:div>
    <w:div w:id="20041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ic.gc.ca/english/Immigrate/skilled/index.asp" TargetMode="External"/><Relationship Id="rId2" Type="http://schemas.openxmlformats.org/officeDocument/2006/relationships/hyperlink" Target="http://www.skillsandmigration.eu/" TargetMode="External"/><Relationship Id="rId1" Type="http://schemas.openxmlformats.org/officeDocument/2006/relationships/hyperlink" Target="http://ec.europa.eu/dgs/home-affairs/what-is-new/public-consultation/2015/consulting_0029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B46C-A694-44E2-B50A-A183DE42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8574</Words>
  <Characters>47761</Characters>
  <Application>Microsoft Office Word</Application>
  <DocSecurity>0</DocSecurity>
  <Lines>852</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35</cp:revision>
  <cp:lastPrinted>2016-04-06T08:25:00Z</cp:lastPrinted>
  <dcterms:created xsi:type="dcterms:W3CDTF">2016-04-06T08:13:00Z</dcterms:created>
  <dcterms:modified xsi:type="dcterms:W3CDTF">2016-04-08T08:23:00Z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