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2E" w:rsidRDefault="004003EA" w:rsidP="004003EA">
      <w:pPr>
        <w:pStyle w:val="Pagedecouverture"/>
        <w:rPr>
          <w:noProof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0843A3668E514703B48ECA54C22E0C7F" style="width:450.75pt;height:424.5pt">
            <v:imagedata r:id="rId8" o:title=""/>
          </v:shape>
        </w:pict>
      </w:r>
      <w:bookmarkEnd w:id="0"/>
    </w:p>
    <w:p w:rsidR="00BC2F2E" w:rsidRDefault="00BC2F2E">
      <w:pPr>
        <w:rPr>
          <w:noProof/>
        </w:rPr>
        <w:sectPr w:rsidR="00BC2F2E" w:rsidSect="004003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BC2F2E" w:rsidRDefault="004003EA" w:rsidP="004003EA">
      <w:pPr>
        <w:pStyle w:val="Typedudocument"/>
        <w:rPr>
          <w:noProof/>
        </w:rPr>
      </w:pPr>
      <w:r w:rsidRPr="004003EA">
        <w:lastRenderedPageBreak/>
        <w:t>ZAŁĄCZNIKI</w:t>
      </w:r>
    </w:p>
    <w:p w:rsidR="00BC2F2E" w:rsidRDefault="004003EA" w:rsidP="004003EA">
      <w:pPr>
        <w:pStyle w:val="Accompagnant"/>
        <w:rPr>
          <w:noProof/>
        </w:rPr>
      </w:pPr>
      <w:r w:rsidRPr="004003EA">
        <w:t xml:space="preserve"> </w:t>
      </w:r>
    </w:p>
    <w:p w:rsidR="00BC2F2E" w:rsidRDefault="004003EA" w:rsidP="004003EA">
      <w:pPr>
        <w:pStyle w:val="Typeacteprincipal"/>
        <w:rPr>
          <w:noProof/>
        </w:rPr>
      </w:pPr>
      <w:r w:rsidRPr="004003EA">
        <w:t xml:space="preserve">Wniosek </w:t>
      </w:r>
    </w:p>
    <w:p w:rsidR="00BC2F2E" w:rsidRDefault="004003EA" w:rsidP="004003EA">
      <w:pPr>
        <w:pStyle w:val="Objetacteprincipal"/>
        <w:rPr>
          <w:noProof/>
        </w:rPr>
      </w:pPr>
      <w:r w:rsidRPr="004003EA">
        <w:t>ROZPORZĄDZENIE PARLAMENTU EUROPEJSKIEGO I RADY</w:t>
      </w:r>
      <w:r w:rsidRPr="004003EA">
        <w:br/>
        <w:t>zmieniające rozporządzenie (UE) 2016/399 w odniesieniu do stosowania systemu wjazdu/wyjazdu</w:t>
      </w:r>
    </w:p>
    <w:p w:rsidR="00BC2F2E" w:rsidRDefault="004003EA">
      <w:pPr>
        <w:pStyle w:val="Objetacteprincipal"/>
        <w:rPr>
          <w:b w:val="0"/>
          <w:i/>
          <w:noProof/>
        </w:rPr>
      </w:pPr>
      <w:r>
        <w:rPr>
          <w:noProof/>
        </w:rPr>
        <w:br/>
      </w:r>
      <w:r>
        <w:rPr>
          <w:b w:val="0"/>
          <w:i/>
          <w:noProof/>
        </w:rPr>
        <w:t>ZAŁĄCZNIK</w:t>
      </w:r>
    </w:p>
    <w:p w:rsidR="00BC2F2E" w:rsidRDefault="004003EA">
      <w:pPr>
        <w:pStyle w:val="Normal1"/>
        <w:rPr>
          <w:noProof/>
        </w:rPr>
      </w:pPr>
      <w:r>
        <w:rPr>
          <w:noProof/>
        </w:rPr>
        <w:t>W załącznikach do rozporządzenia (UE) nr 2016/399 wprowadza się następujące zmiany:</w:t>
      </w:r>
    </w:p>
    <w:p w:rsidR="00BC2F2E" w:rsidRDefault="004003EA">
      <w:pPr>
        <w:pStyle w:val="NumPar1"/>
        <w:numPr>
          <w:ilvl w:val="0"/>
          <w:numId w:val="9"/>
        </w:numPr>
        <w:rPr>
          <w:noProof/>
        </w:rPr>
      </w:pPr>
      <w:r>
        <w:rPr>
          <w:noProof/>
        </w:rPr>
        <w:t>Do załącznika III dodaje się część D:</w:t>
      </w:r>
    </w:p>
    <w:p w:rsidR="00BC2F2E" w:rsidRDefault="00BC2F2E">
      <w:pPr>
        <w:rPr>
          <w:rFonts w:eastAsia="Times New Roman"/>
          <w:noProof/>
        </w:rPr>
      </w:pPr>
    </w:p>
    <w:p w:rsidR="00BC2F2E" w:rsidRDefault="004003EA">
      <w:pPr>
        <w:pStyle w:val="Text1"/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/>
          <w:b/>
          <w:noProof/>
        </w:rPr>
        <w:t>„CZĘŚĆ D:</w:t>
      </w:r>
    </w:p>
    <w:p w:rsidR="00BC2F2E" w:rsidRDefault="004003EA">
      <w:pPr>
        <w:pStyle w:val="Text1"/>
        <w:jc w:val="center"/>
        <w:rPr>
          <w:rFonts w:ascii="Arial" w:hAnsi="Arial" w:cs="Arial"/>
          <w:bCs/>
          <w:noProof/>
        </w:rPr>
      </w:pPr>
      <w:r>
        <w:rPr>
          <w:rFonts w:ascii="Arial" w:hAnsi="Arial"/>
          <w:noProof/>
        </w:rPr>
        <w:t xml:space="preserve">Część D1: Pasy ruchu ABC dla obywateli </w:t>
      </w:r>
      <w:r>
        <w:rPr>
          <w:rFonts w:ascii="Arial" w:hAnsi="Arial"/>
          <w:noProof/>
        </w:rPr>
        <w:t>UE/EOG/CH</w:t>
      </w:r>
    </w:p>
    <w:p w:rsidR="00BC2F2E" w:rsidRDefault="004003EA">
      <w:pPr>
        <w:pStyle w:val="Text1"/>
        <w:ind w:left="0"/>
        <w:jc w:val="center"/>
        <w:rPr>
          <w:noProof/>
        </w:rPr>
      </w:pPr>
      <w:r>
        <w:rPr>
          <w:noProof/>
          <w:lang w:val="en-GB" w:eastAsia="en-GB" w:bidi="ar-SA"/>
        </w:rPr>
        <w:drawing>
          <wp:inline distT="0" distB="0" distL="0" distR="0" wp14:anchorId="149B7402" wp14:editId="2ABE3BA8">
            <wp:extent cx="2819400" cy="1828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2880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2E" w:rsidRDefault="004003EA">
      <w:pPr>
        <w:pStyle w:val="Text1"/>
        <w:ind w:left="0"/>
        <w:jc w:val="center"/>
        <w:rPr>
          <w:rFonts w:ascii="Arial" w:hAnsi="Arial" w:cs="Arial"/>
          <w:b/>
          <w:bCs/>
          <w:noProof/>
        </w:rPr>
      </w:pPr>
      <w:r>
        <w:rPr>
          <w:noProof/>
          <w:lang w:val="en-GB" w:eastAsia="en-GB" w:bidi="ar-SA"/>
        </w:rPr>
        <w:drawing>
          <wp:inline distT="0" distB="0" distL="0" distR="0" wp14:anchorId="5F036815" wp14:editId="20BCD57B">
            <wp:extent cx="2828925" cy="8858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2E" w:rsidRDefault="004003EA">
      <w:pPr>
        <w:pStyle w:val="Text1"/>
        <w:jc w:val="center"/>
        <w:rPr>
          <w:noProof/>
        </w:rPr>
      </w:pPr>
      <w:r>
        <w:rPr>
          <w:rFonts w:ascii="Arial" w:hAnsi="Arial"/>
          <w:noProof/>
        </w:rPr>
        <w:t>Gwiazdy nie są wymagane w przypadku Szwajcarii, Liechtensteinu, Norwegii i Islandii</w:t>
      </w:r>
    </w:p>
    <w:p w:rsidR="00BC2F2E" w:rsidRDefault="004003EA">
      <w:pPr>
        <w:rPr>
          <w:noProof/>
        </w:rPr>
      </w:pPr>
      <w:r>
        <w:rPr>
          <w:noProof/>
        </w:rPr>
        <w:br w:type="page"/>
      </w:r>
    </w:p>
    <w:p w:rsidR="00BC2F2E" w:rsidRDefault="004003EA">
      <w:pPr>
        <w:pStyle w:val="Text1"/>
        <w:jc w:val="center"/>
        <w:rPr>
          <w:rFonts w:ascii="Arial" w:hAnsi="Arial" w:cs="Arial"/>
          <w:bCs/>
          <w:noProof/>
        </w:rPr>
      </w:pPr>
      <w:r>
        <w:rPr>
          <w:rFonts w:ascii="Arial" w:hAnsi="Arial"/>
          <w:noProof/>
        </w:rPr>
        <w:lastRenderedPageBreak/>
        <w:t>Część D2: Pasy ruchu ABC dla obywateli państw trzecich</w:t>
      </w:r>
    </w:p>
    <w:p w:rsidR="00BC2F2E" w:rsidRDefault="004003EA">
      <w:pPr>
        <w:jc w:val="center"/>
        <w:rPr>
          <w:rFonts w:ascii="Arial" w:hAnsi="Arial" w:cs="Arial"/>
          <w:noProof/>
        </w:rPr>
      </w:pPr>
      <w:r>
        <w:rPr>
          <w:noProof/>
          <w:lang w:val="en-GB" w:eastAsia="en-GB" w:bidi="ar-SA"/>
        </w:rPr>
        <w:drawing>
          <wp:inline distT="0" distB="0" distL="0" distR="0" wp14:anchorId="0756A016" wp14:editId="21481BA6">
            <wp:extent cx="2819400" cy="17811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8117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2E" w:rsidRDefault="004003EA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en-GB" w:eastAsia="en-GB" w:bidi="ar-SA"/>
        </w:rPr>
        <w:drawing>
          <wp:inline distT="0" distB="0" distL="0" distR="0" wp14:anchorId="665976DC" wp14:editId="1131C1AC">
            <wp:extent cx="2828925" cy="9048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2E" w:rsidRDefault="004003EA">
      <w:pPr>
        <w:jc w:val="center"/>
        <w:rPr>
          <w:rFonts w:ascii="Arial" w:hAnsi="Arial" w:cs="Arial"/>
          <w:bCs/>
          <w:noProof/>
        </w:rPr>
      </w:pPr>
      <w:r>
        <w:rPr>
          <w:rFonts w:ascii="Arial" w:hAnsi="Arial"/>
          <w:noProof/>
        </w:rPr>
        <w:t>Gwiazdy nie są wymagane w przypadku Szwajcarii, Liechtensteinu, Norwegii i Islandii</w:t>
      </w:r>
    </w:p>
    <w:p w:rsidR="00BC2F2E" w:rsidRDefault="004003EA">
      <w:pPr>
        <w:jc w:val="center"/>
        <w:rPr>
          <w:rFonts w:ascii="Arial" w:hAnsi="Arial" w:cs="Arial"/>
          <w:noProof/>
        </w:rPr>
      </w:pPr>
      <w:r>
        <w:rPr>
          <w:rFonts w:ascii="Arial" w:hAnsi="Arial"/>
          <w:noProof/>
        </w:rPr>
        <w:t xml:space="preserve">Część D3: </w:t>
      </w:r>
      <w:r>
        <w:rPr>
          <w:rFonts w:ascii="Arial" w:hAnsi="Arial"/>
          <w:noProof/>
        </w:rPr>
        <w:t>Pasy ruchu ABC dla wszystkich paszportów</w:t>
      </w:r>
    </w:p>
    <w:p w:rsidR="00BC2F2E" w:rsidRDefault="004003EA">
      <w:pPr>
        <w:jc w:val="center"/>
        <w:rPr>
          <w:rFonts w:ascii="Arial" w:hAnsi="Arial" w:cs="Arial"/>
          <w:noProof/>
        </w:rPr>
      </w:pPr>
      <w:r>
        <w:rPr>
          <w:noProof/>
          <w:lang w:val="en-GB" w:eastAsia="en-GB" w:bidi="ar-SA"/>
        </w:rPr>
        <w:drawing>
          <wp:inline distT="0" distB="0" distL="0" distR="0" wp14:anchorId="3CDF9E9A" wp14:editId="69D45FD8">
            <wp:extent cx="2819400" cy="20288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288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2E" w:rsidRDefault="004003EA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en-GB" w:eastAsia="en-GB" w:bidi="ar-SA"/>
        </w:rPr>
        <w:drawing>
          <wp:inline distT="0" distB="0" distL="0" distR="0" wp14:anchorId="136DE2DF" wp14:editId="79A55315">
            <wp:extent cx="2962275" cy="6286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2E" w:rsidRDefault="004003EA">
      <w:pPr>
        <w:jc w:val="center"/>
        <w:rPr>
          <w:noProof/>
        </w:rPr>
      </w:pPr>
      <w:r>
        <w:rPr>
          <w:rFonts w:ascii="Arial" w:hAnsi="Arial"/>
          <w:noProof/>
        </w:rPr>
        <w:t>Gwiazdy nie są wymagane w przypadku Szwajcarii, Liechtensteinu, Norwegii i Islandii</w:t>
      </w:r>
      <w:r>
        <w:rPr>
          <w:noProof/>
        </w:rPr>
        <w:t>"</w:t>
      </w:r>
    </w:p>
    <w:p w:rsidR="00BC2F2E" w:rsidRDefault="00BC2F2E">
      <w:pPr>
        <w:jc w:val="center"/>
        <w:rPr>
          <w:rFonts w:ascii="Arial" w:hAnsi="Arial" w:cs="Arial"/>
          <w:noProof/>
        </w:rPr>
      </w:pPr>
    </w:p>
    <w:p w:rsidR="00BC2F2E" w:rsidRDefault="004003EA">
      <w:pPr>
        <w:pStyle w:val="NumPar1"/>
        <w:rPr>
          <w:noProof/>
        </w:rPr>
      </w:pPr>
      <w:r>
        <w:rPr>
          <w:noProof/>
        </w:rPr>
        <w:t>W załączniku IV wprowadza się następujące zmiany:</w:t>
      </w:r>
    </w:p>
    <w:p w:rsidR="00BC2F2E" w:rsidRDefault="004003EA"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  <w:t>pkt 1 otrzymuje brzmienie:</w:t>
      </w:r>
    </w:p>
    <w:p w:rsidR="00BC2F2E" w:rsidRDefault="004003EA">
      <w:pPr>
        <w:rPr>
          <w:noProof/>
        </w:rPr>
      </w:pPr>
      <w:r>
        <w:rPr>
          <w:noProof/>
        </w:rPr>
        <w:t>„1. Jeżeli ustawodawstwo krajowe danego państ</w:t>
      </w:r>
      <w:r>
        <w:rPr>
          <w:noProof/>
        </w:rPr>
        <w:t>wa członkowskiego wyraźnie tak stanowi, państwo członkowskie może zamieścić stempel wjazdowy lub wyjazdowy w dokumentach podróży tych obywateli państw trzecich, którzy posiadają dokument pobytowy wydany przez to państwo członkowskie zgodnie z art. 11. Pona</w:t>
      </w:r>
      <w:r>
        <w:rPr>
          <w:noProof/>
        </w:rPr>
        <w:t xml:space="preserve">dto w załączniku V część A określono, że jeżeli obywatelowi państwa trzeciego odmówiono prawa wjazdu na podstawie art. 14, organ straży granicznej zamieszcza w paszporcie stempel wjazdowy, unieważniony poprzez </w:t>
      </w:r>
      <w:r>
        <w:rPr>
          <w:noProof/>
        </w:rPr>
        <w:lastRenderedPageBreak/>
        <w:t>skreślenie nieusuwalnym czarnym atramentem ora</w:t>
      </w:r>
      <w:r>
        <w:rPr>
          <w:noProof/>
        </w:rPr>
        <w:t>z umieszczenie po stronie przeciwnej, również nieusuwalnym atramentem, litery (liter) odpowiadającej (odpowiadających) przyczynie (przyczynom) odmowy wjazdu; lista przyczyn znajduje się na standardowym formularzu odmowy wjazdu zamieszczonym w części B załą</w:t>
      </w:r>
      <w:r>
        <w:rPr>
          <w:noProof/>
        </w:rPr>
        <w:t>cznika V.”;</w:t>
      </w:r>
    </w:p>
    <w:p w:rsidR="00BC2F2E" w:rsidRDefault="004003EA"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  <w:t>dodaje się pkt 1a w brzmieniu:</w:t>
      </w:r>
    </w:p>
    <w:p w:rsidR="00BC2F2E" w:rsidRDefault="004003EA">
      <w:pPr>
        <w:rPr>
          <w:noProof/>
        </w:rPr>
      </w:pPr>
      <w:r>
        <w:rPr>
          <w:noProof/>
        </w:rPr>
        <w:t>„Specyfikacje stempli są określone w decyzji Komitetu Wykonawczego Schengen SCH/COM-EX (94) 16 rev i w SCH/Gem-Handb (93) 15 (POUFNE).”;</w:t>
      </w:r>
    </w:p>
    <w:p w:rsidR="00BC2F2E" w:rsidRDefault="004003EA">
      <w:pPr>
        <w:pStyle w:val="Point0"/>
        <w:rPr>
          <w:noProof/>
        </w:rPr>
      </w:pPr>
      <w:r>
        <w:rPr>
          <w:noProof/>
        </w:rPr>
        <w:t>c)</w:t>
      </w:r>
      <w:r>
        <w:rPr>
          <w:noProof/>
        </w:rPr>
        <w:tab/>
        <w:t>pkt 3 otrzymuje brzmienie:</w:t>
      </w:r>
    </w:p>
    <w:p w:rsidR="00BC2F2E" w:rsidRDefault="004003EA">
      <w:pPr>
        <w:rPr>
          <w:noProof/>
        </w:rPr>
      </w:pPr>
      <w:r>
        <w:rPr>
          <w:noProof/>
        </w:rPr>
        <w:t>„3. W przypadku odmowy wjazdu obywatela pań</w:t>
      </w:r>
      <w:r>
        <w:rPr>
          <w:noProof/>
        </w:rPr>
        <w:t>stwa trzeciego objętego obowiązkiem wizowym stempel zamieszcza się, co do zasady, na stronie przeciwnej do strony, na której zamieszczona jest wiza.</w:t>
      </w:r>
    </w:p>
    <w:p w:rsidR="00BC2F2E" w:rsidRDefault="004003EA">
      <w:pPr>
        <w:rPr>
          <w:noProof/>
        </w:rPr>
      </w:pPr>
      <w:r>
        <w:rPr>
          <w:noProof/>
        </w:rPr>
        <w:t>Jeżeli strony tej nie można wykorzystać, stempel zamieszcza się na stronie następnej. Nie zamieszcza się st</w:t>
      </w:r>
      <w:r>
        <w:rPr>
          <w:noProof/>
        </w:rPr>
        <w:t>empla na polu przeznaczonym do odczytu maszynowego.”.</w:t>
      </w:r>
    </w:p>
    <w:p w:rsidR="00BC2F2E" w:rsidRDefault="004003EA">
      <w:pPr>
        <w:pStyle w:val="NumPar1"/>
        <w:rPr>
          <w:noProof/>
        </w:rPr>
      </w:pPr>
      <w:r>
        <w:rPr>
          <w:noProof/>
        </w:rPr>
        <w:t>W załączniku V część A wprowadza się następujące zmiany:</w:t>
      </w:r>
    </w:p>
    <w:p w:rsidR="00BC2F2E" w:rsidRDefault="004003EA"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  <w:t>punkt 1 lit. b) otrzymuje brzmienie:</w:t>
      </w:r>
    </w:p>
    <w:p w:rsidR="00BC2F2E" w:rsidRDefault="004003EA">
      <w:pPr>
        <w:spacing w:before="75" w:after="75"/>
        <w:rPr>
          <w:noProof/>
        </w:rPr>
      </w:pPr>
      <w:r>
        <w:rPr>
          <w:noProof/>
        </w:rPr>
        <w:t>„b) w przypadku obywateli państw trzecich, którym odmówiono wjazdu na pobyt krótkoterminowy [lub na podst</w:t>
      </w:r>
      <w:r>
        <w:rPr>
          <w:noProof/>
        </w:rPr>
        <w:t xml:space="preserve">awie wizy objazdowej], na podstawie art. 6 a ust. 2 niniejszego rozporządzenia i art. 16 [rozporządzenia ustanawiającego system wjazdu/wyjazdu (EES)] do systemu EES wprowadza się dane dotyczące odmowy wjazdu. Ponadto organ straży granicznej  zamieszcza  w </w:t>
      </w:r>
      <w:r>
        <w:rPr>
          <w:noProof/>
        </w:rPr>
        <w:t>paszporcie stempel wjazdowy, unieważniony  poprzez skreślenie nieusuwalnym czarnym atramentem oraz umieszczenie po stronie przeciwnej, również nieusuwalnym atramentem, litery (liter) odpowiadającej (odpowiadających) przyczynie (przyczynom) odmowy wjazdu; l</w:t>
      </w:r>
      <w:r>
        <w:rPr>
          <w:noProof/>
        </w:rPr>
        <w:t>ista przyczyn znajduje się na standardowym formularzu odmowy wjazdu zamieszczonym w części B niniejszego załącznika;”;</w:t>
      </w:r>
    </w:p>
    <w:p w:rsidR="00BC2F2E" w:rsidRDefault="004003EA"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  <w:t>punkt 1 lit. d) otrzymuje brzmienie:</w:t>
      </w:r>
    </w:p>
    <w:p w:rsidR="00BC2F2E" w:rsidRDefault="004003EA">
      <w:pPr>
        <w:spacing w:before="75" w:after="75"/>
        <w:rPr>
          <w:noProof/>
        </w:rPr>
      </w:pPr>
      <w:r>
        <w:rPr>
          <w:noProof/>
        </w:rPr>
        <w:t xml:space="preserve">„d) w przypadku obywateli państw trzecich, których odmowa wjazdu nie jest rejestrowana w EES, </w:t>
      </w:r>
      <w:r>
        <w:rPr>
          <w:noProof/>
        </w:rPr>
        <w:t>organ straży granicznej zamieszcza w paszporcie stempel wjazdowy, unieważniony poprzez skreślenie nieusuwalnym czarnym atramentem oraz umieszczenie po stronie przeciwnej, również nieusuwalnym atramentem, litery(liter) odpowiadającej (odpowiadających) przyc</w:t>
      </w:r>
      <w:r>
        <w:rPr>
          <w:noProof/>
        </w:rPr>
        <w:t>zynie (przyczynom) odmowy wjazdu; lista przyczyn znajduje się na standardowym formularzu odmowy wjazdu zamieszczonym w części B niniejszego załącznika. Ponadto, w przypadku tych kategorii osób, organ straży granicznej odnotowuje każdą odmowę wjazdu w rejes</w:t>
      </w:r>
      <w:r>
        <w:rPr>
          <w:noProof/>
        </w:rPr>
        <w:t>trze lub w wykazie, podając tożsamość i obywatelstwo danego obywatela państwa trzeciego, dane dotyczące dokumentu uprawniającego obywatela państwa trzeciego do przekroczenia granicy oraz powód i datę odmowy wjazdu;”;</w:t>
      </w:r>
    </w:p>
    <w:p w:rsidR="00BC2F2E" w:rsidRDefault="004003EA">
      <w:pPr>
        <w:pStyle w:val="Point0"/>
        <w:rPr>
          <w:noProof/>
        </w:rPr>
      </w:pPr>
      <w:r>
        <w:rPr>
          <w:noProof/>
        </w:rPr>
        <w:t>c)</w:t>
      </w:r>
      <w:r>
        <w:rPr>
          <w:noProof/>
        </w:rPr>
        <w:tab/>
        <w:t>dodaje się pkt. 1 lit. e) w brzmieni</w:t>
      </w:r>
      <w:r>
        <w:rPr>
          <w:noProof/>
        </w:rPr>
        <w:t>u:</w:t>
      </w:r>
    </w:p>
    <w:p w:rsidR="00BC2F2E" w:rsidRDefault="004003EA">
      <w:pPr>
        <w:spacing w:before="75" w:after="75"/>
        <w:rPr>
          <w:noProof/>
        </w:rPr>
      </w:pPr>
      <w:r>
        <w:rPr>
          <w:noProof/>
        </w:rPr>
        <w:t>„e) praktyczne ustalenia dotyczące stemplowania określono w załączniku IV.”.</w:t>
      </w:r>
    </w:p>
    <w:p w:rsidR="00BC2F2E" w:rsidRDefault="00BC2F2E">
      <w:pPr>
        <w:rPr>
          <w:noProof/>
        </w:rPr>
      </w:pPr>
    </w:p>
    <w:sectPr w:rsidR="00BC2F2E" w:rsidSect="004003EA">
      <w:footerReference w:type="default" r:id="rId19"/>
      <w:footerReference w:type="first" r:id="rId20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F2E" w:rsidRDefault="004003EA">
      <w:pPr>
        <w:spacing w:before="0" w:after="0"/>
      </w:pPr>
      <w:r>
        <w:separator/>
      </w:r>
    </w:p>
  </w:endnote>
  <w:endnote w:type="continuationSeparator" w:id="0">
    <w:p w:rsidR="00BC2F2E" w:rsidRDefault="004003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3EA" w:rsidRPr="004003EA" w:rsidRDefault="004003EA" w:rsidP="004003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3EA" w:rsidRPr="004003EA" w:rsidRDefault="004003EA" w:rsidP="004003EA">
    <w:pPr>
      <w:pStyle w:val="Footer"/>
      <w:rPr>
        <w:rFonts w:ascii="Arial" w:hAnsi="Arial" w:cs="Arial"/>
        <w:b/>
        <w:sz w:val="48"/>
      </w:rPr>
    </w:pPr>
    <w:r w:rsidRPr="004003EA">
      <w:rPr>
        <w:rFonts w:ascii="Arial" w:hAnsi="Arial" w:cs="Arial"/>
        <w:b/>
        <w:sz w:val="48"/>
      </w:rPr>
      <w:t>PL</w:t>
    </w:r>
    <w:r w:rsidRPr="004003EA">
      <w:rPr>
        <w:rFonts w:ascii="Arial" w:hAnsi="Arial" w:cs="Arial"/>
        <w:b/>
        <w:sz w:val="48"/>
      </w:rPr>
      <w:tab/>
    </w:r>
    <w:r w:rsidRPr="004003EA">
      <w:rPr>
        <w:rFonts w:ascii="Arial" w:hAnsi="Arial" w:cs="Arial"/>
        <w:b/>
        <w:sz w:val="48"/>
      </w:rPr>
      <w:tab/>
    </w:r>
    <w:fldSimple w:instr=" DOCVARIABLE &quot;LW_Confidence&quot; \* MERGEFORMAT ">
      <w:r>
        <w:t xml:space="preserve"> </w:t>
      </w:r>
    </w:fldSimple>
    <w:r w:rsidRPr="004003EA">
      <w:tab/>
    </w:r>
    <w:proofErr w:type="spellStart"/>
    <w:r w:rsidRPr="004003EA">
      <w:rPr>
        <w:rFonts w:ascii="Arial" w:hAnsi="Arial" w:cs="Arial"/>
        <w:b/>
        <w:sz w:val="48"/>
      </w:rPr>
      <w:t>PL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3EA" w:rsidRPr="004003EA" w:rsidRDefault="004003EA" w:rsidP="004003E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3EA" w:rsidRPr="004003EA" w:rsidRDefault="004003EA" w:rsidP="004003EA">
    <w:pPr>
      <w:pStyle w:val="Footer"/>
      <w:rPr>
        <w:rFonts w:ascii="Arial" w:hAnsi="Arial" w:cs="Arial"/>
        <w:b/>
        <w:sz w:val="48"/>
      </w:rPr>
    </w:pPr>
    <w:r w:rsidRPr="004003EA">
      <w:rPr>
        <w:rFonts w:ascii="Arial" w:hAnsi="Arial" w:cs="Arial"/>
        <w:b/>
        <w:sz w:val="48"/>
      </w:rPr>
      <w:t>PL</w:t>
    </w:r>
    <w:r w:rsidRPr="004003EA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  <w:r>
      <w:tab/>
    </w:r>
    <w:fldSimple w:instr=" DOCVARIABLE &quot;LW_Confidence&quot; \* MERGEFORMAT ">
      <w:r>
        <w:t xml:space="preserve"> </w:t>
      </w:r>
    </w:fldSimple>
    <w:r w:rsidRPr="004003EA">
      <w:tab/>
    </w:r>
    <w:r w:rsidRPr="004003EA">
      <w:rPr>
        <w:rFonts w:ascii="Arial" w:hAnsi="Arial" w:cs="Arial"/>
        <w:b/>
        <w:sz w:val="48"/>
      </w:rPr>
      <w:t>PL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3EA" w:rsidRPr="004003EA" w:rsidRDefault="004003EA" w:rsidP="00400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F2E" w:rsidRDefault="004003EA">
      <w:pPr>
        <w:spacing w:before="0" w:after="0"/>
      </w:pPr>
      <w:r>
        <w:separator/>
      </w:r>
    </w:p>
  </w:footnote>
  <w:footnote w:type="continuationSeparator" w:id="0">
    <w:p w:rsidR="00BC2F2E" w:rsidRDefault="004003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3EA" w:rsidRPr="004003EA" w:rsidRDefault="004003EA" w:rsidP="004003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3EA" w:rsidRPr="004003EA" w:rsidRDefault="004003EA" w:rsidP="004003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3EA" w:rsidRPr="004003EA" w:rsidRDefault="004003EA" w:rsidP="004003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06248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A37C6BF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0BFC05D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4DD6A39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7BD8AAB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34F4EB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74C69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10282F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05-01 11:46:09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2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6"/>
    <w:docVar w:name="DQCResult_UnknownFonts" w:val="0;0"/>
    <w:docVar w:name="DQCResult_UnknownStyles" w:val="0;1"/>
    <w:docVar w:name="DQCStatus" w:val="Yellow"/>
    <w:docVar w:name="DQCVersion" w:val="3"/>
    <w:docVar w:name="DQCWithWarnings" w:val="0"/>
    <w:docVar w:name="LW_ACCOMPAGNANT.CP" w:val=" "/>
    <w:docVar w:name="LW_ANNEX_NBR_FIRST" w:val="1"/>
    <w:docVar w:name="LW_ANNEX_NBR_LAST" w:val="1"/>
    <w:docVar w:name="LW_CONFIDENCE" w:val=" "/>
    <w:docVar w:name="LW_CONST_RESTREINT_UE" w:val="RESTREINT UE/EU RESTRICTED"/>
    <w:docVar w:name="LW_CORRIGENDUM" w:val="&lt;UNUSED&gt;"/>
    <w:docVar w:name="LW_COVERPAGE_GUID" w:val="0843A3668E514703B48ECA54C22E0C7F"/>
    <w:docVar w:name="LW_CROSSREFERENCE" w:val="{SWD(2016) 115 final}_x000b_{SWD(2016) 116 final}"/>
    <w:docVar w:name="LW_DocType" w:val="ANNEX"/>
    <w:docVar w:name="LW_EMISSION" w:val="6.4.2016"/>
    <w:docVar w:name="LW_EMISSION_ISODATE" w:val="2016-04-06"/>
    <w:docVar w:name="LW_EMISSION_LOCATION" w:val="BRX"/>
    <w:docVar w:name="LW_EMISSION_PREFIX" w:val="Bruksela, dnia "/>
    <w:docVar w:name="LW_EMISSION_SUFFIX" w:val=" r."/>
    <w:docVar w:name="LW_ID_DOCSTRUCTURE" w:val="COM/ANNEX"/>
    <w:docVar w:name="LW_ID_DOCTYPE" w:val="SG-017"/>
    <w:docVar w:name="LW_LANGUE" w:val="PL"/>
    <w:docVar w:name="LW_MARKING" w:val="&lt;UNUSED&gt;"/>
    <w:docVar w:name="LW_NOM.INST" w:val="KOMISJA EUROPEJSKA"/>
    <w:docVar w:name="LW_NOM.INST_JOINTDOC" w:val="&lt;EMPTY&gt;"/>
    <w:docVar w:name="LW_OBJETACTEPRINCIPAL.CP" w:val="ROZPORZ\u260?DZENIE PARLAMENTU EUROPEJSKIEGO I RADY_x000b_zmieniaj\u261?ce rozporz\u261?dzenie (UE) 2016/399 w odniesieniu do stosowania systemu wjazdu/wyjazdu"/>
    <w:docVar w:name="LW_PART_NBR" w:val="1"/>
    <w:docVar w:name="LW_PART_NBR_TOTAL" w:val="1"/>
    <w:docVar w:name="LW_REF.INST.NEW" w:val="COM"/>
    <w:docVar w:name="LW_REF.INST.NEW_ADOPTED" w:val="final"/>
    <w:docVar w:name="LW_REF.INST.NEW_TEXT" w:val="(2016) 196"/>
    <w:docVar w:name="LW_REF.INTERNE" w:val="&lt;UNUSED&gt;"/>
    <w:docVar w:name="LW_SUPERTITRE" w:val="&lt;UNUSED&gt;"/>
    <w:docVar w:name="LW_TITRE.OBJ.CP" w:val="&lt;UNUSED&gt;"/>
    <w:docVar w:name="LW_TYPE.DOC.CP" w:val="ZA\u321?\u260?CZNIKI"/>
    <w:docVar w:name="LW_TYPEACTEPRINCIPAL.CP" w:val="Wniosek "/>
  </w:docVars>
  <w:rsids>
    <w:rsidRoot w:val="00BC2F2E"/>
    <w:rsid w:val="004003EA"/>
    <w:rsid w:val="00BC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pl-PL"/>
    </w:rPr>
  </w:style>
  <w:style w:type="paragraph" w:customStyle="1" w:styleId="Normal1">
    <w:name w:val="Normal1"/>
    <w:basedOn w:val="Normal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03EA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4003EA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4003EA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pl-PL"/>
    </w:rPr>
  </w:style>
  <w:style w:type="paragraph" w:customStyle="1" w:styleId="Normal1">
    <w:name w:val="Normal1"/>
    <w:basedOn w:val="Normal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03EA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4003EA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4003EA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2</TotalTime>
  <Pages>4</Pages>
  <Words>523</Words>
  <Characters>3465</Characters>
  <Application>Microsoft Office Word</Application>
  <DocSecurity>0</DocSecurity>
  <Lines>76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 MARTINEZ Adrian (COMP)</dc:creator>
  <cp:lastModifiedBy>Stefanie Heilemann</cp:lastModifiedBy>
  <cp:revision>9</cp:revision>
  <dcterms:created xsi:type="dcterms:W3CDTF">2016-04-27T09:27:00Z</dcterms:created>
  <dcterms:modified xsi:type="dcterms:W3CDTF">2016-05-02T14:40:00Z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Yellow (DQC version 03)</vt:lpwstr>
  </property>
</Properties>
</file>