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F1" w:rsidRDefault="00C96F1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DB9EB983D634BF6A6893F7701B14D7D" style="width:450.75pt;height:348pt">
            <v:imagedata r:id="rId9" o:title=""/>
          </v:shape>
        </w:pict>
      </w:r>
    </w:p>
    <w:bookmarkEnd w:id="0"/>
    <w:p w:rsidR="006047F1" w:rsidRDefault="006047F1">
      <w:pPr>
        <w:pStyle w:val="Pagedecouverture"/>
        <w:rPr>
          <w:noProof/>
        </w:rPr>
        <w:sectPr w:rsidR="006047F1">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6047F1" w:rsidRDefault="00C96F15">
      <w:pPr>
        <w:pStyle w:val="Heading"/>
        <w:numPr>
          <w:ilvl w:val="0"/>
          <w:numId w:val="2"/>
        </w:numPr>
        <w:rPr>
          <w:rFonts w:ascii="Times New Roman" w:eastAsia="Times New Roman" w:hAnsi="Times New Roman" w:cs="Times New Roman"/>
          <w:noProof/>
          <w:color w:val="000000"/>
          <w:u w:color="000000"/>
        </w:rPr>
      </w:pPr>
      <w:r>
        <w:rPr>
          <w:rFonts w:ascii="Times New Roman" w:hAnsi="Times New Roman"/>
          <w:noProof/>
          <w:color w:val="000000"/>
          <w:u w:color="000000"/>
        </w:rPr>
        <w:lastRenderedPageBreak/>
        <w:t>HÁTTÉR</w:t>
      </w:r>
    </w:p>
    <w:p w:rsidR="006047F1" w:rsidRDefault="00C96F15">
      <w:pPr>
        <w:pStyle w:val="ListParagraph"/>
        <w:spacing w:before="240"/>
        <w:ind w:left="0"/>
        <w:jc w:val="both"/>
        <w:rPr>
          <w:rFonts w:ascii="Times New Roman" w:eastAsia="Times New Roman" w:hAnsi="Times New Roman" w:cs="Times New Roman"/>
          <w:noProof/>
          <w:sz w:val="24"/>
          <w:szCs w:val="24"/>
        </w:rPr>
      </w:pPr>
      <w:r>
        <w:rPr>
          <w:rFonts w:ascii="Times New Roman" w:hAnsi="Times New Roman"/>
          <w:noProof/>
          <w:sz w:val="24"/>
        </w:rPr>
        <w:t xml:space="preserve">Az emberkereskedelem felnőttek és gyermekek adásvételét és kizsákmányolását jelenti. Ez egy olyan jelenség, amelynek káros hatása van az egyénekre, a társadalomra és a gazdaságra. </w:t>
      </w:r>
      <w:r>
        <w:rPr>
          <w:rFonts w:ascii="Times New Roman" w:hAnsi="Times New Roman"/>
          <w:b/>
          <w:noProof/>
          <w:sz w:val="24"/>
        </w:rPr>
        <w:t>Az emberkereskedők kihasználják az emberek sérülékenységét</w:t>
      </w:r>
      <w:r>
        <w:rPr>
          <w:rFonts w:ascii="Times New Roman" w:hAnsi="Times New Roman"/>
          <w:noProof/>
          <w:sz w:val="24"/>
        </w:rPr>
        <w:t>, amit tovább súly</w:t>
      </w:r>
      <w:r>
        <w:rPr>
          <w:rFonts w:ascii="Times New Roman" w:hAnsi="Times New Roman"/>
          <w:noProof/>
          <w:sz w:val="24"/>
        </w:rPr>
        <w:t>osíthatnak olyan tényezők, mint a szegénység, a diszkrimináció, a nemek közötti egyenlőtlenség, a nők elleni erőszak, az oktatáshoz való hozzáférés hiánya, az etnikai konfliktusok és a természeti katasztrófák.</w:t>
      </w:r>
    </w:p>
    <w:p w:rsidR="006047F1" w:rsidRDefault="00C96F15">
      <w:pPr>
        <w:pStyle w:val="ListParagraph"/>
        <w:ind w:left="0"/>
        <w:jc w:val="both"/>
        <w:rPr>
          <w:rFonts w:ascii="Times New Roman" w:eastAsia="Times New Roman" w:hAnsi="Times New Roman" w:cs="Times New Roman"/>
          <w:noProof/>
          <w:sz w:val="24"/>
          <w:szCs w:val="24"/>
        </w:rPr>
      </w:pPr>
      <w:r>
        <w:rPr>
          <w:rFonts w:ascii="Times New Roman" w:hAnsi="Times New Roman"/>
          <w:b/>
          <w:noProof/>
          <w:sz w:val="24"/>
        </w:rPr>
        <w:t>Az emberkereskedelem olyan bűncselekmény, amit</w:t>
      </w:r>
      <w:r>
        <w:rPr>
          <w:rFonts w:ascii="Times New Roman" w:hAnsi="Times New Roman"/>
          <w:b/>
          <w:noProof/>
          <w:sz w:val="24"/>
        </w:rPr>
        <w:t xml:space="preserve"> a kereslet és a haszon irányít</w:t>
      </w:r>
      <w:r>
        <w:rPr>
          <w:noProof/>
        </w:rPr>
        <w:t>.</w:t>
      </w:r>
      <w:r>
        <w:rPr>
          <w:rFonts w:ascii="Times New Roman" w:hAnsi="Times New Roman"/>
          <w:noProof/>
          <w:sz w:val="24"/>
        </w:rPr>
        <w:t xml:space="preserve"> A legális és illegális gazdaságban egyaránt megjelenő haszon bonyolult összjátékot eredményez a kereslet és a kínálat között, amivel foglalkozni kell, ha a bűncselekményt fel akarjuk számolni.</w:t>
      </w:r>
    </w:p>
    <w:p w:rsidR="006047F1" w:rsidRDefault="00C96F15">
      <w:pPr>
        <w:pStyle w:val="ListParagraph"/>
        <w:ind w:left="0"/>
        <w:jc w:val="both"/>
        <w:rPr>
          <w:rFonts w:ascii="Times New Roman" w:hAnsi="Times New Roman"/>
          <w:noProof/>
          <w:sz w:val="24"/>
          <w:szCs w:val="24"/>
        </w:rPr>
      </w:pPr>
      <w:r>
        <w:rPr>
          <w:rFonts w:ascii="Times New Roman" w:hAnsi="Times New Roman"/>
          <w:noProof/>
          <w:sz w:val="24"/>
        </w:rPr>
        <w:t xml:space="preserve">Az </w:t>
      </w:r>
      <w:r>
        <w:rPr>
          <w:rFonts w:ascii="Times New Roman" w:hAnsi="Times New Roman"/>
          <w:b/>
          <w:noProof/>
          <w:sz w:val="24"/>
        </w:rPr>
        <w:t>emberkereskedelem</w:t>
      </w:r>
      <w:r>
        <w:rPr>
          <w:rFonts w:ascii="Times New Roman" w:hAnsi="Times New Roman"/>
          <w:noProof/>
          <w:sz w:val="24"/>
        </w:rPr>
        <w:t xml:space="preserve"> súlyosan </w:t>
      </w:r>
      <w:r>
        <w:rPr>
          <w:rFonts w:ascii="Times New Roman" w:hAnsi="Times New Roman"/>
          <w:noProof/>
          <w:sz w:val="24"/>
        </w:rPr>
        <w:t xml:space="preserve">sérti az alapvető jogokat, és </w:t>
      </w:r>
      <w:r>
        <w:rPr>
          <w:rFonts w:ascii="Times New Roman" w:hAnsi="Times New Roman"/>
          <w:b/>
          <w:noProof/>
          <w:sz w:val="24"/>
        </w:rPr>
        <w:t>azt az Európai Unió Alapjogi Chartája kifejezetten tiltja.</w:t>
      </w:r>
      <w:r>
        <w:rPr>
          <w:rFonts w:ascii="Times New Roman" w:hAnsi="Times New Roman"/>
          <w:noProof/>
          <w:sz w:val="24"/>
        </w:rPr>
        <w:t xml:space="preserve"> Emellett az Európai Unió működéséről szóló szerződés 83. cikke is bűncselekménynek minősíti. A 83. cikkben felsorolt bűncselekményeket „Euró bűncselekményeknek” nevezi</w:t>
      </w:r>
      <w:r>
        <w:rPr>
          <w:rFonts w:ascii="Times New Roman" w:hAnsi="Times New Roman"/>
          <w:noProof/>
          <w:sz w:val="24"/>
        </w:rPr>
        <w:t>k. Ezek különösen súlyos bűncselekmények, amiknek határokon átnyúló dimenziói vannak.</w:t>
      </w:r>
    </w:p>
    <w:p w:rsidR="006047F1" w:rsidRDefault="00C96F15">
      <w:pPr>
        <w:pStyle w:val="ListParagraph"/>
        <w:ind w:left="0"/>
        <w:jc w:val="both"/>
        <w:rPr>
          <w:rFonts w:ascii="Times New Roman" w:hAnsi="Times New Roman"/>
          <w:noProof/>
          <w:sz w:val="24"/>
          <w:szCs w:val="24"/>
        </w:rPr>
      </w:pPr>
      <w:r>
        <w:rPr>
          <w:rFonts w:ascii="Times New Roman" w:hAnsi="Times New Roman"/>
          <w:noProof/>
          <w:sz w:val="24"/>
        </w:rPr>
        <w:t xml:space="preserve">Ezért elengedhetetlen a tagállamok közötti együttműködés és koordináció, amit </w:t>
      </w:r>
      <w:r>
        <w:rPr>
          <w:rFonts w:ascii="Times New Roman" w:hAnsi="Times New Roman"/>
          <w:b/>
          <w:noProof/>
          <w:sz w:val="24"/>
        </w:rPr>
        <w:t>az emberkereskedelem megelőzéséről, és az ellene folytatott küzdelemről, valamint az áldozat</w:t>
      </w:r>
      <w:r>
        <w:rPr>
          <w:rFonts w:ascii="Times New Roman" w:hAnsi="Times New Roman"/>
          <w:b/>
          <w:noProof/>
          <w:sz w:val="24"/>
        </w:rPr>
        <w:t>ok védelméről szóló 2011/36/EU irányelv</w:t>
      </w:r>
      <w:r>
        <w:rPr>
          <w:rStyle w:val="FootnoteReference"/>
          <w:rFonts w:ascii="Times New Roman" w:hAnsi="Times New Roman"/>
          <w:noProof/>
          <w:sz w:val="24"/>
        </w:rPr>
        <w:footnoteReference w:id="2"/>
      </w:r>
      <w:r>
        <w:rPr>
          <w:rFonts w:ascii="Times New Roman" w:hAnsi="Times New Roman"/>
          <w:b/>
          <w:noProof/>
          <w:sz w:val="24"/>
        </w:rPr>
        <w:t xml:space="preserve"> </w:t>
      </w:r>
      <w:r>
        <w:rPr>
          <w:rFonts w:ascii="Times New Roman" w:hAnsi="Times New Roman"/>
          <w:noProof/>
          <w:sz w:val="24"/>
        </w:rPr>
        <w:t xml:space="preserve">(az emberkereskedelem elleni irányelv) is megjelenít. Az irányelv 20. cikke kimondja, hogy annak érdekében, hogy hozzájáruljanak az Unió emberkereskedelem elleni összehangolt és megerősített stratégiájához, a </w:t>
      </w:r>
      <w:r>
        <w:rPr>
          <w:rFonts w:ascii="Times New Roman" w:hAnsi="Times New Roman"/>
          <w:noProof/>
          <w:sz w:val="24"/>
        </w:rPr>
        <w:t xml:space="preserve">„tagállamok a 19. cikkben említett információkat az emberkereskedelem elleni fellépések uniós koordinátorának („koordinátor”) továbbítják, ami alapján a koordinátor hozzájárul a Bizottság által az emberkereskedelem elleni küzdelem terén elért eredményekre </w:t>
      </w:r>
      <w:r>
        <w:rPr>
          <w:rFonts w:ascii="Times New Roman" w:hAnsi="Times New Roman"/>
          <w:noProof/>
          <w:sz w:val="24"/>
        </w:rPr>
        <w:t>vonatkozóan kétévente teljesítendő jelentéstételhez”.</w:t>
      </w:r>
    </w:p>
    <w:p w:rsidR="006047F1" w:rsidRDefault="00C96F15">
      <w:pPr>
        <w:pStyle w:val="ListParagraph"/>
        <w:ind w:left="0"/>
        <w:jc w:val="both"/>
        <w:rPr>
          <w:rFonts w:ascii="Times New Roman" w:hAnsi="Times New Roman"/>
          <w:noProof/>
          <w:sz w:val="24"/>
          <w:szCs w:val="24"/>
        </w:rPr>
      </w:pPr>
      <w:r>
        <w:rPr>
          <w:rFonts w:ascii="Times New Roman" w:hAnsi="Times New Roman"/>
          <w:noProof/>
          <w:sz w:val="24"/>
        </w:rPr>
        <w:t>E célból a Bizottság kinevezte az Unió emberkereskedelem elleni fellépések uniós koordinátorát, aki felelős az Unió intézményei, az Unió ügynökségei, a tagállamok és a nemzetközi szereplők közötti koord</w:t>
      </w:r>
      <w:r>
        <w:rPr>
          <w:rFonts w:ascii="Times New Roman" w:hAnsi="Times New Roman"/>
          <w:noProof/>
          <w:sz w:val="24"/>
        </w:rPr>
        <w:t>ináció és a következetesség javításáért, valamint új és a meglévő uniós politikák fejlesztéséért az emberkereskedelem kezelése érdekében.</w:t>
      </w:r>
      <w:r>
        <w:rPr>
          <w:rStyle w:val="FootnoteReference"/>
          <w:rFonts w:ascii="Times New Roman" w:hAnsi="Times New Roman"/>
          <w:noProof/>
          <w:sz w:val="24"/>
        </w:rPr>
        <w:footnoteReference w:id="3"/>
      </w:r>
    </w:p>
    <w:p w:rsidR="006047F1" w:rsidRDefault="00C96F15">
      <w:pPr>
        <w:pStyle w:val="ListParagraph"/>
        <w:ind w:left="0"/>
        <w:jc w:val="both"/>
        <w:rPr>
          <w:rFonts w:ascii="Times New Roman" w:hAnsi="Times New Roman"/>
          <w:noProof/>
          <w:sz w:val="24"/>
          <w:szCs w:val="24"/>
        </w:rPr>
      </w:pPr>
      <w:r>
        <w:rPr>
          <w:rFonts w:ascii="Times New Roman" w:hAnsi="Times New Roman"/>
          <w:noProof/>
          <w:sz w:val="24"/>
        </w:rPr>
        <w:t>Ez a</w:t>
      </w:r>
      <w:r>
        <w:rPr>
          <w:rFonts w:ascii="Times New Roman" w:hAnsi="Times New Roman"/>
          <w:b/>
          <w:noProof/>
          <w:sz w:val="24"/>
        </w:rPr>
        <w:t xml:space="preserve"> Bizottság első jelentése az emberkereskedelemről az emberkereskedelem elleni irányelv elfogadása óta</w:t>
      </w:r>
      <w:r>
        <w:rPr>
          <w:rFonts w:ascii="Times New Roman" w:hAnsi="Times New Roman"/>
          <w:noProof/>
          <w:sz w:val="24"/>
        </w:rPr>
        <w:t>. Összhangba</w:t>
      </w:r>
      <w:r>
        <w:rPr>
          <w:rFonts w:ascii="Times New Roman" w:hAnsi="Times New Roman"/>
          <w:noProof/>
          <w:sz w:val="24"/>
        </w:rPr>
        <w:t>n az említett irányelv (27) preambulumbekezdésével és 19. cikkével, a jelentés három fő részből áll: tendenciák az emberkereskedelemben, az emberkereskedelem elleni konkrét intézkedések eredményei, és a tagállamok által adott statisztikák. Kapcsolódik hozz</w:t>
      </w:r>
      <w:r>
        <w:rPr>
          <w:rFonts w:ascii="Times New Roman" w:hAnsi="Times New Roman"/>
          <w:noProof/>
          <w:sz w:val="24"/>
        </w:rPr>
        <w:t>á egy személyzeti munkadokumentum</w:t>
      </w:r>
      <w:r>
        <w:rPr>
          <w:rStyle w:val="FootnoteReference"/>
          <w:rFonts w:ascii="Times New Roman" w:hAnsi="Times New Roman"/>
          <w:noProof/>
          <w:sz w:val="24"/>
        </w:rPr>
        <w:footnoteReference w:id="4"/>
      </w:r>
      <w:r>
        <w:rPr>
          <w:rFonts w:ascii="Times New Roman" w:hAnsi="Times New Roman"/>
          <w:noProof/>
          <w:sz w:val="24"/>
        </w:rPr>
        <w:t xml:space="preserve">, amely részletes és </w:t>
      </w:r>
      <w:r>
        <w:rPr>
          <w:rFonts w:ascii="Times New Roman" w:hAnsi="Times New Roman"/>
          <w:noProof/>
          <w:sz w:val="24"/>
        </w:rPr>
        <w:lastRenderedPageBreak/>
        <w:t xml:space="preserve">átfogó tényszerű információkkal egészíti ki a jelentésben foglalt információt. Emellett a jelentés vizsgálja a Bizottság és az egyéb érdekeltek által </w:t>
      </w:r>
      <w:r>
        <w:rPr>
          <w:rFonts w:ascii="Times New Roman" w:hAnsi="Times New Roman"/>
          <w:b/>
          <w:noProof/>
          <w:sz w:val="24"/>
        </w:rPr>
        <w:t>Az emberkereskedelem felszámolására irányuló európa</w:t>
      </w:r>
      <w:r>
        <w:rPr>
          <w:rFonts w:ascii="Times New Roman" w:hAnsi="Times New Roman"/>
          <w:b/>
          <w:noProof/>
          <w:sz w:val="24"/>
        </w:rPr>
        <w:t>i uniós stratégia 2012-2016</w:t>
      </w:r>
      <w:r>
        <w:rPr>
          <w:rStyle w:val="FootnoteReference"/>
          <w:rFonts w:ascii="Times New Roman" w:hAnsi="Times New Roman"/>
          <w:noProof/>
          <w:sz w:val="24"/>
        </w:rPr>
        <w:footnoteReference w:id="5"/>
      </w:r>
      <w:r>
        <w:rPr>
          <w:rFonts w:ascii="Times New Roman" w:hAnsi="Times New Roman"/>
          <w:noProof/>
          <w:sz w:val="24"/>
        </w:rPr>
        <w:t xml:space="preserve"> (a továbbiakban: EU stratégia) alapján tett intézkedéseket. A jelentés megállapításait arra használják fel, hogy rávilágítsanak a Bizottság politikai irányvonalára, és azokat figyelembe veszik a 2016-ban kiadásra kerülő, az </w:t>
      </w:r>
      <w:r>
        <w:rPr>
          <w:rFonts w:ascii="Times New Roman" w:hAnsi="Times New Roman"/>
          <w:b/>
          <w:noProof/>
          <w:sz w:val="24"/>
        </w:rPr>
        <w:t>emb</w:t>
      </w:r>
      <w:r>
        <w:rPr>
          <w:rFonts w:ascii="Times New Roman" w:hAnsi="Times New Roman"/>
          <w:b/>
          <w:noProof/>
          <w:sz w:val="24"/>
        </w:rPr>
        <w:t>erkereskedelemre vonatkozó</w:t>
      </w:r>
      <w:r>
        <w:rPr>
          <w:rFonts w:ascii="Times New Roman" w:hAnsi="Times New Roman"/>
          <w:noProof/>
          <w:sz w:val="24"/>
        </w:rPr>
        <w:t xml:space="preserve"> </w:t>
      </w:r>
      <w:r>
        <w:rPr>
          <w:rFonts w:ascii="Times New Roman" w:hAnsi="Times New Roman"/>
          <w:b/>
          <w:noProof/>
          <w:sz w:val="24"/>
        </w:rPr>
        <w:t>2016 utáni stratégia</w:t>
      </w:r>
      <w:r>
        <w:rPr>
          <w:rFonts w:ascii="Times New Roman" w:hAnsi="Times New Roman"/>
          <w:noProof/>
          <w:sz w:val="24"/>
        </w:rPr>
        <w:t xml:space="preserve"> kidolgozása során.</w:t>
      </w:r>
    </w:p>
    <w:p w:rsidR="006047F1" w:rsidRDefault="00C96F15">
      <w:pPr>
        <w:pStyle w:val="Body"/>
        <w:jc w:val="both"/>
        <w:rPr>
          <w:rFonts w:ascii="Times New Roman" w:hAnsi="Times New Roman"/>
          <w:noProof/>
          <w:sz w:val="24"/>
          <w:szCs w:val="24"/>
        </w:rPr>
      </w:pPr>
      <w:r>
        <w:rPr>
          <w:rFonts w:ascii="Times New Roman" w:hAnsi="Times New Roman"/>
          <w:noProof/>
          <w:sz w:val="24"/>
        </w:rPr>
        <w:t>Ezen túlmenően a jelentés megvizsgálja azokat a kulcsfontosságú EU politikákat, melyek tárgya az emberkereskedelem, beleértve az európai migrációs stratégiát;</w:t>
      </w:r>
      <w:r>
        <w:rPr>
          <w:rStyle w:val="FootnoteReference"/>
          <w:rFonts w:ascii="Times New Roman" w:hAnsi="Times New Roman"/>
          <w:noProof/>
          <w:sz w:val="24"/>
        </w:rPr>
        <w:footnoteReference w:id="6"/>
      </w:r>
      <w:r>
        <w:rPr>
          <w:rFonts w:ascii="Times New Roman" w:hAnsi="Times New Roman"/>
          <w:noProof/>
          <w:sz w:val="24"/>
        </w:rPr>
        <w:t xml:space="preserve"> az európai biztonsági stratég</w:t>
      </w:r>
      <w:r>
        <w:rPr>
          <w:rFonts w:ascii="Times New Roman" w:hAnsi="Times New Roman"/>
          <w:noProof/>
          <w:sz w:val="24"/>
        </w:rPr>
        <w:t>iát;</w:t>
      </w:r>
      <w:r>
        <w:rPr>
          <w:rStyle w:val="FootnoteReference"/>
          <w:rFonts w:ascii="Times New Roman" w:hAnsi="Times New Roman"/>
          <w:noProof/>
          <w:sz w:val="24"/>
        </w:rPr>
        <w:footnoteReference w:id="7"/>
      </w:r>
      <w:r>
        <w:rPr>
          <w:rFonts w:ascii="Times New Roman" w:hAnsi="Times New Roman"/>
          <w:noProof/>
          <w:sz w:val="24"/>
        </w:rPr>
        <w:t xml:space="preserve"> az EU migránscsempészet elleni cselekvési tervét (2015-2020);</w:t>
      </w:r>
      <w:r>
        <w:rPr>
          <w:rStyle w:val="FootnoteReference"/>
          <w:rFonts w:ascii="Times New Roman" w:hAnsi="Times New Roman"/>
          <w:noProof/>
          <w:sz w:val="24"/>
        </w:rPr>
        <w:footnoteReference w:id="8"/>
      </w:r>
      <w:r>
        <w:rPr>
          <w:rFonts w:ascii="Times New Roman" w:hAnsi="Times New Roman"/>
          <w:noProof/>
          <w:sz w:val="24"/>
        </w:rPr>
        <w:t xml:space="preserve"> az emberi jogokra és a demokráciára vonatkozó cselekvési tervet (2015-2019);</w:t>
      </w:r>
      <w:r>
        <w:rPr>
          <w:rFonts w:ascii="Times New Roman" w:hAnsi="Times New Roman"/>
          <w:noProof/>
          <w:color w:val="auto"/>
          <w:sz w:val="24"/>
          <w:vertAlign w:val="superscript"/>
        </w:rPr>
        <w:footnoteReference w:id="9"/>
      </w:r>
      <w:r>
        <w:rPr>
          <w:rFonts w:ascii="Times New Roman" w:hAnsi="Times New Roman"/>
          <w:noProof/>
          <w:sz w:val="24"/>
        </w:rPr>
        <w:t xml:space="preserve"> az EU tevékenységeinek új keretét a nemek közötti egyenlőség és a nők szerepének erősítésére az EU külkapcsol</w:t>
      </w:r>
      <w:r>
        <w:rPr>
          <w:rFonts w:ascii="Times New Roman" w:hAnsi="Times New Roman"/>
          <w:noProof/>
          <w:sz w:val="24"/>
        </w:rPr>
        <w:t>atai tekintetében (2016</w:t>
      </w:r>
      <w:r>
        <w:rPr>
          <w:noProof/>
        </w:rPr>
        <w:noBreakHyphen/>
      </w:r>
      <w:r>
        <w:rPr>
          <w:rFonts w:ascii="Times New Roman" w:hAnsi="Times New Roman"/>
          <w:noProof/>
          <w:sz w:val="24"/>
        </w:rPr>
        <w:t>2020)</w:t>
      </w:r>
      <w:r>
        <w:rPr>
          <w:rStyle w:val="FootnoteReference"/>
          <w:rFonts w:ascii="Times New Roman" w:hAnsi="Times New Roman"/>
          <w:noProof/>
          <w:sz w:val="24"/>
        </w:rPr>
        <w:footnoteReference w:id="10"/>
      </w:r>
      <w:r>
        <w:rPr>
          <w:rFonts w:ascii="Times New Roman" w:hAnsi="Times New Roman"/>
          <w:noProof/>
          <w:sz w:val="24"/>
        </w:rPr>
        <w:t>, valamint az EU stratégiai elkötelezettségét a nemek közötti egyenlőség iránt (2016-2019).</w:t>
      </w:r>
      <w:r>
        <w:rPr>
          <w:rStyle w:val="FootnoteReference"/>
          <w:rFonts w:ascii="Times New Roman" w:hAnsi="Times New Roman"/>
          <w:noProof/>
          <w:sz w:val="24"/>
        </w:rPr>
        <w:footnoteReference w:id="11"/>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Ez a jelentés olyan kérdésekre összpontosít, melyek kiemelik az emberkereskedelem elleni irányelv és az EU stratégia átfogó </w:t>
      </w:r>
      <w:r>
        <w:rPr>
          <w:rFonts w:ascii="Times New Roman" w:hAnsi="Times New Roman"/>
          <w:noProof/>
          <w:sz w:val="24"/>
        </w:rPr>
        <w:t>megközelítését. Különösen a „három P” végrehajtása révén megvalósított előrehaladást vizsgálja:</w:t>
      </w:r>
      <w:r>
        <w:rPr>
          <w:rFonts w:ascii="Times New Roman" w:hAnsi="Times New Roman"/>
          <w:b/>
          <w:noProof/>
          <w:sz w:val="24"/>
        </w:rPr>
        <w:t xml:space="preserve"> vád (prosecution)</w:t>
      </w:r>
      <w:r>
        <w:rPr>
          <w:rFonts w:ascii="Times New Roman" w:hAnsi="Times New Roman"/>
          <w:noProof/>
          <w:sz w:val="24"/>
        </w:rPr>
        <w:t xml:space="preserve"> (ahol a pénzügyi nyomozás áll a középpontban);</w:t>
      </w:r>
      <w:r>
        <w:rPr>
          <w:rFonts w:ascii="Times New Roman" w:hAnsi="Times New Roman"/>
          <w:b/>
          <w:noProof/>
          <w:sz w:val="24"/>
        </w:rPr>
        <w:t xml:space="preserve"> védelem</w:t>
      </w:r>
      <w:r>
        <w:rPr>
          <w:rFonts w:ascii="Times New Roman" w:hAnsi="Times New Roman"/>
          <w:noProof/>
          <w:sz w:val="24"/>
        </w:rPr>
        <w:t xml:space="preserve"> </w:t>
      </w:r>
      <w:r>
        <w:rPr>
          <w:rFonts w:ascii="Times New Roman" w:hAnsi="Times New Roman"/>
          <w:b/>
          <w:noProof/>
          <w:sz w:val="24"/>
        </w:rPr>
        <w:t>(protection)</w:t>
      </w:r>
      <w:r>
        <w:rPr>
          <w:rFonts w:ascii="Times New Roman" w:hAnsi="Times New Roman"/>
          <w:noProof/>
          <w:sz w:val="24"/>
        </w:rPr>
        <w:t xml:space="preserve"> (amelynek középpontjában a nemzeti áldozatkezelési mechanizmusok felállítá</w:t>
      </w:r>
      <w:r>
        <w:rPr>
          <w:rFonts w:ascii="Times New Roman" w:hAnsi="Times New Roman"/>
          <w:noProof/>
          <w:sz w:val="24"/>
        </w:rPr>
        <w:t>sa áll); és</w:t>
      </w:r>
      <w:r>
        <w:rPr>
          <w:rFonts w:ascii="Times New Roman" w:hAnsi="Times New Roman"/>
          <w:b/>
          <w:noProof/>
          <w:sz w:val="24"/>
        </w:rPr>
        <w:t xml:space="preserve"> megelőzés</w:t>
      </w:r>
      <w:r>
        <w:rPr>
          <w:rFonts w:ascii="Times New Roman" w:hAnsi="Times New Roman"/>
          <w:noProof/>
          <w:sz w:val="24"/>
        </w:rPr>
        <w:t xml:space="preserve"> </w:t>
      </w:r>
      <w:r>
        <w:rPr>
          <w:rFonts w:ascii="Times New Roman" w:hAnsi="Times New Roman"/>
          <w:b/>
          <w:noProof/>
          <w:sz w:val="24"/>
        </w:rPr>
        <w:t>(prevention)</w:t>
      </w:r>
      <w:r>
        <w:rPr>
          <w:rFonts w:ascii="Times New Roman" w:hAnsi="Times New Roman"/>
          <w:noProof/>
          <w:sz w:val="24"/>
        </w:rPr>
        <w:t xml:space="preserve"> (a hangsúly a tagállamok által a bűncselekmények megelőzésére tett intézkedéseken van, ahogy azt az emberkereskedelem elleni irányelv 18. cikke előírja).</w:t>
      </w:r>
    </w:p>
    <w:p w:rsidR="006047F1" w:rsidRDefault="00C96F15">
      <w:pPr>
        <w:pStyle w:val="ListParagraph"/>
        <w:ind w:left="0"/>
        <w:jc w:val="both"/>
        <w:rPr>
          <w:rFonts w:ascii="Times New Roman" w:eastAsia="Times New Roman" w:hAnsi="Times New Roman" w:cs="Times New Roman"/>
          <w:b/>
          <w:bCs/>
          <w:noProof/>
          <w:sz w:val="24"/>
          <w:szCs w:val="24"/>
        </w:rPr>
      </w:pPr>
      <w:r>
        <w:rPr>
          <w:rFonts w:ascii="Times New Roman" w:hAnsi="Times New Roman" w:cs="Times New Roman"/>
          <w:noProof/>
          <w:sz w:val="24"/>
          <w:szCs w:val="24"/>
        </w:rPr>
        <w:t xml:space="preserve">A jelentés három fő forrásból származó információn alapul: a </w:t>
      </w:r>
      <w:r>
        <w:rPr>
          <w:rFonts w:ascii="Times New Roman" w:hAnsi="Times New Roman" w:cs="Times New Roman"/>
          <w:b/>
          <w:noProof/>
          <w:sz w:val="24"/>
          <w:szCs w:val="24"/>
        </w:rPr>
        <w:t>nemzet</w:t>
      </w:r>
      <w:r>
        <w:rPr>
          <w:rFonts w:ascii="Times New Roman" w:hAnsi="Times New Roman" w:cs="Times New Roman"/>
          <w:b/>
          <w:noProof/>
          <w:sz w:val="24"/>
          <w:szCs w:val="24"/>
        </w:rPr>
        <w:t>i előadók vagy azzal egyenértékű mechanizmusok („NREM”)</w:t>
      </w:r>
      <w:r>
        <w:rPr>
          <w:rFonts w:ascii="Times New Roman" w:hAnsi="Times New Roman" w:cs="Times New Roman"/>
          <w:noProof/>
          <w:sz w:val="24"/>
          <w:szCs w:val="24"/>
        </w:rPr>
        <w:t xml:space="preserve"> által összegyűjtött és a tagállamok által az emberkereskedelem elleni koordinátornak az emberkereskedelem elleni irányelv 19. és 20. cikkei alapján benyújtott információk; az </w:t>
      </w:r>
      <w:r>
        <w:rPr>
          <w:rFonts w:ascii="Times New Roman" w:hAnsi="Times New Roman" w:cs="Times New Roman"/>
          <w:b/>
          <w:noProof/>
          <w:sz w:val="24"/>
          <w:szCs w:val="24"/>
        </w:rPr>
        <w:t xml:space="preserve">EU emberkereskedelem </w:t>
      </w:r>
      <w:r>
        <w:rPr>
          <w:rFonts w:ascii="Times New Roman" w:hAnsi="Times New Roman" w:cs="Times New Roman"/>
          <w:b/>
          <w:noProof/>
          <w:sz w:val="24"/>
          <w:szCs w:val="24"/>
        </w:rPr>
        <w:t>elleni civil társadalmi platformjában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és az </w:t>
      </w:r>
      <w:r>
        <w:rPr>
          <w:rFonts w:ascii="Times New Roman" w:hAnsi="Times New Roman" w:cs="Times New Roman"/>
          <w:b/>
          <w:noProof/>
          <w:sz w:val="24"/>
          <w:szCs w:val="24"/>
        </w:rPr>
        <w:t>EU civil társadalmi e-platformjában</w:t>
      </w:r>
      <w:r>
        <w:rPr>
          <w:rFonts w:ascii="Times New Roman" w:hAnsi="Times New Roman" w:cs="Times New Roman"/>
          <w:noProof/>
          <w:sz w:val="24"/>
          <w:szCs w:val="24"/>
        </w:rPr>
        <w:t xml:space="preserve"> részes civil szervezetek által adott hozzájárulások; és az érintett </w:t>
      </w:r>
      <w:r>
        <w:rPr>
          <w:rFonts w:ascii="Times New Roman" w:hAnsi="Times New Roman" w:cs="Times New Roman"/>
          <w:b/>
          <w:noProof/>
          <w:sz w:val="24"/>
          <w:szCs w:val="24"/>
        </w:rPr>
        <w:t>uniós ügynökségektől és nemzetközi és regionális szervezetektől</w:t>
      </w:r>
      <w:r>
        <w:rPr>
          <w:rFonts w:ascii="Times New Roman" w:hAnsi="Times New Roman" w:cs="Times New Roman"/>
          <w:noProof/>
          <w:sz w:val="24"/>
          <w:szCs w:val="24"/>
        </w:rPr>
        <w:t xml:space="preserve"> származó információ.</w:t>
      </w:r>
    </w:p>
    <w:p w:rsidR="006047F1" w:rsidRDefault="00C96F15">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lastRenderedPageBreak/>
        <w:t>A tagállamok által ben</w:t>
      </w:r>
      <w:r>
        <w:rPr>
          <w:rFonts w:ascii="Times New Roman" w:hAnsi="Times New Roman"/>
          <w:noProof/>
          <w:sz w:val="24"/>
        </w:rPr>
        <w:t>yújtott információ nagyrészt a</w:t>
      </w:r>
      <w:r>
        <w:rPr>
          <w:rFonts w:ascii="Times New Roman" w:hAnsi="Times New Roman"/>
          <w:b/>
          <w:noProof/>
          <w:sz w:val="24"/>
        </w:rPr>
        <w:t xml:space="preserve"> 2011-2013 közötti időszakot </w:t>
      </w:r>
      <w:r>
        <w:rPr>
          <w:rFonts w:ascii="Times New Roman" w:hAnsi="Times New Roman"/>
          <w:noProof/>
          <w:sz w:val="24"/>
        </w:rPr>
        <w:t xml:space="preserve">fedi le. Ugyanakkor a jelentés tartalmaz naprakész információt is, beleértve </w:t>
      </w:r>
      <w:r>
        <w:rPr>
          <w:rFonts w:ascii="Times New Roman" w:hAnsi="Times New Roman"/>
          <w:b/>
          <w:noProof/>
          <w:sz w:val="24"/>
        </w:rPr>
        <w:t>a 2013-2014. évekre vonatkozó statisztikai adatokat.</w:t>
      </w:r>
      <w:r>
        <w:rPr>
          <w:rStyle w:val="FootnoteReference"/>
          <w:rFonts w:ascii="Times New Roman" w:hAnsi="Times New Roman"/>
          <w:noProof/>
          <w:sz w:val="24"/>
        </w:rPr>
        <w:footnoteReference w:id="13"/>
      </w:r>
    </w:p>
    <w:p w:rsidR="006047F1" w:rsidRDefault="00C96F15">
      <w:pPr>
        <w:pStyle w:val="Heading"/>
        <w:numPr>
          <w:ilvl w:val="0"/>
          <w:numId w:val="5"/>
        </w:numPr>
        <w:rPr>
          <w:rFonts w:ascii="Times New Roman" w:eastAsia="Times New Roman" w:hAnsi="Times New Roman" w:cs="Times New Roman"/>
          <w:noProof/>
          <w:color w:val="000000"/>
          <w:u w:color="000000"/>
        </w:rPr>
      </w:pPr>
      <w:r>
        <w:rPr>
          <w:rFonts w:ascii="Times New Roman" w:hAnsi="Times New Roman"/>
          <w:noProof/>
          <w:color w:val="000000"/>
          <w:u w:color="000000"/>
        </w:rPr>
        <w:t>AZ EMBERKERESKEDELEM KEZELÉSÉVEL KAPCSOLATOS TENDENCIÁK ÉS KIHÍVÁS</w:t>
      </w:r>
      <w:r>
        <w:rPr>
          <w:rFonts w:ascii="Times New Roman" w:hAnsi="Times New Roman"/>
          <w:noProof/>
          <w:color w:val="000000"/>
          <w:u w:color="000000"/>
        </w:rPr>
        <w:t>OK AZ EU-BAN</w:t>
      </w:r>
    </w:p>
    <w:p w:rsidR="006047F1" w:rsidRDefault="00C96F15">
      <w:pPr>
        <w:pStyle w:val="Body"/>
        <w:spacing w:before="240"/>
        <w:jc w:val="both"/>
        <w:rPr>
          <w:rFonts w:ascii="Times New Roman" w:eastAsia="Times New Roman" w:hAnsi="Times New Roman" w:cs="Times New Roman"/>
          <w:b/>
          <w:bCs/>
          <w:noProof/>
          <w:sz w:val="24"/>
          <w:szCs w:val="24"/>
          <w:u w:val="single"/>
        </w:rPr>
      </w:pPr>
      <w:r>
        <w:rPr>
          <w:rFonts w:ascii="Times New Roman" w:hAnsi="Times New Roman"/>
          <w:noProof/>
          <w:sz w:val="24"/>
        </w:rPr>
        <w:t>Az emberkereskedelem mint összetett bűncselekmény pontos méretének felmérése uniós szinten a más bűncselekményekhez való kapcsolódása és a nemzeti jogszabályok közötti különbségek miatt bonyolult. Az elmúlt években a Bizottság az Eurostaton ke</w:t>
      </w:r>
      <w:r>
        <w:rPr>
          <w:rFonts w:ascii="Times New Roman" w:hAnsi="Times New Roman"/>
          <w:noProof/>
          <w:sz w:val="24"/>
        </w:rPr>
        <w:t>resztül már összegyűjtötte a vonatkozó statisztikákat. Az Eurostat emberkereskedelemre</w:t>
      </w:r>
      <w:r>
        <w:rPr>
          <w:rFonts w:ascii="Times New Roman" w:hAnsi="Times New Roman"/>
          <w:noProof/>
          <w:color w:val="auto"/>
          <w:sz w:val="24"/>
          <w:vertAlign w:val="superscript"/>
        </w:rPr>
        <w:footnoteReference w:id="14"/>
      </w:r>
      <w:r>
        <w:rPr>
          <w:rFonts w:ascii="Times New Roman" w:hAnsi="Times New Roman"/>
          <w:noProof/>
          <w:sz w:val="24"/>
        </w:rPr>
        <w:t xml:space="preserve"> vonatkozó legfrissebb jelentése 2015-ben jelent meg, és a 2010-2012-es időszakra vonatkozik.</w:t>
      </w:r>
    </w:p>
    <w:p w:rsidR="006047F1" w:rsidRDefault="00C96F15">
      <w:pPr>
        <w:pStyle w:val="Body"/>
        <w:jc w:val="both"/>
        <w:rPr>
          <w:rFonts w:ascii="Times New Roman" w:hAnsi="Times New Roman"/>
          <w:noProof/>
          <w:color w:val="auto"/>
          <w:sz w:val="24"/>
          <w:szCs w:val="24"/>
        </w:rPr>
      </w:pPr>
      <w:r>
        <w:rPr>
          <w:rFonts w:ascii="Times New Roman" w:hAnsi="Times New Roman"/>
          <w:noProof/>
          <w:sz w:val="24"/>
        </w:rPr>
        <w:t>A tagállamok által e jelentés céljából a</w:t>
      </w:r>
      <w:r>
        <w:rPr>
          <w:rFonts w:ascii="Times New Roman" w:hAnsi="Times New Roman"/>
          <w:b/>
          <w:noProof/>
          <w:sz w:val="24"/>
        </w:rPr>
        <w:t xml:space="preserve"> 2013</w:t>
      </w:r>
      <w:r>
        <w:rPr>
          <w:noProof/>
        </w:rPr>
        <w:noBreakHyphen/>
      </w:r>
      <w:r>
        <w:rPr>
          <w:rFonts w:ascii="Times New Roman" w:hAnsi="Times New Roman"/>
          <w:b/>
          <w:noProof/>
          <w:sz w:val="24"/>
        </w:rPr>
        <w:t>2014 időszakra</w:t>
      </w:r>
      <w:r>
        <w:rPr>
          <w:rStyle w:val="FootnoteReference"/>
          <w:rFonts w:ascii="Times New Roman" w:hAnsi="Times New Roman"/>
          <w:noProof/>
          <w:sz w:val="24"/>
        </w:rPr>
        <w:footnoteReference w:id="15"/>
      </w:r>
      <w:r>
        <w:rPr>
          <w:rFonts w:ascii="Times New Roman" w:hAnsi="Times New Roman"/>
          <w:noProof/>
          <w:sz w:val="24"/>
        </w:rPr>
        <w:t xml:space="preserve"> rendelkezésre bocsátott statisztikai adatokból kirajzolódó tendenciák összhangban vannak az előző időszak tendenciáival.</w:t>
      </w:r>
      <w:r>
        <w:rPr>
          <w:noProof/>
        </w:rPr>
        <w:t xml:space="preserve"> </w:t>
      </w:r>
      <w:r>
        <w:rPr>
          <w:rFonts w:ascii="Times New Roman" w:hAnsi="Times New Roman"/>
          <w:noProof/>
          <w:sz w:val="24"/>
        </w:rPr>
        <w:t>Fontos hangsúlyozni, hogy ez az adat a „regisztrált áldozatokra” (azonosított és feltételezett egyaránt) utal</w:t>
      </w:r>
      <w:r>
        <w:rPr>
          <w:rStyle w:val="FootnoteReference"/>
          <w:rFonts w:ascii="Times New Roman" w:hAnsi="Times New Roman"/>
          <w:noProof/>
          <w:sz w:val="24"/>
        </w:rPr>
        <w:footnoteReference w:id="16"/>
      </w:r>
      <w:r>
        <w:rPr>
          <w:rFonts w:ascii="Times New Roman" w:hAnsi="Times New Roman"/>
          <w:noProof/>
          <w:sz w:val="24"/>
        </w:rPr>
        <w:t xml:space="preserve">. Tekintettel azonban a </w:t>
      </w:r>
      <w:r>
        <w:rPr>
          <w:rFonts w:ascii="Times New Roman" w:hAnsi="Times New Roman"/>
          <w:noProof/>
          <w:sz w:val="24"/>
        </w:rPr>
        <w:t>jelenség összetettségére, alapos okkal várható, hogy az emberkereskedelem áldozatainak tényleges számok az EU-ban valójában jelentősen magasabb.</w:t>
      </w:r>
    </w:p>
    <w:p w:rsidR="006047F1" w:rsidRDefault="00C96F15">
      <w:pPr>
        <w:pStyle w:val="Body"/>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 xml:space="preserve">Az EU-ban az emberkereskedelemnek összesen </w:t>
      </w:r>
      <w:r>
        <w:rPr>
          <w:rFonts w:ascii="Times New Roman" w:hAnsi="Times New Roman"/>
          <w:b/>
          <w:noProof/>
          <w:sz w:val="24"/>
        </w:rPr>
        <w:t>15 846 „regisztrált áldozata”</w:t>
      </w:r>
      <w:r>
        <w:rPr>
          <w:rFonts w:ascii="Times New Roman" w:hAnsi="Times New Roman"/>
          <w:noProof/>
          <w:sz w:val="24"/>
        </w:rPr>
        <w:t xml:space="preserve"> (azonosított és feltételezett) volt.</w:t>
      </w:r>
      <w:r>
        <w:rPr>
          <w:noProof/>
        </w:rPr>
        <w:t xml:space="preserve"> </w:t>
      </w:r>
    </w:p>
    <w:p w:rsidR="006047F1" w:rsidRDefault="00C96F15">
      <w:pPr>
        <w:pStyle w:val="ListParagraph"/>
        <w:numPr>
          <w:ilvl w:val="0"/>
          <w:numId w:val="16"/>
        </w:numPr>
        <w:jc w:val="both"/>
        <w:rPr>
          <w:rFonts w:ascii="Times New Roman" w:hAnsi="Times New Roman"/>
          <w:noProof/>
          <w:sz w:val="24"/>
          <w:szCs w:val="24"/>
        </w:rPr>
      </w:pPr>
      <w:r>
        <w:rPr>
          <w:rFonts w:ascii="Times New Roman" w:hAnsi="Times New Roman"/>
          <w:noProof/>
          <w:sz w:val="24"/>
        </w:rPr>
        <w:t xml:space="preserve">Még mindig a </w:t>
      </w:r>
      <w:r>
        <w:rPr>
          <w:rFonts w:ascii="Times New Roman" w:hAnsi="Times New Roman"/>
          <w:b/>
          <w:noProof/>
          <w:sz w:val="24"/>
        </w:rPr>
        <w:t xml:space="preserve">szexuális kizsákmányolást </w:t>
      </w:r>
      <w:r>
        <w:rPr>
          <w:rFonts w:ascii="Times New Roman" w:hAnsi="Times New Roman"/>
          <w:noProof/>
          <w:sz w:val="24"/>
        </w:rPr>
        <w:t>célzó emberkereskedelem a legelterjedtebb (a regisztrált áldozatok 67%-a), amit a munkaerő-kizsákmányolás követ (a regisztrált áldozatok 21%-a). A többi 12%-ot a kizsákmányolás egyéb formáit célzó emberkereskedelem ál</w:t>
      </w:r>
      <w:r>
        <w:rPr>
          <w:rFonts w:ascii="Times New Roman" w:hAnsi="Times New Roman"/>
          <w:noProof/>
          <w:sz w:val="24"/>
        </w:rPr>
        <w:t>dozataiként regisztrálták.</w:t>
      </w:r>
    </w:p>
    <w:p w:rsidR="006047F1" w:rsidRDefault="00C96F15">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A regisztrált áldozatok több mint háromnegyede (76%-a) nő volt.</w:t>
      </w:r>
    </w:p>
    <w:p w:rsidR="006047F1" w:rsidRDefault="00C96F15">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A regisztrált áldozatok legalább 15%-a gyermek volt</w:t>
      </w:r>
      <w:r>
        <w:rPr>
          <w:rStyle w:val="FootnoteReference"/>
          <w:rFonts w:ascii="Times New Roman" w:hAnsi="Times New Roman"/>
          <w:noProof/>
          <w:sz w:val="24"/>
        </w:rPr>
        <w:footnoteReference w:id="17"/>
      </w:r>
      <w:r>
        <w:rPr>
          <w:rFonts w:ascii="Times New Roman" w:hAnsi="Times New Roman"/>
          <w:noProof/>
          <w:sz w:val="24"/>
        </w:rPr>
        <w:t>.</w:t>
      </w:r>
    </w:p>
    <w:p w:rsidR="006047F1" w:rsidRDefault="00C96F15">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noProof/>
          <w:sz w:val="24"/>
        </w:rPr>
        <w:t>regisztrált</w:t>
      </w:r>
      <w:r>
        <w:rPr>
          <w:rFonts w:ascii="Times New Roman" w:hAnsi="Times New Roman" w:cs="Times New Roman"/>
          <w:noProof/>
          <w:sz w:val="24"/>
          <w:szCs w:val="24"/>
        </w:rPr>
        <w:t xml:space="preserve"> áldozatok </w:t>
      </w:r>
      <w:r>
        <w:rPr>
          <w:rFonts w:ascii="Times New Roman" w:hAnsi="Times New Roman" w:cs="Times New Roman"/>
          <w:b/>
          <w:noProof/>
          <w:sz w:val="24"/>
          <w:szCs w:val="24"/>
        </w:rPr>
        <w:t>65 %-a uniós állampolgár</w:t>
      </w:r>
      <w:r>
        <w:rPr>
          <w:rFonts w:ascii="Times New Roman" w:hAnsi="Times New Roman" w:cs="Times New Roman"/>
          <w:noProof/>
          <w:sz w:val="24"/>
          <w:szCs w:val="24"/>
        </w:rPr>
        <w:t xml:space="preserve"> volt</w:t>
      </w:r>
      <w:r>
        <w:rPr>
          <w:noProof/>
        </w:rPr>
        <w:t>.</w:t>
      </w:r>
    </w:p>
    <w:p w:rsidR="006047F1" w:rsidRDefault="00C96F15">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noProof/>
          <w:sz w:val="24"/>
        </w:rPr>
        <w:t>regisztrált</w:t>
      </w:r>
      <w:r>
        <w:rPr>
          <w:rFonts w:ascii="Times New Roman" w:hAnsi="Times New Roman" w:cs="Times New Roman"/>
          <w:noProof/>
          <w:sz w:val="24"/>
          <w:szCs w:val="24"/>
        </w:rPr>
        <w:t xml:space="preserve"> áldozatok tekintetében </w:t>
      </w:r>
      <w:r>
        <w:rPr>
          <w:rFonts w:ascii="Times New Roman" w:hAnsi="Times New Roman"/>
          <w:b/>
          <w:noProof/>
          <w:sz w:val="24"/>
        </w:rPr>
        <w:t>állampolgárság</w:t>
      </w:r>
      <w:r>
        <w:rPr>
          <w:rFonts w:ascii="Times New Roman" w:hAnsi="Times New Roman"/>
          <w:noProof/>
          <w:sz w:val="24"/>
        </w:rPr>
        <w:t xml:space="preserve"> szem</w:t>
      </w:r>
      <w:r>
        <w:rPr>
          <w:rFonts w:ascii="Times New Roman" w:hAnsi="Times New Roman"/>
          <w:noProof/>
          <w:sz w:val="24"/>
        </w:rPr>
        <w:t xml:space="preserve">pontjából az </w:t>
      </w:r>
      <w:r>
        <w:rPr>
          <w:rFonts w:ascii="Times New Roman" w:hAnsi="Times New Roman"/>
          <w:b/>
          <w:noProof/>
          <w:sz w:val="24"/>
        </w:rPr>
        <w:t xml:space="preserve">öt kiemelt uniós ország </w:t>
      </w:r>
      <w:r>
        <w:rPr>
          <w:rFonts w:ascii="Times New Roman" w:hAnsi="Times New Roman"/>
          <w:noProof/>
          <w:sz w:val="24"/>
        </w:rPr>
        <w:t>Románia, Bulgária, Hollandia, Magyarország és Lengyelország volt 2013-2014-ben. Ugyanezek az országok voltak a kiemeltek a 2010-2012 években is.</w:t>
      </w:r>
    </w:p>
    <w:p w:rsidR="006047F1" w:rsidRDefault="00C96F15">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Az</w:t>
      </w:r>
      <w:r>
        <w:rPr>
          <w:rFonts w:ascii="Times New Roman" w:hAnsi="Times New Roman"/>
          <w:b/>
          <w:noProof/>
          <w:sz w:val="24"/>
        </w:rPr>
        <w:t xml:space="preserve"> állampolgárság szempontjából kiemelt öt nem uniós ország </w:t>
      </w:r>
      <w:r>
        <w:rPr>
          <w:rFonts w:ascii="Times New Roman" w:hAnsi="Times New Roman"/>
          <w:noProof/>
          <w:sz w:val="24"/>
        </w:rPr>
        <w:t>Nigéria, Kína,</w:t>
      </w:r>
      <w:r>
        <w:rPr>
          <w:rFonts w:ascii="Times New Roman" w:hAnsi="Times New Roman"/>
          <w:noProof/>
          <w:sz w:val="24"/>
        </w:rPr>
        <w:t xml:space="preserve"> Albánia, Vietnam és Marokkó volt.</w:t>
      </w:r>
    </w:p>
    <w:p w:rsidR="006047F1" w:rsidRDefault="00C96F15">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b/>
          <w:noProof/>
          <w:sz w:val="24"/>
        </w:rPr>
        <w:t>6 324</w:t>
      </w:r>
      <w:r>
        <w:rPr>
          <w:rFonts w:ascii="Times New Roman" w:hAnsi="Times New Roman"/>
          <w:noProof/>
          <w:sz w:val="24"/>
        </w:rPr>
        <w:t xml:space="preserve"> személynek volt hivatalos kapcsolata a rendőrséggel vagy a büntető igazságszolgáltatási rendszerrel</w:t>
      </w:r>
      <w:r>
        <w:rPr>
          <w:rStyle w:val="FootnoteReference"/>
          <w:rFonts w:ascii="Times New Roman" w:hAnsi="Times New Roman"/>
          <w:noProof/>
          <w:sz w:val="24"/>
        </w:rPr>
        <w:footnoteReference w:id="18"/>
      </w:r>
      <w:r>
        <w:rPr>
          <w:rFonts w:ascii="Times New Roman" w:hAnsi="Times New Roman"/>
          <w:noProof/>
          <w:sz w:val="24"/>
        </w:rPr>
        <w:t xml:space="preserve"> az emberkereskedelem mint bűncselekmény kapcsán.</w:t>
      </w:r>
      <w:r>
        <w:rPr>
          <w:rStyle w:val="FootnoteReference"/>
          <w:rFonts w:ascii="Times New Roman" w:hAnsi="Times New Roman"/>
          <w:noProof/>
          <w:sz w:val="24"/>
        </w:rPr>
        <w:footnoteReference w:id="19"/>
      </w:r>
    </w:p>
    <w:p w:rsidR="006047F1" w:rsidRDefault="00C96F15">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Az EU-ban emberkereskedelem miatt összesen</w:t>
      </w:r>
      <w:r>
        <w:rPr>
          <w:rFonts w:ascii="Times New Roman" w:hAnsi="Times New Roman"/>
          <w:b/>
          <w:noProof/>
          <w:sz w:val="24"/>
        </w:rPr>
        <w:t xml:space="preserve"> 4 079 </w:t>
      </w:r>
      <w:r>
        <w:rPr>
          <w:rFonts w:ascii="Times New Roman" w:hAnsi="Times New Roman"/>
          <w:noProof/>
          <w:sz w:val="24"/>
        </w:rPr>
        <w:t>büntetőeljárásr</w:t>
      </w:r>
      <w:r>
        <w:rPr>
          <w:rFonts w:ascii="Times New Roman" w:hAnsi="Times New Roman"/>
          <w:noProof/>
          <w:sz w:val="24"/>
        </w:rPr>
        <w:t>ól és</w:t>
      </w:r>
      <w:r>
        <w:rPr>
          <w:rFonts w:ascii="Times New Roman" w:hAnsi="Times New Roman"/>
          <w:b/>
          <w:noProof/>
          <w:sz w:val="24"/>
        </w:rPr>
        <w:t xml:space="preserve"> 3 129 </w:t>
      </w:r>
      <w:r>
        <w:rPr>
          <w:rFonts w:ascii="Times New Roman" w:hAnsi="Times New Roman"/>
          <w:noProof/>
          <w:sz w:val="24"/>
        </w:rPr>
        <w:t>elítélésről tettek jelentést.</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 statisztikai adatok további részletes elemzése a jelentéshez kapcsolódó munkadokumentumban áll rendelkezésre.</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Éves szinten összehasonlítva a regisztrált áldozatok teljes száma a 2013-2014-es adatokban alacsonyabb</w:t>
      </w:r>
      <w:r>
        <w:rPr>
          <w:rFonts w:ascii="Times New Roman" w:hAnsi="Times New Roman"/>
          <w:noProof/>
          <w:sz w:val="24"/>
        </w:rPr>
        <w:t xml:space="preserve">, mint amit az Eurostat munkadokumentum 2010-2012-re rögzített (2013-ban 8 034, illetve 2014-ben 7 812, szemben a 9 710-tel 2010-ben, 9 438-cal 2011-ben, illetve 10 998-cal 2012-ben). Jóllehet az alkalmazott adatgyűjtési módszerek hasonlóak voltak mindkét </w:t>
      </w:r>
      <w:r>
        <w:rPr>
          <w:rFonts w:ascii="Times New Roman" w:hAnsi="Times New Roman"/>
          <w:noProof/>
          <w:sz w:val="24"/>
        </w:rPr>
        <w:t>időszakban, ebben a szakaszban nem lenne tanácsos összehasonlítani a két munkafolyamat közötti vagy az egyes évekre vonatkozó adatokat az adatfelvételi módszerek és a jogi meghatározások lehetséges különbségei miatt. Emiatt az olyan kérdéseket, mint az éve</w:t>
      </w:r>
      <w:r>
        <w:rPr>
          <w:rFonts w:ascii="Times New Roman" w:hAnsi="Times New Roman"/>
          <w:noProof/>
          <w:sz w:val="24"/>
        </w:rPr>
        <w:t>s összesen számok közötti eltérések, és különösen, hogy mi az oka annak, hogy kevesebb áldozatot regisztráltak az emberkereskedelemben, tovább kell vizsgálni és elemezni. Továbbá: az áldozatok származási országainak, a célországok, a kizsákmányolás formáin</w:t>
      </w:r>
      <w:r>
        <w:rPr>
          <w:rFonts w:ascii="Times New Roman" w:hAnsi="Times New Roman"/>
          <w:noProof/>
          <w:sz w:val="24"/>
        </w:rPr>
        <w:t>ak és az áldozatok kor és nem szerinti profiljának konzisztenciáját egy ötéves időszakon (2010-2014) keresztül vizsgálva azt látjuk, hogy a helyzet az eddigi erőfeszítések ellenére nem változott.</w:t>
      </w:r>
      <w:r>
        <w:rPr>
          <w:rStyle w:val="FootnoteReference"/>
          <w:rFonts w:ascii="Times New Roman" w:hAnsi="Times New Roman"/>
          <w:noProof/>
          <w:sz w:val="24"/>
        </w:rPr>
        <w:footnoteReference w:id="20"/>
      </w:r>
    </w:p>
    <w:p w:rsidR="006047F1" w:rsidRDefault="00C96F15">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noProof/>
          <w:sz w:val="24"/>
        </w:rPr>
        <w:t xml:space="preserve">Ezen bizonyíték alapján fontos, hogy a </w:t>
      </w:r>
      <w:r>
        <w:rPr>
          <w:rFonts w:ascii="Times New Roman" w:hAnsi="Times New Roman"/>
          <w:b/>
          <w:noProof/>
          <w:sz w:val="24"/>
        </w:rPr>
        <w:t>tagállamok tovább fo</w:t>
      </w:r>
      <w:r>
        <w:rPr>
          <w:rFonts w:ascii="Times New Roman" w:hAnsi="Times New Roman"/>
          <w:b/>
          <w:noProof/>
          <w:sz w:val="24"/>
        </w:rPr>
        <w:t>lytassák az erőfeszítéseiket az emberkereskedelemmel kapcsolatos (kor és nem szerint lebontott) adatgyűjtés javítása érdekében a jelenség figyelemmel kísérése céljából</w:t>
      </w:r>
      <w:r>
        <w:rPr>
          <w:rFonts w:ascii="Times New Roman" w:hAnsi="Times New Roman"/>
          <w:noProof/>
          <w:sz w:val="24"/>
        </w:rPr>
        <w:t>. Az adatgyűjtés ugyanennyire fontos az emberkereskedelem elleni fellépés hatásának mérés</w:t>
      </w:r>
      <w:r>
        <w:rPr>
          <w:rFonts w:ascii="Times New Roman" w:hAnsi="Times New Roman"/>
          <w:noProof/>
          <w:sz w:val="24"/>
        </w:rPr>
        <w:t>ére. A két időszak statisztikai trendjeinek konzisztenciája arra utal, hogy a</w:t>
      </w:r>
      <w:r>
        <w:rPr>
          <w:rFonts w:ascii="Times New Roman" w:hAnsi="Times New Roman"/>
          <w:b/>
          <w:noProof/>
          <w:sz w:val="24"/>
        </w:rPr>
        <w:t xml:space="preserve"> tagállamoknak fokozniuk kell az erőfeszítéseiket a bűncselekmény kivizsgálására</w:t>
      </w:r>
      <w:r>
        <w:rPr>
          <w:rFonts w:ascii="Times New Roman" w:hAnsi="Times New Roman"/>
          <w:noProof/>
          <w:sz w:val="24"/>
        </w:rPr>
        <w:t xml:space="preserve">, az elkövetők felelősségre vonására és a lehetséges áldozatok azonosítására. A Bizottság </w:t>
      </w:r>
      <w:r>
        <w:rPr>
          <w:rFonts w:ascii="Times New Roman" w:hAnsi="Times New Roman"/>
          <w:noProof/>
          <w:sz w:val="24"/>
        </w:rPr>
        <w:t>elkötelezett amellett, hogy támogassa a tagállamok ezt célzó erőfeszítéseit. Ez magában foglalja jobb iránymutatások kiadását és a további mutatókkal kapcsolatos adatok összegyűjtését az adatok megbízhatóságának és összehasonlíthatóságának javítása érdekéb</w:t>
      </w:r>
      <w:r>
        <w:rPr>
          <w:rFonts w:ascii="Times New Roman" w:hAnsi="Times New Roman"/>
          <w:noProof/>
          <w:sz w:val="24"/>
        </w:rPr>
        <w:t>en.</w:t>
      </w:r>
    </w:p>
    <w:p w:rsidR="006047F1" w:rsidRDefault="00C96F1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A kizsákmányolás formáját érintő fejlemények</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Az emberkereskedelem olyan társadalmi jelenség, amely sokféle formát ölt. Az idők során alakul ki, és gyakran a keresletnek és az emberkereskedők találékonyságának megfelelően. A kizsákmányolásnak az </w:t>
      </w:r>
      <w:r>
        <w:rPr>
          <w:rFonts w:ascii="Times New Roman" w:hAnsi="Times New Roman"/>
          <w:noProof/>
          <w:sz w:val="24"/>
        </w:rPr>
        <w:t>emberkereskedelem elleni irányelvben írt különböző formáinak listája nem kimerítő, így új kizsákmányolási formák is bekerülhetnek az emberkereskedelem meghatározásába.</w:t>
      </w:r>
    </w:p>
    <w:p w:rsidR="006047F1" w:rsidRDefault="00C96F15">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A tagállamoknak és más szereplőknek arányosan kellene elosztaniuk az emberkereskedelem e</w:t>
      </w:r>
      <w:r>
        <w:rPr>
          <w:rFonts w:ascii="Times New Roman" w:hAnsi="Times New Roman" w:cs="Times New Roman"/>
          <w:b/>
          <w:noProof/>
          <w:sz w:val="24"/>
          <w:szCs w:val="24"/>
        </w:rPr>
        <w:t>lleni erőforrásokat,</w:t>
      </w:r>
      <w:r>
        <w:rPr>
          <w:rFonts w:ascii="Times New Roman" w:hAnsi="Times New Roman" w:cs="Times New Roman"/>
          <w:noProof/>
          <w:sz w:val="24"/>
          <w:szCs w:val="24"/>
        </w:rPr>
        <w:t xml:space="preserve"> hogy hatékonyan kezeljék az emberkereskedelem minden formáját, beleértve az újonnan kialakuló formákat, és biztosítsák az emberkereskedelem fejleményeinek figyelemmel kísérését.</w:t>
      </w:r>
    </w:p>
    <w:p w:rsidR="006047F1" w:rsidRDefault="00C96F15">
      <w:pPr>
        <w:pStyle w:val="ListParagraph"/>
        <w:numPr>
          <w:ilvl w:val="0"/>
          <w:numId w:val="18"/>
        </w:numPr>
        <w:jc w:val="both"/>
        <w:rPr>
          <w:rFonts w:ascii="Times New Roman" w:eastAsia="Times New Roman" w:hAnsi="Times New Roman" w:cs="Times New Roman"/>
          <w:b/>
          <w:bCs/>
          <w:i/>
          <w:iCs/>
          <w:noProof/>
          <w:sz w:val="24"/>
          <w:szCs w:val="24"/>
          <w:u w:val="single"/>
        </w:rPr>
      </w:pPr>
      <w:r>
        <w:rPr>
          <w:rFonts w:ascii="Times New Roman" w:hAnsi="Times New Roman"/>
          <w:b/>
          <w:i/>
          <w:noProof/>
          <w:sz w:val="24"/>
          <w:u w:val="single"/>
        </w:rPr>
        <w:t>Emberkereskedelem szexuális kizsákmányolás céljából</w:t>
      </w:r>
    </w:p>
    <w:p w:rsidR="006047F1" w:rsidRDefault="00C96F15">
      <w:pPr>
        <w:pStyle w:val="Body"/>
        <w:jc w:val="both"/>
        <w:rPr>
          <w:rFonts w:ascii="Times New Roman" w:hAnsi="Times New Roman"/>
          <w:noProof/>
          <w:sz w:val="24"/>
          <w:szCs w:val="24"/>
        </w:rPr>
      </w:pPr>
      <w:r>
        <w:rPr>
          <w:rFonts w:ascii="Times New Roman" w:hAnsi="Times New Roman"/>
          <w:noProof/>
          <w:sz w:val="24"/>
        </w:rPr>
        <w:t>A sze</w:t>
      </w:r>
      <w:r>
        <w:rPr>
          <w:rFonts w:ascii="Times New Roman" w:hAnsi="Times New Roman"/>
          <w:noProof/>
          <w:sz w:val="24"/>
        </w:rPr>
        <w:t>xuális kizsákmányolást céljából végzett emberkereskedelem még mindig az emberkereskedelem messze legelterjedtebb formája az EU-ban. A 2013-2014-es statisztikai adatok szerint 10 044 regisztrált áldozata volt a kizsákmányolás ezen fajtájának (az összes regi</w:t>
      </w:r>
      <w:r>
        <w:rPr>
          <w:rFonts w:ascii="Times New Roman" w:hAnsi="Times New Roman"/>
          <w:noProof/>
          <w:sz w:val="24"/>
        </w:rPr>
        <w:t>sztrált áldozat 67%-a), amely elsősorban nőket és lányokat érint (a regisztrált áldozatok 95%-a), jóllehet néhány tagállam a férfi áldozatok számának növekedéséről számolt be. Az áldozatok többsége a szexiparban található. A rendelkezésre álló információ a</w:t>
      </w:r>
      <w:r>
        <w:rPr>
          <w:rFonts w:ascii="Times New Roman" w:hAnsi="Times New Roman"/>
          <w:noProof/>
          <w:sz w:val="24"/>
        </w:rPr>
        <w:t>rra utal, hogy az emberkereskedők a csempészés látható formáiról a kevésbé látható formára váltanak át a szexuális kizsákmányolás céljából folytatott emberkereskedelem esetén, továbbá arra, hogy visszaélnek az „önálló vállalkozói” státusszal.</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Az Europol sz</w:t>
      </w:r>
      <w:r>
        <w:rPr>
          <w:rFonts w:ascii="Times New Roman" w:hAnsi="Times New Roman"/>
          <w:noProof/>
          <w:sz w:val="24"/>
        </w:rPr>
        <w:t>erint „azokban az országokban, ahol a prostitúció legális és szabályozott, lehetséges, hogy a szexuális munkát az olcsó munkaerő iránti kereslet befolyásolja”, és ezekben az országokban „ez sokkal egyszerűbb azon emberkereskedők számára, akik a jogi környe</w:t>
      </w:r>
      <w:r>
        <w:rPr>
          <w:rFonts w:ascii="Times New Roman" w:hAnsi="Times New Roman"/>
          <w:noProof/>
          <w:sz w:val="24"/>
        </w:rPr>
        <w:t>zetet akarják felhasználni az áldozatok kizsákmányolására”.</w:t>
      </w:r>
      <w:r>
        <w:rPr>
          <w:rStyle w:val="FootnoteReference"/>
          <w:noProof/>
        </w:rPr>
        <w:footnoteReference w:id="21"/>
      </w:r>
      <w:r>
        <w:rPr>
          <w:rFonts w:ascii="Times New Roman" w:hAnsi="Times New Roman"/>
          <w:noProof/>
          <w:sz w:val="24"/>
        </w:rPr>
        <w:t xml:space="preserve"> A minták is változnak, ahogy a prostitúció is a látható formák felől a kevésbé látható formák felé mozdul el.</w:t>
      </w:r>
    </w:p>
    <w:p w:rsidR="006047F1" w:rsidRDefault="00C96F15">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b/>
          <w:bCs/>
          <w:i/>
          <w:iCs/>
          <w:noProof/>
          <w:sz w:val="24"/>
          <w:szCs w:val="24"/>
          <w:u w:val="single"/>
        </w:rPr>
      </w:pPr>
      <w:r>
        <w:rPr>
          <w:rFonts w:ascii="Times New Roman" w:hAnsi="Times New Roman"/>
          <w:noProof/>
          <w:sz w:val="24"/>
        </w:rPr>
        <w:t>A jelentéshez gyűjtött adatok arra utalnak, hogy az eddig megtett erőfeszítések ellen</w:t>
      </w:r>
      <w:r>
        <w:rPr>
          <w:rFonts w:ascii="Times New Roman" w:hAnsi="Times New Roman"/>
          <w:noProof/>
          <w:sz w:val="24"/>
        </w:rPr>
        <w:t xml:space="preserve">ére a szexuális kizsákmányolás céljából folytatott emberkereskedelmet nem kezelték hatékonyan és az nem csökkent. A tagállamoknak </w:t>
      </w:r>
      <w:r>
        <w:rPr>
          <w:rFonts w:ascii="Times New Roman" w:hAnsi="Times New Roman"/>
          <w:b/>
          <w:noProof/>
          <w:sz w:val="24"/>
        </w:rPr>
        <w:t>folytatniuk és fokozniuk kellene a szexuális kizsákmányolás céljából folytatott emberkereskedelem elleni erőfeszítéseiket</w:t>
      </w:r>
      <w:r>
        <w:rPr>
          <w:rFonts w:ascii="Times New Roman" w:hAnsi="Times New Roman"/>
          <w:noProof/>
          <w:sz w:val="24"/>
        </w:rPr>
        <w:t>.</w:t>
      </w:r>
    </w:p>
    <w:p w:rsidR="00C96F15" w:rsidRDefault="00C96F15">
      <w:pPr>
        <w:rPr>
          <w:rFonts w:eastAsia="Calibri" w:cs="Calibri"/>
          <w:b/>
          <w:i/>
          <w:noProof/>
          <w:color w:val="000000"/>
          <w:szCs w:val="22"/>
          <w:u w:val="single" w:color="000000"/>
        </w:rPr>
      </w:pPr>
      <w:r>
        <w:rPr>
          <w:b/>
          <w:i/>
          <w:noProof/>
          <w:u w:val="single"/>
        </w:rPr>
        <w:br w:type="page"/>
      </w:r>
    </w:p>
    <w:p w:rsidR="006047F1" w:rsidRDefault="00C96F15">
      <w:pPr>
        <w:pStyle w:val="ListParagraph"/>
        <w:numPr>
          <w:ilvl w:val="0"/>
          <w:numId w:val="18"/>
        </w:numPr>
        <w:jc w:val="both"/>
        <w:rPr>
          <w:rFonts w:ascii="Times New Roman" w:eastAsia="Times New Roman" w:hAnsi="Times New Roman" w:cs="Times New Roman"/>
          <w:b/>
          <w:bCs/>
          <w:i/>
          <w:iCs/>
          <w:noProof/>
          <w:sz w:val="24"/>
          <w:szCs w:val="24"/>
          <w:u w:val="single"/>
        </w:rPr>
      </w:pPr>
      <w:r>
        <w:rPr>
          <w:rFonts w:ascii="Times New Roman" w:hAnsi="Times New Roman"/>
          <w:b/>
          <w:i/>
          <w:noProof/>
          <w:sz w:val="24"/>
          <w:u w:val="single"/>
        </w:rPr>
        <w:t>Emb</w:t>
      </w:r>
      <w:r>
        <w:rPr>
          <w:rFonts w:ascii="Times New Roman" w:hAnsi="Times New Roman"/>
          <w:b/>
          <w:i/>
          <w:noProof/>
          <w:sz w:val="24"/>
          <w:u w:val="single"/>
        </w:rPr>
        <w:t>erkereskedelem a munkaerő kizsákmányolása céljából</w:t>
      </w:r>
    </w:p>
    <w:p w:rsidR="006047F1" w:rsidRDefault="00C96F15">
      <w:pPr>
        <w:pStyle w:val="Body"/>
        <w:jc w:val="both"/>
        <w:rPr>
          <w:rFonts w:ascii="Times New Roman" w:hAnsi="Times New Roman"/>
          <w:noProof/>
          <w:sz w:val="24"/>
          <w:szCs w:val="24"/>
        </w:rPr>
      </w:pPr>
      <w:r>
        <w:rPr>
          <w:rFonts w:ascii="Times New Roman" w:hAnsi="Times New Roman"/>
          <w:noProof/>
          <w:sz w:val="24"/>
        </w:rPr>
        <w:t>Több tagállam számolt be arról, hogy a munkaerő kizsákmányolása céljából folytatott emberkereskedelem növekszik (az összes regisztrált áldozat 21%-a). A tagállamok arról számolnak be, hogy emelkedik az ily</w:t>
      </w:r>
      <w:r>
        <w:rPr>
          <w:rFonts w:ascii="Times New Roman" w:hAnsi="Times New Roman"/>
          <w:noProof/>
          <w:sz w:val="24"/>
        </w:rPr>
        <w:t>en típusú kereskedelem férfi áldozatainak száma, például a mezőgazdasági ágazatban. A 2013-2014 évi statisztikai adatok szerint a munkaerő-kizsákmányolás regisztrált áldozatainak 74%-a férfi volt.</w:t>
      </w:r>
      <w:r>
        <w:rPr>
          <w:rStyle w:val="FootnoteReference"/>
          <w:rFonts w:ascii="Times New Roman" w:hAnsi="Times New Roman"/>
          <w:noProof/>
          <w:sz w:val="24"/>
        </w:rPr>
        <w:footnoteReference w:id="22"/>
      </w:r>
    </w:p>
    <w:p w:rsidR="006047F1" w:rsidRDefault="00C96F15">
      <w:pPr>
        <w:pStyle w:val="Body"/>
        <w:jc w:val="both"/>
        <w:rPr>
          <w:rFonts w:ascii="Times New Roman" w:hAnsi="Times New Roman"/>
          <w:noProof/>
          <w:sz w:val="24"/>
          <w:szCs w:val="24"/>
        </w:rPr>
      </w:pPr>
      <w:r>
        <w:rPr>
          <w:rFonts w:ascii="Times New Roman" w:hAnsi="Times New Roman"/>
          <w:noProof/>
          <w:sz w:val="24"/>
        </w:rPr>
        <w:t>Az emberkereskedők a munkavállalási engedélyekre, vízumokr</w:t>
      </w:r>
      <w:r>
        <w:rPr>
          <w:rFonts w:ascii="Times New Roman" w:hAnsi="Times New Roman"/>
          <w:noProof/>
          <w:sz w:val="24"/>
        </w:rPr>
        <w:t xml:space="preserve">a, munkajogi jogokra és munkafeltételekre vonatkozó szabályozás végrehajtásában vagy ellenőrzésében levő hézagokat használják ki. A munkaerő kizsákmányolását célzó emberkereskedelem egyáltalán nem új jelenség az EU-ban, és a gazdasági válság következtében </w:t>
      </w:r>
      <w:r>
        <w:rPr>
          <w:rFonts w:ascii="Times New Roman" w:hAnsi="Times New Roman"/>
          <w:noProof/>
          <w:sz w:val="24"/>
        </w:rPr>
        <w:t>az olcsó munkaerő iránti kereslet megnőtt</w:t>
      </w:r>
      <w:r>
        <w:rPr>
          <w:rStyle w:val="FootnoteReference"/>
          <w:rFonts w:ascii="Times New Roman" w:hAnsi="Times New Roman"/>
          <w:noProof/>
          <w:sz w:val="24"/>
        </w:rPr>
        <w:footnoteReference w:id="23"/>
      </w:r>
      <w:r>
        <w:rPr>
          <w:rFonts w:ascii="Times New Roman" w:hAnsi="Times New Roman"/>
          <w:noProof/>
          <w:sz w:val="24"/>
        </w:rPr>
        <w:t>. Embereket csempésznek az EU-ba és az EU-n belül, hogy fizetés nélkül vagy nagyon alacsony fizetését dolgozzanak úgy, hogy az élet- és munkakörülményeik nem tisztelik az emberi méltóságot.</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 háztartási szolgaság a</w:t>
      </w:r>
      <w:r>
        <w:rPr>
          <w:rFonts w:ascii="Times New Roman" w:hAnsi="Times New Roman"/>
          <w:noProof/>
          <w:sz w:val="24"/>
        </w:rPr>
        <w:t xml:space="preserve"> munkaerő-kizsákmányolást célzó emberkereskedelem olyan formája, amit különösen nehéz felismerni. Elsősorban nőket és lányokat érint. Mivel magán háztartásokban fordul elő, az áldozatok gyakran elszigeteltek, és korlátozottan van vagy egyáltalán nincs lehe</w:t>
      </w:r>
      <w:r>
        <w:rPr>
          <w:rFonts w:ascii="Times New Roman" w:hAnsi="Times New Roman"/>
          <w:noProof/>
          <w:sz w:val="24"/>
        </w:rPr>
        <w:t>tőségük arra, hogy bejelentést tegyenek vagy hogy elmeneküljenek.</w:t>
      </w:r>
    </w:p>
    <w:p w:rsidR="006047F1" w:rsidRDefault="00C96F15">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hAnsi="Times New Roman"/>
          <w:noProof/>
          <w:sz w:val="24"/>
          <w:szCs w:val="24"/>
        </w:rPr>
      </w:pPr>
      <w:r>
        <w:rPr>
          <w:rFonts w:ascii="Times New Roman" w:hAnsi="Times New Roman"/>
          <w:noProof/>
          <w:sz w:val="24"/>
        </w:rPr>
        <w:t>Bár fontos hangsúlyozni, hogy az EU munkaerő-piacán nem minden kizsákmányoló helyzet az emberkereskedelem következménye, néhány lehet az. Ezekben az esetekben a</w:t>
      </w:r>
      <w:r>
        <w:rPr>
          <w:rFonts w:ascii="Times New Roman" w:hAnsi="Times New Roman"/>
          <w:b/>
          <w:noProof/>
          <w:sz w:val="24"/>
        </w:rPr>
        <w:t xml:space="preserve"> munkaerő-kizsákmányolást célz</w:t>
      </w:r>
      <w:r>
        <w:rPr>
          <w:rFonts w:ascii="Times New Roman" w:hAnsi="Times New Roman"/>
          <w:b/>
          <w:noProof/>
          <w:sz w:val="24"/>
        </w:rPr>
        <w:t>ó emberkereskedelem összes áldozatát megfelelően azonosítani és segíteni kell</w:t>
      </w:r>
      <w:r>
        <w:rPr>
          <w:rFonts w:ascii="Times New Roman" w:hAnsi="Times New Roman"/>
          <w:noProof/>
          <w:sz w:val="24"/>
        </w:rPr>
        <w:t>.</w:t>
      </w:r>
    </w:p>
    <w:p w:rsidR="006047F1" w:rsidRDefault="00C96F15">
      <w:pPr>
        <w:pStyle w:val="ListParagraph"/>
        <w:numPr>
          <w:ilvl w:val="0"/>
          <w:numId w:val="18"/>
        </w:numPr>
        <w:jc w:val="both"/>
        <w:rPr>
          <w:rFonts w:ascii="Times New Roman" w:eastAsia="Times New Roman" w:hAnsi="Times New Roman" w:cs="Times New Roman"/>
          <w:i/>
          <w:iCs/>
          <w:noProof/>
          <w:sz w:val="24"/>
          <w:szCs w:val="24"/>
        </w:rPr>
      </w:pPr>
      <w:r>
        <w:rPr>
          <w:rFonts w:ascii="Times New Roman" w:hAnsi="Times New Roman"/>
          <w:b/>
          <w:i/>
          <w:noProof/>
          <w:sz w:val="24"/>
          <w:u w:val="single"/>
        </w:rPr>
        <w:t>Emberkereskedelem egyéb kizsákmányolás céljából</w:t>
      </w:r>
    </w:p>
    <w:p w:rsidR="006047F1" w:rsidRDefault="00C96F15">
      <w:pPr>
        <w:pStyle w:val="Body"/>
        <w:jc w:val="both"/>
        <w:rPr>
          <w:rFonts w:ascii="Times New Roman" w:hAnsi="Times New Roman"/>
          <w:noProof/>
          <w:sz w:val="24"/>
          <w:szCs w:val="24"/>
        </w:rPr>
      </w:pPr>
      <w:r>
        <w:rPr>
          <w:rFonts w:ascii="Times New Roman" w:hAnsi="Times New Roman"/>
          <w:noProof/>
          <w:sz w:val="24"/>
        </w:rPr>
        <w:t xml:space="preserve">A 2013-2014-es statisztikai adatok szerint a kizsákmányolás egyéb formáinak áldozatai az összes áldozatok számának 12%-át teszik </w:t>
      </w:r>
      <w:r>
        <w:rPr>
          <w:rFonts w:ascii="Times New Roman" w:hAnsi="Times New Roman"/>
          <w:noProof/>
          <w:sz w:val="24"/>
        </w:rPr>
        <w:t>ki.</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 tagállamok jelentéseiben szereplő kizsákmányolás egyéb formái a következők lehetnek: emberkereskedelem kényszerített koldulás, bűnözői tevékenység, kényszerített házasság, színlelt házasság, szerv eltávolítása céljából, csecsemők és kisgyermekek kere</w:t>
      </w:r>
      <w:r>
        <w:rPr>
          <w:rFonts w:ascii="Times New Roman" w:hAnsi="Times New Roman"/>
          <w:noProof/>
          <w:sz w:val="24"/>
        </w:rPr>
        <w:t>skedelme örökbefogadás céljából, terhes nők kereskedelme az újszülött csecsemő eladása céljából, emberkereskedelem hasis termesztése és kábítószer-kereskedelem vagy kábítószerek eladása céljából.</w:t>
      </w:r>
    </w:p>
    <w:p w:rsidR="006047F1" w:rsidRDefault="00C96F15">
      <w:pPr>
        <w:pStyle w:val="Body"/>
        <w:jc w:val="both"/>
        <w:rPr>
          <w:rFonts w:ascii="Times New Roman" w:hAnsi="Times New Roman"/>
          <w:noProof/>
          <w:sz w:val="24"/>
          <w:szCs w:val="24"/>
        </w:rPr>
      </w:pPr>
      <w:r>
        <w:rPr>
          <w:rFonts w:ascii="Times New Roman" w:hAnsi="Times New Roman"/>
          <w:noProof/>
          <w:sz w:val="24"/>
        </w:rPr>
        <w:t>A tagállamok olyan esetekről is beszámoltak, ahol az emberek</w:t>
      </w:r>
      <w:r>
        <w:rPr>
          <w:rFonts w:ascii="Times New Roman" w:hAnsi="Times New Roman"/>
          <w:noProof/>
          <w:sz w:val="24"/>
        </w:rPr>
        <w:t xml:space="preserve"> a</w:t>
      </w:r>
      <w:r>
        <w:rPr>
          <w:rFonts w:ascii="Times New Roman" w:hAnsi="Times New Roman"/>
          <w:b/>
          <w:noProof/>
          <w:sz w:val="24"/>
        </w:rPr>
        <w:t xml:space="preserve"> kizsákmányolás többféle formájának esnek áldozatul</w:t>
      </w:r>
      <w:r>
        <w:rPr>
          <w:rFonts w:ascii="Times New Roman" w:hAnsi="Times New Roman"/>
          <w:noProof/>
          <w:sz w:val="24"/>
        </w:rPr>
        <w:t>, például, ahol egyszerre munkaerő- és szexuális kizsákmányolás céljából kereskedtek velük, vagy ahol munkaerő-kizsákmányolás céljából kereskedtek velük és arra is kényszerültek, hogy bűnelkövetésben veg</w:t>
      </w:r>
      <w:r>
        <w:rPr>
          <w:rFonts w:ascii="Times New Roman" w:hAnsi="Times New Roman"/>
          <w:noProof/>
          <w:sz w:val="24"/>
        </w:rPr>
        <w:t>yenek részt.</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A tagállamok jelentései azt sugallják, hogy </w:t>
      </w:r>
      <w:r>
        <w:rPr>
          <w:rFonts w:ascii="Times New Roman" w:hAnsi="Times New Roman"/>
          <w:b/>
          <w:noProof/>
          <w:sz w:val="24"/>
        </w:rPr>
        <w:t>emelkedik</w:t>
      </w:r>
      <w:r>
        <w:rPr>
          <w:rFonts w:ascii="Times New Roman" w:hAnsi="Times New Roman"/>
          <w:noProof/>
          <w:sz w:val="24"/>
        </w:rPr>
        <w:t xml:space="preserve"> </w:t>
      </w:r>
      <w:r>
        <w:rPr>
          <w:rFonts w:ascii="Times New Roman" w:hAnsi="Times New Roman"/>
          <w:b/>
          <w:noProof/>
          <w:sz w:val="24"/>
        </w:rPr>
        <w:t>a testi, lelki és fejlődési fogyatékkal élő emberek kizsákmányolása</w:t>
      </w:r>
      <w:r>
        <w:rPr>
          <w:rFonts w:ascii="Times New Roman" w:hAnsi="Times New Roman"/>
          <w:noProof/>
          <w:sz w:val="24"/>
        </w:rPr>
        <w:t xml:space="preserve">. Növekedést jelentettek a roma etnikai háttérrel rendelkező emberekkel való </w:t>
      </w:r>
      <w:r>
        <w:rPr>
          <w:rFonts w:ascii="Times New Roman" w:hAnsi="Times New Roman"/>
          <w:b/>
          <w:noProof/>
          <w:sz w:val="24"/>
        </w:rPr>
        <w:t>kereskedelemben is</w:t>
      </w:r>
      <w:r>
        <w:rPr>
          <w:rFonts w:ascii="Times New Roman" w:hAnsi="Times New Roman"/>
          <w:noProof/>
          <w:sz w:val="24"/>
        </w:rPr>
        <w:t xml:space="preserve">, </w:t>
      </w:r>
      <w:r>
        <w:rPr>
          <w:rFonts w:ascii="Times New Roman" w:hAnsi="Times New Roman"/>
          <w:b/>
          <w:noProof/>
          <w:sz w:val="24"/>
        </w:rPr>
        <w:t>mégpedig kényszerített ko</w:t>
      </w:r>
      <w:r>
        <w:rPr>
          <w:rFonts w:ascii="Times New Roman" w:hAnsi="Times New Roman"/>
          <w:b/>
          <w:noProof/>
          <w:sz w:val="24"/>
        </w:rPr>
        <w:t>ldulás céljából</w:t>
      </w:r>
      <w:r>
        <w:rPr>
          <w:rFonts w:ascii="Times New Roman" w:hAnsi="Times New Roman"/>
          <w:noProof/>
          <w:sz w:val="24"/>
        </w:rPr>
        <w:t xml:space="preserve">. Az emberkereskedelem áldozatait használják </w:t>
      </w:r>
      <w:r>
        <w:rPr>
          <w:rFonts w:ascii="Times New Roman" w:hAnsi="Times New Roman"/>
          <w:b/>
          <w:noProof/>
          <w:sz w:val="24"/>
        </w:rPr>
        <w:t>drogdílerek szállítóiként</w:t>
      </w:r>
      <w:r>
        <w:rPr>
          <w:rFonts w:ascii="Times New Roman" w:hAnsi="Times New Roman"/>
          <w:noProof/>
          <w:sz w:val="24"/>
        </w:rPr>
        <w:t xml:space="preserve">, kihasználják őket a </w:t>
      </w:r>
      <w:r>
        <w:rPr>
          <w:rFonts w:ascii="Times New Roman" w:hAnsi="Times New Roman"/>
          <w:b/>
          <w:noProof/>
          <w:sz w:val="24"/>
        </w:rPr>
        <w:t>hasistermesztésben</w:t>
      </w:r>
      <w:r>
        <w:rPr>
          <w:rFonts w:ascii="Times New Roman" w:hAnsi="Times New Roman"/>
          <w:noProof/>
          <w:sz w:val="24"/>
        </w:rPr>
        <w:t xml:space="preserve">, illetve a </w:t>
      </w:r>
      <w:r>
        <w:rPr>
          <w:rFonts w:ascii="Times New Roman" w:hAnsi="Times New Roman"/>
          <w:b/>
          <w:noProof/>
          <w:sz w:val="24"/>
        </w:rPr>
        <w:t xml:space="preserve">juttatásokkal kapcsolatos csalások </w:t>
      </w:r>
      <w:r>
        <w:rPr>
          <w:rFonts w:ascii="Times New Roman" w:hAnsi="Times New Roman"/>
          <w:noProof/>
          <w:sz w:val="24"/>
        </w:rPr>
        <w:t>elkövetésére használják őket</w:t>
      </w:r>
      <w:r>
        <w:rPr>
          <w:rFonts w:ascii="Times New Roman" w:hAnsi="Times New Roman"/>
          <w:b/>
          <w:noProof/>
          <w:sz w:val="24"/>
        </w:rPr>
        <w:t>.</w:t>
      </w:r>
      <w:r>
        <w:rPr>
          <w:rFonts w:ascii="Times New Roman" w:hAnsi="Times New Roman"/>
          <w:noProof/>
          <w:sz w:val="24"/>
        </w:rPr>
        <w:t xml:space="preserve"> A tagállamok beszámoltak arról is, hogy </w:t>
      </w:r>
      <w:r>
        <w:rPr>
          <w:rFonts w:ascii="Times New Roman" w:hAnsi="Times New Roman"/>
          <w:b/>
          <w:noProof/>
          <w:sz w:val="24"/>
        </w:rPr>
        <w:t>terhes nőket t</w:t>
      </w:r>
      <w:r>
        <w:rPr>
          <w:rFonts w:ascii="Times New Roman" w:hAnsi="Times New Roman"/>
          <w:b/>
          <w:noProof/>
          <w:sz w:val="24"/>
        </w:rPr>
        <w:t>oboroznak és kényszerítenek arra, hogy eladják az újszülött gyermeküket</w:t>
      </w:r>
      <w:r>
        <w:rPr>
          <w:rFonts w:ascii="Times New Roman" w:hAnsi="Times New Roman"/>
          <w:noProof/>
          <w:sz w:val="24"/>
        </w:rPr>
        <w:t>.</w:t>
      </w:r>
    </w:p>
    <w:p w:rsidR="006047F1" w:rsidRDefault="00C96F15">
      <w:pPr>
        <w:pStyle w:val="Body"/>
        <w:tabs>
          <w:tab w:val="left" w:pos="3402"/>
        </w:tabs>
        <w:jc w:val="both"/>
        <w:rPr>
          <w:rFonts w:ascii="Times New Roman" w:eastAsia="Times New Roman" w:hAnsi="Times New Roman" w:cs="Times New Roman"/>
          <w:noProof/>
          <w:color w:val="auto"/>
          <w:sz w:val="24"/>
          <w:szCs w:val="24"/>
        </w:rPr>
      </w:pPr>
      <w:r>
        <w:rPr>
          <w:rFonts w:ascii="Times New Roman" w:hAnsi="Times New Roman"/>
          <w:b/>
          <w:noProof/>
          <w:color w:val="auto"/>
          <w:sz w:val="24"/>
        </w:rPr>
        <w:t>A tagállamok az emberkereskedelemmel összefüggésben a kényszerített házasságok</w:t>
      </w:r>
      <w:r>
        <w:rPr>
          <w:rStyle w:val="FootnoteReference"/>
          <w:rFonts w:ascii="Times New Roman" w:hAnsi="Times New Roman"/>
          <w:b/>
          <w:noProof/>
          <w:color w:val="auto"/>
          <w:sz w:val="24"/>
        </w:rPr>
        <w:footnoteReference w:id="24"/>
      </w:r>
      <w:r>
        <w:rPr>
          <w:rFonts w:ascii="Times New Roman" w:hAnsi="Times New Roman"/>
          <w:b/>
          <w:noProof/>
          <w:color w:val="auto"/>
          <w:sz w:val="24"/>
        </w:rPr>
        <w:t xml:space="preserve"> és színlelt házasságok növekvő számáról tettek jelentést.</w:t>
      </w:r>
      <w:r>
        <w:rPr>
          <w:rFonts w:ascii="Times New Roman" w:hAnsi="Times New Roman"/>
          <w:noProof/>
          <w:color w:val="auto"/>
          <w:sz w:val="24"/>
        </w:rPr>
        <w:t xml:space="preserve"> Az Europol jelzése szerint várható, hogy a jelenlegi migrációs és menekültügyi válság több kényszerházasságot eredményez amiatt, hogy a bevándorlók és a menedékkérők egyre nagyobb erőfeszítéseket tesznek a jogszerű tartózkodás megszerzéséért.</w:t>
      </w:r>
      <w:r>
        <w:rPr>
          <w:rStyle w:val="FootnoteReference"/>
          <w:rFonts w:ascii="Times New Roman" w:hAnsi="Times New Roman"/>
          <w:noProof/>
          <w:color w:val="auto"/>
          <w:sz w:val="24"/>
        </w:rPr>
        <w:footnoteReference w:id="25"/>
      </w:r>
    </w:p>
    <w:p w:rsidR="006047F1" w:rsidRDefault="00C96F15">
      <w:pPr>
        <w:spacing w:after="240"/>
        <w:jc w:val="both"/>
        <w:rPr>
          <w:rFonts w:eastAsia="Times New Roman"/>
          <w:b/>
          <w:bCs/>
          <w:iCs/>
          <w:noProof/>
          <w:u w:val="single"/>
        </w:rPr>
      </w:pPr>
      <w:r>
        <w:rPr>
          <w:b/>
          <w:noProof/>
          <w:u w:val="single"/>
        </w:rPr>
        <w:t>A gyermekke</w:t>
      </w:r>
      <w:r>
        <w:rPr>
          <w:b/>
          <w:noProof/>
          <w:u w:val="single"/>
        </w:rPr>
        <w:t>reskedelem tendenciái</w:t>
      </w:r>
    </w:p>
    <w:p w:rsidR="006047F1" w:rsidRDefault="00C96F15">
      <w:pPr>
        <w:pStyle w:val="Body"/>
        <w:jc w:val="both"/>
        <w:rPr>
          <w:rFonts w:ascii="Times New Roman" w:hAnsi="Times New Roman"/>
          <w:noProof/>
          <w:sz w:val="24"/>
          <w:szCs w:val="24"/>
        </w:rPr>
      </w:pPr>
      <w:r>
        <w:rPr>
          <w:rFonts w:ascii="Times New Roman" w:hAnsi="Times New Roman"/>
          <w:b/>
          <w:noProof/>
          <w:sz w:val="24"/>
        </w:rPr>
        <w:t>A tagállamok jelentései szerint a gyermekkereskedelem az egyik leggyorsabban emelkedő tendencia az EU-ban</w:t>
      </w:r>
      <w:r>
        <w:rPr>
          <w:rFonts w:ascii="Times New Roman" w:hAnsi="Times New Roman"/>
          <w:noProof/>
          <w:sz w:val="24"/>
        </w:rPr>
        <w:t>. A 2013-2014 évi statisztikai adatok azt mutatják, hogy az EU-ban az emberkereskedelem 15 846 regisztrált áldozata közül legaláb</w:t>
      </w:r>
      <w:r>
        <w:rPr>
          <w:rFonts w:ascii="Times New Roman" w:hAnsi="Times New Roman"/>
          <w:noProof/>
          <w:sz w:val="24"/>
        </w:rPr>
        <w:t>b 2 375 volt gyermek.</w:t>
      </w:r>
      <w:r>
        <w:rPr>
          <w:rStyle w:val="FootnoteReference"/>
          <w:rFonts w:ascii="Times New Roman" w:hAnsi="Times New Roman"/>
          <w:noProof/>
          <w:sz w:val="24"/>
        </w:rPr>
        <w:footnoteReference w:id="26"/>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Az </w:t>
      </w:r>
      <w:r>
        <w:rPr>
          <w:rFonts w:ascii="Times New Roman" w:hAnsi="Times New Roman" w:cs="Times New Roman"/>
          <w:b/>
          <w:noProof/>
          <w:sz w:val="24"/>
          <w:szCs w:val="24"/>
        </w:rPr>
        <w:t>emberkereskedelmi hálózatok a szociálisan és gazdaságilag hátrányos helyzetű</w:t>
      </w:r>
      <w:r>
        <w:rPr>
          <w:rFonts w:ascii="Times New Roman" w:hAnsi="Times New Roman"/>
          <w:b/>
          <w:noProof/>
          <w:sz w:val="24"/>
        </w:rPr>
        <w:t xml:space="preserve"> családokat célozzák, és olyan adósságba kényszerítik őket, amit nem tudnak visszafizetni</w:t>
      </w:r>
      <w:r>
        <w:rPr>
          <w:rFonts w:ascii="Times New Roman" w:hAnsi="Times New Roman"/>
          <w:noProof/>
          <w:sz w:val="24"/>
        </w:rPr>
        <w:t>. Ebben az összefüggésben a gyermekeket az adósság visszafizetése</w:t>
      </w:r>
      <w:r>
        <w:rPr>
          <w:rFonts w:ascii="Times New Roman" w:hAnsi="Times New Roman"/>
          <w:noProof/>
          <w:sz w:val="24"/>
        </w:rPr>
        <w:t>ként veszik el a szülőktől.</w:t>
      </w:r>
    </w:p>
    <w:p w:rsidR="006047F1" w:rsidRDefault="00C96F15">
      <w:pPr>
        <w:pStyle w:val="Body"/>
        <w:jc w:val="both"/>
        <w:rPr>
          <w:rFonts w:ascii="Times New Roman" w:hAnsi="Times New Roman"/>
          <w:noProof/>
          <w:sz w:val="24"/>
          <w:szCs w:val="24"/>
        </w:rPr>
      </w:pPr>
      <w:r>
        <w:rPr>
          <w:rFonts w:ascii="Times New Roman" w:hAnsi="Times New Roman"/>
          <w:noProof/>
          <w:sz w:val="24"/>
        </w:rPr>
        <w:t>A gyermekek az emberkereskedők által célba vett egyik legsérülékenyebb csoport. A szervezett bűnözői csoportok azért döntenek a gyermekek kereskedelme mellett, mert könnyen toborozhatók és gyorsan cserélhetők.</w:t>
      </w:r>
      <w:r>
        <w:rPr>
          <w:rStyle w:val="FootnoteReference"/>
          <w:rFonts w:ascii="Times New Roman" w:hAnsi="Times New Roman"/>
          <w:noProof/>
          <w:sz w:val="24"/>
        </w:rPr>
        <w:footnoteReference w:id="27"/>
      </w:r>
      <w:r>
        <w:rPr>
          <w:rFonts w:ascii="Times New Roman" w:hAnsi="Times New Roman"/>
          <w:noProof/>
          <w:sz w:val="24"/>
        </w:rPr>
        <w:t xml:space="preserve"> Jóllehet a gyerme</w:t>
      </w:r>
      <w:r>
        <w:rPr>
          <w:rFonts w:ascii="Times New Roman" w:hAnsi="Times New Roman"/>
          <w:noProof/>
          <w:sz w:val="24"/>
        </w:rPr>
        <w:t>kkereskedelem a migrációtól függetlenül terjedt el, a kapott információ arra utal, hogy a jelenséget tovább súlyosítja a folyamatban levő migrációs válság, amelynek során az EU-ba érkező gyermekek száma exponenciálisan megnőtt.</w:t>
      </w:r>
      <w:r>
        <w:rPr>
          <w:rStyle w:val="FootnoteReference"/>
          <w:rFonts w:ascii="Times New Roman" w:hAnsi="Times New Roman"/>
          <w:noProof/>
          <w:sz w:val="24"/>
        </w:rPr>
        <w:footnoteReference w:id="28"/>
      </w:r>
      <w:r>
        <w:rPr>
          <w:rFonts w:ascii="Times New Roman" w:hAnsi="Times New Roman"/>
          <w:noProof/>
          <w:sz w:val="24"/>
        </w:rPr>
        <w:t xml:space="preserve"> Az ilyen gyermekek jelentős</w:t>
      </w:r>
      <w:r>
        <w:rPr>
          <w:rFonts w:ascii="Times New Roman" w:hAnsi="Times New Roman"/>
          <w:noProof/>
          <w:sz w:val="24"/>
        </w:rPr>
        <w:t xml:space="preserve"> hányadának nincs kísérője és felelős felnőtt nélkül utaznak az EU-ba és az EU-n belül, vagy magukra hagyják őket, miután belépnek az EU-ba.</w:t>
      </w:r>
    </w:p>
    <w:p w:rsidR="006047F1" w:rsidRDefault="00C96F15">
      <w:pPr>
        <w:pStyle w:val="Body"/>
        <w:spacing w:line="240" w:lineRule="auto"/>
        <w:jc w:val="both"/>
        <w:rPr>
          <w:rFonts w:ascii="Times New Roman" w:eastAsia="Times New Roman" w:hAnsi="Times New Roman" w:cs="Times New Roman"/>
          <w:noProof/>
          <w:sz w:val="24"/>
          <w:szCs w:val="24"/>
        </w:rPr>
      </w:pPr>
      <w:r>
        <w:rPr>
          <w:rFonts w:ascii="Times New Roman" w:hAnsi="Times New Roman"/>
          <w:noProof/>
          <w:sz w:val="24"/>
        </w:rPr>
        <w:t>Az emberkereskedelem áldozatává váló gyermekek azonosítása és a valódi személyazonosságuk megállapítása egyre nagyo</w:t>
      </w:r>
      <w:r>
        <w:rPr>
          <w:rFonts w:ascii="Times New Roman" w:hAnsi="Times New Roman"/>
          <w:noProof/>
          <w:sz w:val="24"/>
        </w:rPr>
        <w:t>bb problémát jelent, mivel a kiszolgáltatottságuk az emberkereskedők kiemelt célpontjává teszi őket.</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 bűncselekmények elkövetése és szexuális kizsákmányolás céljából folytatott gyermekkereskedelem növekvőben van. A gyermek áldozatok esetében magas a kocká</w:t>
      </w:r>
      <w:r>
        <w:rPr>
          <w:rFonts w:ascii="Times New Roman" w:hAnsi="Times New Roman"/>
          <w:noProof/>
          <w:sz w:val="24"/>
        </w:rPr>
        <w:t>zata az ismételt emberkereskedelemnek, és annak is, hogy</w:t>
      </w:r>
      <w:r>
        <w:rPr>
          <w:rFonts w:ascii="Times New Roman" w:hAnsi="Times New Roman"/>
          <w:b/>
          <w:noProof/>
          <w:sz w:val="24"/>
        </w:rPr>
        <w:t xml:space="preserve"> másodlagos áldozattá válnak</w:t>
      </w:r>
      <w:r>
        <w:rPr>
          <w:rFonts w:ascii="Times New Roman" w:hAnsi="Times New Roman"/>
          <w:noProof/>
          <w:sz w:val="24"/>
        </w:rPr>
        <w:t xml:space="preserve"> – bűncselekmények tetteseként kezelik őket, nem pedig az emberkereskedelem áldozataként.</w:t>
      </w:r>
      <w:r>
        <w:rPr>
          <w:rStyle w:val="FootnoteReference"/>
          <w:rFonts w:ascii="Times New Roman" w:hAnsi="Times New Roman"/>
          <w:noProof/>
          <w:sz w:val="24"/>
        </w:rPr>
        <w:footnoteReference w:id="29"/>
      </w:r>
    </w:p>
    <w:p w:rsidR="006047F1" w:rsidRDefault="00C96F15">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b/>
          <w:noProof/>
          <w:sz w:val="24"/>
          <w:bdr w:val="none" w:sz="0" w:space="0" w:color="auto"/>
        </w:rPr>
        <w:t>A Bizottság azt javasolja, hogy összehangolt erőfeszítéseket tegyenek a gyermekke</w:t>
      </w:r>
      <w:r>
        <w:rPr>
          <w:rFonts w:ascii="Times New Roman" w:hAnsi="Times New Roman"/>
          <w:b/>
          <w:noProof/>
          <w:sz w:val="24"/>
          <w:bdr w:val="none" w:sz="0" w:space="0" w:color="auto"/>
        </w:rPr>
        <w:t>reskedelem megelőzésére és kezelésére és a veszélyeztetett gyermekek sérülékenységének csökkentésére; nyújtsanak megfelelő támogatást a gyermek áldozatoknak, és biztosítsák a gyermekvédelem dimenzióját</w:t>
      </w:r>
      <w:r>
        <w:rPr>
          <w:rFonts w:ascii="Times New Roman" w:hAnsi="Times New Roman"/>
          <w:noProof/>
          <w:sz w:val="24"/>
          <w:bdr w:val="none" w:sz="0" w:space="0" w:color="auto"/>
        </w:rPr>
        <w:t xml:space="preserve"> beépítik a gyermekeket célzó valamennyi intézkedésbe, különösen az integrált gyermekvédelmi rendszerek és a határokon átnyúló együttműködés megerősítése révén.</w:t>
      </w:r>
      <w:r>
        <w:rPr>
          <w:rStyle w:val="FootnoteReference"/>
          <w:rFonts w:ascii="Times New Roman" w:hAnsi="Times New Roman"/>
          <w:noProof/>
          <w:sz w:val="24"/>
          <w:bdr w:val="none" w:sz="0" w:space="0" w:color="auto"/>
        </w:rPr>
        <w:footnoteReference w:id="30"/>
      </w:r>
    </w:p>
    <w:p w:rsidR="006047F1" w:rsidRDefault="00C96F15">
      <w:pPr>
        <w:pStyle w:val="Body"/>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Tendenciák az emberkereskedelemben és a szervezett bűnözésben</w:t>
      </w:r>
    </w:p>
    <w:p w:rsidR="006047F1" w:rsidRDefault="00C96F15">
      <w:pPr>
        <w:pStyle w:val="Body"/>
        <w:jc w:val="both"/>
        <w:rPr>
          <w:rFonts w:ascii="Times New Roman" w:hAnsi="Times New Roman"/>
          <w:noProof/>
          <w:sz w:val="24"/>
          <w:szCs w:val="24"/>
        </w:rPr>
      </w:pPr>
      <w:r>
        <w:rPr>
          <w:rFonts w:ascii="Times New Roman" w:hAnsi="Times New Roman"/>
          <w:noProof/>
          <w:sz w:val="24"/>
        </w:rPr>
        <w:t xml:space="preserve">Az emberkereskedelem </w:t>
      </w:r>
      <w:r>
        <w:rPr>
          <w:rFonts w:ascii="Times New Roman" w:hAnsi="Times New Roman"/>
          <w:b/>
          <w:noProof/>
          <w:sz w:val="24"/>
        </w:rPr>
        <w:t>általában k</w:t>
      </w:r>
      <w:r>
        <w:rPr>
          <w:rFonts w:ascii="Times New Roman" w:hAnsi="Times New Roman"/>
          <w:b/>
          <w:noProof/>
          <w:sz w:val="24"/>
        </w:rPr>
        <w:t>apcsolódik a szervezett bűnözéshez</w:t>
      </w:r>
      <w:r>
        <w:rPr>
          <w:rFonts w:ascii="Times New Roman" w:hAnsi="Times New Roman"/>
          <w:noProof/>
          <w:sz w:val="24"/>
        </w:rPr>
        <w:t xml:space="preserve">, bár vannak olyan esetek, ahol kis számú áldozat helyben történő kihasználása folyik, és ahol az </w:t>
      </w:r>
      <w:r>
        <w:rPr>
          <w:rFonts w:ascii="Times New Roman" w:hAnsi="Times New Roman"/>
          <w:b/>
          <w:noProof/>
          <w:sz w:val="24"/>
        </w:rPr>
        <w:t>egyes bűnözők korlátozott szervezettséggel cselekszenek</w:t>
      </w:r>
      <w:r>
        <w:rPr>
          <w:rFonts w:ascii="Times New Roman" w:hAnsi="Times New Roman"/>
          <w:noProof/>
          <w:sz w:val="24"/>
        </w:rPr>
        <w:t>. Az emberkereskedelemben részes bűnszervezeteket laza és rugalmas há</w:t>
      </w:r>
      <w:r>
        <w:rPr>
          <w:rFonts w:ascii="Times New Roman" w:hAnsi="Times New Roman"/>
          <w:noProof/>
          <w:sz w:val="24"/>
        </w:rPr>
        <w:t>lózatok jellemzik, amelyek gyorsan alkalmazkodnak, és amiket a rokonság vagy az etnikai jellemző köt össze. A tagok közötti szerepek gyakran felcserélhetők, és a szervezetek általában több országban vannak jelen.</w:t>
      </w:r>
      <w:r>
        <w:rPr>
          <w:rFonts w:ascii="Times New Roman" w:hAnsi="Times New Roman"/>
          <w:noProof/>
          <w:sz w:val="24"/>
          <w:vertAlign w:val="superscript"/>
        </w:rPr>
        <w:footnoteReference w:id="31"/>
      </w:r>
    </w:p>
    <w:p w:rsidR="006047F1" w:rsidRDefault="00C96F15">
      <w:pPr>
        <w:pStyle w:val="Body"/>
        <w:jc w:val="both"/>
        <w:rPr>
          <w:rFonts w:ascii="Times New Roman" w:hAnsi="Times New Roman"/>
          <w:noProof/>
          <w:sz w:val="24"/>
          <w:szCs w:val="24"/>
        </w:rPr>
      </w:pPr>
      <w:r>
        <w:rPr>
          <w:rFonts w:ascii="Times New Roman" w:hAnsi="Times New Roman"/>
          <w:noProof/>
          <w:sz w:val="24"/>
        </w:rPr>
        <w:t>A szervezett bűnözés egyik súlyos formájak</w:t>
      </w:r>
      <w:r>
        <w:rPr>
          <w:rFonts w:ascii="Times New Roman" w:hAnsi="Times New Roman"/>
          <w:noProof/>
          <w:sz w:val="24"/>
        </w:rPr>
        <w:t xml:space="preserve">ént és jelentős biztonsági fenyegetésként az emberkereskedelem </w:t>
      </w:r>
      <w:r>
        <w:rPr>
          <w:rFonts w:ascii="Times New Roman" w:hAnsi="Times New Roman"/>
          <w:b/>
          <w:noProof/>
          <w:sz w:val="24"/>
        </w:rPr>
        <w:t>uniós szinten összehangolt és célzott válaszlépéseket követel meg</w:t>
      </w:r>
      <w:r>
        <w:rPr>
          <w:rFonts w:ascii="Times New Roman" w:hAnsi="Times New Roman"/>
          <w:noProof/>
          <w:sz w:val="24"/>
        </w:rPr>
        <w:t xml:space="preserve">, amint azt </w:t>
      </w:r>
      <w:r>
        <w:rPr>
          <w:rFonts w:ascii="Times New Roman" w:eastAsiaTheme="minorHAnsi" w:hAnsi="Times New Roman"/>
          <w:b/>
          <w:noProof/>
          <w:sz w:val="24"/>
        </w:rPr>
        <w:t xml:space="preserve">az európai biztonság stratégia </w:t>
      </w:r>
      <w:r>
        <w:rPr>
          <w:rFonts w:ascii="Times New Roman" w:hAnsi="Times New Roman"/>
          <w:noProof/>
          <w:sz w:val="24"/>
        </w:rPr>
        <w:t>is rögzíti</w:t>
      </w:r>
      <w:r>
        <w:rPr>
          <w:rFonts w:ascii="Times New Roman" w:eastAsiaTheme="minorHAnsi" w:hAnsi="Times New Roman"/>
          <w:noProof/>
          <w:sz w:val="24"/>
        </w:rPr>
        <w:t xml:space="preserve">. </w:t>
      </w:r>
      <w:r>
        <w:rPr>
          <w:rFonts w:ascii="Times New Roman" w:hAnsi="Times New Roman"/>
          <w:noProof/>
          <w:sz w:val="24"/>
        </w:rPr>
        <w:t xml:space="preserve">A válasznak </w:t>
      </w:r>
      <w:r>
        <w:rPr>
          <w:rFonts w:ascii="Times New Roman" w:hAnsi="Times New Roman"/>
          <w:b/>
          <w:noProof/>
          <w:sz w:val="24"/>
        </w:rPr>
        <w:t>kezelnie kell ez egyéb, egymással összefüggő bűncselekményeke</w:t>
      </w:r>
      <w:r>
        <w:rPr>
          <w:rFonts w:ascii="Times New Roman" w:hAnsi="Times New Roman"/>
          <w:b/>
          <w:noProof/>
          <w:sz w:val="24"/>
        </w:rPr>
        <w:t>t is,</w:t>
      </w:r>
      <w:r>
        <w:rPr>
          <w:rFonts w:ascii="Times New Roman" w:hAnsi="Times New Roman"/>
          <w:noProof/>
          <w:sz w:val="24"/>
        </w:rPr>
        <w:t xml:space="preserve"> mint például az okirat-hamisítást, a kábítószer-kereskedelmet, a számítógépes bűnözést, a gyermekpornográfiát, a migránsok csempészését és a juttatásokkal kapcsolatos csalást. </w:t>
      </w:r>
      <w:r>
        <w:rPr>
          <w:rFonts w:ascii="Times New Roman" w:hAnsi="Times New Roman"/>
          <w:b/>
          <w:noProof/>
          <w:sz w:val="24"/>
        </w:rPr>
        <w:t>Ezeknek az egymáshoz kapcsolódó bűncselekményeknek a jelenléte gyakran azt</w:t>
      </w:r>
      <w:r>
        <w:rPr>
          <w:rFonts w:ascii="Times New Roman" w:hAnsi="Times New Roman"/>
          <w:b/>
          <w:noProof/>
          <w:sz w:val="24"/>
        </w:rPr>
        <w:t xml:space="preserve"> jelenti, hogy emberkereskedelmet nem vizsgálják vagy rögzítik ekként.</w:t>
      </w:r>
      <w:r>
        <w:rPr>
          <w:rStyle w:val="FootnoteReference"/>
          <w:rFonts w:ascii="Times New Roman" w:hAnsi="Times New Roman"/>
          <w:noProof/>
          <w:sz w:val="24"/>
        </w:rPr>
        <w:footnoteReference w:id="32"/>
      </w:r>
      <w:r>
        <w:rPr>
          <w:rFonts w:ascii="Times New Roman" w:hAnsi="Times New Roman"/>
          <w:noProof/>
          <w:sz w:val="24"/>
        </w:rPr>
        <w:t xml:space="preserve"> Az emberkereskedelem folyamatosan változó formái és az emberkereskedők új helyzetekhez való alkalmazkodási képessége miatt még nehezebb a bűncselekmények kivizsgálása és a vádemelés.</w:t>
      </w:r>
    </w:p>
    <w:p w:rsidR="00C96F15" w:rsidRDefault="00C96F15">
      <w:pPr>
        <w:rPr>
          <w:rFonts w:eastAsia="Calibri" w:cs="Calibri"/>
          <w:b/>
          <w:noProof/>
          <w:color w:val="000000"/>
          <w:szCs w:val="22"/>
          <w:u w:val="single" w:color="000000"/>
        </w:rPr>
      </w:pPr>
      <w:r>
        <w:rPr>
          <w:b/>
          <w:noProof/>
          <w:u w:val="single"/>
        </w:rPr>
        <w:br w:type="page"/>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b/>
          <w:noProof/>
          <w:sz w:val="24"/>
          <w:u w:val="single"/>
        </w:rPr>
        <w:t>A</w:t>
      </w:r>
      <w:r>
        <w:rPr>
          <w:rFonts w:ascii="Times New Roman" w:hAnsi="Times New Roman"/>
          <w:b/>
          <w:noProof/>
          <w:sz w:val="24"/>
          <w:u w:val="single"/>
        </w:rPr>
        <w:t>z emberkereskedelem alakulása a migrációval és menekültüggyel összefüggésben</w:t>
      </w:r>
    </w:p>
    <w:p w:rsidR="006047F1" w:rsidRDefault="00C96F15">
      <w:pPr>
        <w:pStyle w:val="Body"/>
        <w:jc w:val="both"/>
        <w:rPr>
          <w:rFonts w:ascii="Times New Roman" w:hAnsi="Times New Roman"/>
          <w:noProof/>
          <w:sz w:val="24"/>
          <w:szCs w:val="24"/>
        </w:rPr>
      </w:pPr>
      <w:r>
        <w:rPr>
          <w:rFonts w:ascii="Times New Roman" w:hAnsi="Times New Roman"/>
          <w:noProof/>
          <w:sz w:val="24"/>
        </w:rPr>
        <w:t>A Bizottságnak az európai migrációs stratégia szerinti kiemelt intézkedések végrehajtásának helyzetéről az Európai Parlamentnek és a Tanácsnak szóló legutóbbi közleménye szerint</w:t>
      </w:r>
      <w:r>
        <w:rPr>
          <w:rFonts w:ascii="Times New Roman" w:hAnsi="Times New Roman"/>
          <w:noProof/>
          <w:color w:val="auto"/>
          <w:sz w:val="24"/>
          <w:vertAlign w:val="superscript"/>
        </w:rPr>
        <w:footnoteReference w:id="33"/>
      </w:r>
      <w:r>
        <w:rPr>
          <w:rFonts w:ascii="Times New Roman" w:hAnsi="Times New Roman"/>
          <w:noProof/>
          <w:sz w:val="24"/>
        </w:rPr>
        <w:t xml:space="preserve"> konkrét bizonyíték van arra, hogy az </w:t>
      </w:r>
      <w:r>
        <w:rPr>
          <w:rFonts w:ascii="Times New Roman" w:hAnsi="Times New Roman"/>
          <w:b/>
          <w:noProof/>
          <w:sz w:val="24"/>
        </w:rPr>
        <w:t>emberkereskedelemben részt vevő bűnszervezetek kihasználták a migrációs válságot, hogy a legsérülékenyebbeket, különösen a nőket és a gyermekeket vegyék célba.</w:t>
      </w:r>
      <w:r>
        <w:rPr>
          <w:rFonts w:ascii="Times New Roman" w:hAnsi="Times New Roman"/>
          <w:noProof/>
          <w:sz w:val="24"/>
        </w:rPr>
        <w:t xml:space="preserve"> Az emberkereskedők egyre gyakrabban visszaélnek a menekült</w:t>
      </w:r>
      <w:r>
        <w:rPr>
          <w:rFonts w:ascii="Times New Roman" w:hAnsi="Times New Roman"/>
          <w:noProof/>
          <w:sz w:val="24"/>
        </w:rPr>
        <w:t xml:space="preserve">ügyi rendszerekkel, amelyek nem minden esetben kapcsolódnak nemzeti áldozatkezelési mechanizmusokhoz. Líbiát elhagyó </w:t>
      </w:r>
      <w:r>
        <w:rPr>
          <w:rFonts w:ascii="Times New Roman" w:hAnsi="Times New Roman"/>
          <w:b/>
          <w:noProof/>
          <w:sz w:val="24"/>
        </w:rPr>
        <w:t>nigériai nők és lányok számának aggasztóan erőteljes emelkedését</w:t>
      </w:r>
      <w:r>
        <w:rPr>
          <w:rFonts w:ascii="Times New Roman" w:hAnsi="Times New Roman"/>
          <w:noProof/>
          <w:sz w:val="24"/>
        </w:rPr>
        <w:t xml:space="preserve"> figyelték meg (4 371 a 2015. január-szeptember közötti időszakban, az előz</w:t>
      </w:r>
      <w:r>
        <w:rPr>
          <w:rFonts w:ascii="Times New Roman" w:hAnsi="Times New Roman"/>
          <w:noProof/>
          <w:sz w:val="24"/>
        </w:rPr>
        <w:t>ő évi 1 008-hoz viszonyítva, akiknek 80 %-a az IOM Olaszország becslései szerint az emberkereskedelem áldozata),</w:t>
      </w:r>
      <w:r>
        <w:rPr>
          <w:rStyle w:val="FootnoteReference"/>
          <w:rFonts w:ascii="Times New Roman" w:hAnsi="Times New Roman"/>
          <w:noProof/>
          <w:sz w:val="24"/>
        </w:rPr>
        <w:footnoteReference w:id="34"/>
      </w:r>
      <w:r>
        <w:rPr>
          <w:rFonts w:ascii="Times New Roman" w:hAnsi="Times New Roman"/>
          <w:noProof/>
          <w:sz w:val="24"/>
        </w:rPr>
        <w:t xml:space="preserve"> és általános az aggodalom a szexuális kizsákmányolás céljából folytatott emberkereskedelem egyre nagyobb veszélye miatt.</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 2015-ös migrációs v</w:t>
      </w:r>
      <w:r>
        <w:rPr>
          <w:rFonts w:ascii="Times New Roman" w:hAnsi="Times New Roman"/>
          <w:noProof/>
          <w:sz w:val="24"/>
        </w:rPr>
        <w:t>álság kezelésének egyik eszközeként az EU jelentősen megerősítette a harmadik országokkal való együttműködést, és az afrikai, nyugat-balkáni országokkal és Törökországgal folytatott együttműködés egyik fő területe az emberkereskedelem lett.</w:t>
      </w:r>
    </w:p>
    <w:p w:rsidR="006047F1" w:rsidRDefault="00C96F15">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hAnsi="Times New Roman"/>
          <w:noProof/>
          <w:sz w:val="24"/>
          <w:szCs w:val="24"/>
        </w:rPr>
      </w:pPr>
      <w:r>
        <w:rPr>
          <w:rFonts w:ascii="Times New Roman" w:hAnsi="Times New Roman"/>
          <w:b/>
          <w:noProof/>
          <w:sz w:val="24"/>
        </w:rPr>
        <w:t>Az összehangolá</w:t>
      </w:r>
      <w:r>
        <w:rPr>
          <w:rFonts w:ascii="Times New Roman" w:hAnsi="Times New Roman"/>
          <w:b/>
          <w:noProof/>
          <w:sz w:val="24"/>
        </w:rPr>
        <w:t xml:space="preserve">st a terepen kell biztosítani </w:t>
      </w:r>
      <w:r>
        <w:rPr>
          <w:rFonts w:ascii="Times New Roman" w:hAnsi="Times New Roman"/>
          <w:noProof/>
          <w:sz w:val="24"/>
        </w:rPr>
        <w:t xml:space="preserve">a harmadik országok állampolgárainak szűrésében, ujjlenyomatvételében, azonosításában és nyilvántartásba vételében részt vevő </w:t>
      </w:r>
      <w:r>
        <w:rPr>
          <w:rFonts w:ascii="Times New Roman" w:hAnsi="Times New Roman"/>
          <w:b/>
          <w:noProof/>
          <w:sz w:val="24"/>
        </w:rPr>
        <w:t xml:space="preserve">valamennyi szereplő közötti „terepi megközelítés” keretében </w:t>
      </w:r>
      <w:r>
        <w:rPr>
          <w:rFonts w:ascii="Times New Roman" w:hAnsi="Times New Roman"/>
          <w:noProof/>
          <w:sz w:val="24"/>
        </w:rPr>
        <w:t>és az egyéb, első vonalbeli befogadó lét</w:t>
      </w:r>
      <w:r>
        <w:rPr>
          <w:rFonts w:ascii="Times New Roman" w:hAnsi="Times New Roman"/>
          <w:noProof/>
          <w:sz w:val="24"/>
        </w:rPr>
        <w:t>esítményekben, hogy gyorsan azonosítsák és megóvják az emberkereskedelem áldozatait, és megfelelő szintű gondozást és védelmet biztosítsanak</w:t>
      </w:r>
      <w:r>
        <w:rPr>
          <w:noProof/>
        </w:rPr>
        <w:t xml:space="preserve"> részükre.</w:t>
      </w:r>
      <w:r>
        <w:rPr>
          <w:rFonts w:ascii="Times New Roman" w:hAnsi="Times New Roman"/>
          <w:noProof/>
          <w:sz w:val="24"/>
        </w:rPr>
        <w:t xml:space="preserve"> Ennek magában kell foglalnia a határon szolgálatot teljesítő, megfelelő képzéssel rendelkező személyzetet</w:t>
      </w:r>
      <w:r>
        <w:rPr>
          <w:rFonts w:ascii="Times New Roman" w:hAnsi="Times New Roman"/>
          <w:noProof/>
          <w:sz w:val="24"/>
        </w:rPr>
        <w:t>.</w:t>
      </w:r>
      <w:r>
        <w:rPr>
          <w:rStyle w:val="FootnoteReference"/>
          <w:rFonts w:ascii="Times New Roman" w:hAnsi="Times New Roman"/>
          <w:noProof/>
          <w:sz w:val="24"/>
        </w:rPr>
        <w:footnoteReference w:id="35"/>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b/>
          <w:noProof/>
          <w:sz w:val="24"/>
          <w:u w:val="single"/>
        </w:rPr>
        <w:t>Az internet és az új technológiák használatának tendenciái</w:t>
      </w:r>
    </w:p>
    <w:p w:rsidR="006047F1" w:rsidRDefault="00C96F15">
      <w:pPr>
        <w:pStyle w:val="Body"/>
        <w:jc w:val="both"/>
        <w:rPr>
          <w:rFonts w:ascii="Times New Roman" w:eastAsia="Times New Roman" w:hAnsi="Times New Roman" w:cs="Times New Roman"/>
          <w:b/>
          <w:bCs/>
          <w:noProof/>
          <w:sz w:val="24"/>
          <w:szCs w:val="24"/>
        </w:rPr>
      </w:pPr>
      <w:r>
        <w:rPr>
          <w:rFonts w:ascii="Times New Roman" w:hAnsi="Times New Roman"/>
          <w:noProof/>
          <w:sz w:val="24"/>
        </w:rPr>
        <w:t>Az internet és az új technológiák lehetővé teszik a szervezett bűnözői csoportok számára nagy számú lehetséges áldozat megközelítését, a tevékenységeik elrejtését és a korábbinál rövidebb időn b</w:t>
      </w:r>
      <w:r>
        <w:rPr>
          <w:rFonts w:ascii="Times New Roman" w:hAnsi="Times New Roman"/>
          <w:noProof/>
          <w:sz w:val="24"/>
        </w:rPr>
        <w:t xml:space="preserve">elül sokkal nagyobb léptékű bűncselekmények széles körének az elkövetését. A tagállamok jelentései szerint </w:t>
      </w:r>
      <w:r>
        <w:rPr>
          <w:rFonts w:ascii="Times New Roman" w:hAnsi="Times New Roman"/>
          <w:b/>
          <w:noProof/>
          <w:sz w:val="24"/>
        </w:rPr>
        <w:t>az emberkereskedelem sok áldozatát online szedik, különösen a szexuális és a munkaerő-kizsákmányolás céljából.</w:t>
      </w:r>
    </w:p>
    <w:p w:rsidR="006047F1" w:rsidRDefault="00C96F1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noProof/>
          <w:sz w:val="24"/>
          <w:szCs w:val="24"/>
        </w:rPr>
      </w:pPr>
      <w:r>
        <w:rPr>
          <w:rFonts w:ascii="Times New Roman" w:hAnsi="Times New Roman"/>
          <w:noProof/>
          <w:sz w:val="24"/>
        </w:rPr>
        <w:t xml:space="preserve">Intézkedéseket szükséges tenni annak érdekében, hogy </w:t>
      </w:r>
      <w:r>
        <w:rPr>
          <w:rFonts w:ascii="Times New Roman" w:hAnsi="Times New Roman"/>
          <w:b/>
          <w:noProof/>
          <w:sz w:val="24"/>
        </w:rPr>
        <w:t xml:space="preserve">megelőzzék és kezeljék </w:t>
      </w:r>
      <w:r>
        <w:rPr>
          <w:rFonts w:ascii="Times New Roman" w:hAnsi="Times New Roman"/>
          <w:noProof/>
          <w:sz w:val="24"/>
        </w:rPr>
        <w:t xml:space="preserve">azt, hogy </w:t>
      </w:r>
      <w:r>
        <w:rPr>
          <w:rFonts w:ascii="Times New Roman" w:hAnsi="Times New Roman"/>
          <w:b/>
          <w:noProof/>
          <w:sz w:val="24"/>
        </w:rPr>
        <w:t xml:space="preserve">az új technológiákat </w:t>
      </w:r>
      <w:r>
        <w:rPr>
          <w:rFonts w:ascii="Times New Roman" w:hAnsi="Times New Roman"/>
          <w:noProof/>
          <w:sz w:val="24"/>
        </w:rPr>
        <w:t>az emberkereskedelem áldozatai toborzásának eszközeként használják.</w:t>
      </w:r>
    </w:p>
    <w:p w:rsidR="006047F1" w:rsidRDefault="00C96F15">
      <w:pPr>
        <w:pStyle w:val="Heading"/>
        <w:numPr>
          <w:ilvl w:val="0"/>
          <w:numId w:val="10"/>
        </w:numPr>
        <w:spacing w:after="240"/>
        <w:rPr>
          <w:rFonts w:ascii="Times New Roman" w:eastAsia="Times New Roman" w:hAnsi="Times New Roman" w:cs="Times New Roman"/>
          <w:noProof/>
          <w:color w:val="000000"/>
          <w:u w:color="000000"/>
        </w:rPr>
      </w:pPr>
      <w:r>
        <w:rPr>
          <w:rFonts w:ascii="Times New Roman" w:hAnsi="Times New Roman"/>
          <w:noProof/>
          <w:color w:val="000000"/>
          <w:u w:color="000000"/>
        </w:rPr>
        <w:t>AZ EMBERKERESKEDELEM KEZELÉSÉRE TETT INTÉZKEDÉSEK EREDMÉNYEI</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 legtöbb tagállam k</w:t>
      </w:r>
      <w:r>
        <w:rPr>
          <w:rFonts w:ascii="Times New Roman" w:hAnsi="Times New Roman"/>
          <w:noProof/>
          <w:sz w:val="24"/>
        </w:rPr>
        <w:t xml:space="preserve">iemelte </w:t>
      </w:r>
      <w:r>
        <w:rPr>
          <w:rFonts w:ascii="Times New Roman" w:hAnsi="Times New Roman"/>
          <w:b/>
          <w:noProof/>
          <w:sz w:val="24"/>
        </w:rPr>
        <w:t>az emberkereskedelem elleni intézkedések eredményei és hatásai mérésének nehézségét</w:t>
      </w:r>
      <w:r>
        <w:rPr>
          <w:rFonts w:ascii="Times New Roman" w:hAnsi="Times New Roman"/>
          <w:noProof/>
          <w:sz w:val="24"/>
        </w:rPr>
        <w:t>. Azonban csak néhányan fejlesztettek ki megfelelő mutatókat vagy értékelték a nemzeti stratégiájukat és cselekvési tervüket.</w:t>
      </w:r>
    </w:p>
    <w:p w:rsidR="006047F1" w:rsidRDefault="00C96F1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noProof/>
          <w:sz w:val="24"/>
        </w:rPr>
        <w:t xml:space="preserve">A hatékony és előrelátó politikák és intézkedések biztosítása érdekében a Bizottság úgy véli, hogy nagyon fontos </w:t>
      </w:r>
      <w:r>
        <w:rPr>
          <w:rFonts w:ascii="Times New Roman" w:hAnsi="Times New Roman"/>
          <w:b/>
          <w:noProof/>
          <w:sz w:val="24"/>
        </w:rPr>
        <w:t>a tagállamok stratégiáinak és cselekvési terveinek rendszeres értékelése és a megtett intézkedések eredményeinek és hatásainak mérése</w:t>
      </w:r>
      <w:r>
        <w:rPr>
          <w:rFonts w:ascii="Times New Roman" w:hAnsi="Times New Roman"/>
          <w:noProof/>
          <w:sz w:val="24"/>
        </w:rPr>
        <w:t>.</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 jelent</w:t>
      </w:r>
      <w:r>
        <w:rPr>
          <w:rFonts w:ascii="Times New Roman" w:hAnsi="Times New Roman"/>
          <w:noProof/>
          <w:sz w:val="24"/>
        </w:rPr>
        <w:t>és ezen fejezete rávilágít a tagállamok által tett főbb intézkedésekre az emberkereskedelem elleni irányelvben és az EU stratégiában meghatározott három kulcsfontosságú tematikus területen. Ezeket a területeket részletesebben tárgyalja a jelentéshez kapcso</w:t>
      </w:r>
      <w:r>
        <w:rPr>
          <w:rFonts w:ascii="Times New Roman" w:hAnsi="Times New Roman"/>
          <w:noProof/>
          <w:sz w:val="24"/>
        </w:rPr>
        <w:t>lódó személyzeti munkadokumentum. A személyzeti munkadokumentum bemutatja a tagállamoktól származó példákat és a Bizottság által az érintett területeken megtett intézkedéseket.</w:t>
      </w:r>
    </w:p>
    <w:p w:rsidR="006047F1" w:rsidRDefault="00C96F15">
      <w:pPr>
        <w:pStyle w:val="Heading2"/>
        <w:numPr>
          <w:ilvl w:val="1"/>
          <w:numId w:val="5"/>
        </w:numPr>
        <w:spacing w:after="240"/>
        <w:rPr>
          <w:rFonts w:ascii="Times New Roman" w:eastAsia="Times New Roman" w:hAnsi="Times New Roman" w:cs="Times New Roman"/>
          <w:noProof/>
          <w:color w:val="000000"/>
          <w:u w:val="single" w:color="000000"/>
        </w:rPr>
      </w:pPr>
      <w:r>
        <w:rPr>
          <w:rFonts w:ascii="Times New Roman" w:hAnsi="Times New Roman"/>
          <w:noProof/>
          <w:color w:val="000000"/>
          <w:u w:val="single" w:color="000000"/>
        </w:rPr>
        <w:t>Büntetőjog, nyomozás és büntetőeljárás</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Az emberkereskedelemmel kapcsolatos </w:t>
      </w:r>
      <w:r>
        <w:rPr>
          <w:rFonts w:ascii="Times New Roman" w:hAnsi="Times New Roman" w:cs="Times New Roman"/>
          <w:b/>
          <w:noProof/>
          <w:sz w:val="24"/>
          <w:szCs w:val="24"/>
        </w:rPr>
        <w:t>nyom</w:t>
      </w:r>
      <w:r>
        <w:rPr>
          <w:rFonts w:ascii="Times New Roman" w:hAnsi="Times New Roman" w:cs="Times New Roman"/>
          <w:b/>
          <w:noProof/>
          <w:sz w:val="24"/>
          <w:szCs w:val="24"/>
        </w:rPr>
        <w:t>ozások és büntetőeljárások számának növelése</w:t>
      </w:r>
      <w:r>
        <w:rPr>
          <w:rFonts w:ascii="Times New Roman" w:hAnsi="Times New Roman" w:cs="Times New Roman"/>
          <w:noProof/>
          <w:sz w:val="24"/>
          <w:szCs w:val="24"/>
        </w:rPr>
        <w:t xml:space="preserve"> az EU jogi és politikai keretének egyik kulcsfontosságú prioritása.</w:t>
      </w:r>
    </w:p>
    <w:p w:rsidR="006047F1" w:rsidRDefault="00C96F15">
      <w:pPr>
        <w:pStyle w:val="Body"/>
        <w:jc w:val="both"/>
        <w:rPr>
          <w:rFonts w:ascii="Times New Roman" w:hAnsi="Times New Roman"/>
          <w:noProof/>
          <w:sz w:val="24"/>
          <w:szCs w:val="24"/>
        </w:rPr>
      </w:pPr>
      <w:r>
        <w:rPr>
          <w:rFonts w:ascii="Times New Roman" w:hAnsi="Times New Roman"/>
          <w:b/>
          <w:noProof/>
          <w:sz w:val="24"/>
        </w:rPr>
        <w:t>A büntetőeljárások és elítélések szintje még mindig aggasztóan alacsony</w:t>
      </w:r>
      <w:r>
        <w:rPr>
          <w:rFonts w:ascii="Times New Roman" w:hAnsi="Times New Roman"/>
          <w:noProof/>
          <w:sz w:val="24"/>
        </w:rPr>
        <w:t xml:space="preserve">, különösen, ha összehasonlítjuk az azonosított áldozatok számával. Bár </w:t>
      </w:r>
      <w:r>
        <w:rPr>
          <w:rFonts w:ascii="Times New Roman" w:hAnsi="Times New Roman"/>
          <w:noProof/>
          <w:sz w:val="24"/>
        </w:rPr>
        <w:t>a nyomozás ezen a területen jelentős mennyiségű bizonyítékot követel meg az elítéléshez, a jelentéshez összegyűjtött információ azt jelzi, hogy a tagállamok nem vesznek igénybe elegendő hatékony nyomozati eszközt. A pénzügyi nyomozást többnyire eseti alapo</w:t>
      </w:r>
      <w:r>
        <w:rPr>
          <w:rFonts w:ascii="Times New Roman" w:hAnsi="Times New Roman"/>
          <w:noProof/>
          <w:sz w:val="24"/>
        </w:rPr>
        <w:t xml:space="preserve">n végzik, nem pedig rendszeresen, és az gyakran vagyonvisszaszerzési vizsgálatokra korlátozódik. </w:t>
      </w:r>
      <w:r>
        <w:rPr>
          <w:rStyle w:val="FootnoteReference"/>
          <w:rFonts w:ascii="Times New Roman" w:hAnsi="Times New Roman"/>
          <w:noProof/>
          <w:sz w:val="24"/>
        </w:rPr>
        <w:footnoteReference w:id="36"/>
      </w:r>
      <w:r>
        <w:rPr>
          <w:rFonts w:ascii="Times New Roman" w:hAnsi="Times New Roman"/>
          <w:noProof/>
          <w:sz w:val="24"/>
        </w:rPr>
        <w:t xml:space="preserve"> Ez ellentétben áll a Pénzügyi Akció Munkacsoport (FATF) előírásaival</w:t>
      </w:r>
      <w:r>
        <w:rPr>
          <w:rStyle w:val="FootnoteReference"/>
          <w:rFonts w:ascii="Times New Roman" w:hAnsi="Times New Roman"/>
          <w:noProof/>
          <w:sz w:val="24"/>
        </w:rPr>
        <w:footnoteReference w:id="37"/>
      </w:r>
      <w:r>
        <w:rPr>
          <w:rFonts w:ascii="Times New Roman" w:hAnsi="Times New Roman"/>
          <w:noProof/>
          <w:sz w:val="24"/>
        </w:rPr>
        <w:t xml:space="preserve"> és a Tanács ajánlásaival.</w:t>
      </w:r>
      <w:r>
        <w:rPr>
          <w:rStyle w:val="FootnoteReference"/>
          <w:rFonts w:ascii="Times New Roman" w:hAnsi="Times New Roman"/>
          <w:noProof/>
          <w:sz w:val="24"/>
        </w:rPr>
        <w:footnoteReference w:id="38"/>
      </w:r>
    </w:p>
    <w:p w:rsidR="006047F1" w:rsidRDefault="00C96F15">
      <w:pPr>
        <w:pStyle w:val="Body"/>
        <w:jc w:val="both"/>
        <w:rPr>
          <w:rFonts w:ascii="Times New Roman" w:hAnsi="Times New Roman"/>
          <w:noProof/>
          <w:sz w:val="24"/>
          <w:szCs w:val="24"/>
        </w:rPr>
      </w:pPr>
      <w:r>
        <w:rPr>
          <w:rFonts w:ascii="Times New Roman" w:hAnsi="Times New Roman"/>
          <w:noProof/>
          <w:sz w:val="24"/>
        </w:rPr>
        <w:t>Azt is jelentették, hogy az áldozatokra túlzott teher neheze</w:t>
      </w:r>
      <w:r>
        <w:rPr>
          <w:rFonts w:ascii="Times New Roman" w:hAnsi="Times New Roman"/>
          <w:noProof/>
          <w:sz w:val="24"/>
        </w:rPr>
        <w:t xml:space="preserve">dik a büntetőeljárás előtt és alatt is. Egyes információk arra engednek következtetni, hogy az </w:t>
      </w:r>
      <w:r>
        <w:rPr>
          <w:rFonts w:ascii="Times New Roman" w:hAnsi="Times New Roman"/>
          <w:b/>
          <w:noProof/>
          <w:sz w:val="24"/>
        </w:rPr>
        <w:t>áldozatok gyakran nem kapnak segítséget a rendőrségen vagy őket tévesen elkövetőként azonosítják, majd eljárást indítanak ellenük és elítélték őket</w:t>
      </w:r>
      <w:r>
        <w:rPr>
          <w:rFonts w:ascii="Times New Roman" w:hAnsi="Times New Roman"/>
          <w:noProof/>
          <w:sz w:val="24"/>
        </w:rPr>
        <w:t>.</w:t>
      </w:r>
    </w:p>
    <w:p w:rsidR="006047F1" w:rsidRDefault="00C96F15">
      <w:pPr>
        <w:pStyle w:val="Body"/>
        <w:jc w:val="both"/>
        <w:rPr>
          <w:rFonts w:ascii="Times New Roman" w:hAnsi="Times New Roman"/>
          <w:noProof/>
          <w:sz w:val="24"/>
          <w:szCs w:val="24"/>
        </w:rPr>
      </w:pPr>
      <w:r>
        <w:rPr>
          <w:rFonts w:ascii="Times New Roman" w:hAnsi="Times New Roman"/>
          <w:noProof/>
          <w:sz w:val="24"/>
        </w:rPr>
        <w:t>A kapott inf</w:t>
      </w:r>
      <w:r>
        <w:rPr>
          <w:rFonts w:ascii="Times New Roman" w:hAnsi="Times New Roman"/>
          <w:noProof/>
          <w:sz w:val="24"/>
        </w:rPr>
        <w:t xml:space="preserve">ormáció szerint bizonyíték van a </w:t>
      </w:r>
      <w:r>
        <w:rPr>
          <w:rFonts w:ascii="Times New Roman" w:hAnsi="Times New Roman"/>
          <w:b/>
          <w:noProof/>
          <w:sz w:val="24"/>
        </w:rPr>
        <w:t>közös nyomozások szervezését és közös nyomozócsoportok felállítását célzó erőfeszítésekre, továbbá az ezekből származó pozitív tapasztalatokra,</w:t>
      </w:r>
      <w:r>
        <w:rPr>
          <w:rFonts w:ascii="Times New Roman" w:hAnsi="Times New Roman"/>
          <w:noProof/>
          <w:sz w:val="24"/>
        </w:rPr>
        <w:t xml:space="preserve"> valamint az </w:t>
      </w:r>
      <w:r>
        <w:rPr>
          <w:rFonts w:ascii="Times New Roman" w:hAnsi="Times New Roman"/>
          <w:b/>
          <w:noProof/>
          <w:sz w:val="24"/>
        </w:rPr>
        <w:t xml:space="preserve">EU-n átívelő együttműködés növekedésére </w:t>
      </w:r>
      <w:r>
        <w:rPr>
          <w:rFonts w:ascii="Times New Roman" w:hAnsi="Times New Roman"/>
          <w:noProof/>
          <w:sz w:val="24"/>
        </w:rPr>
        <w:t>ezen a területen.</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Az inform</w:t>
      </w:r>
      <w:r>
        <w:rPr>
          <w:rFonts w:ascii="Times New Roman" w:hAnsi="Times New Roman"/>
          <w:noProof/>
          <w:sz w:val="24"/>
        </w:rPr>
        <w:t xml:space="preserve">áció rámutat a </w:t>
      </w:r>
      <w:r>
        <w:rPr>
          <w:rFonts w:ascii="Times New Roman" w:hAnsi="Times New Roman"/>
          <w:b/>
          <w:noProof/>
          <w:sz w:val="24"/>
        </w:rPr>
        <w:t>lefoglalás és az elkobzás</w:t>
      </w:r>
      <w:r>
        <w:rPr>
          <w:rFonts w:ascii="Times New Roman" w:hAnsi="Times New Roman"/>
          <w:noProof/>
          <w:sz w:val="24"/>
        </w:rPr>
        <w:t xml:space="preserve"> végrehajtásával kapcsolatos gyakorlati problémákra az emberkereskedelmet érintő ügyekben, beleértve a </w:t>
      </w:r>
      <w:r>
        <w:rPr>
          <w:rFonts w:ascii="Times New Roman" w:hAnsi="Times New Roman"/>
          <w:b/>
          <w:noProof/>
          <w:sz w:val="24"/>
        </w:rPr>
        <w:t>bűncselekményből származó bevétel feltárásával</w:t>
      </w:r>
      <w:r>
        <w:rPr>
          <w:rFonts w:ascii="Times New Roman" w:hAnsi="Times New Roman"/>
          <w:noProof/>
          <w:sz w:val="24"/>
        </w:rPr>
        <w:t xml:space="preserve"> és a </w:t>
      </w:r>
      <w:r>
        <w:rPr>
          <w:rFonts w:ascii="Times New Roman" w:hAnsi="Times New Roman"/>
          <w:b/>
          <w:noProof/>
          <w:sz w:val="24"/>
        </w:rPr>
        <w:t>nem hatékony nemzetközi együttműködéssel kapcsolatos problémá</w:t>
      </w:r>
      <w:r>
        <w:rPr>
          <w:rFonts w:ascii="Times New Roman" w:hAnsi="Times New Roman"/>
          <w:b/>
          <w:noProof/>
          <w:sz w:val="24"/>
        </w:rPr>
        <w:t xml:space="preserve">kra </w:t>
      </w:r>
      <w:r>
        <w:rPr>
          <w:rFonts w:ascii="Times New Roman" w:hAnsi="Times New Roman"/>
          <w:noProof/>
          <w:sz w:val="24"/>
        </w:rPr>
        <w:t xml:space="preserve">ott, ahol a pénzt egy EU-n kívüli országba küldték. A jelentések szerint a </w:t>
      </w:r>
      <w:r>
        <w:rPr>
          <w:rFonts w:ascii="Times New Roman" w:hAnsi="Times New Roman"/>
          <w:b/>
          <w:noProof/>
          <w:sz w:val="24"/>
        </w:rPr>
        <w:t xml:space="preserve">pénzügyi nyomozások </w:t>
      </w:r>
      <w:r>
        <w:rPr>
          <w:rFonts w:ascii="Times New Roman" w:hAnsi="Times New Roman"/>
          <w:noProof/>
          <w:sz w:val="24"/>
        </w:rPr>
        <w:t>több lefoglaláshoz és így több elkobzáshoz vezetnek.</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Az emberkereskedők gyakran </w:t>
      </w:r>
      <w:r>
        <w:rPr>
          <w:rFonts w:ascii="Times New Roman" w:hAnsi="Times New Roman"/>
          <w:b/>
          <w:noProof/>
          <w:sz w:val="24"/>
        </w:rPr>
        <w:t>jogszerű üzleti struktúrákkal visszaélve rejtik el a tiltott tevékenységüket.</w:t>
      </w:r>
      <w:r>
        <w:rPr>
          <w:rFonts w:ascii="Times New Roman" w:hAnsi="Times New Roman"/>
          <w:noProof/>
          <w:sz w:val="24"/>
        </w:rPr>
        <w:t xml:space="preserve"> Az emberkereskedelem elleni irányelv jogi kötelezettségeket hoz létre a vállalkozások tekintetében, azaz: a jogi személyek felelősek és szankcionálhatók az emberkereskedelemmel kapcsolatos bűncselekményekért (5. cikk). Bár az üzleti tevékenység egyaránt á</w:t>
      </w:r>
      <w:r>
        <w:rPr>
          <w:rFonts w:ascii="Times New Roman" w:hAnsi="Times New Roman"/>
          <w:noProof/>
          <w:sz w:val="24"/>
        </w:rPr>
        <w:t xml:space="preserve">llandósíthatja az emberkereskedelmet és hozzájárulhat annak felszámolásához, a legtöbb cég nincs tisztában a kapcsolódásokkal, és </w:t>
      </w:r>
      <w:r>
        <w:rPr>
          <w:rFonts w:ascii="Times New Roman" w:hAnsi="Times New Roman"/>
          <w:b/>
          <w:noProof/>
          <w:sz w:val="24"/>
        </w:rPr>
        <w:t>csak néhány tagállam folytatott büntetőeljárást jogi személyek ellen az 5. cikk alapján</w:t>
      </w:r>
      <w:r>
        <w:rPr>
          <w:rFonts w:ascii="Times New Roman" w:hAnsi="Times New Roman"/>
          <w:noProof/>
          <w:sz w:val="24"/>
        </w:rPr>
        <w:t>.</w:t>
      </w:r>
    </w:p>
    <w:p w:rsidR="006047F1" w:rsidRDefault="00C96F15">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noProof/>
          <w:sz w:val="24"/>
          <w:bdr w:val="none" w:sz="0" w:space="0" w:color="auto"/>
        </w:rPr>
        <w:t>A Bizottság által összegyűjtött infor</w:t>
      </w:r>
      <w:r>
        <w:rPr>
          <w:rFonts w:ascii="Times New Roman" w:hAnsi="Times New Roman"/>
          <w:noProof/>
          <w:sz w:val="24"/>
          <w:bdr w:val="none" w:sz="0" w:space="0" w:color="auto"/>
        </w:rPr>
        <w:t xml:space="preserve">máció egyértelműen azt mutatja, hogy fontos a tagállamok számára, hogy megerősítsék az erőfeszítéseket </w:t>
      </w:r>
      <w:r>
        <w:rPr>
          <w:rFonts w:ascii="Times New Roman" w:hAnsi="Times New Roman"/>
          <w:b/>
          <w:noProof/>
          <w:sz w:val="24"/>
          <w:bdr w:val="none" w:sz="0" w:space="0" w:color="auto"/>
        </w:rPr>
        <w:t>a nyomozások és büntetőeljárások számának növelése</w:t>
      </w:r>
      <w:r>
        <w:rPr>
          <w:rFonts w:ascii="Times New Roman" w:hAnsi="Times New Roman"/>
          <w:noProof/>
          <w:sz w:val="24"/>
          <w:bdr w:val="none" w:sz="0" w:space="0" w:color="auto"/>
        </w:rPr>
        <w:t xml:space="preserve">, illetve a </w:t>
      </w:r>
      <w:r>
        <w:rPr>
          <w:rFonts w:ascii="Times New Roman" w:hAnsi="Times New Roman"/>
          <w:b/>
          <w:noProof/>
          <w:sz w:val="24"/>
          <w:bdr w:val="none" w:sz="0" w:space="0" w:color="auto"/>
        </w:rPr>
        <w:t>bizonyítás-felvételi</w:t>
      </w:r>
      <w:r>
        <w:rPr>
          <w:rFonts w:ascii="Times New Roman" w:hAnsi="Times New Roman"/>
          <w:noProof/>
          <w:sz w:val="24"/>
          <w:bdr w:val="none" w:sz="0" w:space="0" w:color="auto"/>
        </w:rPr>
        <w:t xml:space="preserve"> </w:t>
      </w:r>
      <w:r>
        <w:rPr>
          <w:rFonts w:ascii="Times New Roman" w:hAnsi="Times New Roman"/>
          <w:b/>
          <w:noProof/>
          <w:sz w:val="24"/>
          <w:bdr w:val="none" w:sz="0" w:space="0" w:color="auto"/>
        </w:rPr>
        <w:t>eljárás során az áldozatokra és a tanúvallomásukra nehezedő</w:t>
      </w:r>
      <w:r>
        <w:rPr>
          <w:rFonts w:ascii="Times New Roman" w:hAnsi="Times New Roman"/>
          <w:noProof/>
          <w:sz w:val="24"/>
          <w:bdr w:val="none" w:sz="0" w:space="0" w:color="auto"/>
        </w:rPr>
        <w:t xml:space="preserve"> </w:t>
      </w:r>
      <w:r>
        <w:rPr>
          <w:rFonts w:ascii="Times New Roman" w:hAnsi="Times New Roman"/>
          <w:b/>
          <w:noProof/>
          <w:sz w:val="24"/>
          <w:bdr w:val="none" w:sz="0" w:space="0" w:color="auto"/>
        </w:rPr>
        <w:t xml:space="preserve">teher csökkentése </w:t>
      </w:r>
      <w:r>
        <w:rPr>
          <w:rFonts w:ascii="Times New Roman" w:hAnsi="Times New Roman"/>
          <w:noProof/>
          <w:sz w:val="24"/>
          <w:bdr w:val="none" w:sz="0" w:space="0" w:color="auto"/>
        </w:rPr>
        <w:t xml:space="preserve">érdekében. Ezt a </w:t>
      </w:r>
      <w:r>
        <w:rPr>
          <w:rFonts w:ascii="Times New Roman" w:hAnsi="Times New Roman"/>
          <w:b/>
          <w:noProof/>
          <w:sz w:val="24"/>
          <w:bdr w:val="none" w:sz="0" w:space="0" w:color="auto"/>
        </w:rPr>
        <w:t>nyomozók, ügyészek és bírák rendszeres és személyre szabott képzésének kialakításával és a pénzügyi nyomozás rendszeresen alkalmazásával</w:t>
      </w:r>
      <w:r>
        <w:rPr>
          <w:rFonts w:ascii="Times New Roman" w:hAnsi="Times New Roman"/>
          <w:noProof/>
          <w:sz w:val="24"/>
          <w:bdr w:val="none" w:sz="0" w:space="0" w:color="auto"/>
        </w:rPr>
        <w:t xml:space="preserve"> (ahogy azt a Pénzügyi Akció Munkacsoport ajánlja), és más hatékony hírszerzés-alapú </w:t>
      </w:r>
      <w:r>
        <w:rPr>
          <w:rFonts w:ascii="Times New Roman" w:hAnsi="Times New Roman"/>
          <w:noProof/>
          <w:sz w:val="24"/>
          <w:bdr w:val="none" w:sz="0" w:space="0" w:color="auto"/>
        </w:rPr>
        <w:t>nyomozati eszközökkel érhetik el, amik – az áldozatok tanúvallomásain felül – a felhasználandó bizonyítékok sokféleségét biztosíthatják. Emellett elegendő pénzügyi és emberi erőforrást kell biztosítani e bűncselekmény megfelelő kezelésére.</w:t>
      </w:r>
    </w:p>
    <w:p w:rsidR="006047F1" w:rsidRDefault="00C96F15">
      <w:pPr>
        <w:pStyle w:val="Heading2"/>
        <w:numPr>
          <w:ilvl w:val="1"/>
          <w:numId w:val="5"/>
        </w:numPr>
        <w:spacing w:after="240"/>
        <w:rPr>
          <w:rFonts w:ascii="Times New Roman" w:eastAsia="Times New Roman" w:hAnsi="Times New Roman" w:cs="Times New Roman"/>
          <w:noProof/>
          <w:color w:val="000000"/>
          <w:u w:val="single" w:color="000000"/>
        </w:rPr>
      </w:pPr>
      <w:r>
        <w:rPr>
          <w:rFonts w:ascii="Times New Roman" w:hAnsi="Times New Roman"/>
          <w:noProof/>
          <w:color w:val="000000"/>
          <w:u w:val="single" w:color="000000"/>
        </w:rPr>
        <w:t>Azonosítás, véde</w:t>
      </w:r>
      <w:r>
        <w:rPr>
          <w:rFonts w:ascii="Times New Roman" w:hAnsi="Times New Roman"/>
          <w:noProof/>
          <w:color w:val="000000"/>
          <w:u w:val="single" w:color="000000"/>
        </w:rPr>
        <w:t>lem és segítség</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Az áldozatközpontú megközelítés áll az EU emberkereskedelem elleni jogszabályainak és politikájának középpontjában. Ez azt jelenti, hogy – az illetékes támogató szervezetekkel együttműködve – megfelelő mechanizmusokat teremtenek az </w:t>
      </w:r>
      <w:r>
        <w:rPr>
          <w:rFonts w:ascii="Times New Roman" w:hAnsi="Times New Roman"/>
          <w:noProof/>
          <w:sz w:val="24"/>
        </w:rPr>
        <w:t>áldozatok korai azonosítására és a támogatás és segítség biztosítására.</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 legtöbb tagállam számára továbbra is kihívást jelent az, hogy </w:t>
      </w:r>
      <w:r>
        <w:rPr>
          <w:rFonts w:ascii="Times New Roman" w:hAnsi="Times New Roman" w:cs="Times New Roman"/>
          <w:b/>
          <w:noProof/>
          <w:sz w:val="24"/>
          <w:szCs w:val="24"/>
        </w:rPr>
        <w:t>az áldozatok számára feltétlen hozzáférést biztosítsanak a segítséghez, a támogatáshoz és a védelemhez</w:t>
      </w:r>
      <w:r>
        <w:rPr>
          <w:rFonts w:ascii="Times New Roman" w:hAnsi="Times New Roman" w:cs="Times New Roman"/>
          <w:noProof/>
          <w:sz w:val="24"/>
          <w:szCs w:val="24"/>
        </w:rPr>
        <w:t>. Az emberkeresked</w:t>
      </w:r>
      <w:r>
        <w:rPr>
          <w:rFonts w:ascii="Times New Roman" w:hAnsi="Times New Roman" w:cs="Times New Roman"/>
          <w:noProof/>
          <w:sz w:val="24"/>
          <w:szCs w:val="24"/>
        </w:rPr>
        <w:t xml:space="preserve">elem továbbra is „láthatatlan bűncselekmény”, mivel az </w:t>
      </w:r>
      <w:r>
        <w:rPr>
          <w:rFonts w:ascii="Times New Roman" w:hAnsi="Times New Roman" w:cs="Times New Roman"/>
          <w:b/>
          <w:noProof/>
          <w:sz w:val="24"/>
          <w:szCs w:val="24"/>
        </w:rPr>
        <w:t>azonosított áldozatok száma továbbra is alacsony.</w:t>
      </w:r>
      <w:r>
        <w:rPr>
          <w:rFonts w:ascii="Times New Roman" w:hAnsi="Times New Roman" w:cs="Times New Roman"/>
          <w:noProof/>
          <w:sz w:val="24"/>
          <w:szCs w:val="24"/>
        </w:rPr>
        <w:t xml:space="preserve"> </w:t>
      </w:r>
      <w:r>
        <w:rPr>
          <w:rFonts w:ascii="Times New Roman" w:hAnsi="Times New Roman" w:cs="Times New Roman"/>
          <w:b/>
          <w:noProof/>
          <w:sz w:val="24"/>
          <w:szCs w:val="24"/>
        </w:rPr>
        <w:t>Az emberkereskedelem sok áldozatát valóban nem azonosítják, és így nem is tudják gyakorolni a jogaikat</w:t>
      </w:r>
      <w:r>
        <w:rPr>
          <w:rFonts w:ascii="Times New Roman" w:hAnsi="Times New Roman" w:cs="Times New Roman"/>
          <w:noProof/>
          <w:sz w:val="24"/>
          <w:szCs w:val="24"/>
        </w:rPr>
        <w:t xml:space="preserve">. Aggodalmat fejeztek ki </w:t>
      </w:r>
      <w:r>
        <w:rPr>
          <w:rFonts w:ascii="Times New Roman" w:hAnsi="Times New Roman" w:cs="Times New Roman"/>
          <w:b/>
          <w:noProof/>
          <w:sz w:val="24"/>
          <w:szCs w:val="24"/>
        </w:rPr>
        <w:t>az áldozatok a büntetőel</w:t>
      </w:r>
      <w:r>
        <w:rPr>
          <w:rFonts w:ascii="Times New Roman" w:hAnsi="Times New Roman" w:cs="Times New Roman"/>
          <w:b/>
          <w:noProof/>
          <w:sz w:val="24"/>
          <w:szCs w:val="24"/>
        </w:rPr>
        <w:t>járás alatti kezelésével kapcsolatban</w:t>
      </w:r>
      <w:r>
        <w:rPr>
          <w:rFonts w:ascii="Times New Roman" w:hAnsi="Times New Roman" w:cs="Times New Roman"/>
          <w:noProof/>
          <w:sz w:val="24"/>
          <w:szCs w:val="24"/>
        </w:rPr>
        <w:t>, amikor megfélemlítés érheti őket és másodlagos áldozattá válhatnak.</w:t>
      </w:r>
    </w:p>
    <w:p w:rsidR="006047F1" w:rsidRDefault="00C96F15">
      <w:pPr>
        <w:pStyle w:val="Body"/>
        <w:jc w:val="both"/>
        <w:rPr>
          <w:rFonts w:ascii="Times New Roman" w:hAnsi="Times New Roman"/>
          <w:noProof/>
          <w:sz w:val="24"/>
          <w:szCs w:val="24"/>
        </w:rPr>
      </w:pPr>
      <w:r>
        <w:rPr>
          <w:rFonts w:ascii="Times New Roman" w:hAnsi="Times New Roman"/>
          <w:b/>
          <w:noProof/>
          <w:sz w:val="24"/>
        </w:rPr>
        <w:t>A nemnek és az életkornak megfelelő segítség és támogatás még mindig elégtelen</w:t>
      </w:r>
      <w:r>
        <w:rPr>
          <w:rFonts w:ascii="Times New Roman" w:hAnsi="Times New Roman"/>
          <w:noProof/>
          <w:sz w:val="24"/>
        </w:rPr>
        <w:t>, és nincsenek szolgáltatások az emberkereskedelem férfi áldozatai szám</w:t>
      </w:r>
      <w:r>
        <w:rPr>
          <w:rFonts w:ascii="Times New Roman" w:hAnsi="Times New Roman"/>
          <w:noProof/>
          <w:sz w:val="24"/>
        </w:rPr>
        <w:t>ára. A menhelyek és szállások nem mindig képesek kiszolgálni a sértettek igényeit, és sok gyermek és felnőtt tűnik el a menhelyekről, amelyek nem kínálnak megfelelő gondozást.</w:t>
      </w:r>
    </w:p>
    <w:p w:rsidR="006047F1" w:rsidRDefault="00C96F15">
      <w:pPr>
        <w:pStyle w:val="Body"/>
        <w:jc w:val="both"/>
        <w:rPr>
          <w:rFonts w:ascii="Times New Roman" w:hAnsi="Times New Roman" w:cs="Times New Roman"/>
          <w:noProof/>
          <w:sz w:val="24"/>
          <w:szCs w:val="24"/>
        </w:rPr>
      </w:pPr>
      <w:r>
        <w:rPr>
          <w:rFonts w:ascii="Times New Roman" w:hAnsi="Times New Roman"/>
          <w:noProof/>
          <w:sz w:val="24"/>
        </w:rPr>
        <w:t>Jóllehet a tagállamok beszámoltak a gyermekre érzékeny intézkedésekről, az áldoz</w:t>
      </w:r>
      <w:r>
        <w:rPr>
          <w:rFonts w:ascii="Times New Roman" w:hAnsi="Times New Roman"/>
          <w:noProof/>
          <w:sz w:val="24"/>
        </w:rPr>
        <w:t>atok hatóságok felé történő bejelentésének aránya továbbra is alacsony a gyermekekre vonatkozóan, és a tartós megoldásokat kereső eljárások nem kielégítőek. Továbbra is problémát jelent a gyám kijelölése a kiskorú áldozatokhoz, és az EU szerte meglevő sokf</w:t>
      </w:r>
      <w:r>
        <w:rPr>
          <w:rFonts w:ascii="Times New Roman" w:hAnsi="Times New Roman"/>
          <w:noProof/>
          <w:sz w:val="24"/>
        </w:rPr>
        <w:t>éle eltérő gyakorlat az összetettség egy további rétegét eredményezi, különösen a határokon átnyúló helyzetekben.</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Az EU stratégiában előirányzott és a Tanács következtetéseiben</w:t>
      </w:r>
      <w:r>
        <w:rPr>
          <w:rStyle w:val="FootnoteReference"/>
          <w:rFonts w:ascii="Times New Roman" w:hAnsi="Times New Roman"/>
          <w:noProof/>
          <w:sz w:val="24"/>
        </w:rPr>
        <w:footnoteReference w:id="39"/>
      </w:r>
      <w:r>
        <w:rPr>
          <w:rFonts w:ascii="Times New Roman" w:hAnsi="Times New Roman"/>
          <w:noProof/>
          <w:sz w:val="24"/>
        </w:rPr>
        <w:t xml:space="preserve"> megerősített egyik konkrét intézkedés felkéri a tagállamokat, hogy </w:t>
      </w:r>
      <w:r>
        <w:rPr>
          <w:rFonts w:ascii="Times New Roman" w:hAnsi="Times New Roman"/>
          <w:b/>
          <w:noProof/>
          <w:sz w:val="24"/>
        </w:rPr>
        <w:t xml:space="preserve">Nemzeti Áldozatkezelési Mechanizmust </w:t>
      </w:r>
      <w:r>
        <w:rPr>
          <w:rFonts w:ascii="Times New Roman" w:hAnsi="Times New Roman"/>
          <w:noProof/>
          <w:sz w:val="24"/>
        </w:rPr>
        <w:t xml:space="preserve">dolgozzanak ki vagy frissítsenek fel annak érdekében, hogy </w:t>
      </w:r>
      <w:r>
        <w:rPr>
          <w:rFonts w:ascii="Times New Roman" w:hAnsi="Times New Roman"/>
          <w:b/>
          <w:noProof/>
          <w:sz w:val="24"/>
        </w:rPr>
        <w:t>összehangolják az azonosításban, segítségnyújtásban, megóvásban és reintegrációban részt vevő szereplőket</w:t>
      </w:r>
      <w:r>
        <w:rPr>
          <w:rFonts w:ascii="Times New Roman" w:hAnsi="Times New Roman"/>
          <w:noProof/>
          <w:sz w:val="24"/>
        </w:rPr>
        <w:t xml:space="preserve">. A Bizottság rendelkezésére álló információ alapján </w:t>
      </w:r>
      <w:r>
        <w:rPr>
          <w:rFonts w:ascii="Times New Roman" w:hAnsi="Times New Roman"/>
          <w:b/>
          <w:noProof/>
          <w:sz w:val="24"/>
        </w:rPr>
        <w:t xml:space="preserve">a </w:t>
      </w:r>
      <w:r>
        <w:rPr>
          <w:rFonts w:ascii="Times New Roman" w:hAnsi="Times New Roman"/>
          <w:b/>
          <w:noProof/>
          <w:sz w:val="24"/>
        </w:rPr>
        <w:t>tagállamok több mint fele</w:t>
      </w:r>
      <w:r>
        <w:rPr>
          <w:rStyle w:val="FootnoteReference"/>
          <w:rFonts w:ascii="Times New Roman" w:hAnsi="Times New Roman"/>
          <w:noProof/>
          <w:sz w:val="24"/>
        </w:rPr>
        <w:footnoteReference w:id="40"/>
      </w:r>
      <w:r>
        <w:rPr>
          <w:rFonts w:ascii="Times New Roman" w:hAnsi="Times New Roman"/>
          <w:b/>
          <w:noProof/>
          <w:sz w:val="24"/>
        </w:rPr>
        <w:t xml:space="preserve"> kidolgozta a saját Nemzeti Áldozatkezelési Mechanizmusát. </w:t>
      </w:r>
      <w:r>
        <w:rPr>
          <w:rFonts w:ascii="Times New Roman" w:hAnsi="Times New Roman"/>
          <w:noProof/>
          <w:sz w:val="24"/>
        </w:rPr>
        <w:t xml:space="preserve">Míg az EU stratégia az integrált gyermekvédelmi rendszeren alapuló megközelítést szorgalmazza, </w:t>
      </w:r>
      <w:r>
        <w:rPr>
          <w:rFonts w:ascii="Times New Roman" w:hAnsi="Times New Roman"/>
          <w:b/>
          <w:noProof/>
          <w:sz w:val="24"/>
        </w:rPr>
        <w:t xml:space="preserve">a gyermekvédelmi szolgálatok részvétele az áldozatkezelési mechanizmusokban </w:t>
      </w:r>
      <w:r>
        <w:rPr>
          <w:rFonts w:ascii="Times New Roman" w:hAnsi="Times New Roman"/>
          <w:b/>
          <w:noProof/>
          <w:sz w:val="24"/>
        </w:rPr>
        <w:t>továbbra is korlátozott.</w:t>
      </w:r>
      <w:r>
        <w:rPr>
          <w:rFonts w:ascii="Times New Roman" w:hAnsi="Times New Roman"/>
          <w:noProof/>
          <w:sz w:val="24"/>
        </w:rPr>
        <w:t xml:space="preserve"> A tagállamok azt jelentették, hogy az áldozatoknak nyújtott szolgáltatások minősége javult a mechanizmusok bevezetése óta. Ugyanakkor az általános hatásának mérése továbbra is nehéz.</w:t>
      </w:r>
    </w:p>
    <w:p w:rsidR="006047F1" w:rsidRDefault="00C96F15">
      <w:pPr>
        <w:pStyle w:val="Body"/>
        <w:jc w:val="both"/>
        <w:rPr>
          <w:rFonts w:ascii="Times New Roman" w:hAnsi="Times New Roman"/>
          <w:noProof/>
          <w:sz w:val="24"/>
          <w:szCs w:val="24"/>
        </w:rPr>
      </w:pPr>
      <w:r>
        <w:rPr>
          <w:rFonts w:ascii="Times New Roman" w:hAnsi="Times New Roman"/>
          <w:b/>
          <w:noProof/>
          <w:sz w:val="24"/>
        </w:rPr>
        <w:t>A transznacionális együttműködés</w:t>
      </w:r>
      <w:r>
        <w:rPr>
          <w:rFonts w:ascii="Times New Roman" w:hAnsi="Times New Roman"/>
          <w:noProof/>
          <w:sz w:val="24"/>
        </w:rPr>
        <w:t>, beleértve a</w:t>
      </w:r>
      <w:r>
        <w:rPr>
          <w:rFonts w:ascii="Times New Roman" w:hAnsi="Times New Roman"/>
          <w:b/>
          <w:noProof/>
          <w:sz w:val="24"/>
        </w:rPr>
        <w:t xml:space="preserve"> tr</w:t>
      </w:r>
      <w:r>
        <w:rPr>
          <w:rFonts w:ascii="Times New Roman" w:hAnsi="Times New Roman"/>
          <w:b/>
          <w:noProof/>
          <w:sz w:val="24"/>
        </w:rPr>
        <w:t>ansznacionális áldozatkezelési mechanizmusokat,</w:t>
      </w:r>
      <w:r>
        <w:rPr>
          <w:rFonts w:ascii="Times New Roman" w:hAnsi="Times New Roman"/>
          <w:noProof/>
          <w:sz w:val="24"/>
        </w:rPr>
        <w:t xml:space="preserve"> szintén lényeges az olyan áldozatok számára, akikkel a származási országukon kívül kereskednek. Ebben a tekintetben a</w:t>
      </w:r>
      <w:r>
        <w:rPr>
          <w:rFonts w:ascii="Times New Roman" w:hAnsi="Times New Roman"/>
          <w:b/>
          <w:noProof/>
          <w:sz w:val="24"/>
        </w:rPr>
        <w:t xml:space="preserve"> Schengeni Információs Rendszer</w:t>
      </w:r>
      <w:r>
        <w:rPr>
          <w:rFonts w:ascii="Times New Roman" w:hAnsi="Times New Roman"/>
          <w:noProof/>
          <w:sz w:val="24"/>
        </w:rPr>
        <w:t xml:space="preserve"> jelentős szerepet játszik az emberkereskedelem áldozataira </w:t>
      </w:r>
      <w:r>
        <w:rPr>
          <w:rFonts w:ascii="Times New Roman" w:hAnsi="Times New Roman"/>
          <w:noProof/>
          <w:sz w:val="24"/>
        </w:rPr>
        <w:t>és az őket kizsákmányolókra vonatkozó határokon átnyúló információcserében, mivel ez az elsődleges adatbázis az eltűnt személyek nyilvántartásba vételére egész Európában. A</w:t>
      </w:r>
      <w:r>
        <w:rPr>
          <w:rFonts w:ascii="Times New Roman" w:hAnsi="Times New Roman"/>
          <w:b/>
          <w:noProof/>
          <w:sz w:val="24"/>
        </w:rPr>
        <w:t xml:space="preserve"> jövőbeli Belépési-Kilépés Rendszer</w:t>
      </w:r>
      <w:r>
        <w:rPr>
          <w:rFonts w:ascii="Times New Roman" w:hAnsi="Times New Roman"/>
          <w:noProof/>
          <w:sz w:val="24"/>
        </w:rPr>
        <w:t xml:space="preserve"> segít felismerni és azonosítani az emberkeresked</w:t>
      </w:r>
      <w:r>
        <w:rPr>
          <w:rFonts w:ascii="Times New Roman" w:hAnsi="Times New Roman"/>
          <w:noProof/>
          <w:sz w:val="24"/>
        </w:rPr>
        <w:t>elem áldozatává váló harmadik országbeli állampolgárokat azáltal, hogy tárolja az – akár vízummentesen, akár vízummal utazó – emberek adatait a belépéskor és a kilépéskor.</w:t>
      </w:r>
    </w:p>
    <w:p w:rsidR="006047F1" w:rsidRDefault="00C96F15">
      <w:pPr>
        <w:pStyle w:val="Body"/>
        <w:jc w:val="both"/>
        <w:rPr>
          <w:rFonts w:ascii="Times New Roman" w:hAnsi="Times New Roman"/>
          <w:noProof/>
          <w:sz w:val="24"/>
          <w:szCs w:val="24"/>
        </w:rPr>
      </w:pPr>
      <w:r>
        <w:rPr>
          <w:rFonts w:ascii="Times New Roman" w:hAnsi="Times New Roman"/>
          <w:b/>
          <w:noProof/>
          <w:sz w:val="24"/>
        </w:rPr>
        <w:t>Minden áldozatot egyenlően kell kezelni, és a tagállamoknak egyenlő erőfeszítést kel</w:t>
      </w:r>
      <w:r>
        <w:rPr>
          <w:rFonts w:ascii="Times New Roman" w:hAnsi="Times New Roman"/>
          <w:b/>
          <w:noProof/>
          <w:sz w:val="24"/>
        </w:rPr>
        <w:t>lene tenniük a kizsákmányolás minden formája áldozatainak azonosítására, megvédésére és segítésére</w:t>
      </w:r>
      <w:r>
        <w:rPr>
          <w:noProof/>
        </w:rPr>
        <w:t>.</w:t>
      </w:r>
      <w:r>
        <w:rPr>
          <w:rFonts w:ascii="Times New Roman" w:hAnsi="Times New Roman"/>
          <w:noProof/>
          <w:sz w:val="24"/>
        </w:rPr>
        <w:t xml:space="preserve"> Valóban az áldozatokat kell az emberkereskedelem elleni politika középpontjába helyezni. A kizsákmányolás semmilyen formája nem hanyagolható el, és az áldoz</w:t>
      </w:r>
      <w:r>
        <w:rPr>
          <w:rFonts w:ascii="Times New Roman" w:hAnsi="Times New Roman"/>
          <w:noProof/>
          <w:sz w:val="24"/>
        </w:rPr>
        <w:t>atok szükségleteit az egyedi értékelést követően ki kell kielégíteni.</w:t>
      </w:r>
    </w:p>
    <w:p w:rsidR="006047F1" w:rsidRDefault="00C96F15">
      <w:pPr>
        <w:pStyle w:val="Body"/>
        <w:pBdr>
          <w:top w:val="single" w:sz="4" w:space="1" w:color="auto"/>
          <w:left w:val="single" w:sz="4" w:space="1" w:color="auto"/>
          <w:bottom w:val="single" w:sz="4" w:space="1" w:color="auto"/>
          <w:right w:val="single" w:sz="4" w:space="1" w:color="auto"/>
        </w:pBdr>
        <w:jc w:val="both"/>
        <w:rPr>
          <w:rFonts w:eastAsia="Times New Roman"/>
          <w:noProof/>
        </w:rPr>
      </w:pPr>
      <w:r>
        <w:rPr>
          <w:rFonts w:ascii="Times New Roman" w:hAnsi="Times New Roman"/>
          <w:noProof/>
          <w:sz w:val="24"/>
        </w:rPr>
        <w:t>Az áldozatokat elsősorban</w:t>
      </w:r>
      <w:r>
        <w:rPr>
          <w:rFonts w:ascii="Times New Roman" w:hAnsi="Times New Roman"/>
          <w:b/>
          <w:noProof/>
          <w:sz w:val="24"/>
        </w:rPr>
        <w:t xml:space="preserve"> jogosultnak</w:t>
      </w:r>
      <w:r>
        <w:rPr>
          <w:rFonts w:ascii="Times New Roman" w:hAnsi="Times New Roman"/>
          <w:noProof/>
          <w:sz w:val="24"/>
        </w:rPr>
        <w:t xml:space="preserve"> kell tekinteni, és nekik képesnek kell lenniük arra, hogy megértsék és gyakorolják a jogaikat.</w:t>
      </w:r>
      <w:r>
        <w:rPr>
          <w:noProof/>
        </w:rPr>
        <w:t xml:space="preserve"> </w:t>
      </w:r>
      <w:r>
        <w:rPr>
          <w:rFonts w:ascii="Times New Roman" w:hAnsi="Times New Roman"/>
          <w:noProof/>
          <w:sz w:val="24"/>
        </w:rPr>
        <w:t>Ebben az összefüggésben a Bizottság azt javasolja, ho</w:t>
      </w:r>
      <w:r>
        <w:rPr>
          <w:rFonts w:ascii="Times New Roman" w:hAnsi="Times New Roman"/>
          <w:noProof/>
          <w:sz w:val="24"/>
        </w:rPr>
        <w:t xml:space="preserve">gy nemzeti szinten minden megfelelő intézkedést tegyenek meg </w:t>
      </w:r>
      <w:r>
        <w:rPr>
          <w:rFonts w:ascii="Times New Roman" w:hAnsi="Times New Roman"/>
          <w:b/>
          <w:noProof/>
          <w:sz w:val="24"/>
        </w:rPr>
        <w:t xml:space="preserve">az emberkereskedelem áldozatainak korai azonosítása </w:t>
      </w:r>
      <w:r>
        <w:rPr>
          <w:rFonts w:ascii="Times New Roman" w:hAnsi="Times New Roman"/>
          <w:noProof/>
          <w:sz w:val="24"/>
        </w:rPr>
        <w:t xml:space="preserve">érdekében, összhangban azzal a kötelezettséggel, hogy a lehető leghamarabb kell segítséget és támogatást adni nekik, amint alapos ok van annak </w:t>
      </w:r>
      <w:r>
        <w:rPr>
          <w:rFonts w:ascii="Times New Roman" w:hAnsi="Times New Roman"/>
          <w:noProof/>
          <w:sz w:val="24"/>
        </w:rPr>
        <w:t>feltételezésére, hogy ők áldozatok.</w:t>
      </w:r>
      <w:r>
        <w:rPr>
          <w:rFonts w:ascii="Times New Roman" w:hAnsi="Times New Roman"/>
          <w:noProof/>
        </w:rPr>
        <w:t xml:space="preserve"> </w:t>
      </w:r>
      <w:r>
        <w:rPr>
          <w:rFonts w:ascii="Times New Roman" w:hAnsi="Times New Roman"/>
          <w:b/>
          <w:noProof/>
          <w:sz w:val="24"/>
        </w:rPr>
        <w:t>A nemzeti áldozatkezelési mechanizmus formába öntése vagy felállítása</w:t>
      </w:r>
      <w:r>
        <w:rPr>
          <w:rFonts w:ascii="Times New Roman" w:hAnsi="Times New Roman"/>
          <w:noProof/>
          <w:sz w:val="24"/>
        </w:rPr>
        <w:t xml:space="preserve"> kulcsfontosságú lépés ebbe az irányba. Az ilyen mechanizmusokat rendszeresen és érdemben kellene</w:t>
      </w:r>
      <w:r>
        <w:rPr>
          <w:rFonts w:ascii="Times New Roman" w:hAnsi="Times New Roman"/>
          <w:b/>
          <w:noProof/>
          <w:sz w:val="24"/>
        </w:rPr>
        <w:t xml:space="preserve"> figyelemmel kísérni és értékelni a civil társadalomma</w:t>
      </w:r>
      <w:r>
        <w:rPr>
          <w:rFonts w:ascii="Times New Roman" w:hAnsi="Times New Roman"/>
          <w:b/>
          <w:noProof/>
          <w:sz w:val="24"/>
        </w:rPr>
        <w:t>l és a tudományos élettel együttműködve.</w:t>
      </w:r>
    </w:p>
    <w:p w:rsidR="006047F1" w:rsidRDefault="00C96F15">
      <w:pPr>
        <w:pStyle w:val="Body"/>
        <w:pBdr>
          <w:top w:val="single" w:sz="4" w:space="1" w:color="auto"/>
          <w:left w:val="single" w:sz="4" w:space="1" w:color="auto"/>
          <w:bottom w:val="single" w:sz="4" w:space="1" w:color="auto"/>
          <w:right w:val="single" w:sz="4" w:space="1" w:color="auto"/>
        </w:pBdr>
        <w:jc w:val="both"/>
        <w:rPr>
          <w:rFonts w:eastAsia="Times New Roman"/>
          <w:noProof/>
        </w:rPr>
      </w:pPr>
      <w:r>
        <w:rPr>
          <w:rFonts w:ascii="Times New Roman" w:hAnsi="Times New Roman"/>
          <w:noProof/>
          <w:sz w:val="24"/>
        </w:rPr>
        <w:t xml:space="preserve">Az emberkereskedelem gyermek áldozatai tekintetében </w:t>
      </w:r>
      <w:r>
        <w:rPr>
          <w:rFonts w:ascii="Times New Roman" w:hAnsi="Times New Roman"/>
          <w:b/>
          <w:noProof/>
          <w:sz w:val="24"/>
        </w:rPr>
        <w:t>integrált gyermekvédelmi megközelítés lenne szükséges.</w:t>
      </w:r>
      <w:r>
        <w:rPr>
          <w:rFonts w:ascii="Times New Roman" w:hAnsi="Times New Roman"/>
          <w:noProof/>
          <w:sz w:val="24"/>
        </w:rPr>
        <w:t xml:space="preserve"> Annak az ENSZ gyermekek jogairól szóló egyezményének rendelkezésein kellene alapulnia, beleértve a gyermek l</w:t>
      </w:r>
      <w:r>
        <w:rPr>
          <w:rFonts w:ascii="Times New Roman" w:hAnsi="Times New Roman"/>
          <w:noProof/>
          <w:sz w:val="24"/>
        </w:rPr>
        <w:t xml:space="preserve">egjobb érdekeit és a gyámügyi rendszerek megerősítését. Végül: </w:t>
      </w:r>
      <w:r>
        <w:rPr>
          <w:rFonts w:ascii="Times New Roman" w:hAnsi="Times New Roman"/>
          <w:b/>
          <w:noProof/>
          <w:sz w:val="24"/>
        </w:rPr>
        <w:t>a Schengeni Információs Rendszerből hiányzó gyermek vészjelzés létrehozása</w:t>
      </w:r>
      <w:r>
        <w:rPr>
          <w:rFonts w:ascii="Times New Roman" w:hAnsi="Times New Roman"/>
          <w:noProof/>
          <w:sz w:val="24"/>
        </w:rPr>
        <w:t xml:space="preserve"> fontos lépés a kiskorú áldozatok mielőbbi azonosításának biztosításához.</w:t>
      </w:r>
    </w:p>
    <w:p w:rsidR="006047F1" w:rsidRDefault="00C96F15">
      <w:pPr>
        <w:pStyle w:val="Heading2"/>
        <w:numPr>
          <w:ilvl w:val="1"/>
          <w:numId w:val="13"/>
        </w:numPr>
        <w:spacing w:after="240"/>
        <w:rPr>
          <w:rFonts w:ascii="Times New Roman" w:eastAsia="Times New Roman" w:hAnsi="Times New Roman" w:cs="Times New Roman"/>
          <w:noProof/>
          <w:color w:val="000000"/>
          <w:u w:val="single" w:color="000000"/>
        </w:rPr>
      </w:pPr>
      <w:r>
        <w:rPr>
          <w:rFonts w:ascii="Times New Roman" w:hAnsi="Times New Roman"/>
          <w:noProof/>
          <w:color w:val="000000"/>
          <w:u w:val="single" w:color="000000"/>
        </w:rPr>
        <w:t>Megelőzés</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Az emberkereskedelem elleni nyomozá</w:t>
      </w:r>
      <w:r>
        <w:rPr>
          <w:rFonts w:ascii="Times New Roman" w:hAnsi="Times New Roman"/>
          <w:noProof/>
          <w:sz w:val="24"/>
        </w:rPr>
        <w:t>s és büntetőeljárás és az emberkereskedők elítélése alapvető eszközök az emberkereskedelem kezelésében. Azonban ezek az eszközök csak akkor jöhetnek számításba, ha a bűncselekményt már elkövették és az áldozatok alapvető jogai már súlyos sérelmet szenvedte</w:t>
      </w:r>
      <w:r>
        <w:rPr>
          <w:rFonts w:ascii="Times New Roman" w:hAnsi="Times New Roman"/>
          <w:noProof/>
          <w:sz w:val="24"/>
        </w:rPr>
        <w:t xml:space="preserve">k. Az emberkereskedelem felszámolása csak érhető el, </w:t>
      </w:r>
      <w:r>
        <w:rPr>
          <w:rFonts w:ascii="Times New Roman" w:hAnsi="Times New Roman"/>
          <w:b/>
          <w:noProof/>
          <w:sz w:val="24"/>
        </w:rPr>
        <w:t xml:space="preserve">ha elsőként a bűncselekmény elkövetését akadályozzák meg </w:t>
      </w:r>
      <w:r>
        <w:rPr>
          <w:rFonts w:ascii="Times New Roman" w:hAnsi="Times New Roman"/>
          <w:noProof/>
          <w:sz w:val="24"/>
        </w:rPr>
        <w:t>az uniós és nemzeti szinten rendelkezésre álló minden eszközzel.</w:t>
      </w:r>
    </w:p>
    <w:p w:rsidR="006047F1" w:rsidRDefault="00C96F15">
      <w:pPr>
        <w:pStyle w:val="Body"/>
        <w:jc w:val="both"/>
        <w:rPr>
          <w:rFonts w:ascii="Times New Roman" w:eastAsia="Times New Roman" w:hAnsi="Times New Roman" w:cs="Times New Roman"/>
          <w:b/>
          <w:bCs/>
          <w:noProof/>
          <w:sz w:val="24"/>
          <w:szCs w:val="24"/>
        </w:rPr>
      </w:pPr>
      <w:r>
        <w:rPr>
          <w:rFonts w:ascii="Times New Roman" w:hAnsi="Times New Roman"/>
          <w:noProof/>
          <w:sz w:val="24"/>
        </w:rPr>
        <w:t xml:space="preserve">A megelőzést a haszon- és kereslet-vezérelt bűncselekmény tágabb összefüggéseibe szükséges helyezni. </w:t>
      </w:r>
      <w:r>
        <w:rPr>
          <w:rFonts w:ascii="Times New Roman" w:hAnsi="Times New Roman"/>
          <w:b/>
          <w:noProof/>
          <w:sz w:val="24"/>
        </w:rPr>
        <w:t>Az</w:t>
      </w:r>
      <w:r>
        <w:rPr>
          <w:rFonts w:ascii="Times New Roman" w:hAnsi="Times New Roman"/>
          <w:noProof/>
          <w:sz w:val="24"/>
        </w:rPr>
        <w:t xml:space="preserve"> </w:t>
      </w:r>
      <w:r>
        <w:rPr>
          <w:rFonts w:ascii="Times New Roman" w:hAnsi="Times New Roman"/>
          <w:b/>
          <w:noProof/>
          <w:sz w:val="24"/>
        </w:rPr>
        <w:t>emberi jogokon alapuló megközelítésnek kellene biztosítania azt, hogy bíróság elé kerüljenek azok, akik a bűncselekményből nyereségre tesznek szert és k</w:t>
      </w:r>
      <w:r>
        <w:rPr>
          <w:rFonts w:ascii="Times New Roman" w:hAnsi="Times New Roman"/>
          <w:b/>
          <w:noProof/>
          <w:sz w:val="24"/>
        </w:rPr>
        <w:t>ihasználják az áldozatokat.</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A tagállamok az emberkereskedelem elleni irányelv 18. cikkével összhangban levő </w:t>
      </w:r>
      <w:r>
        <w:rPr>
          <w:rFonts w:ascii="Times New Roman" w:hAnsi="Times New Roman"/>
          <w:b/>
          <w:noProof/>
          <w:sz w:val="24"/>
        </w:rPr>
        <w:t>megelőző intézkedéseket magában foglaló átfogó lépésekről</w:t>
      </w:r>
      <w:r>
        <w:rPr>
          <w:rFonts w:ascii="Times New Roman" w:hAnsi="Times New Roman"/>
          <w:noProof/>
          <w:sz w:val="24"/>
        </w:rPr>
        <w:t xml:space="preserve"> számoltak be, így például képzésről és figyelemfelhívásról. Azt jelentették, hogy </w:t>
      </w:r>
      <w:r>
        <w:rPr>
          <w:rFonts w:ascii="Times New Roman" w:hAnsi="Times New Roman"/>
          <w:b/>
          <w:noProof/>
          <w:sz w:val="24"/>
        </w:rPr>
        <w:t>a határo</w:t>
      </w:r>
      <w:r>
        <w:rPr>
          <w:rFonts w:ascii="Times New Roman" w:hAnsi="Times New Roman"/>
          <w:b/>
          <w:noProof/>
          <w:sz w:val="24"/>
        </w:rPr>
        <w:t>kon szolgáló személyzet képzését követően megnövekedett az emberkereskedelmi esetek felderítése</w:t>
      </w:r>
      <w:r>
        <w:rPr>
          <w:rFonts w:ascii="Times New Roman" w:hAnsi="Times New Roman"/>
          <w:noProof/>
          <w:sz w:val="24"/>
        </w:rPr>
        <w:t xml:space="preserve">. Azonban </w:t>
      </w:r>
      <w:r>
        <w:rPr>
          <w:rFonts w:ascii="Times New Roman" w:hAnsi="Times New Roman"/>
          <w:b/>
          <w:noProof/>
          <w:sz w:val="24"/>
        </w:rPr>
        <w:t xml:space="preserve">keveset tudnak az ilyen intézkedésnek </w:t>
      </w:r>
      <w:r>
        <w:rPr>
          <w:rFonts w:ascii="Times New Roman" w:hAnsi="Times New Roman"/>
          <w:noProof/>
          <w:sz w:val="24"/>
        </w:rPr>
        <w:t xml:space="preserve">a keresletre és a megelőzésre gyakorolt </w:t>
      </w:r>
      <w:r>
        <w:rPr>
          <w:rFonts w:ascii="Times New Roman" w:hAnsi="Times New Roman"/>
          <w:b/>
          <w:noProof/>
          <w:sz w:val="24"/>
        </w:rPr>
        <w:t>tényleges hatásáról.</w:t>
      </w:r>
    </w:p>
    <w:p w:rsidR="006047F1" w:rsidRDefault="00C96F15">
      <w:pPr>
        <w:pStyle w:val="Body"/>
        <w:jc w:val="both"/>
        <w:rPr>
          <w:rFonts w:ascii="Times New Roman" w:eastAsia="Times New Roman" w:hAnsi="Times New Roman" w:cs="Times New Roman"/>
          <w:b/>
          <w:bCs/>
          <w:noProof/>
          <w:sz w:val="24"/>
          <w:szCs w:val="24"/>
        </w:rPr>
      </w:pPr>
      <w:r>
        <w:rPr>
          <w:rFonts w:ascii="Times New Roman" w:hAnsi="Times New Roman"/>
          <w:noProof/>
          <w:sz w:val="24"/>
        </w:rPr>
        <w:t>A kapott információ foglalkozott a</w:t>
      </w:r>
      <w:r>
        <w:rPr>
          <w:rFonts w:ascii="Times New Roman" w:hAnsi="Times New Roman"/>
          <w:b/>
          <w:noProof/>
          <w:sz w:val="24"/>
        </w:rPr>
        <w:t xml:space="preserve"> képzések ad hoc j</w:t>
      </w:r>
      <w:r>
        <w:rPr>
          <w:rFonts w:ascii="Times New Roman" w:hAnsi="Times New Roman"/>
          <w:b/>
          <w:noProof/>
          <w:sz w:val="24"/>
        </w:rPr>
        <w:t xml:space="preserve">ellegével, a szakszerű képzés hiányával és a nemek szerint specifikus és a gyermek-központú megközelítéssel. </w:t>
      </w:r>
      <w:r>
        <w:rPr>
          <w:rFonts w:ascii="Times New Roman" w:hAnsi="Times New Roman"/>
          <w:noProof/>
          <w:sz w:val="24"/>
        </w:rPr>
        <w:t xml:space="preserve">Fontos továbbá hangsúlyozni a személyre szabott képzési tevékenységeket, </w:t>
      </w:r>
      <w:r>
        <w:rPr>
          <w:rFonts w:ascii="Times New Roman" w:hAnsi="Times New Roman"/>
          <w:b/>
          <w:noProof/>
          <w:sz w:val="24"/>
        </w:rPr>
        <w:t>különösen az emberkereskedelem különböző formái sajátosságainak kezelése m</w:t>
      </w:r>
      <w:r>
        <w:rPr>
          <w:rFonts w:ascii="Times New Roman" w:hAnsi="Times New Roman"/>
          <w:b/>
          <w:noProof/>
          <w:sz w:val="24"/>
        </w:rPr>
        <w:t>iatt.</w:t>
      </w:r>
    </w:p>
    <w:p w:rsidR="006047F1" w:rsidRDefault="00C96F15">
      <w:pPr>
        <w:pStyle w:val="Body"/>
        <w:jc w:val="both"/>
        <w:rPr>
          <w:rFonts w:ascii="Times New Roman" w:eastAsia="Times New Roman" w:hAnsi="Times New Roman" w:cs="Times New Roman"/>
          <w:b/>
          <w:bCs/>
          <w:i/>
          <w:iCs/>
          <w:noProof/>
          <w:sz w:val="24"/>
          <w:szCs w:val="24"/>
          <w:u w:val="single"/>
        </w:rPr>
      </w:pPr>
      <w:r>
        <w:rPr>
          <w:rFonts w:ascii="Times New Roman" w:hAnsi="Times New Roman"/>
          <w:noProof/>
          <w:sz w:val="24"/>
        </w:rPr>
        <w:t xml:space="preserve">Emellett a tagállamok kiemelik </w:t>
      </w:r>
      <w:r>
        <w:rPr>
          <w:rFonts w:ascii="Times New Roman" w:hAnsi="Times New Roman"/>
          <w:b/>
          <w:noProof/>
          <w:sz w:val="24"/>
        </w:rPr>
        <w:t>a magánszektor szerepét az emberkereskedelem megelőzésében</w:t>
      </w:r>
      <w:r>
        <w:rPr>
          <w:rFonts w:ascii="Times New Roman" w:hAnsi="Times New Roman"/>
          <w:noProof/>
          <w:sz w:val="24"/>
        </w:rPr>
        <w:t>.</w:t>
      </w:r>
    </w:p>
    <w:p w:rsidR="006047F1" w:rsidRDefault="00C96F15">
      <w:pPr>
        <w:pStyle w:val="Body"/>
        <w:jc w:val="both"/>
        <w:rPr>
          <w:rFonts w:ascii="Times New Roman" w:eastAsia="Times New Roman" w:hAnsi="Times New Roman" w:cs="Times New Roman"/>
          <w:b/>
          <w:bCs/>
          <w:i/>
          <w:iCs/>
          <w:noProof/>
          <w:sz w:val="24"/>
          <w:szCs w:val="24"/>
          <w:u w:val="single"/>
        </w:rPr>
      </w:pPr>
      <w:r>
        <w:rPr>
          <w:rFonts w:ascii="Times New Roman" w:hAnsi="Times New Roman"/>
          <w:b/>
          <w:i/>
          <w:noProof/>
          <w:sz w:val="24"/>
          <w:u w:val="single"/>
        </w:rPr>
        <w:t>Az áldozatok által nyújtott szolgáltatások igénybe vételének büntetendővé nyilvánítása</w:t>
      </w:r>
    </w:p>
    <w:p w:rsidR="006047F1" w:rsidRDefault="00C96F15">
      <w:pPr>
        <w:pStyle w:val="Body"/>
        <w:jc w:val="both"/>
        <w:rPr>
          <w:rFonts w:ascii="Times New Roman" w:hAnsi="Times New Roman"/>
          <w:b/>
          <w:bCs/>
          <w:noProof/>
          <w:sz w:val="24"/>
          <w:szCs w:val="24"/>
        </w:rPr>
      </w:pPr>
      <w:r>
        <w:rPr>
          <w:rFonts w:ascii="Times New Roman" w:hAnsi="Times New Roman"/>
          <w:noProof/>
          <w:sz w:val="24"/>
        </w:rPr>
        <w:t>A tagállamok kevésbé foglalkoztak azzal a dimenzióval, hogy a jogalkotás</w:t>
      </w:r>
      <w:r>
        <w:rPr>
          <w:rFonts w:ascii="Times New Roman" w:hAnsi="Times New Roman"/>
          <w:noProof/>
          <w:sz w:val="24"/>
        </w:rPr>
        <w:t xml:space="preserve">i változások miként kezelik azokat, akik igénybe veszik az emberkereskedelem áldozatai által nyújtott szolgáltatásokat, ahogy azt </w:t>
      </w:r>
      <w:r>
        <w:rPr>
          <w:rFonts w:ascii="Times New Roman" w:hAnsi="Times New Roman"/>
          <w:b/>
          <w:noProof/>
          <w:sz w:val="24"/>
        </w:rPr>
        <w:t xml:space="preserve">az emberkereskedelem elleni irányelv 18. cikkének (4) bekezdése </w:t>
      </w:r>
      <w:r>
        <w:rPr>
          <w:rFonts w:ascii="Times New Roman" w:hAnsi="Times New Roman"/>
          <w:noProof/>
          <w:sz w:val="24"/>
        </w:rPr>
        <w:t xml:space="preserve">ajánlja. Ezidáig </w:t>
      </w:r>
      <w:r>
        <w:rPr>
          <w:rFonts w:ascii="Times New Roman" w:hAnsi="Times New Roman"/>
          <w:b/>
          <w:noProof/>
          <w:sz w:val="24"/>
        </w:rPr>
        <w:t>a tagállamok mintegy fele kezeli bűncselekmén</w:t>
      </w:r>
      <w:r>
        <w:rPr>
          <w:rFonts w:ascii="Times New Roman" w:hAnsi="Times New Roman"/>
          <w:b/>
          <w:noProof/>
          <w:sz w:val="24"/>
        </w:rPr>
        <w:t>yként azt, ha valaki tudva, hogy emberkereskedelem áldozatai végzik, igénybe vesz az ilyen áldozatok által végzett szolgáltatásokat.</w:t>
      </w:r>
      <w:r>
        <w:rPr>
          <w:rStyle w:val="FootnoteReference"/>
          <w:rFonts w:ascii="Times New Roman" w:hAnsi="Times New Roman"/>
          <w:noProof/>
          <w:sz w:val="24"/>
        </w:rPr>
        <w:footnoteReference w:id="41"/>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munkáltatók elleni szankciókat előíró irányelv</w:t>
      </w:r>
      <w:r>
        <w:rPr>
          <w:rStyle w:val="FootnoteReference"/>
          <w:rFonts w:ascii="Times New Roman" w:hAnsi="Times New Roman"/>
          <w:noProof/>
          <w:sz w:val="24"/>
        </w:rPr>
        <w:footnoteReference w:id="42"/>
      </w:r>
      <w:r>
        <w:rPr>
          <w:rFonts w:ascii="Times New Roman" w:hAnsi="Times New Roman"/>
          <w:noProof/>
          <w:sz w:val="24"/>
        </w:rPr>
        <w:t>, amelynek hasonló, de szűkebb hatálya van, már rögzítette, hogy a tagáll</w:t>
      </w:r>
      <w:r>
        <w:rPr>
          <w:rFonts w:ascii="Times New Roman" w:hAnsi="Times New Roman"/>
          <w:noProof/>
          <w:sz w:val="24"/>
        </w:rPr>
        <w:t>amok kötelesek büntetőjogi szankciókat bevezetni az olyan munkáltatókkal szemben, akik a jogellenesen ott tartózkodó harmadik országbeli állampolgárok munkáját vagy szolgáltatásait úgy veszik igénybe, hogy tudják, hogy azok emberkereskedelem áldozatai. Így</w:t>
      </w:r>
      <w:r>
        <w:rPr>
          <w:rFonts w:ascii="Times New Roman" w:hAnsi="Times New Roman"/>
          <w:noProof/>
          <w:sz w:val="24"/>
        </w:rPr>
        <w:t xml:space="preserve"> egyértelműen szükség van az összhang biztosítására és az olyan meglévő jogi hézagok áthidalására, amik büntetlenséget eredményezhetnek.</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Az emberkereskedelem áldozatai által nyújtott szolgáltatások büntetendővé tétele gyakran a prostitúciót érinti. Ami a g</w:t>
      </w:r>
      <w:r>
        <w:rPr>
          <w:rFonts w:ascii="Times New Roman" w:hAnsi="Times New Roman"/>
          <w:noProof/>
          <w:sz w:val="24"/>
        </w:rPr>
        <w:t xml:space="preserve">yermek prostitúciót illeti, a </w:t>
      </w:r>
      <w:r>
        <w:rPr>
          <w:rFonts w:ascii="Times New Roman" w:hAnsi="Times New Roman"/>
          <w:b/>
          <w:noProof/>
          <w:sz w:val="24"/>
        </w:rPr>
        <w:t>gyermekek szexuális bántalmazása elleni irányelv</w:t>
      </w:r>
      <w:r>
        <w:rPr>
          <w:rStyle w:val="FootnoteReference"/>
          <w:rFonts w:ascii="Times New Roman" w:hAnsi="Times New Roman"/>
          <w:noProof/>
          <w:sz w:val="24"/>
        </w:rPr>
        <w:footnoteReference w:id="43"/>
      </w:r>
      <w:r>
        <w:rPr>
          <w:rFonts w:ascii="Times New Roman" w:hAnsi="Times New Roman"/>
          <w:noProof/>
          <w:sz w:val="24"/>
        </w:rPr>
        <w:t xml:space="preserve"> szintén közvetetten segíti a gyermekkereskedelem elleni küzdelmet azzal, hogy kötelezővé teszi a tagállamok számára azt, hogy büntessék, ha valaki gyermekkel folytat szexuális </w:t>
      </w:r>
      <w:r>
        <w:rPr>
          <w:rFonts w:ascii="Times New Roman" w:hAnsi="Times New Roman"/>
          <w:noProof/>
          <w:sz w:val="24"/>
        </w:rPr>
        <w:t>tevékenységet, ahol ez prostitúciót valósít meg, és hogy legalább minimális szintű szabadságvesztés büntetést szabjanak ki.</w:t>
      </w:r>
    </w:p>
    <w:p w:rsidR="006047F1" w:rsidRDefault="00C96F15">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hAnsi="Times New Roman"/>
          <w:noProof/>
          <w:sz w:val="24"/>
          <w:szCs w:val="24"/>
        </w:rPr>
      </w:pPr>
      <w:r>
        <w:rPr>
          <w:rFonts w:ascii="Times New Roman" w:hAnsi="Times New Roman"/>
          <w:noProof/>
          <w:sz w:val="24"/>
        </w:rPr>
        <w:t xml:space="preserve">A Bizottság által kapott információ azt mutatja, hogy egyértelműen </w:t>
      </w:r>
      <w:r>
        <w:rPr>
          <w:rFonts w:ascii="Times New Roman" w:hAnsi="Times New Roman"/>
          <w:b/>
          <w:noProof/>
          <w:sz w:val="24"/>
        </w:rPr>
        <w:t xml:space="preserve">szükség van olyan erős biztosítékokra, amik garantálják, hogy ne </w:t>
      </w:r>
      <w:r>
        <w:rPr>
          <w:rFonts w:ascii="Times New Roman" w:hAnsi="Times New Roman"/>
          <w:b/>
          <w:noProof/>
          <w:sz w:val="24"/>
        </w:rPr>
        <w:t>az áldozatokat büntessék, hanem azokat, akik kizsákmányolják és kihasználják őket</w:t>
      </w:r>
      <w:r>
        <w:rPr>
          <w:rFonts w:ascii="Times New Roman" w:hAnsi="Times New Roman"/>
          <w:noProof/>
          <w:sz w:val="24"/>
        </w:rPr>
        <w:t xml:space="preserve">. Ha nem foglalkoznak ezzel, az áldozatokat bűnözőként fogják kezelni és büntetni fogják őket, míg az elkövetők és a használók hasznot húznak a tétlenségből. </w:t>
      </w:r>
      <w:r>
        <w:rPr>
          <w:rFonts w:ascii="Times New Roman" w:hAnsi="Times New Roman"/>
          <w:b/>
          <w:noProof/>
          <w:sz w:val="24"/>
        </w:rPr>
        <w:t xml:space="preserve">Ennek eléréséhez </w:t>
      </w:r>
      <w:r>
        <w:rPr>
          <w:rFonts w:ascii="Times New Roman" w:hAnsi="Times New Roman"/>
          <w:b/>
          <w:noProof/>
          <w:sz w:val="24"/>
        </w:rPr>
        <w:t>alapvető az, hogy intézkedéseket, köztük jogi intézkedéseket tegyenek annak biztosítására, hogy csökkentsék az emberkereskedelem valamennyi formáját tápláló keresletet.</w:t>
      </w:r>
    </w:p>
    <w:p w:rsidR="006047F1" w:rsidRDefault="00C96F15">
      <w:pPr>
        <w:pStyle w:val="Heading2"/>
        <w:numPr>
          <w:ilvl w:val="1"/>
          <w:numId w:val="5"/>
        </w:numPr>
        <w:spacing w:after="240"/>
        <w:jc w:val="both"/>
        <w:rPr>
          <w:rFonts w:ascii="Times New Roman" w:eastAsia="Times New Roman" w:hAnsi="Times New Roman" w:cs="Times New Roman"/>
          <w:noProof/>
          <w:color w:val="000000"/>
          <w:u w:val="single" w:color="000000"/>
        </w:rPr>
      </w:pPr>
      <w:r>
        <w:rPr>
          <w:rFonts w:ascii="Times New Roman" w:hAnsi="Times New Roman"/>
          <w:noProof/>
          <w:color w:val="000000"/>
          <w:u w:val="single" w:color="000000"/>
        </w:rPr>
        <w:t xml:space="preserve">Az emberkereskedelem kezelése és a jogi kötelezettségek teljesítése érdekében nyújtott </w:t>
      </w:r>
      <w:r>
        <w:rPr>
          <w:rFonts w:ascii="Times New Roman" w:hAnsi="Times New Roman"/>
          <w:noProof/>
          <w:color w:val="000000"/>
          <w:u w:val="single" w:color="000000"/>
        </w:rPr>
        <w:t>pénzügyi támogatás</w:t>
      </w:r>
    </w:p>
    <w:p w:rsidR="006047F1" w:rsidRDefault="00C96F15">
      <w:pPr>
        <w:pStyle w:val="Body"/>
        <w:jc w:val="both"/>
        <w:rPr>
          <w:rFonts w:ascii="Times New Roman" w:eastAsia="Times New Roman" w:hAnsi="Times New Roman" w:cs="Times New Roman"/>
          <w:noProof/>
        </w:rPr>
      </w:pPr>
      <w:r>
        <w:rPr>
          <w:rFonts w:ascii="Times New Roman" w:hAnsi="Times New Roman"/>
          <w:noProof/>
          <w:sz w:val="24"/>
        </w:rPr>
        <w:t xml:space="preserve">Az emberkereskedelem kezelésében a tagállamok és a nem kormányzati szervezetek által azonosított egyik legfontosabb kihívás az, hogy </w:t>
      </w:r>
      <w:r>
        <w:rPr>
          <w:rFonts w:ascii="Times New Roman" w:hAnsi="Times New Roman"/>
          <w:b/>
          <w:noProof/>
          <w:sz w:val="24"/>
        </w:rPr>
        <w:t>nemzeti szinten korlátozott erőforrások állnak rendelkezésre az emberkereskedelem elleni intézkedésekre,</w:t>
      </w:r>
      <w:r>
        <w:rPr>
          <w:rFonts w:ascii="Times New Roman" w:hAnsi="Times New Roman"/>
          <w:b/>
          <w:noProof/>
          <w:sz w:val="24"/>
        </w:rPr>
        <w:t xml:space="preserve"> az áldozatok támogatására és a megelőzési intézkedésekre. </w:t>
      </w:r>
      <w:r>
        <w:rPr>
          <w:rFonts w:ascii="Times New Roman" w:hAnsi="Times New Roman"/>
          <w:noProof/>
          <w:sz w:val="24"/>
        </w:rPr>
        <w:t>A globális gazdasági válságnak is negatív hatása volt az ilyen támogatások elosztására.</w:t>
      </w:r>
    </w:p>
    <w:p w:rsidR="006047F1" w:rsidRDefault="00C96F15">
      <w:pPr>
        <w:pStyle w:val="Body"/>
        <w:jc w:val="both"/>
        <w:rPr>
          <w:rFonts w:ascii="Times New Roman" w:eastAsia="Times New Roman" w:hAnsi="Times New Roman" w:cs="Times New Roman"/>
          <w:noProof/>
          <w:sz w:val="24"/>
          <w:szCs w:val="24"/>
        </w:rPr>
      </w:pPr>
      <w:r>
        <w:rPr>
          <w:rFonts w:ascii="Times New Roman" w:hAnsi="Times New Roman"/>
          <w:noProof/>
          <w:sz w:val="24"/>
        </w:rPr>
        <w:t>A tagállamok többségében nem az állam vagy a helyi hatóságok, hanem a nem kormányzati szervezetek nyújtanak g</w:t>
      </w:r>
      <w:r>
        <w:rPr>
          <w:rFonts w:ascii="Times New Roman" w:hAnsi="Times New Roman"/>
          <w:noProof/>
          <w:sz w:val="24"/>
        </w:rPr>
        <w:t>yakorlati segítséget az áldozatoknak. Ezért fontos ezeknek a szervezeteknek a finanszírozása, ami lehetővé teszi számukra, hogy hatékony és fenntartható rövid- és hosszú távú segítséget nyújtsanak az emberkereskedelem áldozatainak.</w:t>
      </w:r>
    </w:p>
    <w:p w:rsidR="006047F1" w:rsidRDefault="00C96F1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caps/>
          <w:noProof/>
        </w:rPr>
      </w:pPr>
      <w:r>
        <w:rPr>
          <w:rFonts w:ascii="Times New Roman" w:hAnsi="Times New Roman"/>
          <w:b/>
          <w:noProof/>
          <w:sz w:val="24"/>
        </w:rPr>
        <w:t>A költségvetési források</w:t>
      </w:r>
      <w:r>
        <w:rPr>
          <w:rFonts w:ascii="Times New Roman" w:hAnsi="Times New Roman"/>
          <w:b/>
          <w:noProof/>
          <w:sz w:val="24"/>
        </w:rPr>
        <w:t>nak elegendőnek kell lenniük arra, hogy hatékonyan kezeljék az emberkereskedelmet, és ezt a civil társadalommal együttműködésben kell megtenni</w:t>
      </w:r>
      <w:r>
        <w:rPr>
          <w:rFonts w:ascii="Times New Roman" w:hAnsi="Times New Roman"/>
          <w:noProof/>
          <w:sz w:val="24"/>
        </w:rPr>
        <w:t xml:space="preserve">. Az emberkereskedelem kezelésére szolgáló </w:t>
      </w:r>
      <w:r>
        <w:rPr>
          <w:rFonts w:ascii="Times New Roman" w:hAnsi="Times New Roman"/>
          <w:b/>
          <w:noProof/>
          <w:sz w:val="24"/>
        </w:rPr>
        <w:t xml:space="preserve">összes uniós forrás </w:t>
      </w:r>
      <w:r>
        <w:rPr>
          <w:rFonts w:ascii="Times New Roman" w:hAnsi="Times New Roman"/>
          <w:noProof/>
          <w:sz w:val="24"/>
        </w:rPr>
        <w:t xml:space="preserve">tagállamok általi </w:t>
      </w:r>
      <w:r>
        <w:rPr>
          <w:rFonts w:ascii="Times New Roman" w:hAnsi="Times New Roman"/>
          <w:b/>
          <w:noProof/>
          <w:sz w:val="24"/>
        </w:rPr>
        <w:t>hatékony felhasználása</w:t>
      </w:r>
      <w:r>
        <w:rPr>
          <w:rFonts w:ascii="Times New Roman" w:hAnsi="Times New Roman"/>
          <w:noProof/>
          <w:sz w:val="24"/>
        </w:rPr>
        <w:t xml:space="preserve"> és </w:t>
      </w:r>
      <w:r>
        <w:rPr>
          <w:rFonts w:ascii="Times New Roman" w:hAnsi="Times New Roman"/>
          <w:b/>
          <w:noProof/>
          <w:sz w:val="24"/>
        </w:rPr>
        <w:t>költség</w:t>
      </w:r>
      <w:r>
        <w:rPr>
          <w:rFonts w:ascii="Times New Roman" w:hAnsi="Times New Roman"/>
          <w:b/>
          <w:noProof/>
          <w:sz w:val="24"/>
        </w:rPr>
        <w:t xml:space="preserve">hatékony nemzeti intézkedések végrehajtása </w:t>
      </w:r>
      <w:r>
        <w:rPr>
          <w:rFonts w:ascii="Times New Roman" w:hAnsi="Times New Roman"/>
          <w:noProof/>
          <w:sz w:val="24"/>
        </w:rPr>
        <w:t>hozhat kézzelfogható eredményeket és hosszú távú hatást.</w:t>
      </w:r>
    </w:p>
    <w:p w:rsidR="006047F1" w:rsidRDefault="00C96F15">
      <w:pPr>
        <w:pStyle w:val="Heading"/>
        <w:spacing w:before="0"/>
        <w:rPr>
          <w:rFonts w:ascii="Times New Roman" w:hAnsi="Times New Roman" w:cs="Times New Roman"/>
          <w:caps/>
          <w:noProof/>
          <w:color w:val="000000"/>
          <w:u w:color="000000"/>
        </w:rPr>
      </w:pPr>
      <w:r>
        <w:rPr>
          <w:rFonts w:ascii="Times New Roman" w:hAnsi="Times New Roman"/>
          <w:caps/>
          <w:noProof/>
          <w:color w:val="000000"/>
          <w:u w:color="000000"/>
        </w:rPr>
        <w:t>KÖVETKEZTETÉSEK</w:t>
      </w:r>
    </w:p>
    <w:p w:rsidR="006047F1" w:rsidRDefault="00C96F15">
      <w:pPr>
        <w:pStyle w:val="Body"/>
        <w:spacing w:before="240"/>
        <w:jc w:val="both"/>
        <w:rPr>
          <w:rFonts w:ascii="Times New Roman" w:eastAsia="Times New Roman" w:hAnsi="Times New Roman" w:cs="Times New Roman"/>
          <w:noProof/>
          <w:sz w:val="24"/>
          <w:szCs w:val="24"/>
        </w:rPr>
      </w:pPr>
      <w:r>
        <w:rPr>
          <w:rFonts w:ascii="Times New Roman" w:hAnsi="Times New Roman"/>
          <w:noProof/>
          <w:sz w:val="24"/>
        </w:rPr>
        <w:t xml:space="preserve">A tagállamok és más érdekeltek által ezen jelentéshez rendelkezésre bocsátott hozzájárulások lehetővé teszik, hogy kiemeljünk számos </w:t>
      </w:r>
      <w:r>
        <w:rPr>
          <w:rFonts w:ascii="Times New Roman" w:hAnsi="Times New Roman"/>
          <w:b/>
          <w:noProof/>
          <w:sz w:val="24"/>
        </w:rPr>
        <w:t>kulcsfo</w:t>
      </w:r>
      <w:r>
        <w:rPr>
          <w:rFonts w:ascii="Times New Roman" w:hAnsi="Times New Roman"/>
          <w:b/>
          <w:noProof/>
          <w:sz w:val="24"/>
        </w:rPr>
        <w:t>ntosságú kihívást,</w:t>
      </w:r>
      <w:r>
        <w:rPr>
          <w:rFonts w:ascii="Times New Roman" w:hAnsi="Times New Roman"/>
          <w:noProof/>
          <w:sz w:val="24"/>
        </w:rPr>
        <w:t xml:space="preserve"> amivel az EU-nak és a tagállamoknak prioritásként kell foglalkoznia a megfelelő erőfeszítések és erőforrások hozzárendelésével.</w:t>
      </w:r>
    </w:p>
    <w:p w:rsidR="006047F1" w:rsidRDefault="00C96F15">
      <w:pPr>
        <w:pStyle w:val="Body"/>
        <w:spacing w:before="240"/>
        <w:jc w:val="both"/>
        <w:rPr>
          <w:rFonts w:ascii="Times New Roman" w:hAnsi="Times New Roman"/>
          <w:noProof/>
          <w:sz w:val="24"/>
          <w:szCs w:val="24"/>
        </w:rPr>
      </w:pPr>
      <w:r>
        <w:rPr>
          <w:rFonts w:ascii="Times New Roman" w:hAnsi="Times New Roman"/>
          <w:noProof/>
          <w:sz w:val="24"/>
        </w:rPr>
        <w:t xml:space="preserve">Ebben a tekintetben a tagállamoknak </w:t>
      </w:r>
      <w:r>
        <w:rPr>
          <w:rFonts w:ascii="Times New Roman" w:hAnsi="Times New Roman"/>
          <w:b/>
          <w:noProof/>
          <w:sz w:val="24"/>
        </w:rPr>
        <w:t>kezelniük és rangsorolniuk kellene kizsákmányolás összes formáját</w:t>
      </w:r>
      <w:r>
        <w:rPr>
          <w:rFonts w:ascii="Times New Roman" w:hAnsi="Times New Roman"/>
          <w:noProof/>
          <w:sz w:val="24"/>
        </w:rPr>
        <w:t>; növeln</w:t>
      </w:r>
      <w:r>
        <w:rPr>
          <w:rFonts w:ascii="Times New Roman" w:hAnsi="Times New Roman"/>
          <w:noProof/>
          <w:sz w:val="24"/>
        </w:rPr>
        <w:t xml:space="preserve">iük kell a </w:t>
      </w:r>
      <w:r>
        <w:rPr>
          <w:rFonts w:ascii="Times New Roman" w:hAnsi="Times New Roman"/>
          <w:b/>
          <w:noProof/>
          <w:sz w:val="24"/>
        </w:rPr>
        <w:t>nyomozások és büntetőeljárások számát és hatékonyságát</w:t>
      </w:r>
      <w:r>
        <w:rPr>
          <w:rFonts w:ascii="Times New Roman" w:hAnsi="Times New Roman"/>
          <w:noProof/>
          <w:sz w:val="24"/>
        </w:rPr>
        <w:t xml:space="preserve">; tenniük kell </w:t>
      </w:r>
      <w:r>
        <w:rPr>
          <w:rFonts w:ascii="Times New Roman" w:hAnsi="Times New Roman"/>
          <w:b/>
          <w:noProof/>
          <w:sz w:val="24"/>
        </w:rPr>
        <w:t>az adatgyűjtés javításáért</w:t>
      </w:r>
      <w:r>
        <w:rPr>
          <w:rFonts w:ascii="Times New Roman" w:hAnsi="Times New Roman"/>
          <w:noProof/>
          <w:sz w:val="24"/>
        </w:rPr>
        <w:t xml:space="preserve"> az emberkereskedelem területén; </w:t>
      </w:r>
      <w:r>
        <w:rPr>
          <w:rFonts w:ascii="Times New Roman" w:hAnsi="Times New Roman"/>
          <w:b/>
          <w:noProof/>
          <w:sz w:val="24"/>
        </w:rPr>
        <w:t>az összes áldozat korai azonosítására kell összpontosítaniuk</w:t>
      </w:r>
      <w:r>
        <w:rPr>
          <w:rFonts w:ascii="Times New Roman" w:hAnsi="Times New Roman"/>
          <w:noProof/>
          <w:sz w:val="24"/>
        </w:rPr>
        <w:t xml:space="preserve"> többek között azáltal, hogy erre megfelelő mechanizmusokat vezetnek be; biztosítaniuk kell, hogy minden áldozat </w:t>
      </w:r>
      <w:r>
        <w:rPr>
          <w:rFonts w:ascii="Times New Roman" w:hAnsi="Times New Roman"/>
          <w:b/>
          <w:noProof/>
          <w:sz w:val="24"/>
        </w:rPr>
        <w:t>védelmet és segítséget</w:t>
      </w:r>
      <w:r>
        <w:rPr>
          <w:rFonts w:ascii="Times New Roman" w:hAnsi="Times New Roman"/>
          <w:noProof/>
          <w:sz w:val="24"/>
        </w:rPr>
        <w:t xml:space="preserve"> kapjon; </w:t>
      </w:r>
      <w:r w:rsidRPr="00C96F15">
        <w:rPr>
          <w:rFonts w:ascii="Times New Roman" w:hAnsi="Times New Roman"/>
          <w:b/>
          <w:noProof/>
          <w:sz w:val="24"/>
        </w:rPr>
        <w:t>nemek</w:t>
      </w:r>
      <w:r w:rsidRPr="00C96F15">
        <w:rPr>
          <w:rFonts w:ascii="Times New Roman" w:hAnsi="Times New Roman"/>
          <w:noProof/>
          <w:sz w:val="24"/>
        </w:rPr>
        <w:t xml:space="preserve"> </w:t>
      </w:r>
      <w:r w:rsidRPr="00C96F15">
        <w:rPr>
          <w:rFonts w:ascii="Times New Roman" w:hAnsi="Times New Roman"/>
          <w:b/>
          <w:noProof/>
          <w:sz w:val="24"/>
        </w:rPr>
        <w:t xml:space="preserve">szerinti </w:t>
      </w:r>
      <w:r w:rsidRPr="00C96F15">
        <w:rPr>
          <w:rFonts w:ascii="Times New Roman" w:hAnsi="Times New Roman"/>
          <w:noProof/>
          <w:sz w:val="24"/>
        </w:rPr>
        <w:t xml:space="preserve">intézkedéseket kell tenniük és </w:t>
      </w:r>
      <w:r w:rsidRPr="00C96F15">
        <w:rPr>
          <w:rFonts w:ascii="Times New Roman" w:hAnsi="Times New Roman"/>
          <w:b/>
          <w:noProof/>
          <w:sz w:val="24"/>
        </w:rPr>
        <w:t>gyermekközpontú</w:t>
      </w:r>
      <w:r w:rsidRPr="00C96F15">
        <w:rPr>
          <w:rFonts w:ascii="Times New Roman" w:hAnsi="Times New Roman"/>
          <w:noProof/>
          <w:sz w:val="24"/>
        </w:rPr>
        <w:t xml:space="preserve"> megközelítést kell elfogadniuk minden fellépés sor</w:t>
      </w:r>
      <w:r w:rsidRPr="00C96F15">
        <w:rPr>
          <w:rFonts w:ascii="Times New Roman" w:hAnsi="Times New Roman"/>
          <w:noProof/>
          <w:sz w:val="24"/>
        </w:rPr>
        <w:t>án</w:t>
      </w:r>
      <w:r w:rsidRPr="00C96F15">
        <w:rPr>
          <w:rFonts w:ascii="Times New Roman" w:hAnsi="Times New Roman"/>
          <w:noProof/>
          <w:sz w:val="24"/>
        </w:rPr>
        <w:t xml:space="preserve">; összpontosítaniuk kell a </w:t>
      </w:r>
      <w:r w:rsidRPr="00C96F15">
        <w:rPr>
          <w:rFonts w:ascii="Times New Roman" w:hAnsi="Times New Roman"/>
          <w:b/>
          <w:noProof/>
          <w:sz w:val="24"/>
        </w:rPr>
        <w:t>legsebezhetőbb áldozatokra</w:t>
      </w:r>
      <w:r w:rsidRPr="00C96F15">
        <w:rPr>
          <w:rFonts w:ascii="Times New Roman" w:hAnsi="Times New Roman"/>
          <w:noProof/>
          <w:sz w:val="24"/>
        </w:rPr>
        <w:t>; a kizsákmányolás valamennyi formáját tápláló</w:t>
      </w:r>
      <w:r>
        <w:rPr>
          <w:rFonts w:ascii="Times New Roman" w:hAnsi="Times New Roman"/>
          <w:noProof/>
          <w:sz w:val="24"/>
        </w:rPr>
        <w:t xml:space="preserve"> </w:t>
      </w:r>
      <w:r>
        <w:rPr>
          <w:rFonts w:ascii="Times New Roman" w:hAnsi="Times New Roman"/>
          <w:b/>
          <w:noProof/>
          <w:sz w:val="24"/>
        </w:rPr>
        <w:t>kereslet</w:t>
      </w:r>
      <w:r>
        <w:rPr>
          <w:rFonts w:ascii="Times New Roman" w:hAnsi="Times New Roman"/>
          <w:noProof/>
          <w:sz w:val="24"/>
        </w:rPr>
        <w:t xml:space="preserve"> kezelése révén </w:t>
      </w:r>
      <w:r>
        <w:rPr>
          <w:rFonts w:ascii="Times New Roman" w:hAnsi="Times New Roman"/>
          <w:b/>
          <w:noProof/>
          <w:sz w:val="24"/>
        </w:rPr>
        <w:t>meg kell előzniük</w:t>
      </w:r>
      <w:r>
        <w:rPr>
          <w:rFonts w:ascii="Times New Roman" w:hAnsi="Times New Roman"/>
          <w:noProof/>
          <w:sz w:val="24"/>
        </w:rPr>
        <w:t xml:space="preserve"> az emberkereskedelmet; rendszeres </w:t>
      </w:r>
      <w:r>
        <w:rPr>
          <w:rFonts w:ascii="Times New Roman" w:hAnsi="Times New Roman"/>
          <w:b/>
          <w:noProof/>
          <w:sz w:val="24"/>
        </w:rPr>
        <w:t>értékelniük kell a nemzeti stratégiákat és intézkedési terveket</w:t>
      </w:r>
      <w:r>
        <w:rPr>
          <w:rFonts w:ascii="Times New Roman" w:hAnsi="Times New Roman"/>
          <w:noProof/>
          <w:sz w:val="24"/>
        </w:rPr>
        <w:t xml:space="preserve">; </w:t>
      </w:r>
      <w:r>
        <w:rPr>
          <w:rFonts w:ascii="Times New Roman" w:hAnsi="Times New Roman"/>
          <w:b/>
          <w:noProof/>
          <w:sz w:val="24"/>
        </w:rPr>
        <w:t>megfelelő erő</w:t>
      </w:r>
      <w:r>
        <w:rPr>
          <w:rFonts w:ascii="Times New Roman" w:hAnsi="Times New Roman"/>
          <w:b/>
          <w:noProof/>
          <w:sz w:val="24"/>
        </w:rPr>
        <w:t>forrásokat</w:t>
      </w:r>
      <w:r>
        <w:rPr>
          <w:rFonts w:ascii="Times New Roman" w:hAnsi="Times New Roman"/>
          <w:noProof/>
          <w:sz w:val="24"/>
        </w:rPr>
        <w:t xml:space="preserve"> kell biztosítaniuk az emberkereskedelem kezelésére; és </w:t>
      </w:r>
      <w:r>
        <w:rPr>
          <w:rFonts w:ascii="Times New Roman" w:hAnsi="Times New Roman"/>
          <w:b/>
          <w:noProof/>
          <w:sz w:val="24"/>
        </w:rPr>
        <w:t>érdemben együtt kell működniük a civil társadalommal</w:t>
      </w:r>
      <w:r>
        <w:rPr>
          <w:rFonts w:ascii="Times New Roman" w:hAnsi="Times New Roman"/>
          <w:noProof/>
          <w:sz w:val="24"/>
        </w:rPr>
        <w:t>.</w:t>
      </w:r>
    </w:p>
    <w:p w:rsidR="006047F1" w:rsidRDefault="00C96F1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imes New Roman" w:hAnsi="Times New Roman"/>
          <w:noProof/>
          <w:sz w:val="24"/>
          <w:szCs w:val="24"/>
        </w:rPr>
      </w:pPr>
      <w:r>
        <w:rPr>
          <w:rFonts w:ascii="Times New Roman" w:hAnsi="Times New Roman"/>
          <w:noProof/>
          <w:sz w:val="24"/>
        </w:rPr>
        <w:t xml:space="preserve">Fontos, hogy a tagállamok ösztönözzék a </w:t>
      </w:r>
      <w:r>
        <w:rPr>
          <w:rFonts w:ascii="Times New Roman" w:hAnsi="Times New Roman"/>
          <w:b/>
          <w:noProof/>
          <w:sz w:val="24"/>
        </w:rPr>
        <w:t>kormányokat és a független szervezeteket, hogy azok rendszeresen</w:t>
      </w:r>
      <w:r>
        <w:rPr>
          <w:rFonts w:ascii="Times New Roman" w:hAnsi="Times New Roman"/>
          <w:noProof/>
          <w:sz w:val="24"/>
        </w:rPr>
        <w:t xml:space="preserve"> </w:t>
      </w:r>
      <w:r>
        <w:rPr>
          <w:rFonts w:ascii="Times New Roman" w:hAnsi="Times New Roman"/>
          <w:b/>
          <w:noProof/>
          <w:sz w:val="24"/>
        </w:rPr>
        <w:t xml:space="preserve">részt vegyenek a </w:t>
      </w:r>
      <w:r>
        <w:rPr>
          <w:rFonts w:ascii="Times New Roman" w:hAnsi="Times New Roman" w:cs="Times New Roman"/>
          <w:b/>
          <w:noProof/>
          <w:sz w:val="24"/>
          <w:szCs w:val="24"/>
        </w:rPr>
        <w:t xml:space="preserve">nemzeti </w:t>
      </w:r>
      <w:r>
        <w:rPr>
          <w:rFonts w:ascii="Times New Roman" w:hAnsi="Times New Roman" w:cs="Times New Roman"/>
          <w:b/>
          <w:noProof/>
          <w:sz w:val="24"/>
          <w:szCs w:val="24"/>
        </w:rPr>
        <w:t>előadók vagy azzal egyenértékű mechanizmusok</w:t>
      </w:r>
      <w:r>
        <w:rPr>
          <w:rFonts w:ascii="Times New Roman" w:hAnsi="Times New Roman"/>
          <w:b/>
          <w:noProof/>
          <w:sz w:val="24"/>
        </w:rPr>
        <w:t xml:space="preserve"> (NREM-ek) európai uniós hálózatában</w:t>
      </w:r>
      <w:r>
        <w:rPr>
          <w:rFonts w:ascii="Times New Roman" w:hAnsi="Times New Roman"/>
          <w:noProof/>
          <w:sz w:val="24"/>
        </w:rPr>
        <w:t xml:space="preserve">, hogy képesek legyenek </w:t>
      </w:r>
      <w:r>
        <w:rPr>
          <w:rFonts w:ascii="Times New Roman" w:hAnsi="Times New Roman"/>
          <w:b/>
          <w:noProof/>
          <w:sz w:val="24"/>
        </w:rPr>
        <w:t xml:space="preserve">operatív, stratégiai és monitoring </w:t>
      </w:r>
      <w:r>
        <w:rPr>
          <w:rFonts w:ascii="Times New Roman" w:hAnsi="Times New Roman"/>
          <w:noProof/>
          <w:sz w:val="24"/>
        </w:rPr>
        <w:t>szinteken tájékozott és összehangolt módon működni.</w:t>
      </w:r>
    </w:p>
    <w:p w:rsidR="00C96F15" w:rsidRDefault="00C96F15">
      <w:pPr>
        <w:pStyle w:val="Body"/>
        <w:spacing w:before="240"/>
        <w:jc w:val="both"/>
        <w:rPr>
          <w:rFonts w:ascii="Times New Roman" w:hAnsi="Times New Roman"/>
          <w:noProof/>
          <w:sz w:val="24"/>
        </w:rPr>
      </w:pPr>
      <w:r>
        <w:rPr>
          <w:rFonts w:ascii="Times New Roman" w:hAnsi="Times New Roman"/>
          <w:b/>
          <w:noProof/>
          <w:sz w:val="24"/>
        </w:rPr>
        <w:t xml:space="preserve">Az összes vonatkozó nemzetközi és regionális jogi eszköz </w:t>
      </w:r>
      <w:r>
        <w:rPr>
          <w:rFonts w:ascii="Times New Roman" w:hAnsi="Times New Roman"/>
          <w:noProof/>
          <w:sz w:val="24"/>
        </w:rPr>
        <w:t>tagállam</w:t>
      </w:r>
      <w:r>
        <w:rPr>
          <w:rFonts w:ascii="Times New Roman" w:hAnsi="Times New Roman"/>
          <w:noProof/>
          <w:sz w:val="24"/>
        </w:rPr>
        <w:t xml:space="preserve">ok általi </w:t>
      </w:r>
      <w:r>
        <w:rPr>
          <w:rFonts w:ascii="Times New Roman" w:hAnsi="Times New Roman"/>
          <w:b/>
          <w:noProof/>
          <w:sz w:val="24"/>
        </w:rPr>
        <w:t>ratifikálása</w:t>
      </w:r>
      <w:r>
        <w:rPr>
          <w:rFonts w:ascii="Times New Roman" w:hAnsi="Times New Roman"/>
          <w:noProof/>
          <w:sz w:val="24"/>
        </w:rPr>
        <w:t xml:space="preserve"> elősegíti a közös erőfeszítések hatékonyságát és következetességét. Ebben az összefüggésben ösztönözni kell a </w:t>
      </w:r>
      <w:r>
        <w:rPr>
          <w:rFonts w:ascii="Times New Roman" w:hAnsi="Times New Roman"/>
          <w:b/>
          <w:noProof/>
          <w:sz w:val="24"/>
        </w:rPr>
        <w:t xml:space="preserve">nemzetközi együttműködés megerősítését </w:t>
      </w:r>
      <w:r>
        <w:rPr>
          <w:rFonts w:ascii="Times New Roman" w:hAnsi="Times New Roman"/>
          <w:noProof/>
          <w:sz w:val="24"/>
        </w:rPr>
        <w:t>az információcsere, az adatgyűjtés, a kutatás, továbbá a monitoring és értékelés ter</w:t>
      </w:r>
      <w:r>
        <w:rPr>
          <w:rFonts w:ascii="Times New Roman" w:hAnsi="Times New Roman"/>
          <w:noProof/>
          <w:sz w:val="24"/>
        </w:rPr>
        <w:t>ületén annak érdekében, hogy maximálni lehessen a fellépés hatását, el lehessen kerülni az erőfeszítések megkettőzését, valamint hogy csökkentsék a tagállamok adminisztratív terheit.</w:t>
      </w:r>
    </w:p>
    <w:p w:rsidR="00C96F15" w:rsidRDefault="00C96F15" w:rsidP="00C96F15">
      <w:pPr>
        <w:pStyle w:val="Body"/>
        <w:rPr>
          <w:noProof/>
        </w:rPr>
      </w:pPr>
      <w:r>
        <w:rPr>
          <w:noProof/>
        </w:rPr>
        <w:br w:type="page"/>
      </w:r>
    </w:p>
    <w:p w:rsidR="006047F1" w:rsidRDefault="006047F1">
      <w:pPr>
        <w:pStyle w:val="Body"/>
        <w:spacing w:before="240"/>
        <w:jc w:val="both"/>
        <w:rPr>
          <w:rFonts w:ascii="Times New Roman" w:hAnsi="Times New Roman"/>
          <w:noProof/>
          <w:sz w:val="24"/>
          <w:szCs w:val="24"/>
        </w:rPr>
      </w:pPr>
      <w:bookmarkStart w:id="1" w:name="_GoBack"/>
      <w:bookmarkEnd w:id="1"/>
    </w:p>
    <w:p w:rsidR="006047F1" w:rsidRDefault="00C96F15">
      <w:pPr>
        <w:pStyle w:val="Body"/>
        <w:pBdr>
          <w:top w:val="single" w:sz="4" w:space="1" w:color="auto"/>
          <w:left w:val="single" w:sz="4" w:space="1" w:color="auto"/>
          <w:bottom w:val="single" w:sz="4" w:space="1" w:color="auto"/>
          <w:right w:val="single" w:sz="4" w:space="1" w:color="auto"/>
        </w:pBdr>
        <w:spacing w:before="240"/>
        <w:jc w:val="both"/>
        <w:rPr>
          <w:rFonts w:ascii="Times New Roman" w:eastAsia="Times New Roman" w:hAnsi="Times New Roman" w:cs="Times New Roman"/>
          <w:noProof/>
          <w:sz w:val="24"/>
          <w:szCs w:val="24"/>
        </w:rPr>
      </w:pPr>
      <w:r>
        <w:rPr>
          <w:rFonts w:ascii="Times New Roman" w:hAnsi="Times New Roman"/>
          <w:noProof/>
          <w:sz w:val="24"/>
        </w:rPr>
        <w:t>Az emberkereskedelem elleni irányelv és nemzeti szinten az átültető rende</w:t>
      </w:r>
      <w:r>
        <w:rPr>
          <w:rFonts w:ascii="Times New Roman" w:hAnsi="Times New Roman"/>
          <w:noProof/>
          <w:sz w:val="24"/>
        </w:rPr>
        <w:t>lkezések elfogadása</w:t>
      </w:r>
      <w:r>
        <w:rPr>
          <w:rStyle w:val="FootnoteReference"/>
          <w:rFonts w:ascii="Times New Roman" w:hAnsi="Times New Roman"/>
          <w:noProof/>
          <w:sz w:val="24"/>
        </w:rPr>
        <w:footnoteReference w:id="44"/>
      </w:r>
      <w:r>
        <w:rPr>
          <w:rFonts w:ascii="Times New Roman" w:hAnsi="Times New Roman"/>
          <w:noProof/>
          <w:sz w:val="24"/>
        </w:rPr>
        <w:t xml:space="preserve"> fontos momentum volt abban, hogy felhívják a figyelmet a jelenség nagyságrendjére az EU-ban, és arra, hogy azt megelőzési, védelmi és büntetőeljárási eszközök széles skálájával kell kezelni. Végül: </w:t>
      </w:r>
      <w:r>
        <w:rPr>
          <w:rFonts w:ascii="Times New Roman" w:hAnsi="Times New Roman"/>
          <w:b/>
          <w:noProof/>
          <w:sz w:val="24"/>
        </w:rPr>
        <w:t>az EU irányelv helyes és maradéktalan</w:t>
      </w:r>
      <w:r>
        <w:rPr>
          <w:rFonts w:ascii="Times New Roman" w:hAnsi="Times New Roman"/>
          <w:b/>
          <w:noProof/>
          <w:sz w:val="24"/>
        </w:rPr>
        <w:t xml:space="preserve"> végrehajtásával a tagállamok biztosítani fogják a bűncselekmény megelőzését, az elkövetők felelősségre vonását, és ami a legfontosabb, az áldozatok védelmét.</w:t>
      </w:r>
    </w:p>
    <w:p w:rsidR="006047F1" w:rsidRDefault="00C96F15">
      <w:pPr>
        <w:pStyle w:val="Body"/>
        <w:spacing w:before="240"/>
        <w:jc w:val="both"/>
        <w:rPr>
          <w:rFonts w:ascii="Times New Roman" w:eastAsia="Times New Roman" w:hAnsi="Times New Roman" w:cs="Times New Roman"/>
          <w:noProof/>
          <w:sz w:val="24"/>
          <w:szCs w:val="24"/>
        </w:rPr>
      </w:pPr>
      <w:r>
        <w:rPr>
          <w:rFonts w:ascii="Times New Roman" w:hAnsi="Times New Roman"/>
          <w:noProof/>
          <w:sz w:val="24"/>
        </w:rPr>
        <w:t>A Bizottság tovább munkálkodik annak érdekében, hogy összehangolt és következetes választ adjon a</w:t>
      </w:r>
      <w:r>
        <w:rPr>
          <w:rFonts w:ascii="Times New Roman" w:hAnsi="Times New Roman"/>
          <w:noProof/>
          <w:sz w:val="24"/>
        </w:rPr>
        <w:t>z emberkereskedelem elleni küzdelem során. 2016 végéig a Bizottság két további, az emberkereskedelem elleni irányelv 23. cikkében előírt jelentést tesz közzé a megfelelőségről és bűncselekménnyé nyilvánításról, valamint közzéteszi az emberkereskedelemre vo</w:t>
      </w:r>
      <w:r>
        <w:rPr>
          <w:rFonts w:ascii="Times New Roman" w:hAnsi="Times New Roman"/>
          <w:noProof/>
          <w:sz w:val="24"/>
        </w:rPr>
        <w:t>natkozó 2016 utáni stratégiát.</w:t>
      </w:r>
    </w:p>
    <w:sectPr w:rsidR="006047F1">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F1" w:rsidRDefault="00C96F15">
      <w:r>
        <w:separator/>
      </w:r>
    </w:p>
  </w:endnote>
  <w:endnote w:type="continuationSeparator" w:id="0">
    <w:p w:rsidR="006047F1" w:rsidRDefault="00C9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15" w:rsidRDefault="00C96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1" w:rsidRDefault="00C96F15">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15" w:rsidRDefault="00C96F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1" w:rsidRDefault="006047F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1" w:rsidRDefault="00C96F15">
    <w:pPr>
      <w:pStyle w:val="Footer"/>
      <w:tabs>
        <w:tab w:val="clear" w:pos="9072"/>
        <w:tab w:val="right" w:pos="9046"/>
      </w:tabs>
      <w:jc w:val="center"/>
    </w:pPr>
    <w:r>
      <w:fldChar w:fldCharType="begin"/>
    </w:r>
    <w:r>
      <w:instrText xml:space="preserve"> PAGE </w:instrText>
    </w:r>
    <w:r>
      <w:fldChar w:fldCharType="separate"/>
    </w:r>
    <w:r>
      <w:rPr>
        <w:noProof/>
      </w:rPr>
      <w:t>17</w:t>
    </w:r>
    <w:r>
      <w:fldChar w:fldCharType="end"/>
    </w:r>
  </w:p>
  <w:p w:rsidR="006047F1" w:rsidRDefault="006047F1">
    <w:pPr>
      <w:pStyle w:val="Footer"/>
      <w:tabs>
        <w:tab w:val="clear" w:pos="9072"/>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1" w:rsidRDefault="00604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F1" w:rsidRDefault="00C96F15">
      <w:r>
        <w:separator/>
      </w:r>
    </w:p>
  </w:footnote>
  <w:footnote w:type="continuationSeparator" w:id="0">
    <w:p w:rsidR="006047F1" w:rsidRDefault="00C96F15">
      <w:r>
        <w:continuationSeparator/>
      </w:r>
    </w:p>
  </w:footnote>
  <w:footnote w:type="continuationNotice" w:id="1">
    <w:p w:rsidR="006047F1" w:rsidRDefault="006047F1"/>
  </w:footnote>
  <w:footnote w:id="2">
    <w:p w:rsidR="006047F1" w:rsidRDefault="00C96F15">
      <w:pPr>
        <w:pStyle w:val="FootnoteText"/>
        <w:rPr>
          <w:lang w:val="en-GB"/>
        </w:rPr>
      </w:pPr>
      <w:r>
        <w:rPr>
          <w:vertAlign w:val="superscript"/>
        </w:rPr>
        <w:footnoteRef/>
      </w:r>
      <w:r>
        <w:tab/>
      </w:r>
      <w:hyperlink r:id="rId1" w:history="1">
        <w:r>
          <w:rPr>
            <w:rStyle w:val="Hyperlink0"/>
            <w:rFonts w:eastAsia="Calibri"/>
            <w:lang w:val="en-GB"/>
          </w:rPr>
          <w:t>http://eur-lex.europa.eu/legal-content/EN/ALL/?uri=CELEX:32011L0036</w:t>
        </w:r>
      </w:hyperlink>
    </w:p>
  </w:footnote>
  <w:footnote w:id="3">
    <w:p w:rsidR="006047F1" w:rsidRDefault="00C96F15">
      <w:pPr>
        <w:pStyle w:val="FootnoteText"/>
        <w:rPr>
          <w:lang w:val="en-GB"/>
        </w:rPr>
      </w:pPr>
      <w:r>
        <w:rPr>
          <w:vertAlign w:val="superscript"/>
        </w:rPr>
        <w:footnoteRef/>
      </w:r>
      <w:r>
        <w:tab/>
      </w:r>
      <w:hyperlink r:id="rId2" w:history="1">
        <w:r>
          <w:rPr>
            <w:rStyle w:val="Hyperlink0"/>
            <w:rFonts w:eastAsia="Calibri"/>
            <w:lang w:val="en-GB"/>
          </w:rPr>
          <w:t>https://ec.europa.eu/anti-trafficking/eu-anti-trafficking-coordinator_en</w:t>
        </w:r>
      </w:hyperlink>
    </w:p>
  </w:footnote>
  <w:footnote w:id="4">
    <w:p w:rsidR="006047F1" w:rsidRDefault="00C96F15">
      <w:pPr>
        <w:pStyle w:val="FootnoteText"/>
        <w:rPr>
          <w:lang w:val="en-GB"/>
        </w:rPr>
      </w:pPr>
      <w:r>
        <w:rPr>
          <w:vertAlign w:val="superscript"/>
        </w:rPr>
        <w:footnoteRef/>
      </w:r>
      <w:r>
        <w:tab/>
        <w:t>SWD(2016) 159</w:t>
      </w:r>
    </w:p>
  </w:footnote>
  <w:footnote w:id="5">
    <w:p w:rsidR="006047F1" w:rsidRDefault="00C96F15">
      <w:pPr>
        <w:pStyle w:val="FootnoteText"/>
        <w:rPr>
          <w:lang w:val="en-GB"/>
        </w:rPr>
      </w:pPr>
      <w:r>
        <w:rPr>
          <w:vertAlign w:val="superscript"/>
        </w:rPr>
        <w:footnoteRef/>
      </w:r>
      <w:r>
        <w:tab/>
      </w:r>
      <w:hyperlink r:id="rId3" w:history="1">
        <w:r>
          <w:rPr>
            <w:rStyle w:val="Hyperlink0"/>
            <w:rFonts w:eastAsia="Calibri"/>
            <w:lang w:val="en-GB"/>
          </w:rPr>
          <w:t>http://eur-lex.europa.eu/legal-content/EN/ALL/?uri=CELEX:52012DC0286</w:t>
        </w:r>
      </w:hyperlink>
    </w:p>
  </w:footnote>
  <w:footnote w:id="6">
    <w:p w:rsidR="006047F1" w:rsidRDefault="00C96F15">
      <w:pPr>
        <w:pStyle w:val="FootnoteText"/>
        <w:rPr>
          <w:rFonts w:cs="Times New Roman"/>
          <w:u w:val="single"/>
          <w:lang w:val="en-GB"/>
        </w:rPr>
      </w:pPr>
      <w:r>
        <w:rPr>
          <w:rStyle w:val="FootnoteReference"/>
        </w:rPr>
        <w:footnoteRef/>
      </w:r>
      <w:r>
        <w:tab/>
      </w:r>
      <w:hyperlink r:id="rId4" w:history="1">
        <w:r>
          <w:rPr>
            <w:rStyle w:val="Hyperlink0"/>
            <w:rFonts w:eastAsia="Calibri"/>
          </w:rPr>
          <w:t>http://ec.europa.eu/dgs/home-affairs/what-we-do/policies/european-agenda-migration/background-information/docs/communication_on_the_european_agenda_on_migration_en.pdf</w:t>
        </w:r>
      </w:hyperlink>
    </w:p>
  </w:footnote>
  <w:footnote w:id="7">
    <w:p w:rsidR="006047F1" w:rsidRDefault="00C96F15">
      <w:pPr>
        <w:pStyle w:val="FootnoteText"/>
        <w:rPr>
          <w:rFonts w:cs="Times New Roman"/>
          <w:lang w:val="en-GB"/>
        </w:rPr>
      </w:pPr>
      <w:r>
        <w:rPr>
          <w:rStyle w:val="FootnoteReference"/>
        </w:rPr>
        <w:footnoteRef/>
      </w:r>
      <w:r>
        <w:tab/>
      </w:r>
      <w:hyperlink r:id="rId5" w:history="1">
        <w:r>
          <w:rPr>
            <w:rStyle w:val="Hyperlink0"/>
            <w:rFonts w:eastAsia="Calibri"/>
          </w:rPr>
          <w:t>http://ec.europa.eu/dgs/home-affairs/e-library/documents/basic-documents/docs/eu_agenda_on_security_en.pdf</w:t>
        </w:r>
      </w:hyperlink>
      <w:r>
        <w:rPr>
          <w:rFonts w:cs="Times New Roman"/>
          <w:lang w:val="en-GB"/>
        </w:rPr>
        <w:t xml:space="preserve"> </w:t>
      </w:r>
    </w:p>
  </w:footnote>
  <w:footnote w:id="8">
    <w:p w:rsidR="006047F1" w:rsidRDefault="00C96F15">
      <w:pPr>
        <w:pStyle w:val="FootnoteText"/>
        <w:rPr>
          <w:rFonts w:cs="Times New Roman"/>
          <w:lang w:val="en-GB"/>
        </w:rPr>
      </w:pPr>
      <w:r>
        <w:rPr>
          <w:rStyle w:val="FootnoteReference"/>
        </w:rPr>
        <w:footnoteRef/>
      </w:r>
      <w:r>
        <w:tab/>
      </w:r>
      <w:hyperlink r:id="rId6" w:history="1">
        <w:r>
          <w:rPr>
            <w:rStyle w:val="Hyperlink0"/>
            <w:rFonts w:eastAsia="Calibri"/>
          </w:rPr>
          <w:t>http://ec.europa.eu/dgs/home-affairs/e-library/documents/policies/asylum/general/docs/eu_action_plan_against_migrant_smuggling_en.pdf</w:t>
        </w:r>
      </w:hyperlink>
    </w:p>
  </w:footnote>
  <w:footnote w:id="9">
    <w:p w:rsidR="006047F1" w:rsidRDefault="00C96F15">
      <w:pPr>
        <w:pStyle w:val="FootnoteText"/>
        <w:rPr>
          <w:rFonts w:cs="Times New Roman"/>
        </w:rPr>
      </w:pPr>
      <w:r>
        <w:rPr>
          <w:rStyle w:val="FootnoteReference"/>
        </w:rPr>
        <w:footnoteRef/>
      </w:r>
      <w:r>
        <w:tab/>
      </w:r>
      <w:hyperlink r:id="rId7" w:history="1">
        <w:r>
          <w:rPr>
            <w:rStyle w:val="Hyperlink0"/>
            <w:rFonts w:eastAsia="Calibri"/>
          </w:rPr>
          <w:t>https://ec.europa.eu/anti-trafficking/sites/antitrafficking/files/joint_communication_on_human_rights_and_democracy_en.pdf</w:t>
        </w:r>
      </w:hyperlink>
      <w:r>
        <w:rPr>
          <w:rFonts w:cs="Times New Roman"/>
        </w:rPr>
        <w:t xml:space="preserve"> </w:t>
      </w:r>
    </w:p>
  </w:footnote>
  <w:footnote w:id="10">
    <w:p w:rsidR="006047F1" w:rsidRDefault="00C96F15">
      <w:pPr>
        <w:pStyle w:val="FootnoteText"/>
        <w:rPr>
          <w:rFonts w:cs="Times New Roman"/>
        </w:rPr>
      </w:pPr>
      <w:r>
        <w:rPr>
          <w:rStyle w:val="FootnoteReference"/>
        </w:rPr>
        <w:footnoteRef/>
      </w:r>
      <w:r>
        <w:tab/>
      </w:r>
      <w:hyperlink r:id="rId8" w:history="1">
        <w:r>
          <w:rPr>
            <w:rStyle w:val="Hyperlink0"/>
            <w:rFonts w:eastAsia="Calibri"/>
          </w:rPr>
          <w:t>http://ec.europa.eu/europeaid/sites/devco/files/staff-working-document-gender-2016-2020-20150922_en.pdf</w:t>
        </w:r>
      </w:hyperlink>
      <w:r>
        <w:rPr>
          <w:rFonts w:cs="Times New Roman"/>
        </w:rPr>
        <w:t xml:space="preserve"> </w:t>
      </w:r>
    </w:p>
  </w:footnote>
  <w:footnote w:id="11">
    <w:p w:rsidR="006047F1" w:rsidRDefault="00C96F15">
      <w:pPr>
        <w:pStyle w:val="FootnoteText"/>
        <w:rPr>
          <w:rFonts w:cs="Times New Roman"/>
        </w:rPr>
      </w:pPr>
      <w:r>
        <w:rPr>
          <w:rStyle w:val="FootnoteReference"/>
        </w:rPr>
        <w:footnoteRef/>
      </w:r>
      <w:r>
        <w:tab/>
      </w:r>
      <w:hyperlink r:id="rId9" w:history="1">
        <w:r>
          <w:rPr>
            <w:rStyle w:val="Hyperlink0"/>
            <w:rFonts w:eastAsia="Calibri"/>
          </w:rPr>
          <w:t>http://ec.europa.eu/europeaid/sites/devco/files/staff-working-document-gender-2016-2020-20150922_en.pdf</w:t>
        </w:r>
      </w:hyperlink>
    </w:p>
  </w:footnote>
  <w:footnote w:id="12">
    <w:p w:rsidR="006047F1" w:rsidRDefault="00C96F15">
      <w:pPr>
        <w:pStyle w:val="FootnoteText"/>
      </w:pPr>
      <w:r>
        <w:rPr>
          <w:vertAlign w:val="superscript"/>
        </w:rPr>
        <w:footnoteRef/>
      </w:r>
      <w:r>
        <w:tab/>
        <w:t xml:space="preserve">Az EU civil társadalmi platformmal kapcsolatos minden információ elérhető a Bizottság erre a célra létrehozott honlapján: </w:t>
      </w:r>
      <w:hyperlink r:id="rId10" w:history="1">
        <w:r w:rsidRPr="00C96F15">
          <w:rPr>
            <w:rStyle w:val="Hyperlink0"/>
            <w:rFonts w:eastAsia="Calibri"/>
            <w:lang w:eastAsia="en-GB" w:bidi="ar-SA"/>
          </w:rPr>
          <w:t>http://ec.europa.eu/anti-trafficking/</w:t>
        </w:r>
      </w:hyperlink>
      <w:r w:rsidRPr="00C96F15">
        <w:rPr>
          <w:rStyle w:val="Hyperlink0"/>
          <w:rFonts w:eastAsia="Calibri"/>
          <w:lang w:eastAsia="en-GB" w:bidi="ar-SA"/>
        </w:rPr>
        <w:t>.</w:t>
      </w:r>
    </w:p>
  </w:footnote>
  <w:footnote w:id="13">
    <w:p w:rsidR="006047F1" w:rsidRDefault="00C96F15">
      <w:pPr>
        <w:pStyle w:val="FootnoteText"/>
      </w:pPr>
      <w:r>
        <w:rPr>
          <w:vertAlign w:val="superscript"/>
        </w:rPr>
        <w:footnoteRef/>
      </w:r>
      <w:r>
        <w:tab/>
        <w:t>2015. decemberben a 2013. és 2014. évi statisztikai adatokra vonatkozó külön kérést küldtek a tagállamoknak.</w:t>
      </w:r>
    </w:p>
  </w:footnote>
  <w:footnote w:id="14">
    <w:p w:rsidR="006047F1" w:rsidRDefault="00C96F15">
      <w:pPr>
        <w:pStyle w:val="FootnoteText"/>
      </w:pPr>
      <w:r>
        <w:rPr>
          <w:vertAlign w:val="superscript"/>
        </w:rPr>
        <w:footnoteRef/>
      </w:r>
      <w:r>
        <w:tab/>
      </w:r>
      <w:hyperlink r:id="rId11" w:history="1">
        <w:r>
          <w:rPr>
            <w:rStyle w:val="Hyperlink0"/>
            <w:rFonts w:eastAsia="Calibri"/>
          </w:rPr>
          <w:t>https://ec.europa.eu/anti-trafficking/sites/antitrafficking/files/eurostat_report_on_trafficking_in_human_beings_-_2015_edition.pdf</w:t>
        </w:r>
      </w:hyperlink>
    </w:p>
  </w:footnote>
  <w:footnote w:id="15">
    <w:p w:rsidR="006047F1" w:rsidRDefault="00C96F15">
      <w:pPr>
        <w:pStyle w:val="FootnoteText"/>
      </w:pPr>
      <w:r>
        <w:rPr>
          <w:vertAlign w:val="superscript"/>
        </w:rPr>
        <w:footnoteRef/>
      </w:r>
      <w:r>
        <w:tab/>
        <w:t>A jelentéshez az adatokat</w:t>
      </w:r>
      <w:r>
        <w:t xml:space="preserve"> egy közbenső és egyszerűsített munkafolyamat részeként gyűjtötték az Eurostat által az emberkereskedelemről készített két munkaanyag kiadását követően és bármilyen más jövőbeni hivatalos adatgyűjtést megelőzően. Az Eurostat „Emberkereskedelem” című munkaa</w:t>
      </w:r>
      <w:r>
        <w:t>nyagában (2015. évi kiadás) további információt talál arról, hogy a Bizottság miként gyűjti az emberkereskedelemre vonatkozó adatokat.</w:t>
      </w:r>
    </w:p>
  </w:footnote>
  <w:footnote w:id="16">
    <w:p w:rsidR="006047F1" w:rsidRDefault="00C96F15">
      <w:pPr>
        <w:pStyle w:val="FootnoteText"/>
      </w:pPr>
      <w:r>
        <w:rPr>
          <w:rStyle w:val="FootnoteReference"/>
        </w:rPr>
        <w:footnoteRef/>
      </w:r>
      <w:r>
        <w:tab/>
        <w:t>Az emberkereskedelem elleni irányelv fogalommeghatározásával összhangban az „azonosított áldozat” kifejezés olyan szemé</w:t>
      </w:r>
      <w:r>
        <w:t>lyre utal, akit az emberkereskedelem áldozataként az illetékes hatóságok hivatalosan azonosítottak. A „feltételezett áldozat” kifejezést az emberkereskedelem olyan áldozata tekintetében használják, aki megfelel az EU irányelv szempontjainak, de akit az ill</w:t>
      </w:r>
      <w:r>
        <w:t>etékes hatóságok nem hivatalosan azonosítottak áldozatként, vagy aki visszautasította, hogy törvényesen és hivatalosan az emberkereskedelem áldozataként azonosítsák. Néhány tagállam adatgyűjtésében mindkét kategória szerepel, míg mások csak a két kategória</w:t>
      </w:r>
      <w:r>
        <w:t xml:space="preserve"> egyikét tartalmazzák.</w:t>
      </w:r>
    </w:p>
  </w:footnote>
  <w:footnote w:id="17">
    <w:p w:rsidR="006047F1" w:rsidRDefault="00C96F15">
      <w:pPr>
        <w:pStyle w:val="FootnoteText"/>
      </w:pPr>
      <w:r>
        <w:rPr>
          <w:rStyle w:val="FootnoteReference"/>
        </w:rPr>
        <w:footnoteRef/>
      </w:r>
      <w:r>
        <w:tab/>
        <w:t>A tagállamok által rendelkezésre bocsátott részleges korban lebontott adatok alapján.</w:t>
      </w:r>
    </w:p>
  </w:footnote>
  <w:footnote w:id="18">
    <w:p w:rsidR="006047F1" w:rsidRDefault="00C96F15">
      <w:pPr>
        <w:pStyle w:val="FootnoteText"/>
      </w:pPr>
      <w:r>
        <w:rPr>
          <w:rStyle w:val="FootnoteReference"/>
        </w:rPr>
        <w:footnoteRef/>
      </w:r>
      <w:r>
        <w:tab/>
        <w:t xml:space="preserve">Lehetnek nemzeti szinten gyanúsított, letartóztatott vagy bűncselekmény miatt figyelmeztetésben részesített személyek. A meghatározást lásd az </w:t>
      </w:r>
      <w:r>
        <w:t>Eurostat Bűnözési és büntető igazságszolgáltatási metaadatokat az Euro SDMX Metadata Structure-ben (ESMS): http://ec.europa.eu/eurostat/cache/metadata/en/crim_esms.htm</w:t>
      </w:r>
    </w:p>
  </w:footnote>
  <w:footnote w:id="19">
    <w:p w:rsidR="006047F1" w:rsidRDefault="00C96F15">
      <w:pPr>
        <w:pStyle w:val="FootnoteText"/>
      </w:pPr>
      <w:r>
        <w:rPr>
          <w:vertAlign w:val="superscript"/>
        </w:rPr>
        <w:footnoteRef/>
      </w:r>
      <w:r>
        <w:tab/>
        <w:t>Nem minden tagállam szolgáltatott adatokat a büntető igazságszolgáltatási folyamatról.</w:t>
      </w:r>
      <w:r>
        <w:t xml:space="preserve"> Továbbá, bár a tagállamok többsége egyes emberekre utal, egyes tagállamok ügyekre vagy bűncselekményekre hivatkoznak, és nem az egyes emberekre.</w:t>
      </w:r>
    </w:p>
  </w:footnote>
  <w:footnote w:id="20">
    <w:p w:rsidR="006047F1" w:rsidRDefault="00C96F15">
      <w:pPr>
        <w:pStyle w:val="FootnoteText"/>
      </w:pPr>
      <w:r>
        <w:rPr>
          <w:vertAlign w:val="superscript"/>
        </w:rPr>
        <w:footnoteRef/>
      </w:r>
      <w:r>
        <w:tab/>
        <w:t>Ezek a megállapítások is megtalálhatók az „</w:t>
      </w:r>
      <w:hyperlink r:id="rId12" w:history="1">
        <w:r>
          <w:rPr>
            <w:rStyle w:val="Hyperlink"/>
            <w:color w:val="0000FF"/>
          </w:rPr>
          <w:t>Europol helyzetjelentés: Emberkereskedelem az EU-ban</w:t>
        </w:r>
      </w:hyperlink>
      <w:r>
        <w:rPr>
          <w:rStyle w:val="Hyperlink0"/>
          <w:rFonts w:eastAsia="Calibri"/>
          <w:u w:val="none"/>
        </w:rPr>
        <w:t>”</w:t>
      </w:r>
      <w:r>
        <w:t xml:space="preserve"> című kiadványban (2016. február).</w:t>
      </w:r>
    </w:p>
  </w:footnote>
  <w:footnote w:id="21">
    <w:p w:rsidR="006047F1" w:rsidRDefault="00C96F15">
      <w:pPr>
        <w:pStyle w:val="FootnoteText"/>
      </w:pPr>
      <w:r>
        <w:rPr>
          <w:vertAlign w:val="superscript"/>
        </w:rPr>
        <w:footnoteRef/>
      </w:r>
      <w:r>
        <w:tab/>
        <w:t>Lásd: ugyanott.</w:t>
      </w:r>
    </w:p>
  </w:footnote>
  <w:footnote w:id="22">
    <w:p w:rsidR="006047F1" w:rsidRDefault="00C96F15">
      <w:pPr>
        <w:pStyle w:val="FootnoteText"/>
      </w:pPr>
      <w:r>
        <w:rPr>
          <w:vertAlign w:val="superscript"/>
        </w:rPr>
        <w:footnoteRef/>
      </w:r>
      <w:r>
        <w:tab/>
        <w:t>A tagállamok szerint a fő ágazatok, amelyekben a férfi áldozatokat kizsákmányolják, a mezőgazdaság, az építőipar, a szálloda- és ve</w:t>
      </w:r>
      <w:r>
        <w:t>ndéglátóipar, a termelés és a háztartási munka. A női áldozatokat elsősorban a házimunkában zsákmányolják ki.</w:t>
      </w:r>
    </w:p>
  </w:footnote>
  <w:footnote w:id="23">
    <w:p w:rsidR="006047F1" w:rsidRDefault="00C96F15">
      <w:pPr>
        <w:pStyle w:val="FootnoteText"/>
        <w:rPr>
          <w:rFonts w:cs="Times New Roman"/>
        </w:rPr>
      </w:pPr>
      <w:r>
        <w:rPr>
          <w:rStyle w:val="FootnoteReference"/>
        </w:rPr>
        <w:footnoteRef/>
      </w:r>
      <w:r>
        <w:tab/>
        <w:t>Az Europol „Helyzetjelentés: Emberkereskedelem az EU-ban” című kiadványa (2016. február) szerint.</w:t>
      </w:r>
    </w:p>
  </w:footnote>
  <w:footnote w:id="24">
    <w:p w:rsidR="006047F1" w:rsidRDefault="00C96F15">
      <w:pPr>
        <w:pStyle w:val="FootnoteText"/>
      </w:pPr>
      <w:r>
        <w:rPr>
          <w:rStyle w:val="FootnoteReference"/>
        </w:rPr>
        <w:footnoteRef/>
      </w:r>
      <w:r>
        <w:tab/>
        <w:t>Kérjük, vegyék figyelembe, hogy eltérő szóha</w:t>
      </w:r>
      <w:r>
        <w:t>sználatot alkalmaznak gyakran hasonló jelenségek megjelölésére, különösen a színlelt házasságok és az érdekházasságok tekintetében. Az uniós polgárok szabad mozgására vonatkozó uniós jog fogalommeghatározásait lásd itt: Kézikönyv az uniós polgárok és harma</w:t>
      </w:r>
      <w:r>
        <w:t xml:space="preserve">dik országbeli állampolgárok közötti érdekházasságok kérdésének az uniós polgárok szabad mozgására vonatkozó uniós jog összefüggésében való kezeléséről (SWD(2014) 284 http://http://ec.europa.eu/justice/citizen/files/swd_2014_284_hu.pdf </w:t>
      </w:r>
    </w:p>
  </w:footnote>
  <w:footnote w:id="25">
    <w:p w:rsidR="006047F1" w:rsidRDefault="00C96F15">
      <w:pPr>
        <w:pStyle w:val="FootnoteText"/>
      </w:pPr>
      <w:r>
        <w:rPr>
          <w:vertAlign w:val="superscript"/>
        </w:rPr>
        <w:footnoteRef/>
      </w:r>
      <w:r>
        <w:tab/>
        <w:t>Europol Helyzetje</w:t>
      </w:r>
      <w:r>
        <w:t>lentés: Emberkereskedelem az EU-ban. 2016. február.</w:t>
      </w:r>
    </w:p>
  </w:footnote>
  <w:footnote w:id="26">
    <w:p w:rsidR="006047F1" w:rsidRDefault="00C96F15">
      <w:pPr>
        <w:pStyle w:val="FootnoteText"/>
        <w:rPr>
          <w:rFonts w:cs="Times New Roman"/>
        </w:rPr>
      </w:pPr>
      <w:r>
        <w:rPr>
          <w:vertAlign w:val="superscript"/>
        </w:rPr>
        <w:footnoteRef/>
      </w:r>
      <w:r>
        <w:tab/>
        <w:t>Életkorral kapcsolatos információ a 15 846 regisztrált áldozat közül 13 841-ről volt elérhető. Ezért a tényleges szám magasabb lehet.</w:t>
      </w:r>
    </w:p>
  </w:footnote>
  <w:footnote w:id="27">
    <w:p w:rsidR="006047F1" w:rsidRDefault="00C96F15">
      <w:pPr>
        <w:pStyle w:val="FootnoteText"/>
        <w:rPr>
          <w:rFonts w:cs="Times New Roman"/>
        </w:rPr>
      </w:pPr>
      <w:r>
        <w:rPr>
          <w:vertAlign w:val="superscript"/>
        </w:rPr>
        <w:footnoteRef/>
      </w:r>
      <w:r>
        <w:tab/>
      </w:r>
      <w:hyperlink r:id="rId13" w:history="1">
        <w:r>
          <w:rPr>
            <w:rStyle w:val="Hyperlink"/>
            <w:color w:val="0000FF"/>
          </w:rPr>
          <w:t>Europol: Hírszerzési értesítés. Gyermekkereskedelem erőszakos bűncselekmények céljából. 2014</w:t>
        </w:r>
      </w:hyperlink>
      <w:r>
        <w:t>.</w:t>
      </w:r>
    </w:p>
  </w:footnote>
  <w:footnote w:id="28">
    <w:p w:rsidR="006047F1" w:rsidRDefault="00C96F15">
      <w:pPr>
        <w:pStyle w:val="FootnoteText"/>
        <w:rPr>
          <w:rFonts w:cs="Times New Roman"/>
        </w:rPr>
      </w:pPr>
      <w:r>
        <w:rPr>
          <w:rStyle w:val="FootnoteReference"/>
        </w:rPr>
        <w:footnoteRef/>
      </w:r>
      <w:r>
        <w:tab/>
        <w:t xml:space="preserve">UNHCR, </w:t>
      </w:r>
      <w:hyperlink r:id="rId14" w:history="1">
        <w:r>
          <w:rPr>
            <w:rStyle w:val="Hyperlink1"/>
            <w:rFonts w:eastAsia="Calibri"/>
          </w:rPr>
          <w:t>http://data.unhcr.org/mediterranean/regi</w:t>
        </w:r>
        <w:r>
          <w:rPr>
            <w:rStyle w:val="Hyperlink1"/>
            <w:rFonts w:eastAsia="Calibri"/>
          </w:rPr>
          <w:t>onal.php</w:t>
        </w:r>
      </w:hyperlink>
      <w:r>
        <w:t>, 2015.12.22.</w:t>
      </w:r>
    </w:p>
  </w:footnote>
  <w:footnote w:id="29">
    <w:p w:rsidR="006047F1" w:rsidRDefault="00C96F15">
      <w:pPr>
        <w:pStyle w:val="FootnoteText"/>
        <w:rPr>
          <w:rFonts w:cs="Times New Roman"/>
        </w:rPr>
      </w:pPr>
      <w:r>
        <w:rPr>
          <w:vertAlign w:val="superscript"/>
        </w:rPr>
        <w:footnoteRef/>
      </w:r>
      <w:r>
        <w:tab/>
        <w:t>Lásd: ugyanott.</w:t>
      </w:r>
    </w:p>
  </w:footnote>
  <w:footnote w:id="30">
    <w:p w:rsidR="006047F1" w:rsidRDefault="00C96F15">
      <w:pPr>
        <w:pStyle w:val="FootnoteText"/>
        <w:rPr>
          <w:rFonts w:cs="Times New Roman"/>
        </w:rPr>
      </w:pPr>
      <w:r>
        <w:rPr>
          <w:rStyle w:val="FootnoteReference"/>
        </w:rPr>
        <w:footnoteRef/>
      </w:r>
      <w:r>
        <w:tab/>
        <w:t xml:space="preserve">További információért lásd a Bizottság tanulmányát a magas kockázatú csoportokról: </w:t>
      </w:r>
      <w:hyperlink r:id="rId15" w:history="1">
        <w:r>
          <w:rPr>
            <w:rStyle w:val="Hyperlink1"/>
            <w:rFonts w:eastAsia="Calibri"/>
          </w:rPr>
          <w:t>http://ec.europa.eu/anti-trafficking/sites/antitrafficking/files/study_on_children_as_high_risk_groups</w:t>
        </w:r>
        <w:r>
          <w:rPr>
            <w:rStyle w:val="Hyperlink1"/>
            <w:rFonts w:eastAsia="Calibri"/>
          </w:rPr>
          <w:t>_of_trafficking_in_human_beings_0.pdf</w:t>
        </w:r>
      </w:hyperlink>
    </w:p>
  </w:footnote>
  <w:footnote w:id="31">
    <w:p w:rsidR="006047F1" w:rsidRDefault="00C96F15">
      <w:pPr>
        <w:pStyle w:val="FootnoteText"/>
        <w:rPr>
          <w:rFonts w:cs="Times New Roman"/>
        </w:rPr>
      </w:pPr>
      <w:r>
        <w:rPr>
          <w:rStyle w:val="FootnoteReference"/>
        </w:rPr>
        <w:footnoteRef/>
      </w:r>
      <w:r>
        <w:tab/>
        <w:t>Europol Helyzetjelentés: Emberkereskedelem az EU-ban. 2016. február.</w:t>
      </w:r>
    </w:p>
  </w:footnote>
  <w:footnote w:id="32">
    <w:p w:rsidR="006047F1" w:rsidRDefault="00C96F15">
      <w:pPr>
        <w:pStyle w:val="FootnoteText"/>
      </w:pPr>
      <w:r>
        <w:rPr>
          <w:vertAlign w:val="superscript"/>
        </w:rPr>
        <w:footnoteRef/>
      </w:r>
      <w:r>
        <w:tab/>
        <w:t>Lásd: ugyanott.</w:t>
      </w:r>
    </w:p>
  </w:footnote>
  <w:footnote w:id="33">
    <w:p w:rsidR="006047F1" w:rsidRDefault="00C96F15">
      <w:pPr>
        <w:pStyle w:val="FootnoteText"/>
      </w:pPr>
      <w:r>
        <w:rPr>
          <w:vertAlign w:val="superscript"/>
        </w:rPr>
        <w:footnoteRef/>
      </w:r>
      <w:r>
        <w:tab/>
      </w:r>
      <w:r>
        <w:rPr>
          <w:rStyle w:val="Hyperlink0"/>
          <w:rFonts w:eastAsia="Calibri"/>
        </w:rPr>
        <w:t>http://ec.europa.eu/dgs/home-affairs/what-we-do/policies/european-agenda-migration/proposal-implementation-package/docs/managin</w:t>
      </w:r>
      <w:r>
        <w:rPr>
          <w:rStyle w:val="Hyperlink0"/>
          <w:rFonts w:eastAsia="Calibri"/>
        </w:rPr>
        <w:t>g_the_refugee_crisis_state_of_play_20160210_hu.pdf</w:t>
      </w:r>
    </w:p>
  </w:footnote>
  <w:footnote w:id="34">
    <w:p w:rsidR="006047F1" w:rsidRDefault="00C96F15">
      <w:pPr>
        <w:pStyle w:val="FootnoteText"/>
        <w:rPr>
          <w:rFonts w:cs="Times New Roman"/>
          <w:lang w:val="pl-PL"/>
        </w:rPr>
      </w:pPr>
      <w:r>
        <w:rPr>
          <w:rStyle w:val="FootnoteReference"/>
        </w:rPr>
        <w:footnoteRef/>
      </w:r>
      <w:r>
        <w:tab/>
        <w:t xml:space="preserve">IOM Olaszország: </w:t>
      </w:r>
      <w:hyperlink r:id="rId16" w:history="1">
        <w:r>
          <w:rPr>
            <w:rStyle w:val="Hyperlink0"/>
            <w:rFonts w:eastAsia="Calibri"/>
          </w:rPr>
          <w:t>http://www.italy.iom.int/index.php?option=com_content&amp;task=view&amp;id=341&amp;Itemid=46</w:t>
        </w:r>
      </w:hyperlink>
    </w:p>
  </w:footnote>
  <w:footnote w:id="35">
    <w:p w:rsidR="006047F1" w:rsidRDefault="00C96F15">
      <w:pPr>
        <w:pStyle w:val="Body"/>
        <w:spacing w:after="0"/>
        <w:ind w:left="284" w:hanging="284"/>
        <w:jc w:val="both"/>
        <w:rPr>
          <w:rFonts w:ascii="Times New Roman" w:hAnsi="Times New Roman" w:cs="Times New Roman"/>
          <w:sz w:val="20"/>
          <w:szCs w:val="20"/>
        </w:rPr>
      </w:pPr>
      <w:r>
        <w:rPr>
          <w:rFonts w:ascii="Times New Roman" w:hAnsi="Times New Roman"/>
          <w:sz w:val="20"/>
          <w:vertAlign w:val="superscript"/>
        </w:rPr>
        <w:footnoteRef/>
      </w:r>
      <w:r>
        <w:tab/>
      </w:r>
      <w:r>
        <w:rPr>
          <w:rFonts w:ascii="Times New Roman" w:hAnsi="Times New Roman"/>
          <w:sz w:val="20"/>
        </w:rPr>
        <w:t>Lásd:</w:t>
      </w:r>
      <w:r>
        <w:t xml:space="preserve"> </w:t>
      </w:r>
      <w:hyperlink r:id="rId17" w:history="1">
        <w:r>
          <w:rPr>
            <w:rStyle w:val="Hyperlink0"/>
            <w:rFonts w:eastAsia="Calibri"/>
            <w:sz w:val="20"/>
            <w:szCs w:val="20"/>
          </w:rPr>
          <w:t>Iránymutatások az emberkereskedelem áldozatainak azonosítására, különösen a konzuli szolgálatok és a határőrség számára</w:t>
        </w:r>
      </w:hyperlink>
      <w:r>
        <w:t>.</w:t>
      </w:r>
      <w:r>
        <w:rPr>
          <w:rFonts w:ascii="Times New Roman" w:hAnsi="Times New Roman"/>
          <w:sz w:val="20"/>
        </w:rPr>
        <w:t xml:space="preserve"> Európai Bizott</w:t>
      </w:r>
      <w:r>
        <w:rPr>
          <w:rFonts w:ascii="Times New Roman" w:hAnsi="Times New Roman"/>
          <w:sz w:val="20"/>
        </w:rPr>
        <w:t>ság, 2013.</w:t>
      </w:r>
    </w:p>
  </w:footnote>
  <w:footnote w:id="36">
    <w:p w:rsidR="006047F1" w:rsidRDefault="00C96F15">
      <w:pPr>
        <w:pStyle w:val="FootnoteText"/>
        <w:rPr>
          <w:rFonts w:cs="Times New Roman"/>
        </w:rPr>
      </w:pPr>
      <w:r>
        <w:rPr>
          <w:rStyle w:val="FootnoteReference"/>
        </w:rPr>
        <w:footnoteRef/>
      </w:r>
      <w:r>
        <w:tab/>
        <w:t>Ezt a problémát a kísérő SWD tárgyalja.</w:t>
      </w:r>
    </w:p>
  </w:footnote>
  <w:footnote w:id="37">
    <w:p w:rsidR="006047F1" w:rsidRDefault="00C96F15">
      <w:pPr>
        <w:pStyle w:val="Body"/>
        <w:spacing w:after="0" w:line="240" w:lineRule="auto"/>
        <w:ind w:left="284" w:hanging="284"/>
        <w:jc w:val="both"/>
        <w:rPr>
          <w:rFonts w:ascii="Times New Roman" w:hAnsi="Times New Roman" w:cs="Times New Roman"/>
          <w:sz w:val="20"/>
          <w:szCs w:val="20"/>
        </w:rPr>
      </w:pPr>
      <w:r>
        <w:rPr>
          <w:rFonts w:ascii="Times New Roman" w:hAnsi="Times New Roman"/>
          <w:sz w:val="20"/>
          <w:vertAlign w:val="superscript"/>
        </w:rPr>
        <w:footnoteRef/>
      </w:r>
      <w:r>
        <w:tab/>
      </w:r>
      <w:r>
        <w:rPr>
          <w:rFonts w:ascii="Times New Roman" w:hAnsi="Times New Roman"/>
          <w:sz w:val="20"/>
        </w:rPr>
        <w:t xml:space="preserve">A Pénzügyi Akció Munkacsoport (FATF) a tagállamok illetékes miniszterei által 1989-ben létrehozott kormányközi testület. </w:t>
      </w:r>
    </w:p>
  </w:footnote>
  <w:footnote w:id="38">
    <w:p w:rsidR="006047F1" w:rsidRDefault="00C96F15">
      <w:pPr>
        <w:pStyle w:val="FootnoteText"/>
      </w:pPr>
      <w:r>
        <w:rPr>
          <w:vertAlign w:val="superscript"/>
        </w:rPr>
        <w:footnoteRef/>
      </w:r>
      <w:r>
        <w:tab/>
        <w:t>2008 és 2011 között valamennyi EU tagállamot értékelték a pénzügyi bűnözés és</w:t>
      </w:r>
      <w:r>
        <w:t xml:space="preserve"> a pénzügyi nyomozás tekintetében a Tanács által lefolytatott kölcsönös értékelések 5. uniós fordulója keretében.</w:t>
      </w:r>
    </w:p>
  </w:footnote>
  <w:footnote w:id="39">
    <w:p w:rsidR="006047F1" w:rsidRDefault="00C96F15">
      <w:pPr>
        <w:pStyle w:val="Body"/>
        <w:spacing w:after="0"/>
        <w:ind w:left="284" w:hanging="284"/>
        <w:jc w:val="both"/>
        <w:rPr>
          <w:rFonts w:ascii="Times New Roman" w:hAnsi="Times New Roman" w:cs="Times New Roman"/>
          <w:sz w:val="20"/>
          <w:szCs w:val="20"/>
        </w:rPr>
      </w:pPr>
      <w:r>
        <w:rPr>
          <w:rFonts w:ascii="Times New Roman" w:hAnsi="Times New Roman"/>
          <w:sz w:val="20"/>
          <w:vertAlign w:val="superscript"/>
        </w:rPr>
        <w:footnoteRef/>
      </w:r>
      <w:r>
        <w:tab/>
      </w:r>
      <w:r>
        <w:rPr>
          <w:rFonts w:ascii="Times New Roman" w:hAnsi="Times New Roman"/>
          <w:sz w:val="20"/>
        </w:rPr>
        <w:t>Az Európai Unió Tanácsa az EU stratégiát üdvözlő következtetéseiben felszólította a tagállamokat, hogy „dolgozzanak ki vagy frissítsenek fel</w:t>
      </w:r>
      <w:r>
        <w:rPr>
          <w:rFonts w:ascii="Times New Roman" w:hAnsi="Times New Roman"/>
          <w:sz w:val="20"/>
        </w:rPr>
        <w:t xml:space="preserve"> az EU szakpolitikai ciklusban elfogadott funkcionális nemzeti áldozatkezelési mechanizmusokat, amelyek leírják az áldozatok jobb azonosításának, kezelésének, megvédésének és segítésének eljárásait, és bevonnak minden illetékes hatóságot és a civil társada</w:t>
      </w:r>
      <w:r>
        <w:rPr>
          <w:rFonts w:ascii="Times New Roman" w:hAnsi="Times New Roman"/>
          <w:sz w:val="20"/>
        </w:rPr>
        <w:t xml:space="preserve">lmat”, </w:t>
      </w:r>
      <w:hyperlink r:id="rId18" w:history="1">
        <w:r>
          <w:rPr>
            <w:rStyle w:val="Hyperlink2"/>
            <w:rFonts w:eastAsia="Calibri"/>
          </w:rPr>
          <w:t>http://ec.europa.eu/anti-trafficking/eu-policy/council-conclusions-new-eu-strategy_en</w:t>
        </w:r>
      </w:hyperlink>
      <w:r>
        <w:rPr>
          <w:rStyle w:val="Hyperlink2"/>
          <w:rFonts w:eastAsia="Calibri"/>
        </w:rPr>
        <w:t>.</w:t>
      </w:r>
    </w:p>
  </w:footnote>
  <w:footnote w:id="40">
    <w:p w:rsidR="006047F1" w:rsidRDefault="00C96F15">
      <w:pPr>
        <w:pStyle w:val="FootnoteText"/>
      </w:pPr>
      <w:r>
        <w:rPr>
          <w:vertAlign w:val="superscript"/>
        </w:rPr>
        <w:footnoteRef/>
      </w:r>
      <w:r>
        <w:tab/>
        <w:t>Belgium, Bulgária, Horvátország, Ciprus, Cseh Köztársaság,</w:t>
      </w:r>
      <w:r>
        <w:t xml:space="preserve"> Dánia, Görögország, Magyarország, Írország, Lettország, Málta, Lengyelország, Portugália, Románia, Szlovákia, Spanyolország, Egyesült Királyság.</w:t>
      </w:r>
    </w:p>
  </w:footnote>
  <w:footnote w:id="41">
    <w:p w:rsidR="006047F1" w:rsidRDefault="00C96F15">
      <w:pPr>
        <w:pStyle w:val="FootnoteText"/>
        <w:rPr>
          <w:rFonts w:cs="Times New Roman"/>
        </w:rPr>
      </w:pPr>
      <w:r>
        <w:rPr>
          <w:rStyle w:val="FootnoteReference"/>
        </w:rPr>
        <w:footnoteRef/>
      </w:r>
      <w:r>
        <w:tab/>
        <w:t>E jelentésnek nem célja annak vizsgálata, hogy a tagállamok megfelelnek-e az irányelv 18. cikkéből eredő köt</w:t>
      </w:r>
      <w:r>
        <w:t>elezettségeiknek, mivel ezt egy külön jelentés végzi majd el a 23. cikk alapján. A jelentésben szereplő információ nem kimerítő, és semmilyen módon nem minősíti meg előre az Európai Bizottság megállapításait.</w:t>
      </w:r>
    </w:p>
  </w:footnote>
  <w:footnote w:id="42">
    <w:p w:rsidR="006047F1" w:rsidRDefault="00C96F15">
      <w:pPr>
        <w:pStyle w:val="FootnoteText"/>
      </w:pPr>
      <w:r>
        <w:rPr>
          <w:vertAlign w:val="superscript"/>
        </w:rPr>
        <w:footnoteRef/>
      </w:r>
      <w:r>
        <w:tab/>
      </w:r>
      <w:hyperlink r:id="rId19" w:history="1">
        <w:r>
          <w:rPr>
            <w:rStyle w:val="Hyperlink0"/>
            <w:rFonts w:eastAsia="Calibri"/>
          </w:rPr>
          <w:t>http://eur-lex.europa.eu/LexUriServ/LexUriServ.do?uri=OJ:L:2009:168:0024:0032:EN:PDF</w:t>
        </w:r>
      </w:hyperlink>
      <w:r>
        <w:t>.</w:t>
      </w:r>
    </w:p>
  </w:footnote>
  <w:footnote w:id="43">
    <w:p w:rsidR="006047F1" w:rsidRDefault="00C96F15">
      <w:pPr>
        <w:pStyle w:val="FootnoteText"/>
      </w:pPr>
      <w:r>
        <w:rPr>
          <w:vertAlign w:val="superscript"/>
        </w:rPr>
        <w:footnoteRef/>
      </w:r>
      <w:r>
        <w:tab/>
      </w:r>
      <w:r>
        <w:rPr>
          <w:rStyle w:val="Hyperlink0"/>
          <w:rFonts w:eastAsia="Calibri"/>
        </w:rPr>
        <w:t xml:space="preserve">A gyermekek szexuális bántalmazása, szexuális kizsákmányolása és a gyermekpornográfia elleni küzdelemről szóló </w:t>
      </w:r>
      <w:r>
        <w:rPr>
          <w:rStyle w:val="Hyperlink0"/>
          <w:rFonts w:eastAsia="Calibri"/>
        </w:rPr>
        <w:t>2011/93/EU irányelv.</w:t>
      </w:r>
    </w:p>
  </w:footnote>
  <w:footnote w:id="44">
    <w:p w:rsidR="006047F1" w:rsidRDefault="00C96F15">
      <w:pPr>
        <w:pStyle w:val="FootnoteText"/>
        <w:rPr>
          <w:rFonts w:cs="Times New Roman"/>
        </w:rPr>
      </w:pPr>
      <w:r>
        <w:rPr>
          <w:rStyle w:val="FootnoteReference"/>
        </w:rPr>
        <w:footnoteRef/>
      </w:r>
      <w:r>
        <w:tab/>
        <w:t>A mai napig az irányelv hatálya alá tartozó 27 tagállamból 26 értesítette a Bizottságot a teljes átültetésről.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15" w:rsidRDefault="00C96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1" w:rsidRDefault="006047F1" w:rsidP="00C96F15">
    <w:pPr>
      <w:pStyle w:val="HeaderCoverPage"/>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15" w:rsidRDefault="00C96F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1" w:rsidRDefault="006047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1" w:rsidRDefault="006047F1">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1" w:rsidRDefault="00604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5C4"/>
    <w:multiLevelType w:val="hybridMultilevel"/>
    <w:tmpl w:val="748A2F9E"/>
    <w:numStyleLink w:val="ImportedStyle4"/>
  </w:abstractNum>
  <w:abstractNum w:abstractNumId="1">
    <w:nsid w:val="130D7F86"/>
    <w:multiLevelType w:val="hybridMultilevel"/>
    <w:tmpl w:val="F4167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7B4571"/>
    <w:multiLevelType w:val="hybridMultilevel"/>
    <w:tmpl w:val="6B540E68"/>
    <w:styleLink w:val="ImportedStyle5"/>
    <w:lvl w:ilvl="0" w:tplc="1B38853C">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864F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5626A8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1A8EF34">
      <w:start w:val="1"/>
      <w:numFmt w:val="bullet"/>
      <w:lvlText w:val="•"/>
      <w:lvlJc w:val="left"/>
      <w:pPr>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EF028F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78FAF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AF849BC">
      <w:start w:val="1"/>
      <w:numFmt w:val="bullet"/>
      <w:lvlText w:val="•"/>
      <w:lvlJc w:val="left"/>
      <w:pPr>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BFE2FB8">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FE489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22346969"/>
    <w:multiLevelType w:val="hybridMultilevel"/>
    <w:tmpl w:val="09AC4A5C"/>
    <w:numStyleLink w:val="ImportedStyle3"/>
  </w:abstractNum>
  <w:abstractNum w:abstractNumId="4">
    <w:nsid w:val="24D82CCC"/>
    <w:multiLevelType w:val="hybridMultilevel"/>
    <w:tmpl w:val="02EECC56"/>
    <w:numStyleLink w:val="ImportedStyle2"/>
  </w:abstractNum>
  <w:abstractNum w:abstractNumId="5">
    <w:nsid w:val="2729046D"/>
    <w:multiLevelType w:val="hybridMultilevel"/>
    <w:tmpl w:val="02EECC56"/>
    <w:styleLink w:val="ImportedStyle2"/>
    <w:lvl w:ilvl="0" w:tplc="A4A03AA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89E2A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E5E9C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F54FB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568C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E24D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BE8A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A8A5F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FCAC6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367D1A00"/>
    <w:multiLevelType w:val="hybridMultilevel"/>
    <w:tmpl w:val="748A2F9E"/>
    <w:styleLink w:val="ImportedStyle4"/>
    <w:lvl w:ilvl="0" w:tplc="41B0672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67C9F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C5E6A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B4CA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5B06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468B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DEB0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EB8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9A83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4FE95218"/>
    <w:multiLevelType w:val="hybridMultilevel"/>
    <w:tmpl w:val="32E00A24"/>
    <w:styleLink w:val="ImportedStyle1"/>
    <w:lvl w:ilvl="0" w:tplc="56BCFC20">
      <w:start w:val="1"/>
      <w:numFmt w:val="upperRoman"/>
      <w:pStyle w:val="HeaderCoverPage"/>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1" w:tplc="DFB4B76A">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tplc="CD7495C4">
      <w:start w:val="1"/>
      <w:numFmt w:val="decimal"/>
      <w:lvlText w:val="%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tplc="1ED08734">
      <w:start w:val="1"/>
      <w:numFmt w:val="lowerLetter"/>
      <w:lvlText w:val="%4)"/>
      <w:lvlJc w:val="left"/>
      <w:pPr>
        <w:ind w:left="2160" w:hanging="720"/>
      </w:pPr>
      <w:rPr>
        <w:rFonts w:hAnsi="Arial Unicode MS"/>
        <w:b/>
        <w:bCs/>
        <w:caps w:val="0"/>
        <w:smallCaps w:val="0"/>
        <w:strike w:val="0"/>
        <w:dstrike w:val="0"/>
        <w:color w:val="000000"/>
        <w:spacing w:val="0"/>
        <w:w w:val="100"/>
        <w:kern w:val="0"/>
        <w:position w:val="0"/>
        <w:highlight w:val="none"/>
        <w:vertAlign w:val="baseline"/>
      </w:rPr>
    </w:lvl>
    <w:lvl w:ilvl="4" w:tplc="6F441886">
      <w:start w:val="1"/>
      <w:numFmt w:val="decimal"/>
      <w:lvlText w:val="(%5)"/>
      <w:lvlJc w:val="left"/>
      <w:pPr>
        <w:ind w:left="2880" w:hanging="720"/>
      </w:pPr>
      <w:rPr>
        <w:rFonts w:hAnsi="Arial Unicode MS"/>
        <w:b/>
        <w:bCs/>
        <w:caps w:val="0"/>
        <w:smallCaps w:val="0"/>
        <w:strike w:val="0"/>
        <w:dstrike w:val="0"/>
        <w:color w:val="000000"/>
        <w:spacing w:val="0"/>
        <w:w w:val="100"/>
        <w:kern w:val="0"/>
        <w:position w:val="0"/>
        <w:highlight w:val="none"/>
        <w:vertAlign w:val="baseline"/>
      </w:rPr>
    </w:lvl>
    <w:lvl w:ilvl="5" w:tplc="3D0E9B74">
      <w:start w:val="1"/>
      <w:numFmt w:val="lowerLetter"/>
      <w:lvlText w:val="(%6)"/>
      <w:lvlJc w:val="left"/>
      <w:pPr>
        <w:ind w:left="3600" w:hanging="720"/>
      </w:pPr>
      <w:rPr>
        <w:rFonts w:hAnsi="Arial Unicode MS"/>
        <w:b/>
        <w:bCs/>
        <w:caps w:val="0"/>
        <w:smallCaps w:val="0"/>
        <w:strike w:val="0"/>
        <w:dstrike w:val="0"/>
        <w:color w:val="000000"/>
        <w:spacing w:val="0"/>
        <w:w w:val="100"/>
        <w:kern w:val="0"/>
        <w:position w:val="0"/>
        <w:highlight w:val="none"/>
        <w:vertAlign w:val="baseline"/>
      </w:rPr>
    </w:lvl>
    <w:lvl w:ilvl="6" w:tplc="2A045236">
      <w:start w:val="1"/>
      <w:numFmt w:val="lowerRoman"/>
      <w:lvlText w:val="(%7)"/>
      <w:lvlJc w:val="left"/>
      <w:pPr>
        <w:ind w:left="4320" w:hanging="720"/>
      </w:pPr>
      <w:rPr>
        <w:rFonts w:hAnsi="Arial Unicode MS"/>
        <w:b/>
        <w:bCs/>
        <w:caps w:val="0"/>
        <w:smallCaps w:val="0"/>
        <w:strike w:val="0"/>
        <w:dstrike w:val="0"/>
        <w:color w:val="000000"/>
        <w:spacing w:val="0"/>
        <w:w w:val="100"/>
        <w:kern w:val="0"/>
        <w:position w:val="0"/>
        <w:highlight w:val="none"/>
        <w:vertAlign w:val="baseline"/>
      </w:rPr>
    </w:lvl>
    <w:lvl w:ilvl="7" w:tplc="6A4A1F02">
      <w:start w:val="1"/>
      <w:numFmt w:val="lowerLetter"/>
      <w:lvlText w:val="(%8)"/>
      <w:lvlJc w:val="left"/>
      <w:pPr>
        <w:ind w:left="5040" w:hanging="720"/>
      </w:pPr>
      <w:rPr>
        <w:rFonts w:hAnsi="Arial Unicode MS"/>
        <w:b/>
        <w:bCs/>
        <w:caps w:val="0"/>
        <w:smallCaps w:val="0"/>
        <w:strike w:val="0"/>
        <w:dstrike w:val="0"/>
        <w:color w:val="000000"/>
        <w:spacing w:val="0"/>
        <w:w w:val="100"/>
        <w:kern w:val="0"/>
        <w:position w:val="0"/>
        <w:highlight w:val="none"/>
        <w:vertAlign w:val="baseline"/>
      </w:rPr>
    </w:lvl>
    <w:lvl w:ilvl="8" w:tplc="ED92B460">
      <w:start w:val="1"/>
      <w:numFmt w:val="lowerRoman"/>
      <w:lvlText w:val="(%9)"/>
      <w:lvlJc w:val="left"/>
      <w:pPr>
        <w:ind w:left="5760" w:hanging="72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5D751C92"/>
    <w:multiLevelType w:val="multilevel"/>
    <w:tmpl w:val="2C68DEDC"/>
    <w:lvl w:ilvl="0">
      <w:start w:val="1"/>
      <w:numFmt w:val="upperRoman"/>
      <w:lvlText w:val="%1."/>
      <w:lvlJc w:val="left"/>
      <w:pPr>
        <w:ind w:left="0" w:firstLine="0"/>
      </w:pPr>
      <w:rPr>
        <w:sz w:val="28"/>
        <w:szCs w:val="28"/>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65361F5F"/>
    <w:multiLevelType w:val="hybridMultilevel"/>
    <w:tmpl w:val="6B540E68"/>
    <w:numStyleLink w:val="ImportedStyle5"/>
  </w:abstractNum>
  <w:abstractNum w:abstractNumId="10">
    <w:nsid w:val="71BB67CB"/>
    <w:multiLevelType w:val="hybridMultilevel"/>
    <w:tmpl w:val="32E00A24"/>
    <w:numStyleLink w:val="ImportedStyle1"/>
  </w:abstractNum>
  <w:abstractNum w:abstractNumId="11">
    <w:nsid w:val="76E630F7"/>
    <w:multiLevelType w:val="hybridMultilevel"/>
    <w:tmpl w:val="F7C29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C6910CF"/>
    <w:multiLevelType w:val="hybridMultilevel"/>
    <w:tmpl w:val="09AC4A5C"/>
    <w:styleLink w:val="ImportedStyle3"/>
    <w:lvl w:ilvl="0" w:tplc="01C2B67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EA26A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B7886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03E78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804B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640EA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C065C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86A33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F4D5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7"/>
  </w:num>
  <w:num w:numId="2">
    <w:abstractNumId w:val="10"/>
  </w:num>
  <w:num w:numId="3">
    <w:abstractNumId w:val="5"/>
  </w:num>
  <w:num w:numId="4">
    <w:abstractNumId w:val="4"/>
  </w:num>
  <w:num w:numId="5">
    <w:abstractNumId w:val="10"/>
    <w:lvlOverride w:ilvl="0">
      <w:startOverride w:val="2"/>
      <w:lvl w:ilvl="0" w:tplc="EB64EBA6">
        <w:start w:val="2"/>
        <w:numFmt w:val="upperRoman"/>
        <w:pStyle w:val="HeaderCoverPage"/>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14CBB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5AC010">
        <w:start w:val="1"/>
        <w:numFmt w:val="decimal"/>
        <w:lvlText w:val="%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525302">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98AEA8">
        <w:start w:val="1"/>
        <w:numFmt w:val="decimal"/>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55E1F6A">
        <w:start w:val="1"/>
        <w:numFmt w:val="lowerLetter"/>
        <w:lvlText w:val="(%6)"/>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58CD2C6">
        <w:start w:val="1"/>
        <w:numFmt w:val="lowerRoman"/>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FEEFA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FE9104">
        <w:start w:val="1"/>
        <w:numFmt w:val="lowerRoman"/>
        <w:lvlText w:val="(%9)"/>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3"/>
    <w:lvlOverride w:ilvl="0">
      <w:lvl w:ilvl="0" w:tplc="1A081198">
        <w:start w:val="1"/>
        <w:numFmt w:val="bullet"/>
        <w:lvlText w:val="•"/>
        <w:lvlJc w:val="left"/>
        <w:pPr>
          <w:ind w:left="720" w:hanging="360"/>
        </w:pPr>
        <w:rPr>
          <w:rFonts w:ascii="Times New Roman" w:eastAsia="Symbo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8">
    <w:abstractNumId w:val="6"/>
  </w:num>
  <w:num w:numId="9">
    <w:abstractNumId w:val="0"/>
    <w:lvlOverride w:ilvl="0">
      <w:lvl w:ilvl="0" w:tplc="36A6EB72">
        <w:start w:val="1"/>
        <w:numFmt w:val="bullet"/>
        <w:lvlText w:val="•"/>
        <w:lvlJc w:val="left"/>
        <w:pPr>
          <w:ind w:left="360" w:hanging="360"/>
        </w:pPr>
        <w:rPr>
          <w:rFonts w:ascii="Times New Roman" w:eastAsia="Symbo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10">
    <w:abstractNumId w:val="10"/>
    <w:lvlOverride w:ilvl="0">
      <w:startOverride w:val="3"/>
      <w:lvl w:ilvl="0" w:tplc="EB64EBA6">
        <w:start w:val="3"/>
        <w:numFmt w:val="upperRoman"/>
        <w:pStyle w:val="HeaderCoverPage"/>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14CBBC">
        <w:start w:val="1"/>
        <w:numFmt w:val="decimal"/>
        <w:lvlText w:val="%2."/>
        <w:lvlJc w:val="left"/>
        <w:pPr>
          <w:ind w:left="142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5AC010">
        <w:start w:val="1"/>
        <w:numFmt w:val="decimal"/>
        <w:lvlText w:val="%3."/>
        <w:lvlJc w:val="left"/>
        <w:pPr>
          <w:ind w:left="214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525302">
        <w:start w:val="1"/>
        <w:numFmt w:val="lowerLetter"/>
        <w:lvlText w:val="%4)"/>
        <w:lvlJc w:val="left"/>
        <w:pPr>
          <w:ind w:left="286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98AEA8">
        <w:start w:val="1"/>
        <w:numFmt w:val="decimal"/>
        <w:lvlText w:val="(%5)"/>
        <w:lvlJc w:val="left"/>
        <w:pPr>
          <w:ind w:left="358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55E1F6A">
        <w:start w:val="1"/>
        <w:numFmt w:val="lowerLetter"/>
        <w:lvlText w:val="(%6)"/>
        <w:lvlJc w:val="left"/>
        <w:pPr>
          <w:ind w:left="43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58CD2C6">
        <w:start w:val="1"/>
        <w:numFmt w:val="lowerRoman"/>
        <w:lvlText w:val="(%7)"/>
        <w:lvlJc w:val="left"/>
        <w:pPr>
          <w:ind w:left="502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FEEFA6">
        <w:start w:val="1"/>
        <w:numFmt w:val="lowerLetter"/>
        <w:lvlText w:val="(%8)"/>
        <w:lvlJc w:val="left"/>
        <w:pPr>
          <w:ind w:left="574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FE9104">
        <w:start w:val="1"/>
        <w:numFmt w:val="lowerRoman"/>
        <w:lvlText w:val="(%9)"/>
        <w:lvlJc w:val="left"/>
        <w:pPr>
          <w:ind w:left="646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9"/>
  </w:num>
  <w:num w:numId="13">
    <w:abstractNumId w:val="10"/>
    <w:lvlOverride w:ilvl="0">
      <w:startOverride w:val="1"/>
      <w:lvl w:ilvl="0" w:tplc="EB64EBA6">
        <w:start w:val="1"/>
        <w:numFmt w:val="upperRoman"/>
        <w:pStyle w:val="HeaderCoverPage"/>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F514CBBC">
        <w:start w:val="3"/>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5AC010">
        <w:start w:val="1"/>
        <w:numFmt w:val="decimal"/>
        <w:lvlText w:val="%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525302">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98AEA8">
        <w:start w:val="1"/>
        <w:numFmt w:val="decimal"/>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55E1F6A">
        <w:start w:val="1"/>
        <w:numFmt w:val="lowerLetter"/>
        <w:lvlText w:val="(%6)"/>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58CD2C6">
        <w:start w:val="1"/>
        <w:numFmt w:val="lowerRoman"/>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FEEFA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FE9104">
        <w:start w:val="1"/>
        <w:numFmt w:val="lowerRoman"/>
        <w:lvlText w:val="(%9)"/>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abstractNumId w:val="8"/>
  </w:num>
  <w:num w:numId="15">
    <w:abstractNumId w:val="3"/>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8DB9EB983D634BF6A6893F7701B14D7D"/>
    <w:docVar w:name="LW_CROSSREFERENCE" w:val="{SWD(2016) 159 final}"/>
    <w:docVar w:name="LW_DATE.ADOPT.CP_ISODATE" w:val="&lt;EMPTY&gt;"/>
    <w:docVar w:name="LW_DocType" w:val="NORMAL"/>
    <w:docVar w:name="LW_EMISSION" w:val="2016.5.19."/>
    <w:docVar w:name="LW_EMISSION_ISODATE" w:val="2016-05-19"/>
    <w:docVar w:name="LW_EMISSION_LOCATION" w:val="BRX"/>
    <w:docVar w:name="LW_EMISSION_PREFIX" w:val="Brüsszel, "/>
    <w:docVar w:name="LW_EMISSION_SUFFIX" w:val=" "/>
    <w:docVar w:name="LW_ID_DOCTYPE_NONLW" w:val="CP-006"/>
    <w:docVar w:name="LW_INTERETEEE.CP" w:val="&lt;UNUSED&gt;"/>
    <w:docVar w:name="LW_LANGUE" w:val="HU"/>
    <w:docVar w:name="LW_LANGUESFAISANTFOI.CP" w:val="&lt;UNUSED&gt;"/>
    <w:docVar w:name="LW_MARKING" w:val="&lt;UNUSED&gt;"/>
    <w:docVar w:name="LW_NOM.INST" w:val="EURÓPAI BIZOTTSÁG"/>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67"/>
    <w:docVar w:name="LW_REF.INTERNE" w:val="&lt;UNUSED&gt;"/>
    <w:docVar w:name="LW_SOUS.TITRE.OBJ" w:val="jelentés az emberkereskedelem elleni küzdelem terén elért eredményekr\u337?l (2016)_x000b_"/>
    <w:docVar w:name="LW_SOUS.TITRE.OBJ.CP" w:val="jelentés az emberkereskedelem elleni küzdelem terén elért eredményekr\u337?l (2016)_x000b_"/>
    <w:docVar w:name="LW_SUPERTITRE" w:val="&lt;UNUSED&gt;"/>
    <w:docVar w:name="LW_TITRE.OBJ.CP" w:val="az emberkereskedelem megel\u337?zésér\u337?l, és az ellene folytatott küzdelemr\u337?l, az áldozatok védelmér\u337?l szóló 2011/36/EU irányelv 20. cikkében el\u337?írtak szerinti"/>
    <w:docVar w:name="LW_TYPE.DOC.CP" w:val="A BIZOTTSÁG JELENTÉSE AZ EURÓPAI PARLAMENTNEK ÉS A TANÁCSNAK"/>
    <w:docVar w:name="LW_TYPEACTEPRINCIPAL.CP" w:val="&lt;UNUSED&gt;"/>
  </w:docVars>
  <w:rsids>
    <w:rsidRoot w:val="006047F1"/>
    <w:rsid w:val="006047F1"/>
    <w:rsid w:val="00C96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u-HU" w:eastAsia="hu-HU" w:bidi="hu-HU"/>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Heading2">
    <w:name w:val="heading 2"/>
    <w:next w:val="Body"/>
    <w:uiPriority w:val="9"/>
    <w:qFormat/>
    <w:pPr>
      <w:keepNext/>
      <w:keepLines/>
      <w:spacing w:before="200" w:line="276" w:lineRule="auto"/>
      <w:ind w:firstLine="720"/>
      <w:outlineLvl w:val="1"/>
    </w:pPr>
    <w:rPr>
      <w:rFonts w:ascii="Cambria" w:eastAsia="Cambria" w:hAnsi="Cambria" w:cs="Cambria"/>
      <w:b/>
      <w:bCs/>
      <w:color w:val="4F81BD"/>
      <w:sz w:val="26"/>
      <w:szCs w:val="26"/>
      <w:u w:color="4F81BD"/>
    </w:rPr>
  </w:style>
  <w:style w:type="paragraph" w:styleId="Heading3">
    <w:name w:val="heading 3"/>
    <w:basedOn w:val="Normal"/>
    <w:next w:val="Normal"/>
    <w:link w:val="Heading3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outlineLvl w:val="2"/>
    </w:pPr>
    <w:rPr>
      <w:rFonts w:asciiTheme="majorHAnsi" w:eastAsiaTheme="majorEastAsia" w:hAnsiTheme="majorHAnsi" w:cstheme="majorBidi"/>
      <w:b/>
      <w:bCs/>
      <w:color w:val="4F81BD" w:themeColor="accent1"/>
      <w:sz w:val="22"/>
      <w:szCs w:val="22"/>
      <w:bdr w:val="none" w:sz="0" w:space="0" w:color="auto"/>
    </w:rPr>
  </w:style>
  <w:style w:type="paragraph" w:styleId="Heading4">
    <w:name w:val="heading 4"/>
    <w:basedOn w:val="Normal"/>
    <w:next w:val="Normal"/>
    <w:link w:val="Heading4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2160"/>
      <w:outlineLvl w:val="3"/>
    </w:pPr>
    <w:rPr>
      <w:rFonts w:asciiTheme="majorHAnsi" w:eastAsiaTheme="majorEastAsia" w:hAnsiTheme="majorHAnsi" w:cstheme="majorBidi"/>
      <w:b/>
      <w:bCs/>
      <w:i/>
      <w:iCs/>
      <w:color w:val="4F81BD" w:themeColor="accent1"/>
      <w:sz w:val="22"/>
      <w:szCs w:val="22"/>
      <w:bdr w:val="none" w:sz="0" w:space="0" w:color="auto"/>
    </w:rPr>
  </w:style>
  <w:style w:type="paragraph" w:styleId="Heading5">
    <w:name w:val="heading 5"/>
    <w:basedOn w:val="Normal"/>
    <w:next w:val="Normal"/>
    <w:link w:val="Heading5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2880"/>
      <w:outlineLvl w:val="4"/>
    </w:pPr>
    <w:rPr>
      <w:rFonts w:asciiTheme="majorHAnsi" w:eastAsiaTheme="majorEastAsia" w:hAnsiTheme="majorHAnsi" w:cstheme="majorBidi"/>
      <w:color w:val="243F60" w:themeColor="accent1" w:themeShade="7F"/>
      <w:sz w:val="22"/>
      <w:szCs w:val="22"/>
      <w:bdr w:val="none" w:sz="0" w:space="0" w:color="auto"/>
    </w:rPr>
  </w:style>
  <w:style w:type="paragraph" w:styleId="Heading6">
    <w:name w:val="heading 6"/>
    <w:basedOn w:val="Normal"/>
    <w:next w:val="Normal"/>
    <w:link w:val="Heading6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3600"/>
      <w:outlineLvl w:val="5"/>
    </w:pPr>
    <w:rPr>
      <w:rFonts w:asciiTheme="majorHAnsi" w:eastAsiaTheme="majorEastAsia" w:hAnsiTheme="majorHAnsi" w:cstheme="majorBidi"/>
      <w:i/>
      <w:iCs/>
      <w:color w:val="243F60" w:themeColor="accent1" w:themeShade="7F"/>
      <w:sz w:val="22"/>
      <w:szCs w:val="22"/>
      <w:bdr w:val="none" w:sz="0" w:space="0" w:color="auto"/>
    </w:rPr>
  </w:style>
  <w:style w:type="paragraph" w:styleId="Heading7">
    <w:name w:val="heading 7"/>
    <w:basedOn w:val="Normal"/>
    <w:next w:val="Normal"/>
    <w:link w:val="Heading7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4320"/>
      <w:outlineLvl w:val="6"/>
    </w:pPr>
    <w:rPr>
      <w:rFonts w:asciiTheme="majorHAnsi" w:eastAsiaTheme="majorEastAsia" w:hAnsiTheme="majorHAnsi" w:cstheme="majorBidi"/>
      <w:i/>
      <w:iCs/>
      <w:color w:val="404040" w:themeColor="text1" w:themeTint="BF"/>
      <w:sz w:val="22"/>
      <w:szCs w:val="22"/>
      <w:bdr w:val="none" w:sz="0" w:space="0" w:color="auto"/>
    </w:rPr>
  </w:style>
  <w:style w:type="paragraph" w:styleId="Heading8">
    <w:name w:val="heading 8"/>
    <w:basedOn w:val="Normal"/>
    <w:next w:val="Normal"/>
    <w:link w:val="Heading8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5040"/>
      <w:outlineLvl w:val="7"/>
    </w:pPr>
    <w:rPr>
      <w:rFonts w:asciiTheme="majorHAnsi" w:eastAsiaTheme="majorEastAsia" w:hAnsiTheme="majorHAnsi" w:cstheme="majorBidi"/>
      <w:color w:val="404040" w:themeColor="text1" w:themeTint="BF"/>
      <w:sz w:val="20"/>
      <w:szCs w:val="20"/>
      <w:bdr w:val="none" w:sz="0" w:space="0" w:color="auto"/>
    </w:rPr>
  </w:style>
  <w:style w:type="paragraph" w:styleId="Heading9">
    <w:name w:val="heading 9"/>
    <w:basedOn w:val="Normal"/>
    <w:next w:val="Normal"/>
    <w:link w:val="Heading9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5760"/>
      <w:outlineLvl w:val="8"/>
    </w:pPr>
    <w:rPr>
      <w:rFonts w:asciiTheme="majorHAnsi" w:eastAsiaTheme="majorEastAsia" w:hAnsiTheme="majorHAnsi" w:cstheme="majorBidi"/>
      <w:i/>
      <w:iCs/>
      <w:color w:val="404040" w:themeColor="text1" w:themeTint="BF"/>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Heading">
    <w:name w:val="Heading"/>
    <w:next w:val="Body"/>
    <w:link w:val="HeadingChar"/>
    <w:pPr>
      <w:keepNext/>
      <w:keepLines/>
      <w:spacing w:before="480" w:line="276" w:lineRule="auto"/>
      <w:outlineLvl w:val="0"/>
    </w:pPr>
    <w:rPr>
      <w:rFonts w:ascii="Cambria" w:eastAsia="Cambria" w:hAnsi="Cambria" w:cs="Cambria"/>
      <w:b/>
      <w:bCs/>
      <w:color w:val="365F91"/>
      <w:sz w:val="28"/>
      <w:szCs w:val="28"/>
      <w:u w:color="365F91"/>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uiPriority w:val="99"/>
    <w:pPr>
      <w:ind w:left="284" w:hanging="284"/>
      <w:jc w:val="both"/>
    </w:pPr>
    <w:rPr>
      <w:rFonts w:eastAsia="Calibri" w:cs="Calibri"/>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R,ftref"/>
    <w:link w:val="-FNCharCharChar"/>
    <w:uiPriority w:val="99"/>
    <w:qFormat/>
    <w:rPr>
      <w:vertAlign w:val="superscript"/>
    </w:rPr>
  </w:style>
  <w:style w:type="numbering" w:customStyle="1" w:styleId="ImportedStyle4">
    <w:name w:val="Imported Style 4"/>
    <w:pPr>
      <w:numPr>
        <w:numId w:val="8"/>
      </w:numPr>
    </w:pPr>
  </w:style>
  <w:style w:type="character" w:customStyle="1" w:styleId="Hyperlink1">
    <w:name w:val="Hyperlink.1"/>
    <w:basedOn w:val="Link"/>
    <w:rPr>
      <w:rFonts w:ascii="Times New Roman" w:eastAsia="Times New Roman" w:hAnsi="Times New Roman" w:cs="Times New Roman"/>
      <w:color w:val="0000FF"/>
      <w:u w:val="single" w:color="0000FF"/>
      <w:lang w:val="hu-HU"/>
    </w:rPr>
  </w:style>
  <w:style w:type="character" w:customStyle="1" w:styleId="Hyperlink2">
    <w:name w:val="Hyperlink.2"/>
    <w:basedOn w:val="Link"/>
    <w:rPr>
      <w:rFonts w:ascii="Times New Roman" w:eastAsia="Times New Roman" w:hAnsi="Times New Roman" w:cs="Times New Roman"/>
      <w:color w:val="0000FF"/>
      <w:sz w:val="20"/>
      <w:szCs w:val="20"/>
      <w:u w:val="single" w:color="0000FF"/>
    </w:rPr>
  </w:style>
  <w:style w:type="numbering" w:customStyle="1" w:styleId="ImportedStyle5">
    <w:name w:val="Imported Style 5"/>
    <w:pPr>
      <w:numPr>
        <w:numId w:val="1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hu-HU" w:eastAsia="hu-H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eastAsia="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u-HU" w:eastAsia="hu-HU"/>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lang w:val="hu-HU" w:eastAsia="hu-HU"/>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one" w:sz="0" w:space="0" w:color="auto"/>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2"/>
      <w:szCs w:val="22"/>
      <w:bdr w:val="none" w:sz="0" w:space="0" w:color="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bdr w:val="none" w:sz="0" w:space="0" w:color="aut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bdr w:val="none" w:sz="0" w:space="0" w:color="auto"/>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bdr w:val="none" w:sz="0" w:space="0" w:color="aut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bdr w:val="none" w:sz="0" w:space="0" w:color="auto"/>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bdr w:val="none" w:sz="0" w:space="0" w:color="auto"/>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bdr w:val="none" w:sz="0" w:space="0" w:color="auto"/>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uiPriority w:val="99"/>
    <w:rPr>
      <w:rFonts w:ascii="Calibri" w:eastAsia="Calibri" w:hAnsi="Calibri" w:cs="Calibri"/>
      <w:color w:val="000000"/>
      <w:u w:color="000000"/>
      <w:lang w:val="hu-HU"/>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styleId="FollowedHyperlink">
    <w:name w:val="FollowedHyperlink"/>
    <w:basedOn w:val="DefaultParagraphFont"/>
    <w:uiPriority w:val="99"/>
    <w:semiHidden/>
    <w:unhideWhenUsed/>
    <w:rPr>
      <w:color w:val="FF00FF" w:themeColor="followedHyperlink"/>
      <w:u w:val="single"/>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hu-HU"/>
    </w:rPr>
  </w:style>
  <w:style w:type="paragraph" w:customStyle="1" w:styleId="HeaderCoverPage">
    <w:name w:val="Header Cover Page"/>
    <w:basedOn w:val="Normal"/>
    <w:link w:val="HeaderCoverPageChar"/>
    <w:pPr>
      <w:numPr>
        <w:numId w:val="2"/>
      </w:numPr>
      <w:tabs>
        <w:tab w:val="center" w:pos="4535"/>
        <w:tab w:val="right" w:pos="9071"/>
      </w:tabs>
      <w:spacing w:after="120"/>
      <w:ind w:left="0"/>
      <w:jc w:val="both"/>
    </w:pPr>
    <w:rPr>
      <w:rFonts w:eastAsia="Cambria"/>
      <w:color w:val="000000"/>
      <w:u w:color="000000"/>
    </w:rPr>
  </w:style>
  <w:style w:type="character" w:customStyle="1" w:styleId="HeadingChar">
    <w:name w:val="Heading Char"/>
    <w:basedOn w:val="DefaultParagraphFont"/>
    <w:link w:val="Heading"/>
    <w:rPr>
      <w:rFonts w:ascii="Cambria" w:eastAsia="Cambria" w:hAnsi="Cambria" w:cs="Cambria"/>
      <w:b/>
      <w:bCs/>
      <w:color w:val="365F91"/>
      <w:sz w:val="28"/>
      <w:szCs w:val="28"/>
      <w:u w:color="365F91"/>
    </w:rPr>
  </w:style>
  <w:style w:type="character" w:customStyle="1" w:styleId="HeaderCoverPageChar">
    <w:name w:val="Header Cover Page Char"/>
    <w:basedOn w:val="HeadingChar"/>
    <w:link w:val="HeaderCoverPage"/>
    <w:rPr>
      <w:rFonts w:ascii="Cambria" w:eastAsia="Cambria" w:hAnsi="Cambria" w:cs="Cambria"/>
      <w:b w:val="0"/>
      <w:bCs w:val="0"/>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u-HU" w:eastAsia="hu-HU" w:bidi="hu-HU"/>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Heading2">
    <w:name w:val="heading 2"/>
    <w:next w:val="Body"/>
    <w:uiPriority w:val="9"/>
    <w:qFormat/>
    <w:pPr>
      <w:keepNext/>
      <w:keepLines/>
      <w:spacing w:before="200" w:line="276" w:lineRule="auto"/>
      <w:ind w:firstLine="720"/>
      <w:outlineLvl w:val="1"/>
    </w:pPr>
    <w:rPr>
      <w:rFonts w:ascii="Cambria" w:eastAsia="Cambria" w:hAnsi="Cambria" w:cs="Cambria"/>
      <w:b/>
      <w:bCs/>
      <w:color w:val="4F81BD"/>
      <w:sz w:val="26"/>
      <w:szCs w:val="26"/>
      <w:u w:color="4F81BD"/>
    </w:rPr>
  </w:style>
  <w:style w:type="paragraph" w:styleId="Heading3">
    <w:name w:val="heading 3"/>
    <w:basedOn w:val="Normal"/>
    <w:next w:val="Normal"/>
    <w:link w:val="Heading3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outlineLvl w:val="2"/>
    </w:pPr>
    <w:rPr>
      <w:rFonts w:asciiTheme="majorHAnsi" w:eastAsiaTheme="majorEastAsia" w:hAnsiTheme="majorHAnsi" w:cstheme="majorBidi"/>
      <w:b/>
      <w:bCs/>
      <w:color w:val="4F81BD" w:themeColor="accent1"/>
      <w:sz w:val="22"/>
      <w:szCs w:val="22"/>
      <w:bdr w:val="none" w:sz="0" w:space="0" w:color="auto"/>
    </w:rPr>
  </w:style>
  <w:style w:type="paragraph" w:styleId="Heading4">
    <w:name w:val="heading 4"/>
    <w:basedOn w:val="Normal"/>
    <w:next w:val="Normal"/>
    <w:link w:val="Heading4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2160"/>
      <w:outlineLvl w:val="3"/>
    </w:pPr>
    <w:rPr>
      <w:rFonts w:asciiTheme="majorHAnsi" w:eastAsiaTheme="majorEastAsia" w:hAnsiTheme="majorHAnsi" w:cstheme="majorBidi"/>
      <w:b/>
      <w:bCs/>
      <w:i/>
      <w:iCs/>
      <w:color w:val="4F81BD" w:themeColor="accent1"/>
      <w:sz w:val="22"/>
      <w:szCs w:val="22"/>
      <w:bdr w:val="none" w:sz="0" w:space="0" w:color="auto"/>
    </w:rPr>
  </w:style>
  <w:style w:type="paragraph" w:styleId="Heading5">
    <w:name w:val="heading 5"/>
    <w:basedOn w:val="Normal"/>
    <w:next w:val="Normal"/>
    <w:link w:val="Heading5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2880"/>
      <w:outlineLvl w:val="4"/>
    </w:pPr>
    <w:rPr>
      <w:rFonts w:asciiTheme="majorHAnsi" w:eastAsiaTheme="majorEastAsia" w:hAnsiTheme="majorHAnsi" w:cstheme="majorBidi"/>
      <w:color w:val="243F60" w:themeColor="accent1" w:themeShade="7F"/>
      <w:sz w:val="22"/>
      <w:szCs w:val="22"/>
      <w:bdr w:val="none" w:sz="0" w:space="0" w:color="auto"/>
    </w:rPr>
  </w:style>
  <w:style w:type="paragraph" w:styleId="Heading6">
    <w:name w:val="heading 6"/>
    <w:basedOn w:val="Normal"/>
    <w:next w:val="Normal"/>
    <w:link w:val="Heading6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3600"/>
      <w:outlineLvl w:val="5"/>
    </w:pPr>
    <w:rPr>
      <w:rFonts w:asciiTheme="majorHAnsi" w:eastAsiaTheme="majorEastAsia" w:hAnsiTheme="majorHAnsi" w:cstheme="majorBidi"/>
      <w:i/>
      <w:iCs/>
      <w:color w:val="243F60" w:themeColor="accent1" w:themeShade="7F"/>
      <w:sz w:val="22"/>
      <w:szCs w:val="22"/>
      <w:bdr w:val="none" w:sz="0" w:space="0" w:color="auto"/>
    </w:rPr>
  </w:style>
  <w:style w:type="paragraph" w:styleId="Heading7">
    <w:name w:val="heading 7"/>
    <w:basedOn w:val="Normal"/>
    <w:next w:val="Normal"/>
    <w:link w:val="Heading7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4320"/>
      <w:outlineLvl w:val="6"/>
    </w:pPr>
    <w:rPr>
      <w:rFonts w:asciiTheme="majorHAnsi" w:eastAsiaTheme="majorEastAsia" w:hAnsiTheme="majorHAnsi" w:cstheme="majorBidi"/>
      <w:i/>
      <w:iCs/>
      <w:color w:val="404040" w:themeColor="text1" w:themeTint="BF"/>
      <w:sz w:val="22"/>
      <w:szCs w:val="22"/>
      <w:bdr w:val="none" w:sz="0" w:space="0" w:color="auto"/>
    </w:rPr>
  </w:style>
  <w:style w:type="paragraph" w:styleId="Heading8">
    <w:name w:val="heading 8"/>
    <w:basedOn w:val="Normal"/>
    <w:next w:val="Normal"/>
    <w:link w:val="Heading8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5040"/>
      <w:outlineLvl w:val="7"/>
    </w:pPr>
    <w:rPr>
      <w:rFonts w:asciiTheme="majorHAnsi" w:eastAsiaTheme="majorEastAsia" w:hAnsiTheme="majorHAnsi" w:cstheme="majorBidi"/>
      <w:color w:val="404040" w:themeColor="text1" w:themeTint="BF"/>
      <w:sz w:val="20"/>
      <w:szCs w:val="20"/>
      <w:bdr w:val="none" w:sz="0" w:space="0" w:color="auto"/>
    </w:rPr>
  </w:style>
  <w:style w:type="paragraph" w:styleId="Heading9">
    <w:name w:val="heading 9"/>
    <w:basedOn w:val="Normal"/>
    <w:next w:val="Normal"/>
    <w:link w:val="Heading9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5760"/>
      <w:outlineLvl w:val="8"/>
    </w:pPr>
    <w:rPr>
      <w:rFonts w:asciiTheme="majorHAnsi" w:eastAsiaTheme="majorEastAsia" w:hAnsiTheme="majorHAnsi" w:cstheme="majorBidi"/>
      <w:i/>
      <w:iCs/>
      <w:color w:val="404040" w:themeColor="text1" w:themeTint="BF"/>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Heading">
    <w:name w:val="Heading"/>
    <w:next w:val="Body"/>
    <w:link w:val="HeadingChar"/>
    <w:pPr>
      <w:keepNext/>
      <w:keepLines/>
      <w:spacing w:before="480" w:line="276" w:lineRule="auto"/>
      <w:outlineLvl w:val="0"/>
    </w:pPr>
    <w:rPr>
      <w:rFonts w:ascii="Cambria" w:eastAsia="Cambria" w:hAnsi="Cambria" w:cs="Cambria"/>
      <w:b/>
      <w:bCs/>
      <w:color w:val="365F91"/>
      <w:sz w:val="28"/>
      <w:szCs w:val="28"/>
      <w:u w:color="365F91"/>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uiPriority w:val="99"/>
    <w:pPr>
      <w:ind w:left="284" w:hanging="284"/>
      <w:jc w:val="both"/>
    </w:pPr>
    <w:rPr>
      <w:rFonts w:eastAsia="Calibri" w:cs="Calibri"/>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R,ftref"/>
    <w:link w:val="-FNCharCharChar"/>
    <w:uiPriority w:val="99"/>
    <w:qFormat/>
    <w:rPr>
      <w:vertAlign w:val="superscript"/>
    </w:rPr>
  </w:style>
  <w:style w:type="numbering" w:customStyle="1" w:styleId="ImportedStyle4">
    <w:name w:val="Imported Style 4"/>
    <w:pPr>
      <w:numPr>
        <w:numId w:val="8"/>
      </w:numPr>
    </w:pPr>
  </w:style>
  <w:style w:type="character" w:customStyle="1" w:styleId="Hyperlink1">
    <w:name w:val="Hyperlink.1"/>
    <w:basedOn w:val="Link"/>
    <w:rPr>
      <w:rFonts w:ascii="Times New Roman" w:eastAsia="Times New Roman" w:hAnsi="Times New Roman" w:cs="Times New Roman"/>
      <w:color w:val="0000FF"/>
      <w:u w:val="single" w:color="0000FF"/>
      <w:lang w:val="hu-HU"/>
    </w:rPr>
  </w:style>
  <w:style w:type="character" w:customStyle="1" w:styleId="Hyperlink2">
    <w:name w:val="Hyperlink.2"/>
    <w:basedOn w:val="Link"/>
    <w:rPr>
      <w:rFonts w:ascii="Times New Roman" w:eastAsia="Times New Roman" w:hAnsi="Times New Roman" w:cs="Times New Roman"/>
      <w:color w:val="0000FF"/>
      <w:sz w:val="20"/>
      <w:szCs w:val="20"/>
      <w:u w:val="single" w:color="0000FF"/>
    </w:rPr>
  </w:style>
  <w:style w:type="numbering" w:customStyle="1" w:styleId="ImportedStyle5">
    <w:name w:val="Imported Style 5"/>
    <w:pPr>
      <w:numPr>
        <w:numId w:val="1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hu-HU" w:eastAsia="hu-H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eastAsia="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u-HU" w:eastAsia="hu-HU"/>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lang w:val="hu-HU" w:eastAsia="hu-HU"/>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one" w:sz="0" w:space="0" w:color="auto"/>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2"/>
      <w:szCs w:val="22"/>
      <w:bdr w:val="none" w:sz="0" w:space="0" w:color="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bdr w:val="none" w:sz="0" w:space="0" w:color="aut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bdr w:val="none" w:sz="0" w:space="0" w:color="auto"/>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bdr w:val="none" w:sz="0" w:space="0" w:color="aut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bdr w:val="none" w:sz="0" w:space="0" w:color="auto"/>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bdr w:val="none" w:sz="0" w:space="0" w:color="auto"/>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bdr w:val="none" w:sz="0" w:space="0" w:color="auto"/>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uiPriority w:val="99"/>
    <w:rPr>
      <w:rFonts w:ascii="Calibri" w:eastAsia="Calibri" w:hAnsi="Calibri" w:cs="Calibri"/>
      <w:color w:val="000000"/>
      <w:u w:color="000000"/>
      <w:lang w:val="hu-HU"/>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styleId="FollowedHyperlink">
    <w:name w:val="FollowedHyperlink"/>
    <w:basedOn w:val="DefaultParagraphFont"/>
    <w:uiPriority w:val="99"/>
    <w:semiHidden/>
    <w:unhideWhenUsed/>
    <w:rPr>
      <w:color w:val="FF00FF" w:themeColor="followedHyperlink"/>
      <w:u w:val="single"/>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hu-HU"/>
    </w:rPr>
  </w:style>
  <w:style w:type="paragraph" w:customStyle="1" w:styleId="HeaderCoverPage">
    <w:name w:val="Header Cover Page"/>
    <w:basedOn w:val="Normal"/>
    <w:link w:val="HeaderCoverPageChar"/>
    <w:pPr>
      <w:numPr>
        <w:numId w:val="2"/>
      </w:numPr>
      <w:tabs>
        <w:tab w:val="center" w:pos="4535"/>
        <w:tab w:val="right" w:pos="9071"/>
      </w:tabs>
      <w:spacing w:after="120"/>
      <w:ind w:left="0"/>
      <w:jc w:val="both"/>
    </w:pPr>
    <w:rPr>
      <w:rFonts w:eastAsia="Cambria"/>
      <w:color w:val="000000"/>
      <w:u w:color="000000"/>
    </w:rPr>
  </w:style>
  <w:style w:type="character" w:customStyle="1" w:styleId="HeadingChar">
    <w:name w:val="Heading Char"/>
    <w:basedOn w:val="DefaultParagraphFont"/>
    <w:link w:val="Heading"/>
    <w:rPr>
      <w:rFonts w:ascii="Cambria" w:eastAsia="Cambria" w:hAnsi="Cambria" w:cs="Cambria"/>
      <w:b/>
      <w:bCs/>
      <w:color w:val="365F91"/>
      <w:sz w:val="28"/>
      <w:szCs w:val="28"/>
      <w:u w:color="365F91"/>
    </w:rPr>
  </w:style>
  <w:style w:type="character" w:customStyle="1" w:styleId="HeaderCoverPageChar">
    <w:name w:val="Header Cover Page Char"/>
    <w:basedOn w:val="HeadingChar"/>
    <w:link w:val="HeaderCoverPage"/>
    <w:rPr>
      <w:rFonts w:ascii="Cambria" w:eastAsia="Cambria" w:hAnsi="Cambria" w:cs="Cambria"/>
      <w:b w:val="0"/>
      <w:bCs w:val="0"/>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049607">
      <w:bodyDiv w:val="1"/>
      <w:marLeft w:val="0"/>
      <w:marRight w:val="0"/>
      <w:marTop w:val="0"/>
      <w:marBottom w:val="0"/>
      <w:divBdr>
        <w:top w:val="none" w:sz="0" w:space="0" w:color="auto"/>
        <w:left w:val="none" w:sz="0" w:space="0" w:color="auto"/>
        <w:bottom w:val="none" w:sz="0" w:space="0" w:color="auto"/>
        <w:right w:val="none" w:sz="0" w:space="0" w:color="auto"/>
      </w:divBdr>
    </w:div>
    <w:div w:id="187723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peaid/sites/devco/files/staff-working-document-gender-2016-2020-20150922_en.pdf" TargetMode="External"/><Relationship Id="rId13" Type="http://schemas.openxmlformats.org/officeDocument/2006/relationships/hyperlink" Target="https://www.europol.europa.eu/content/fighting-child-trafficking-main-priority-eu-law-enforcement" TargetMode="External"/><Relationship Id="rId18" Type="http://schemas.openxmlformats.org/officeDocument/2006/relationships/hyperlink" Target="http://ec.europa.eu/anti-trafficking/eu-policy/council-conclusions-new-eu-strategy_en" TargetMode="External"/><Relationship Id="rId3" Type="http://schemas.openxmlformats.org/officeDocument/2006/relationships/hyperlink" Target="http://eur-lex.europa.eu/legal-content/EN/ALL/?uri=CELEX:52012DC0286" TargetMode="External"/><Relationship Id="rId7" Type="http://schemas.openxmlformats.org/officeDocument/2006/relationships/hyperlink" Target="https://ec.europa.eu/anti-trafficking/sites/antitrafficking/files/joint_communication_on_human_rights_and_democracy_en.pdf" TargetMode="External"/><Relationship Id="rId12" Type="http://schemas.openxmlformats.org/officeDocument/2006/relationships/hyperlink" Target="https://www.europol.europa.eu/content/trafficking-human-beings-eu" TargetMode="External"/><Relationship Id="rId17" Type="http://schemas.openxmlformats.org/officeDocument/2006/relationships/hyperlink" Target="http://ec.europa.eu/dgs/home-affairs/e-library/docs/thb-victims-identification/thb_identification_en.pdf" TargetMode="External"/><Relationship Id="rId2" Type="http://schemas.openxmlformats.org/officeDocument/2006/relationships/hyperlink" Target="https://ec.europa.eu/anti-trafficking/eu-anti-trafficking-coordinator_en" TargetMode="External"/><Relationship Id="rId16" Type="http://schemas.openxmlformats.org/officeDocument/2006/relationships/hyperlink" Target="http://www.italy.iom.int/index.php?option=com_content&amp;task=view&amp;id=341&amp;Itemid=46" TargetMode="External"/><Relationship Id="rId1" Type="http://schemas.openxmlformats.org/officeDocument/2006/relationships/hyperlink" Target="http://eur-lex.europa.eu/legal-content/EN/ALL/?uri=CELEX:32011L0036" TargetMode="External"/><Relationship Id="rId6" Type="http://schemas.openxmlformats.org/officeDocument/2006/relationships/hyperlink" Target="http://ec.europa.eu/dgs/home-affairs/e-library/documents/policies/asylum/general/docs/eu_action_plan_against_migrant_smuggling_en.pdf" TargetMode="External"/><Relationship Id="rId11" Type="http://schemas.openxmlformats.org/officeDocument/2006/relationships/hyperlink" Target="https://ec.europa.eu/anti-trafficking/sites/antitrafficking/files/eurostat_report_on_trafficking_in_human_beings_-_2015_edition.pdf" TargetMode="External"/><Relationship Id="rId5" Type="http://schemas.openxmlformats.org/officeDocument/2006/relationships/hyperlink" Target="http://ec.europa.eu/dgs/home-affairs/e-library/documents/basic-documents/docs/eu_agenda_on_security_en.pdf" TargetMode="External"/><Relationship Id="rId15" Type="http://schemas.openxmlformats.org/officeDocument/2006/relationships/hyperlink" Target="http://ec.europa.eu/anti-trafficking/sites/antitrafficking/files/study_on_children_as_high_risk_groups_of_trafficking_in_human_beings_0.pdf" TargetMode="External"/><Relationship Id="rId10" Type="http://schemas.openxmlformats.org/officeDocument/2006/relationships/hyperlink" Target="http://ec.europa.eu/anti-trafficking/" TargetMode="External"/><Relationship Id="rId19" Type="http://schemas.openxmlformats.org/officeDocument/2006/relationships/hyperlink" Target="http://eur-lex.europa.eu/LexUriServ/LexUriServ.do?uri=OJ:L:2009:168:0024:0032:EN:PDF" TargetMode="External"/><Relationship Id="rId4" Type="http://schemas.openxmlformats.org/officeDocument/2006/relationships/hyperlink" Target="http://ec.europa.eu/dgs/home-affairs/what-we-do/policies/european-agenda-migration/background-information/docs/communication_on_the_european_agenda_on_migration_en.pdf" TargetMode="External"/><Relationship Id="rId9" Type="http://schemas.openxmlformats.org/officeDocument/2006/relationships/hyperlink" Target="http://ec.europa.eu/europeaid/sites/devco/files/staff-working-document-gender-2016-2020-20150922_en.pdf" TargetMode="External"/><Relationship Id="rId14" Type="http://schemas.openxmlformats.org/officeDocument/2006/relationships/hyperlink" Target="http://data.unhcr.org/mediterranean/regional.php"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B3ED-D048-49A4-B3DB-2DE52EB3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5640</Words>
  <Characters>32151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44</cp:revision>
  <cp:lastPrinted>2016-04-22T13:05:00Z</cp:lastPrinted>
  <dcterms:created xsi:type="dcterms:W3CDTF">2016-04-22T13:16:00Z</dcterms:created>
  <dcterms:modified xsi:type="dcterms:W3CDTF">2016-05-17T06:42:00Z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