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E9A95C29411243759DFF38AD345A22B8" style="width:450.75pt;height:351.75pt">
            <v:imagedata r:id="rId11" o:title=""/>
          </v:shape>
        </w:pict>
      </w:r>
    </w:p>
    <w:p>
      <w:pPr>
        <w:rPr>
          <w:noProof/>
        </w:rPr>
        <w:sectPr>
          <w:footerReference w:type="default" r:id="rId12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</w:p>
    <w:p>
      <w:pPr>
        <w:rPr>
          <w:noProof/>
        </w:rPr>
      </w:pPr>
    </w:p>
    <w:p>
      <w:pPr>
        <w:pStyle w:val="Statut"/>
        <w:rPr>
          <w:noProof/>
        </w:rPr>
      </w:pPr>
      <w:r>
        <w:rPr>
          <w:noProof/>
        </w:rPr>
        <w:t>Ajánlás</w:t>
      </w:r>
    </w:p>
    <w:p>
      <w:pPr>
        <w:pStyle w:val="Typedudocument"/>
        <w:rPr>
          <w:noProof/>
        </w:rPr>
      </w:pPr>
      <w:r>
        <w:rPr>
          <w:noProof/>
        </w:rPr>
        <w:t>A TANÁCS AJÁNLÁSA</w:t>
      </w:r>
    </w:p>
    <w:p>
      <w:pPr>
        <w:pStyle w:val="Titreobjet"/>
        <w:rPr>
          <w:noProof/>
        </w:rPr>
      </w:pPr>
      <w:r>
        <w:rPr>
          <w:noProof/>
        </w:rPr>
        <w:t>Ausztria 2016. évi nemzeti reformprogramjáról,</w:t>
      </w:r>
      <w:r>
        <w:rPr>
          <w:noProof/>
        </w:rPr>
        <w:br/>
      </w:r>
      <w:r>
        <w:rPr>
          <w:noProof/>
        </w:rPr>
        <w:br/>
        <w:t>amelyben véleményezi Ausztria 2016. évi stabilitási programját</w:t>
      </w:r>
    </w:p>
    <w:p>
      <w:pPr>
        <w:pStyle w:val="Institutionquiagit"/>
        <w:rPr>
          <w:noProof/>
        </w:rPr>
      </w:pPr>
      <w:r>
        <w:rPr>
          <w:noProof/>
        </w:rPr>
        <w:t>AZ EURÓPAI UNIÓ TANÁCSA,</w:t>
      </w:r>
    </w:p>
    <w:p>
      <w:pPr>
        <w:rPr>
          <w:noProof/>
        </w:rPr>
      </w:pPr>
      <w:r>
        <w:rPr>
          <w:noProof/>
        </w:rPr>
        <w:t>tekintettel az Európai Unió működéséről szóló szerződésre és különösen annak 121. cikke (2) bekezdésére és 148. cikke (4) bekezdésére,</w:t>
      </w:r>
    </w:p>
    <w:p>
      <w:pPr>
        <w:rPr>
          <w:noProof/>
        </w:rPr>
      </w:pPr>
      <w:r>
        <w:rPr>
          <w:noProof/>
        </w:rPr>
        <w:t>tekintettel a költségvetési egyenleg felügyeletének megerősítéséről és a gazdaságpolitikák felügyeletéről és összehangolásáról szóló, 1997. július 7-i 1466/97/EK tanácsi rendeletre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és különösen annak 5. cikke (2) bekezdésére,</w:t>
      </w:r>
    </w:p>
    <w:p>
      <w:pPr>
        <w:rPr>
          <w:noProof/>
        </w:rPr>
      </w:pPr>
      <w:r>
        <w:rPr>
          <w:noProof/>
        </w:rPr>
        <w:t>tekintettel az Európai Bizottság ajánlására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tekintettel az Európai Parlament állásfoglalásaira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>
      <w:pPr>
        <w:outlineLvl w:val="0"/>
        <w:rPr>
          <w:noProof/>
        </w:rPr>
      </w:pPr>
      <w:r>
        <w:rPr>
          <w:noProof/>
        </w:rPr>
        <w:t>tekintettel az Európai Tanács következtetéseire,</w:t>
      </w:r>
    </w:p>
    <w:p>
      <w:pPr>
        <w:rPr>
          <w:noProof/>
        </w:rPr>
      </w:pPr>
      <w:r>
        <w:rPr>
          <w:noProof/>
        </w:rPr>
        <w:t>tekintettel a Foglalkoztatási Bizottság véleményére,</w:t>
      </w:r>
    </w:p>
    <w:p>
      <w:pPr>
        <w:rPr>
          <w:noProof/>
        </w:rPr>
      </w:pPr>
      <w:r>
        <w:rPr>
          <w:noProof/>
        </w:rPr>
        <w:t>tekintettel a Gazdasági és Pénzügyi Bizottság véleményére,</w:t>
      </w:r>
    </w:p>
    <w:p>
      <w:pPr>
        <w:rPr>
          <w:noProof/>
        </w:rPr>
      </w:pPr>
      <w:r>
        <w:rPr>
          <w:noProof/>
        </w:rPr>
        <w:t>tekintettel a szociális védelemmel foglalkozó bizottság véleményére,</w:t>
      </w:r>
    </w:p>
    <w:p>
      <w:pPr>
        <w:rPr>
          <w:noProof/>
        </w:rPr>
      </w:pPr>
      <w:r>
        <w:rPr>
          <w:noProof/>
        </w:rPr>
        <w:t>tekintettel a Gazdaságpolitikai Bizottság véleményére,</w:t>
      </w:r>
    </w:p>
    <w:p>
      <w:pPr>
        <w:rPr>
          <w:noProof/>
        </w:rPr>
      </w:pPr>
      <w:r>
        <w:rPr>
          <w:noProof/>
        </w:rPr>
        <w:t>mivel: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A Bizottság 2015. november 26-án elfogadta az éves növekedési jelentést</w:t>
      </w:r>
      <w:r>
        <w:rPr>
          <w:rStyle w:val="FootnoteReference"/>
          <w:noProof/>
        </w:rPr>
        <w:footnoteReference w:id="5"/>
      </w:r>
      <w:r>
        <w:rPr>
          <w:noProof/>
        </w:rPr>
        <w:t>, amely elindította a gazdaságpolitikai koordináció 2016. évi európai szemeszterét. Az éves növekedési jelentés prioritásait az Európai Tanács 2016. március 17–18-án elfogadta. A Bizottság az 1176/2011/EU rendelet alapján 2015. november 26-án elfogadta a riasztási mechanizmus keretében készült jelentést</w:t>
      </w:r>
      <w:r>
        <w:rPr>
          <w:rStyle w:val="FootnoteReference"/>
          <w:noProof/>
        </w:rPr>
        <w:footnoteReference w:id="6"/>
      </w:r>
      <w:r>
        <w:rPr>
          <w:noProof/>
        </w:rPr>
        <w:t>, amelyben Ausztriát azon tagállamok közé sorolta, amelyek vonatkozásában részletes vizsgálatra kerül sor. A Bizottság szintén ugyanezen a napon az euróövezet gazdaságpolitikájáról szóló tanácsi ajánlásra vonatkozó ajánlást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fogadott el. Az ajánlást az Európai Tanács 2016. február 18–19-én jóváhagyta, majd a Tanács 2016. március 8-án elfogadta. </w:t>
      </w:r>
      <w:r>
        <w:rPr>
          <w:noProof/>
        </w:rPr>
        <w:lastRenderedPageBreak/>
        <w:t>Olyan országként, amelynek pénzneme az euró, valamint tekintettel a gazdaságok közötti szoros kapcsolatra a gazdasági és monetáris unión belül, Ausztriának gondoskodnia kell az ajánlás teljes körű és megfelelő időben történő végrehajtásáról.</w:t>
      </w:r>
    </w:p>
    <w:p>
      <w:pPr>
        <w:pStyle w:val="Point0number"/>
        <w:rPr>
          <w:noProof/>
        </w:rPr>
      </w:pPr>
      <w:r>
        <w:rPr>
          <w:noProof/>
        </w:rPr>
        <w:t>2015. február 26-án közzétették az Ausztriára vonatkozó 2016. évi országjelentést</w:t>
      </w:r>
      <w:r>
        <w:rPr>
          <w:rStyle w:val="FootnoteReference"/>
          <w:noProof/>
        </w:rPr>
        <w:footnoteReference w:id="8"/>
      </w:r>
      <w:r>
        <w:rPr>
          <w:noProof/>
        </w:rPr>
        <w:t>, amely értékelte az Ausztria által tett előrelépéseket a Tanács által 2015. július 14-én elfogadott országspecifikus ajánlások kezelése, valamint az Európa 2020 stratégia nemzeti szintre lebontott célkitűzéseinek teljesítése terén. Az országjelentés emellett magában foglalta az 1176/2011/EU rendelet 5. cikke szerinti részletes vizsgálatot is. 2016. március 8-án a Bizottság bemutatta a részletes vizsgálat eredményeit.</w:t>
      </w:r>
      <w:r>
        <w:rPr>
          <w:rStyle w:val="FootnoteReference"/>
          <w:noProof/>
        </w:rPr>
        <w:t xml:space="preserve"> 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Vizsgálata alapján a Bizottság arra a következtetésre jutott, hogy Ausztriában makrogazdasági egyensúlyhiány áll fenn. </w:t>
      </w:r>
    </w:p>
    <w:p>
      <w:pPr>
        <w:pStyle w:val="Point0number"/>
        <w:rPr>
          <w:noProof/>
        </w:rPr>
      </w:pPr>
      <w:r>
        <w:rPr>
          <w:noProof/>
        </w:rPr>
        <w:t>Ausztria 2016. április 26-án benyújtotta 2016. évi nemzeti reformprogramját és 2016. április 27-én 2016. évi stabilitási programját. A kapcsolódási pontok figyelembevétele érdekében a két program értékelésére egyidejűleg került sor.</w:t>
      </w:r>
    </w:p>
    <w:p>
      <w:pPr>
        <w:pStyle w:val="Point0number"/>
        <w:rPr>
          <w:noProof/>
        </w:rPr>
      </w:pPr>
      <w:r>
        <w:rPr>
          <w:noProof/>
        </w:rPr>
        <w:t>A vonatkozó országspecifikus ajánlásokat az európai strukturális és beruházási alapok 2014–2020 közötti időszakra szóló programozása során kezelték. Az 1303/2013/EU rendelet 23. cikkében előírtaknak megfelelően a Bizottság kérheti egy tagállamtól partnerségi megállapodása és releváns programjai felülvizsgálatát és azokhoz módosítások javaslatát, amennyiben ez szükséges a vonatkozó tanácsi ajánlások végrehajtásának elősegítése érdekében. Az európai strukturális és beruházási alapok eredményességét és a gondos gazdasági kormányzást összekapcsoló intézkedések alkalmazására vonatkozó iránymutatásban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a Bizottság részletesen kifejtette e rendelkezés esetleges alkalmazását.</w:t>
      </w:r>
    </w:p>
    <w:p>
      <w:pPr>
        <w:pStyle w:val="Point0number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A stabilitási program jelzi, hogy a menekültek jelentős beáramlása komoly hatást gyakorolt a költségvetésre, és megfelelő bizonyítékokat tartalmaz e további költségvetési teher méretére és természetére nézve. A Bizottság szerint a támogatható további kiadások a GDP 0,09 %-át tették ki 2015-ben, és a jelenlegi becslések szerint a GDP 0,26 %-át teszik 2016-ban. Ezek az összegek felfelé irányuló módosítást jelentenek a 2016. évi költségvetési terv becsléseihez képest, amely hozzávetőlegesen a GDP 0,08 %-ának, illetve 0,16 %-ának megfelelő további kiadásokat várt  2015-ben, illetve 2016-ban. Az 1466/97/EK rendelet 5. cikkének (1) bekezdésében és 6. cikkének (3) bekezdésében meghatározott rendelkezések lehetővé teszik e többletkiadások fedezését, mivel a menekültek beáramlása olyan rendkívüli esemény, amely jelentős hatást gyakorol Ausztria államháztartására, és a középtávú költségvetési célhoz vezető kiigazítási pályától való eltérés engedélyezése nem veszélyeztetné a fenntarthatóságot. Mivel Ausztria 2015-ben elérte középtávú költségvetési célját, nem élt az átmeneti eltérés lehetőségével. Ugyanakkor annak biztosítása érdekében, hogy  a középtávú költségvetési célt még nem teljesítő országok számára biztosított átmeneti eltérést Ausztria számára is engedélyezzék, Ausztria 2016-ban és 2017-ben a 2015-ben támogatható kiadások összegével eltérhet a középtávú költségvetési céltól. Tekintettel az esetleges további eltérésre 2016 során, 2017 tavaszán a további támogatható összegekre is kiterjedő záró értékelésre </w:t>
      </w:r>
      <w:r>
        <w:rPr>
          <w:noProof/>
        </w:rPr>
        <w:lastRenderedPageBreak/>
        <w:t xml:space="preserve">kerül majd sor az osztrák hatóságok által rendelkezésre bocsátott, megfigyelt adatok alapján. </w:t>
      </w:r>
    </w:p>
    <w:p>
      <w:pPr>
        <w:pStyle w:val="Point0number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Ausztria jelenleg a Stabilitási és Növekedési Paktum prevenciós ágához tartozik, és az átmeneti adósságszabály hatálya alatt van. A 2016. évi stabilitási program szerint a kormány 2016-ra az államháztartási hiány a GDP 1,6 %-ának megfelelő romlását, majd 2020-ra a GDP 0,4 %-ának megfelelő fokozatos javulását várja. A középtávú költségvetési cél – a GDP 0,45 %-ának megfelelő strukturális hiány 2016-ig, majd felülvizsgálatot követően a GDP 0,5 %-ának megfelelő strukturális hiány 2017-tól kezdődően – várhatóan 2018-től kezdődően teljesül. Ugyanakkor az újraszámított strukturális egyenleg alapján a középtávú költségvetési cél először 2019-re lehetne elérhető. A stabilitási program szerint a GDP-arányos államadósság várhatóan a GDP 86,2 %-ának megfelelő értéken tetőzik 2015-ben, majd ezt követően fokozatosan csökken 76,6 %-ra 2020-ban. A költségvetési előrejelzéseket alátámasztó makrogazdasági forgatókönyv megalapozott. Ugyanakkor 2017-tól kezdődően a kitűzött hiánycélok elérésének támogatásához szükséges intézkedések nincsenek kellőképpen kidolgozva. A Bizottság 2016. évi tavaszi előrejelzése alapján bizonyos mértékű eltérés kockázata forog fenn 2016 vonatkozásában. Ha azonban a menekültek rendkívüli beáramlásának betudható, 2016-ra jelenleg előre jelzett további hatás szintén nem képezi az értékelés részét, Ausztria részéről elvárható lenne, hogy megfeleljen a Stabilitási és Növekedési Paktum rendelkezéseinek 2016-ban. Változatlan politika mellett fennáll a veszélye annak, hogy Ausztria 2017-ben jelentősen eltér a javasolt kiigazítástól. Ugyanakkor a tervezett eltérés 2017-ben már nem lenne jelentős, figyelembe véve a további, 2016-ra a menekültek rendkívüli beáramlásával járó költségvetési hatáshoz kapcsolódóan megítélt engedményt. Ausztria 2016-ban várhatóan eleget fog tenni az átmeneti adósságszabálynak, és az átmeneti időszak lejártát követően, 2017-ben meg fog felelni az adósságcsökkentési referenciaértéknek. A stabilitási program értékelése alapján és a Bizottság 2016. tavaszi előrejelzésének figyelembevételével a Tanács véleménye szerint fennáll a kockázata annak, hogy Ausztria nem fog megfelelni a Stabilitási és Növekedési Paktum rendelkezéseinek. Következésképp 2016-ban és 2017-ben további intézkedésekre lesz szükség a megfelelés biztosítása érdekében.</w:t>
      </w:r>
    </w:p>
    <w:p>
      <w:pPr>
        <w:pStyle w:val="Point0number"/>
        <w:rPr>
          <w:noProof/>
        </w:rPr>
      </w:pPr>
      <w:r>
        <w:rPr>
          <w:noProof/>
        </w:rPr>
        <w:t>A közelmúltban bevezetett adóreform költségvetési hatása továbbra is bizonytalansági tényezőt jelent. A költségvetés fenntarthatóságának biztosítására szolgáló intézkedések meghozatala során figyelembe kell venni azt a tényt, hogy a munka adóterhe – a közelmúltbeli reformok ellenére – továbbra is magas, és Ausztria magas adóéket alkalmaz más európai országokkal összehasonlítva. Ugyanakkor nem támaszkodnak eléggé a  növekedésbarátabb adózási forrásokra, amelyek lehetővé teszik a munka adóterhének csökkentését. Segíthetné e probléma kezelését, ha olyan lépésekre kerülne sor, amelyek a munka adóterhét a növekedést kevésbé visszafogó egyéb forrásokra helyeznék át.</w:t>
      </w:r>
    </w:p>
    <w:p>
      <w:pPr>
        <w:pStyle w:val="Point0number"/>
        <w:rPr>
          <w:noProof/>
        </w:rPr>
      </w:pPr>
      <w:r>
        <w:rPr>
          <w:noProof/>
        </w:rPr>
        <w:t xml:space="preserve">A foglalkoztatási ráta 2015-ben az 55–64 évesek körében 46,3 % volt (uniós átlag: 53,3 %), ami tagállami összehasonlításban a 19. helyet eredményezi. A tényleges nyugdíjbavonulási életkor növelésére irányuló kiegészítő intézkedések 2014 óta vannak hatályban, és időközben némi eredménnyel is jártak. Egyelőre nem lehet tudni, hogy ezek az intézkedések a tendencia megfordulásához vezetnek-e majd, mivel a tényleges nyugdíjba vonulási életkor Ausztriában középtávon elmarad az uniós átlagtól. Emellett a várható élettartam növekedésének köszönhetően növekszik a nyugdíjban töltött évek hossza. A nőkre vonatkozó kötelező nyugdíjkorhatár 2024 és 2033 között fokozatosan emelkedik és éri majd el a férfiakét. Ausztriában a kötelező nyugdíjkorhatár nem kapcsolódik a várható élettartam növekedéséhez. Az Európai Bizottság becslése szerint 2040-ben a nyugdíjkiadások 2013-hoz képest a GDP 0,8 %-ával lesznek majd magasabbak. Hosszú távon (2060) a nyugdíjkiadások várhatóan a GDP 0,5 %-ával fognak növekedni. Ehhez hasonlóan várhatóan az egészségügyi kiadások is növekedni fognak: 2013–2040 között a GDP 1 %-ával, míg 2060-ban GDP 1,3 %-ával. Ez, valamint a tartós ápolás-gondozással kapcsolatos kiadások előre jelzett növekedése közepes kockázatot jelent Ausztria költségvetési fenntarthatósága számára. </w:t>
      </w:r>
    </w:p>
    <w:p>
      <w:pPr>
        <w:pStyle w:val="Point0number"/>
        <w:rPr>
          <w:noProof/>
        </w:rPr>
      </w:pPr>
      <w:r>
        <w:rPr>
          <w:noProof/>
        </w:rPr>
        <w:t>A költségvetési intézkedések a különböző kormányzati szinteken (szövetségi, állami és helyi) összetettek, a bevételi és kiadási hatásköröket pedig számos politikai terület tekintetében (pl. egészségügyi ellátás) nem hangolták össze. Míg az OECD 2014-es adatai szerint a szubnacionális kormányzatok politikai feladatai a GDP 16 %-ának megfelelő összesített államháztartási kiadást eredményeznek, a szubnacionális adók csak körülbelül a GDP 2 %-át teszik ki. Ezek az összetett viszonyok költségesek és csökkenthetik a költségvetési fegyelmet. Jelenleg tárgyalások folynak a bevételeknek a kormányzat három szintje közötti, 2017-től kezdődő elosztásáról, amely lehetőséget ad az említett probléma kezelésére.</w:t>
      </w:r>
    </w:p>
    <w:p>
      <w:pPr>
        <w:pStyle w:val="Point0number"/>
        <w:rPr>
          <w:noProof/>
        </w:rPr>
      </w:pPr>
      <w:r>
        <w:rPr>
          <w:noProof/>
        </w:rPr>
        <w:t>A munkanélküliségi ráta Ausztriában hagyományosan az egyik legalacsonyabb az Unión belül. Ugyanakkor 2011 óta folyamatosan növekszik, és 2015-ben elérte a 5,7 %-ot. A fiatalok munkanélküliségi rátája is alacsony: 2015-ben 10,6 % volt az aktív 15–24 évesek körében. Ausztriában a foglalkoztatási ráta is magas. Ugyanakkor annak ellenére, hogy a nők foglalkoztatási aránya 70,2 %, ami az uniós átlag feletti, a nők a gyermekgondozással vagy idősgondozással járó kötelezettségeik miatt viszonylag nagy arányban dolgoznak részmunkaidőben. Ez hozzájárul ahhoz, hogy az Unión belül Ausztriában az egyik legmagasabb a nemek közötti bérkülönbség, és magas a nemek közötti nyugdíjkülönbség is. Az idősebb munkavállalók (55–64 évesek) foglalkoztatási rátája az uniós átlag alatt van.</w:t>
      </w:r>
    </w:p>
    <w:p>
      <w:pPr>
        <w:pStyle w:val="Point0number"/>
        <w:rPr>
          <w:noProof/>
        </w:rPr>
      </w:pPr>
      <w:r>
        <w:rPr>
          <w:noProof/>
        </w:rPr>
        <w:t>Az oktatás területén Ausztria már túllépte az Európa 2020 stratégia nemzeti szintre lebontott célkitűzéseit. 2015-ben a korai iskolaelhagyók aránya 7,3 %, míg a felsőfokú végzettséggel rendelkezők aránya 38,7 % volt. Ugyanakkor az oktatási eredmények erősen függnek a társadalmi-gazdasági háttértől. A nemzedékek közötti mobilitás az oktatásban az egyik legalacsonyabb azon OECD-országok körében, amelyek esetében rendelkezésre állnak adatok. Az iskolaelhagyók körében a külföldi születésű tanulók aránya csaknem a háromszorosa a helyben születettekének, és további kihívást jelent a tanköteles korú fiatal menekültek és migránsok integrálása az oktatási és képzési rendszerbe.</w:t>
      </w:r>
    </w:p>
    <w:p>
      <w:pPr>
        <w:pStyle w:val="Point0number"/>
        <w:rPr>
          <w:noProof/>
        </w:rPr>
      </w:pPr>
      <w:r>
        <w:rPr>
          <w:noProof/>
        </w:rPr>
        <w:t xml:space="preserve">Bár az osztrák bankok a hazai és külföldi piacokon egyaránt kihívásokkal szembesülnek, a nemzeti és európai szintű felügyeleti intézkedések elősegítették a közép-, kelet- és dél-európai eszközminőség-romlásból adódó kockázatok kezelését. Ami a bajban lévő pénzügyi intézmények átszervezését és felszámolását illeti, a költségvetési kockázatokat már figyelembe veszik a költségvetési zárszámadásoknál. Jóllehet a további kockázatok nem zárhatók ki, ezek láthatólag csak a hitelállomány-leépítésre korlátozódnak bizonyos intézmények esetében. </w:t>
      </w:r>
    </w:p>
    <w:p>
      <w:pPr>
        <w:pStyle w:val="Point0number"/>
        <w:rPr>
          <w:noProof/>
        </w:rPr>
      </w:pPr>
      <w:r>
        <w:rPr>
          <w:noProof/>
        </w:rPr>
        <w:t>A beruházási ráta Ausztriában – a lakóépületek kivételével – a GDP minden eleme tekintetében meghaladja az uniós átlagot. Ugyanakkor Ausztriában a beruházások szintje – a szilárd vállalati likviditás és a kedvező finanszírozási feltételek ellenére – 2012 óta gyengélkedik. A beruházások és a növekedés ösztönzése érdekében az összetett adminisztratív eljárásokat és akadályokat meg kell szüntetni. Például a szolgáltatásnyújtás területét érintő szabályozási akadályok és adminisztratív terhek nem kedveznek az új vállalkozások indításának. A több ágazatban tevékenykedő vállalkozások alapítása elé gördített, a 2015. évi országspecifikus ajánlásokban említett akadályok terén Ausztria javító intézkedéseket vett fontolóra, de döntések még nem születtek. Az üzleti szolgáltatások terén sajátos kihívást jelentenek a korlátozó engedélyezési követelmények, valamint a jogi formára és a részesedésre vonatkozó korlátozások, ami alacsony piaci dinamikát és csökkenő termelékenységet eredményez. A kölcsönös értékelést követően Ausztria által benyújtott, a szabályozott szakmákhoz való hozzáférésről, valamint ezek végzéséről szóló cselekvési terv csak korlátozott számú intézkedést javasol, holott egyértelműen lenne lehetőség nagyobb ívű javaslatokat tenni.</w:t>
      </w:r>
    </w:p>
    <w:p>
      <w:pPr>
        <w:pStyle w:val="Point0number"/>
        <w:rPr>
          <w:noProof/>
        </w:rPr>
      </w:pPr>
      <w:r>
        <w:rPr>
          <w:noProof/>
        </w:rPr>
        <w:t>A menekültek jelentős beáramlása az elmúlt évben számos társadalmi és gazdasági következménnyel járt Ausztriára nézve. Bár rövid távon a menekültek beáramlása növelni fogja a közkiadásokat és további belső keresletet teremt, ezáltal növelve a GDP-t, a foglalkoztatásra és növekedésre gyakorolt középtávú hatás a menekültek sikeres munkaerő-piaci és társadalmi integrációján, így az oktatás terén számukra nyújtott támogatáson is múlik. Ezt a kérdést, amely mind uniós, mind tagállami szinten kiemelt szerepet kap a politikai napirenden, szorosan nyomon fogják követni és elemezik majd, többek között a 2017. évi országjelentésben.</w:t>
      </w:r>
    </w:p>
    <w:p>
      <w:pPr>
        <w:pStyle w:val="Point0number"/>
        <w:rPr>
          <w:noProof/>
        </w:rPr>
      </w:pPr>
      <w:r>
        <w:rPr>
          <w:noProof/>
        </w:rPr>
        <w:t xml:space="preserve">Az európai szemeszter keretében a Bizottság elvégezte Ausztria gazdaságpolitikájának átfogó elemzését, és azt közzétette a 2016. évi országjelentésben. A Bizottság értékelte továbbá a stabilitási programot és a nemzeti reformprogramot, valamint az előző években Ausztriának címzett ajánlások nyomon követése terén hozott intézkedéseket. Figyelembe vette nemcsak a programoknak Ausztria fenntartható költségvetési, valamint társadalom- és gazdaságpolitikája szempontjából mutatott jelentőségét, hanem azt is, hogy azok megfelelnek-e az uniós szabályoknak és iránymutatásoknak, tekintve, hogy az Unió átfogó gazdasági kormányzását az uniós szempontoknak a jövőbeli nemzeti döntésekbe való beépítésével kell megerősíteni. Az európai szemeszter keretében tett ajánlásokat </w:t>
      </w:r>
      <w:bookmarkStart w:id="1" w:name="temp"/>
      <w:bookmarkEnd w:id="1"/>
      <w:r>
        <w:rPr>
          <w:noProof/>
        </w:rPr>
        <w:t>az alábbi 1–3. ajánlás tükrözi.</w:t>
      </w:r>
    </w:p>
    <w:p>
      <w:pPr>
        <w:pStyle w:val="Point0number"/>
        <w:rPr>
          <w:noProof/>
        </w:rPr>
      </w:pPr>
      <w:r>
        <w:rPr>
          <w:noProof/>
        </w:rPr>
        <w:t>A Tanács ezen értékelés fényében megvizsgálta a stabilitási programot, és arról alkotott véleményét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mindenekelőtt az alábbi 1. ajánlás tükrözi. </w:t>
      </w:r>
    </w:p>
    <w:p>
      <w:pPr>
        <w:pStyle w:val="Formuledadoption"/>
        <w:rPr>
          <w:noProof/>
        </w:rPr>
      </w:pPr>
      <w:r>
        <w:rPr>
          <w:noProof/>
        </w:rPr>
        <w:t>AJÁNLJA, hogy Ausztria 2016–2017-ben tegyen intézkedéseket a következők érdekében:</w:t>
      </w:r>
    </w:p>
    <w:p>
      <w:pPr>
        <w:pStyle w:val="ManualNumPar1"/>
        <w:rPr>
          <w:noProof/>
        </w:rPr>
      </w:pPr>
      <w:bookmarkStart w:id="2" w:name="_CopyToNewDocument_"/>
      <w:bookmarkEnd w:id="2"/>
      <w:r>
        <w:rPr>
          <w:noProof/>
        </w:rPr>
        <w:t>1.</w:t>
      </w:r>
      <w:r>
        <w:rPr>
          <w:noProof/>
        </w:rPr>
        <w:tab/>
        <w:t>Biztosítsa, hogy a középtávú költségvetési céltól való eltérés 2016-ban és 2017-ben csak a menekültek  2015-ös rendkívüli beáramlásának a költségvetésre gyakorolt hatásához kapcsolódó engedményre korlátozódjon, és ennek érdekében érjen el a GDP 0,3 %-ának megfelelő költségvetési kiigazítást 2017-ben, kivéve azt az esetet, ha a középtávú költségvetési cél ennél mérsékeltebb erőfeszítéssel is elérhető. Biztosítsa az egészségügyi rendszer fenntarthatóságát és a nyugdíjrendszer fenntarthatóságát a törvényes nyugdíjkorhatárnak a várható élettartamhoz való igazítása révén. Egyszerűsítse, ésszerűsítse és korszerűsítse a különböző kormányzati szintek közötti pénzügyi kapcsolatokat és felelősségi köröket.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Javítsa a nők munkaerő-piaci részvételét. Tegyen lépéseket a hátrányos helyzetű, és különösen a migráns háttérrel rendelkező fiatalok tanulmányi eredményeinek javítása érdekében.</w:t>
      </w:r>
    </w:p>
    <w:p>
      <w:pPr>
        <w:pStyle w:val="ManualNumPar1"/>
        <w:keepNext/>
        <w:keepLines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Csökkentse a beruházásokat érintő adminisztratív és szabályozási korlátokat, így például a korlátozó engedélyezési követelményeket, a jogi formára és a részesedésre vonatkozó korlátozásokat, valamint a több ágazatban tevékenykedő vállalkozások létrehozása elé gördített akadályokat, különösen a szolgáltatások területén. </w:t>
      </w:r>
    </w:p>
    <w:p>
      <w:pPr>
        <w:pStyle w:val="Fait"/>
        <w:rPr>
          <w:noProof/>
        </w:rPr>
      </w:pPr>
      <w:r>
        <w:rPr>
          <w:noProof/>
        </w:rPr>
        <w:t>Kelt Brüsszelben, -án/-én.</w:t>
      </w:r>
    </w:p>
    <w:p>
      <w:pPr>
        <w:pStyle w:val="Institutionquisigne"/>
        <w:rPr>
          <w:noProof/>
        </w:rPr>
      </w:pPr>
      <w:r>
        <w:rPr>
          <w:noProof/>
        </w:rPr>
        <w:tab/>
        <w:t>a Tanács részéről</w:t>
      </w:r>
    </w:p>
    <w:p>
      <w:pPr>
        <w:pStyle w:val="Personnequisigne"/>
        <w:rPr>
          <w:noProof/>
        </w:rPr>
      </w:pPr>
      <w:r>
        <w:rPr>
          <w:noProof/>
        </w:rPr>
        <w:tab/>
        <w:t>az elnök</w:t>
      </w:r>
    </w:p>
    <w:sectPr>
      <w:footerReference w:type="default" r:id="rId13"/>
      <w:footerReference w:type="first" r:id="rId14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HL L 209., 1997.8.2., 1. o.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COM(2016) 340 final.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P8_TA(2016)0058, P8_TA(2016)0059 és P8_TA(2016)0060.</w:t>
      </w:r>
    </w:p>
  </w:footnote>
  <w:footnote w:id="5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COM(2015) 690 final.</w:t>
      </w:r>
    </w:p>
  </w:footnote>
  <w:footnote w:id="6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COM(2015) 691 final.</w:t>
      </w:r>
    </w:p>
  </w:footnote>
  <w:footnote w:id="7">
    <w:p>
      <w:pPr>
        <w:pStyle w:val="FootnoteText"/>
        <w:tabs>
          <w:tab w:val="left" w:pos="900"/>
        </w:tabs>
        <w:rPr>
          <w:lang w:val="pt-PT"/>
        </w:rPr>
      </w:pPr>
      <w:r>
        <w:rPr>
          <w:rStyle w:val="FootnoteReference"/>
        </w:rPr>
        <w:footnoteRef/>
      </w:r>
      <w:r>
        <w:tab/>
        <w:t>COM(2015) 692 final.</w:t>
      </w:r>
    </w:p>
  </w:footnote>
  <w:footnote w:id="8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SWD(2016) 88 final.</w:t>
      </w:r>
    </w:p>
  </w:footnote>
  <w:footnote w:id="9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COM(2016) 95 final.</w:t>
      </w:r>
    </w:p>
  </w:footnote>
  <w:footnote w:id="10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COM(2014) 494 final.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Az 1466/97/EK tanácsi rendelet 5. cikkének (2) bekezdése szerint.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B38C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EA4E9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FE602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490F0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FCA0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E4E5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3F463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74239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20 15:57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E9A95C29411243759DFF38AD345A22B8"/>
    <w:docVar w:name="LW_CROSSREFERENCE" w:val="&lt;UNUSED&gt;"/>
    <w:docVar w:name="LW_DocType" w:val="COM"/>
    <w:docVar w:name="LW_EMISSION" w:val="2016.5.18."/>
    <w:docVar w:name="LW_EMISSION_ISODATE" w:val="2016-05-18"/>
    <w:docVar w:name="LW_EMISSION_LOCATION" w:val="BRX"/>
    <w:docVar w:name="LW_EMISSION_PREFIX" w:val="Brüsszel, "/>
    <w:docVar w:name="LW_EMISSION_SUFFIX" w:val=" 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HU"/>
    <w:docVar w:name="LW_MARKING" w:val="&lt;UNUSED&gt;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340"/>
    <w:docVar w:name="LW_REF.INTERNE" w:val="&lt;UNUSED&gt;"/>
    <w:docVar w:name="LW_SOUS.TITRE.OBJ.CP" w:val="&lt;UNUSED&gt;"/>
    <w:docVar w:name="LW_STATUT.CP" w:val="Ajánlás"/>
    <w:docVar w:name="LW_SUPERTITRE" w:val="&lt;UNUSED&gt;"/>
    <w:docVar w:name="LW_TITRE.OBJ.CP" w:val="Ausztria 2016. évi nemzeti reformprogramjáról,_x000b__x000b_amelyben véleményezi Ausztria 2016. évi stabilitási programját"/>
    <w:docVar w:name="LW_TYPE.DOC.CP" w:val="A TANÁCS AJÁNLÁS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1440"/>
      </w:tabs>
      <w:spacing w:after="240"/>
      <w:ind w:left="1440" w:hanging="144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1440"/>
      </w:tabs>
      <w:spacing w:after="240"/>
      <w:ind w:left="1440" w:hanging="144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1440"/>
      </w:tabs>
      <w:spacing w:after="240"/>
      <w:ind w:left="1440" w:hanging="144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1440"/>
      </w:tabs>
      <w:spacing w:after="240"/>
      <w:ind w:left="1440" w:hanging="1440"/>
      <w:outlineLvl w:val="7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character" w:customStyle="1" w:styleId="Heading5Char">
    <w:name w:val="Heading 5 Char"/>
    <w:link w:val="Heading5"/>
    <w:rPr>
      <w:rFonts w:ascii="Times New Roman" w:eastAsia="Calibri" w:hAnsi="Times New Roman" w:cs="Times New Roman"/>
      <w:sz w:val="24"/>
      <w:szCs w:val="20"/>
      <w:lang w:val="hu-HU"/>
    </w:rPr>
  </w:style>
  <w:style w:type="character" w:customStyle="1" w:styleId="Heading6Char">
    <w:name w:val="Heading 6 Char"/>
    <w:link w:val="Heading6"/>
    <w:rPr>
      <w:rFonts w:ascii="Times New Roman" w:eastAsia="Calibri" w:hAnsi="Times New Roman" w:cs="Times New Roman"/>
      <w:sz w:val="24"/>
      <w:szCs w:val="20"/>
      <w:lang w:val="hu-HU"/>
    </w:rPr>
  </w:style>
  <w:style w:type="character" w:customStyle="1" w:styleId="Heading7Char">
    <w:name w:val="Heading 7 Char"/>
    <w:link w:val="Heading7"/>
    <w:rPr>
      <w:rFonts w:ascii="Times New Roman" w:eastAsia="Calibri" w:hAnsi="Times New Roman" w:cs="Times New Roman"/>
      <w:sz w:val="24"/>
      <w:szCs w:val="20"/>
      <w:lang w:val="hu-HU"/>
    </w:rPr>
  </w:style>
  <w:style w:type="character" w:customStyle="1" w:styleId="Heading8Char">
    <w:name w:val="Heading 8 Char"/>
    <w:link w:val="Heading8"/>
    <w:rPr>
      <w:rFonts w:ascii="Times New Roman" w:eastAsia="Calibri" w:hAnsi="Times New Roman" w:cs="Times New Roman"/>
      <w:sz w:val="24"/>
      <w:szCs w:val="20"/>
      <w:lang w:val="hu-HU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</w:pPr>
    <w:rPr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1440"/>
      </w:tabs>
      <w:spacing w:after="240"/>
      <w:ind w:left="1440" w:hanging="144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1440"/>
      </w:tabs>
      <w:spacing w:after="240"/>
      <w:ind w:left="1440" w:hanging="144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1440"/>
      </w:tabs>
      <w:spacing w:after="240"/>
      <w:ind w:left="1440" w:hanging="144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1440"/>
      </w:tabs>
      <w:spacing w:after="240"/>
      <w:ind w:left="1440" w:hanging="1440"/>
      <w:outlineLvl w:val="7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character" w:customStyle="1" w:styleId="Heading5Char">
    <w:name w:val="Heading 5 Char"/>
    <w:link w:val="Heading5"/>
    <w:rPr>
      <w:rFonts w:ascii="Times New Roman" w:eastAsia="Calibri" w:hAnsi="Times New Roman" w:cs="Times New Roman"/>
      <w:sz w:val="24"/>
      <w:szCs w:val="20"/>
      <w:lang w:val="hu-HU"/>
    </w:rPr>
  </w:style>
  <w:style w:type="character" w:customStyle="1" w:styleId="Heading6Char">
    <w:name w:val="Heading 6 Char"/>
    <w:link w:val="Heading6"/>
    <w:rPr>
      <w:rFonts w:ascii="Times New Roman" w:eastAsia="Calibri" w:hAnsi="Times New Roman" w:cs="Times New Roman"/>
      <w:sz w:val="24"/>
      <w:szCs w:val="20"/>
      <w:lang w:val="hu-HU"/>
    </w:rPr>
  </w:style>
  <w:style w:type="character" w:customStyle="1" w:styleId="Heading7Char">
    <w:name w:val="Heading 7 Char"/>
    <w:link w:val="Heading7"/>
    <w:rPr>
      <w:rFonts w:ascii="Times New Roman" w:eastAsia="Calibri" w:hAnsi="Times New Roman" w:cs="Times New Roman"/>
      <w:sz w:val="24"/>
      <w:szCs w:val="20"/>
      <w:lang w:val="hu-HU"/>
    </w:rPr>
  </w:style>
  <w:style w:type="character" w:customStyle="1" w:styleId="Heading8Char">
    <w:name w:val="Heading 8 Char"/>
    <w:link w:val="Heading8"/>
    <w:rPr>
      <w:rFonts w:ascii="Times New Roman" w:eastAsia="Calibri" w:hAnsi="Times New Roman" w:cs="Times New Roman"/>
      <w:sz w:val="24"/>
      <w:szCs w:val="20"/>
      <w:lang w:val="hu-HU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</w:pPr>
    <w:rPr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f1740c95-8c94-4e2b-bb68-099fa8775224">Not Started</EC_Collab_Status>
    <_Status xmlns="http://schemas.microsoft.com/sharepoint/v3/fields">Not Started</_Status>
    <EC_Collab_DocumentLanguage xmlns="f1740c95-8c94-4e2b-bb68-099fa8775224">EN</EC_Collab_DocumentLanguage>
    <EC_Collab_Reference xmlns="f1740c95-8c94-4e2b-bb68-099fa87752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59C034196E3757489169EA8E8E1B4C16" ma:contentTypeVersion="1" ma:contentTypeDescription="Create a new document in this library." ma:contentTypeScope="" ma:versionID="aeddc8888498fa536f50d3e231ff526e">
  <xsd:schema xmlns:xsd="http://www.w3.org/2001/XMLSchema" xmlns:xs="http://www.w3.org/2001/XMLSchema" xmlns:p="http://schemas.microsoft.com/office/2006/metadata/properties" xmlns:ns2="http://schemas.microsoft.com/sharepoint/v3/fields" xmlns:ns3="f1740c95-8c94-4e2b-bb68-099fa8775224" targetNamespace="http://schemas.microsoft.com/office/2006/metadata/properties" ma:root="true" ma:fieldsID="2658a571dec28f573b4d7987cc77c626" ns2:_="" ns3:_="">
    <xsd:import namespace="http://schemas.microsoft.com/sharepoint/v3/fields"/>
    <xsd:import namespace="f1740c95-8c94-4e2b-bb68-099fa877522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40c95-8c94-4e2b-bb68-099fa8775224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3EA8-1F5D-46B7-A2E6-F9C02EB84EB7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f1740c95-8c94-4e2b-bb68-099fa8775224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E94079-39DD-4D85-97AD-69EE0D274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f1740c95-8c94-4e2b-bb68-099fa8775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1D79A-E5C6-40FF-BBB5-EEAF9589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2025</Words>
  <Characters>14175</Characters>
  <Application>Microsoft Office Word</Application>
  <DocSecurity>0</DocSecurity>
  <Lines>225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2016-05-19T22:16:00Z</dcterms:created>
  <dcterms:modified xsi:type="dcterms:W3CDTF">2016-05-20T13:57:00Z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COM/PL/ORG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SG-002</vt:lpwstr>
  </property>
  <property fmtid="{D5CDD505-2E9C-101B-9397-08002B2CF9AE}" pid="8" name="_NewReviewCycle">
    <vt:lpwstr/>
  </property>
  <property fmtid="{D5CDD505-2E9C-101B-9397-08002B2CF9AE}" pid="9" name="DQCStatus">
    <vt:lpwstr>Green (DQC version 03)</vt:lpwstr>
  </property>
</Properties>
</file>