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E012A224D7541A7810C3AD3E28BC556" style="width:450.75pt;height:408.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MOTIVERING</w:t>
      </w:r>
    </w:p>
    <w:p>
      <w:pPr>
        <w:pStyle w:val="ManualHeading1"/>
        <w:rPr>
          <w:noProof/>
        </w:rPr>
      </w:pPr>
      <w:r>
        <w:rPr>
          <w:noProof/>
        </w:rPr>
        <w:t>1.</w:t>
      </w:r>
      <w:r>
        <w:rPr>
          <w:noProof/>
        </w:rPr>
        <w:tab/>
        <w:t>BAKGRUND TILL FÖRSLAGET</w:t>
      </w:r>
    </w:p>
    <w:p>
      <w:pPr>
        <w:pStyle w:val="ManualHeading2"/>
        <w:rPr>
          <w:noProof/>
        </w:rPr>
      </w:pPr>
      <w:r>
        <w:rPr>
          <w:noProof/>
        </w:rPr>
        <w:t>1.1</w:t>
      </w:r>
      <w:r>
        <w:rPr>
          <w:noProof/>
        </w:rPr>
        <w:tab/>
        <w:t>Bakgrund</w:t>
      </w:r>
    </w:p>
    <w:p>
      <w:pPr>
        <w:rPr>
          <w:noProof/>
        </w:rPr>
      </w:pPr>
      <w:r>
        <w:rPr>
          <w:noProof/>
        </w:rPr>
        <w:t>EU:s konsumenter och e-handlare utnyttjar inte den inre marknaden fullt ut. Under 2014 handlade endast 15 % av konsumenterna på nätet från andra EU-länder, medan 44 % handlade på nätet inom sitt eget land. Mer än tre fjärdedelar (84 %) av försäljningen på nätet 2014 kom från det land där det säljande företaget hade sitt säte</w:t>
      </w:r>
      <w:r>
        <w:rPr>
          <w:rStyle w:val="FootnoteReference"/>
          <w:noProof/>
        </w:rPr>
        <w:footnoteReference w:id="2"/>
      </w:r>
      <w:r>
        <w:rPr>
          <w:noProof/>
        </w:rPr>
        <w:t>. Av en studie från Europaparlamentet framgår att det potentiella bidraget till EU:s BNP för att uppnå en fullt fungerande digital inre marknad skulle vara i storleksordningen 415 miljarder euro</w:t>
      </w:r>
      <w:r>
        <w:rPr>
          <w:rStyle w:val="FootnoteReference"/>
          <w:noProof/>
        </w:rPr>
        <w:footnoteReference w:id="3"/>
      </w:r>
      <w:r>
        <w:rPr>
          <w:noProof/>
        </w:rPr>
        <w:t>. Vinsterna från gränsöverskridande e-handel uppskattas till 0,27 % av BNP</w:t>
      </w:r>
      <w:r>
        <w:rPr>
          <w:rStyle w:val="FootnoteReference"/>
          <w:noProof/>
        </w:rPr>
        <w:footnoteReference w:id="4"/>
      </w:r>
      <w:r>
        <w:rPr>
          <w:noProof/>
        </w:rPr>
        <w:t>. Den gränsöverskridande e-handeln gynnar också direkt medborgarna och företagen genom att de får åtnjuta ett större utbud av varor och tjänster till lägre priser på grund av ökad priskonkurrens.</w:t>
      </w:r>
    </w:p>
    <w:p>
      <w:pPr>
        <w:rPr>
          <w:noProof/>
        </w:rPr>
      </w:pPr>
      <w:r>
        <w:rPr>
          <w:noProof/>
        </w:rPr>
        <w:t xml:space="preserve">Det finns flera skäl till att man inte köper från eller säljer till andra medlemsstater. I kommissionens meddelande </w:t>
      </w:r>
      <w:r>
        <w:rPr>
          <w:i/>
          <w:noProof/>
        </w:rPr>
        <w:t>En strategi för en inre digital marknad i Europa</w:t>
      </w:r>
      <w:r>
        <w:rPr>
          <w:rStyle w:val="FootnoteReference"/>
          <w:noProof/>
        </w:rPr>
        <w:footnoteReference w:id="5"/>
      </w:r>
      <w:r>
        <w:rPr>
          <w:noProof/>
        </w:rPr>
        <w:t xml:space="preserve"> anges en rad åtgärder för att förbättra konsumenters och företags tillgång till digitala varor och tjänster i hela Europa. Dessa åtgärder innefattar att man ska ta itu med geografisk diskriminering och andra typer av diskriminering som grundas på hemvist eller nationalitet</w:t>
      </w:r>
      <w:r>
        <w:rPr>
          <w:rStyle w:val="FootnoteReference"/>
          <w:noProof/>
        </w:rPr>
        <w:footnoteReference w:id="6"/>
      </w:r>
      <w:r>
        <w:rPr>
          <w:noProof/>
        </w:rPr>
        <w:t>, att man ytterligare harmoniserar regler för konsumentavtal om nätförsäljning och annan distansförsäljning av varor och tillhandahållandet av digitalt innehåll och att man ser över förordningen om konsumentskyddssamarbete.</w:t>
      </w:r>
    </w:p>
    <w:p>
      <w:pPr>
        <w:rPr>
          <w:noProof/>
        </w:rPr>
      </w:pPr>
      <w:r>
        <w:rPr>
          <w:noProof/>
        </w:rPr>
        <w:t>I kommissionens meddelande från 2012 om e-handel</w:t>
      </w:r>
      <w:r>
        <w:rPr>
          <w:rStyle w:val="FootnoteReference"/>
          <w:noProof/>
        </w:rPr>
        <w:footnoteReference w:id="7"/>
      </w:r>
      <w:r>
        <w:rPr>
          <w:noProof/>
        </w:rPr>
        <w:t xml:space="preserve"> fastställdes att förbättring av den fysiska leveransen av varor som beställs via nätet är en av de viktigaste aspekterna för att e-handeln ska kunna växa. Följaktligen innehåller kommissionens färdplan för paketleveranser från 2013</w:t>
      </w:r>
      <w:r>
        <w:rPr>
          <w:rStyle w:val="FootnoteReference"/>
          <w:noProof/>
        </w:rPr>
        <w:footnoteReference w:id="8"/>
      </w:r>
      <w:r>
        <w:rPr>
          <w:noProof/>
        </w:rPr>
        <w:t xml:space="preserve"> åtgärder för att följande tre mål ska nås: i) större öppenhet och mer information för alla aktörer i e-handelns värdekedja. ii) tillgängligare leveranslösningar med högre kvalitet och till överkomligare priser samt iii) bättre klagomålshantering och ökade gottgörelsemöjligheter för konsumenterna. Vissa förbättringar har gjorts i fråga om i) tjänstekvalitet, inbegripet ett initiativ om driftskompatibilitet från tillhandahållare av samhällsomfattande tjänster och en fjärde begäran om standardisering till CEN/TC331</w:t>
      </w:r>
      <w:r>
        <w:rPr>
          <w:rStyle w:val="FootnoteReference"/>
          <w:noProof/>
        </w:rPr>
        <w:footnoteReference w:id="9"/>
      </w:r>
      <w:r>
        <w:rPr>
          <w:noProof/>
        </w:rPr>
        <w:t xml:space="preserve"> och ii) tillhandahållandet av information till konsumenterna genom utveckling av en europeisk förtroendemärkning för näthandel</w:t>
      </w:r>
      <w:r>
        <w:rPr>
          <w:rStyle w:val="FootnoteReference"/>
          <w:noProof/>
        </w:rPr>
        <w:footnoteReference w:id="10"/>
      </w:r>
      <w:r>
        <w:rPr>
          <w:noProof/>
        </w:rPr>
        <w:t>. Det krävs dock kompletterande åtgärder när det gäller prisinsyn och förbättrad tillsyn, eftersom priserna för vissa gränsöverskridande tjänster fortfarande är höga och inte alla nationella tillsynsmyndigheter kan samla in de uppgifter som behövs för att övervaka hur marknaderna för paket</w:t>
      </w:r>
      <w:r>
        <w:rPr>
          <w:rStyle w:val="FootnoteReference"/>
          <w:noProof/>
        </w:rPr>
        <w:footnoteReference w:id="11"/>
      </w:r>
      <w:r>
        <w:rPr>
          <w:noProof/>
        </w:rPr>
        <w:t xml:space="preserve"> utvecklas på grund av skillnader i befogenheter och i definitionen av pakettjänster. När den gällande europeiska rättsliga ramen för posttjänster, dvs. direktiv 97/67/EG, fastställdes låg fokus främst på brevförsändelser, och de flesta paketleveranstjänster omfattades inte av samhällsomfattande tjänster</w:t>
      </w:r>
      <w:r>
        <w:rPr>
          <w:rStyle w:val="FootnoteReference"/>
          <w:noProof/>
        </w:rPr>
        <w:footnoteReference w:id="12"/>
      </w:r>
      <w:r>
        <w:rPr>
          <w:noProof/>
        </w:rPr>
        <w:t>, medan brev i dag utgör mindre än hälften av den europeiska postsektorns inkomster</w:t>
      </w:r>
      <w:r>
        <w:rPr>
          <w:rStyle w:val="FootnoteReference"/>
          <w:noProof/>
        </w:rPr>
        <w:footnoteReference w:id="13"/>
      </w:r>
      <w:r>
        <w:rPr>
          <w:noProof/>
        </w:rPr>
        <w:t xml:space="preserve">. </w:t>
      </w:r>
    </w:p>
    <w:p>
      <w:pPr>
        <w:rPr>
          <w:noProof/>
        </w:rPr>
      </w:pPr>
      <w:r>
        <w:rPr>
          <w:noProof/>
        </w:rPr>
        <w:t>Konsumenter och småföretag rapporterar att problem med paketleveranser, särskilt höga priser, hindrar dem från att sälja mer till eller köpa mer från andra medlemsstater</w:t>
      </w:r>
      <w:r>
        <w:rPr>
          <w:rStyle w:val="FootnoteReference"/>
          <w:noProof/>
        </w:rPr>
        <w:footnoteReference w:id="14"/>
      </w:r>
      <w:r>
        <w:rPr>
          <w:noProof/>
        </w:rPr>
        <w:t>. Forskning visar att de offentliggjorda gränsöverskridande priser som tillhandahållare av samhällsomfattande tjänster tar ut ofta är mellan tre och fem gånger högre än inrikes motsvarigheter</w:t>
      </w:r>
      <w:r>
        <w:rPr>
          <w:rStyle w:val="FootnoteReference"/>
          <w:noProof/>
        </w:rPr>
        <w:footnoteReference w:id="15"/>
      </w:r>
      <w:r>
        <w:rPr>
          <w:noProof/>
        </w:rPr>
        <w:t xml:space="preserve"> och att dessa skillnader inte kan förklaras av arbetskostnader eller andra kostnader i det mottagande landet. Priserna för till synes liknande avsändarmedlemsstater på jämförbara avstånd varierar ibland avsevärt utan uppenbara kostnadsfaktorer.</w:t>
      </w:r>
    </w:p>
    <w:p>
      <w:pPr>
        <w:rPr>
          <w:noProof/>
        </w:rPr>
      </w:pPr>
      <w:r>
        <w:rPr>
          <w:noProof/>
        </w:rPr>
        <w:t>Det finns många skäl till att priserna är höga för gränsöverskridande paketleveranser. För det första kännetecknas marknaden för gränsöverskridande paketleveranser av förhållandevis stora hinder för att komma in på marknaden (t.ex. icke-återvinningsbara kostnader). Dessa kan begränsa ett geografiskt vidsträckt och konkurrensutsatt marknadsinträde, eftersom operatörerna drabbas av höga fasta kostnader vid utvecklingen av stora leveransnätverk (och regelmässiga eller fasta tjänster). Om konkurrens förekommer riktar den in sig på avsändare av stora volymer, t.ex. större e-handlare, som har möjlighet att förhandla om priser med leverantörer som bygger på individuella rabatter. Mindre detaljhandlare och enskilda konsumenter (som ofta inte skickar tillräckligt stora volymer för att kunna bli berättigade till individuellt förhandlade rabatter</w:t>
      </w:r>
      <w:r>
        <w:rPr>
          <w:rStyle w:val="FootnoteReference"/>
          <w:noProof/>
        </w:rPr>
        <w:footnoteReference w:id="16"/>
      </w:r>
      <w:r>
        <w:rPr>
          <w:noProof/>
        </w:rPr>
        <w:t>) betalar betydligt högre offentliggjorda</w:t>
      </w:r>
      <w:r>
        <w:rPr>
          <w:rStyle w:val="FootnoteReference"/>
          <w:noProof/>
        </w:rPr>
        <w:footnoteReference w:id="17"/>
      </w:r>
      <w:r>
        <w:rPr>
          <w:noProof/>
        </w:rPr>
        <w:t xml:space="preserve"> priser för gränsöverskridande paketleveranser och betjänas av färre operatörer, framför allt i avlägsna områden</w:t>
      </w:r>
      <w:r>
        <w:rPr>
          <w:rStyle w:val="FootnoteReference"/>
          <w:noProof/>
        </w:rPr>
        <w:footnoteReference w:id="18"/>
      </w:r>
      <w:r>
        <w:rPr>
          <w:noProof/>
        </w:rPr>
        <w:t>, där det till och med är möjligt att endast tillhandahållaren av samhällsomfattande tjänster levererar utan tilläggsavgifter</w:t>
      </w:r>
      <w:r>
        <w:rPr>
          <w:rStyle w:val="FootnoteReference"/>
          <w:noProof/>
        </w:rPr>
        <w:footnoteReference w:id="19"/>
      </w:r>
      <w:r>
        <w:rPr>
          <w:noProof/>
        </w:rPr>
        <w:t>.</w:t>
      </w:r>
    </w:p>
    <w:p>
      <w:pPr>
        <w:rPr>
          <w:noProof/>
        </w:rPr>
      </w:pPr>
      <w:r>
        <w:rPr>
          <w:noProof/>
        </w:rPr>
        <w:t>För det andra skapar ineffektiv, inkonsekvent eller obefintlig tillsyn hinder för den inre marknaden. Skilda nationella regelverk och skillnader i hur medlemsstaterna har genomfört direktiv 97/67/EG har resulterat i att många nationella tillsynsmyndigheter fått ett begränsat mandat att övervaka marknaden för gränsöverskridande paketleveranser. De saknar därför den information som krävs för att kunna identifiera eventuella marknadsmisslyckanden och rättsliga frågor. Fragmenteringen när det gäller regelverk för post skapar också svårigheter för tillhandahållare av gränsöverskridande paketleveranstjänster.</w:t>
      </w:r>
    </w:p>
    <w:p>
      <w:pPr>
        <w:rPr>
          <w:noProof/>
        </w:rPr>
      </w:pPr>
      <w:r>
        <w:rPr>
          <w:noProof/>
        </w:rPr>
        <w:t>För det tredje saknas ständigt information om marknaden för paketleveranser, inbegripet tillgängliga tjänster, tillhandahållare och priser. Många företag och privatpersoner känner bara till ett fåtal av de operatörer som finns och använder oftast i brist på bättre tillhandahållaren av samhällsomfattande tjänster. Detta gör det svårare för nya operatörer att vinna marknadsandelar och minskar konkurrenstrycket på befintliga operatörer, vilket leder till färre incitament för att förbättra tjänsternas kvalitet och till högre priser. För att ta itu med bristen på information använder kommissionen Cosme</w:t>
      </w:r>
      <w:r>
        <w:rPr>
          <w:rStyle w:val="FootnoteReference"/>
          <w:noProof/>
        </w:rPr>
        <w:footnoteReference w:id="20"/>
      </w:r>
      <w:r>
        <w:rPr>
          <w:noProof/>
        </w:rPr>
        <w:t xml:space="preserve"> för att finansiera och stödja utvecklingen av en plattform för information om leveranstjänster. Detta kommer att hjälpa e-handlarna att bli bättre underrättade om tänkbara leveransalternativ och att göra bättre val. Plattformen förväntas också att på medellång sikt utforma ett sätt att göra det möjligt för mindre avsändare att sammanföra sina försändelser, vilket kan göra dem berättigade till lägre priser. Den särskilda webbplats som kommissionen ska inrätta enligt bestämmelserna i denna förordning kommer att innehålla en särskild länk till denna plattform. </w:t>
      </w:r>
    </w:p>
    <w:p>
      <w:pPr>
        <w:rPr>
          <w:noProof/>
        </w:rPr>
      </w:pPr>
      <w:r>
        <w:rPr>
          <w:noProof/>
        </w:rPr>
        <w:t>Slutligen debiterar vissa e-handlare sina kunder mer för leveransen än vad de själva betalar</w:t>
      </w:r>
      <w:r>
        <w:rPr>
          <w:rStyle w:val="FootnoteReference"/>
          <w:noProof/>
        </w:rPr>
        <w:footnoteReference w:id="21"/>
      </w:r>
      <w:r>
        <w:rPr>
          <w:noProof/>
        </w:rPr>
        <w:t>. Prishöjningar verkar vara högre när man skickar till andra länder eller till avlägsna eller perifera områden inom ett land, till exempel öar. Även om vissa leverantörer tar ut högre priser för leveranserna till mer avlägsna områden, gäller inte detta alla. De flesta tillhandahållare av samhällsomfattande tjänster har en enhetlig taxa i hela sitt nationella territorium</w:t>
      </w:r>
      <w:r>
        <w:rPr>
          <w:rStyle w:val="FootnoteReference"/>
          <w:noProof/>
        </w:rPr>
        <w:footnoteReference w:id="22"/>
      </w:r>
      <w:r>
        <w:rPr>
          <w:noProof/>
        </w:rPr>
        <w:t>.</w:t>
      </w:r>
    </w:p>
    <w:p>
      <w:pPr>
        <w:pStyle w:val="ManualHeading2"/>
        <w:rPr>
          <w:noProof/>
        </w:rPr>
      </w:pPr>
      <w:r>
        <w:rPr>
          <w:noProof/>
        </w:rPr>
        <w:t>1.2</w:t>
      </w:r>
      <w:r>
        <w:rPr>
          <w:noProof/>
        </w:rPr>
        <w:tab/>
        <w:t xml:space="preserve">Mål </w:t>
      </w:r>
    </w:p>
    <w:p>
      <w:pPr>
        <w:spacing w:after="0"/>
        <w:rPr>
          <w:noProof/>
        </w:rPr>
      </w:pPr>
      <w:r>
        <w:rPr>
          <w:noProof/>
        </w:rPr>
        <w:t>Det övergripande målet med denna förordning är att ta itu med specifika frågor som rör gränsöverskridande paketleveranstjänster. Den kompletterar därmed de ovannämnda verksamheter som rör näringsliv, tillsyn och standardisering. Dessutom grundas den på och kompletterar bestämmelserna om gränsöverskridande paketleveranstjänster som tillhandahålls genom direktiv 97/67/EG</w:t>
      </w:r>
      <w:r>
        <w:rPr>
          <w:rStyle w:val="FootnoteReference"/>
          <w:noProof/>
        </w:rPr>
        <w:footnoteReference w:id="23"/>
      </w:r>
      <w:r>
        <w:rPr>
          <w:noProof/>
        </w:rPr>
        <w:t>, ändrat genom direktiv 2002/39/EG</w:t>
      </w:r>
      <w:r>
        <w:rPr>
          <w:rStyle w:val="FootnoteReference"/>
          <w:noProof/>
        </w:rPr>
        <w:footnoteReference w:id="24"/>
      </w:r>
      <w:r>
        <w:rPr>
          <w:noProof/>
        </w:rPr>
        <w:t xml:space="preserve"> och direktiv 2008/6/EG</w:t>
      </w:r>
      <w:r>
        <w:rPr>
          <w:rStyle w:val="FootnoteReference"/>
          <w:noProof/>
        </w:rPr>
        <w:footnoteReference w:id="25"/>
      </w:r>
      <w:r>
        <w:rPr>
          <w:noProof/>
        </w:rPr>
        <w:t xml:space="preserve"> (nedan kallat </w:t>
      </w:r>
      <w:r>
        <w:rPr>
          <w:i/>
          <w:noProof/>
        </w:rPr>
        <w:t>direktiv 97/67/EG</w:t>
      </w:r>
      <w:r>
        <w:rPr>
          <w:noProof/>
        </w:rPr>
        <w:t>).</w:t>
      </w:r>
    </w:p>
    <w:p>
      <w:pPr>
        <w:rPr>
          <w:noProof/>
        </w:rPr>
      </w:pPr>
      <w:r>
        <w:rPr>
          <w:noProof/>
        </w:rPr>
        <w:t xml:space="preserve">Förslaget har följande särskilda mål: </w:t>
      </w:r>
    </w:p>
    <w:p>
      <w:pPr>
        <w:rPr>
          <w:noProof/>
        </w:rPr>
      </w:pPr>
      <w:r>
        <w:rPr>
          <w:noProof/>
        </w:rPr>
        <w:t xml:space="preserve">1) Få marknaderna att fungera effektivare. Detta ska ske genom att a) göra tillsynen av paketmarknaderna mer effektiv och konsekvent och b) främja konkurrensen.  </w:t>
      </w:r>
    </w:p>
    <w:p>
      <w:pPr>
        <w:rPr>
          <w:noProof/>
        </w:rPr>
      </w:pPr>
      <w:r>
        <w:rPr>
          <w:noProof/>
        </w:rPr>
        <w:t xml:space="preserve">2) Stärka öppenheten om taxor för att a) minska omotiverade prisskillnader och b) sänka de taxor som privatpersoner och småföretag betalar, särskilt i avlägsna områden. </w:t>
      </w:r>
    </w:p>
    <w:p>
      <w:pPr>
        <w:rPr>
          <w:noProof/>
        </w:rPr>
      </w:pPr>
      <w:r>
        <w:rPr>
          <w:noProof/>
        </w:rPr>
        <w:t xml:space="preserve">Dessa särskilda mål bidrar till målen för den vidare digitala inre marknaden att öka den gränsöverskridande e-handeln och den digitala delaktigheten. </w:t>
      </w:r>
    </w:p>
    <w:p>
      <w:pPr>
        <w:pStyle w:val="ManualHeading2"/>
        <w:rPr>
          <w:noProof/>
        </w:rPr>
      </w:pPr>
      <w:r>
        <w:rPr>
          <w:noProof/>
        </w:rPr>
        <w:t>1.3</w:t>
      </w:r>
      <w:r>
        <w:rPr>
          <w:noProof/>
        </w:rPr>
        <w:tab/>
        <w:t>Politisk bakgrund</w:t>
      </w:r>
    </w:p>
    <w:p>
      <w:pPr>
        <w:rPr>
          <w:noProof/>
        </w:rPr>
      </w:pPr>
      <w:r>
        <w:rPr>
          <w:noProof/>
        </w:rPr>
        <w:t>Förbättrat tillträde via nätet till digitala varor och tjänster är en av de tre pelarna i strategin för den digitala inre marknaden och en av de tio prioriteringarna för Junckerkommissionen. I strategin för den digitala inre marknaden åtog sig kommissionen att vidta åtgärder för att förbättra prisinsynen och tillsynen för gränsöverskridande paketleveranser under första halvåret 2016.</w:t>
      </w:r>
    </w:p>
    <w:p>
      <w:pPr>
        <w:rPr>
          <w:noProof/>
        </w:rPr>
      </w:pPr>
      <w:r>
        <w:rPr>
          <w:noProof/>
        </w:rPr>
        <w:t>Vid sitt möte den 25–26 juni 2015 stödde Europeiska rådet strategin för den digitala inre marknaden och bekräftade att den bör användas för att främja tillväxt för alla i EU:s samtliga regioner.</w:t>
      </w:r>
    </w:p>
    <w:p>
      <w:pPr>
        <w:rPr>
          <w:noProof/>
        </w:rPr>
      </w:pPr>
      <w:r>
        <w:rPr>
          <w:noProof/>
        </w:rPr>
        <w:t>EU:s ministrar med ansvar för telefrågor diskuterade strategin för den digitala inre marknaden vid ett möte i rådet (transport, telekommunikation och energi) den 11–12 juni 2015. De välkomnade strategins mål och upprepade att en digitaliserad ekonomi är viktig för att främja sysselsättning och tillväxt samt stärka EU:s konkurrenskraft. Man framhöll att prissättningen för paketleveranser inom EU behöver bli öppnare.</w:t>
      </w:r>
    </w:p>
    <w:p>
      <w:pPr>
        <w:rPr>
          <w:noProof/>
        </w:rPr>
      </w:pPr>
      <w:r>
        <w:rPr>
          <w:noProof/>
        </w:rPr>
        <w:t>I sitt betänkande ”Vägen mot en rättsakt för den digitala inre marknaden”</w:t>
      </w:r>
      <w:r>
        <w:rPr>
          <w:rStyle w:val="FootnoteReference"/>
          <w:noProof/>
        </w:rPr>
        <w:footnoteReference w:id="26"/>
      </w:r>
      <w:r>
        <w:rPr>
          <w:noProof/>
        </w:rPr>
        <w:t xml:space="preserve"> betonade Europaparlamentet att tillgängliga, överkomliga, effektiva och högkvalitativa leveranstjänster är en grundförutsättning för att den gränsöverskridande e-handeln ska blomstra. Man stödde också åtgärder som förbättrar prisinsynen och tillsynen för att marknaderna för gränsöverskridande paketleveranser ska fungera väl.</w:t>
      </w:r>
    </w:p>
    <w:p>
      <w:pPr>
        <w:pStyle w:val="ManualHeading1"/>
        <w:rPr>
          <w:noProof/>
        </w:rPr>
      </w:pPr>
      <w:r>
        <w:rPr>
          <w:noProof/>
        </w:rPr>
        <w:t>2.</w:t>
      </w:r>
      <w:r>
        <w:rPr>
          <w:noProof/>
        </w:rPr>
        <w:tab/>
        <w:t>RESULTAT AV SAMRÅD MED BERÖRDA PARTER OCH KONSEKVENSBEDÖMNINGAR</w:t>
      </w:r>
    </w:p>
    <w:p>
      <w:pPr>
        <w:pStyle w:val="ManualHeading2"/>
        <w:rPr>
          <w:noProof/>
        </w:rPr>
      </w:pPr>
      <w:r>
        <w:rPr>
          <w:noProof/>
        </w:rPr>
        <w:t>2.1</w:t>
      </w:r>
      <w:r>
        <w:rPr>
          <w:noProof/>
        </w:rPr>
        <w:tab/>
        <w:t>De berörda aktörernas synpunkter</w:t>
      </w:r>
    </w:p>
    <w:p>
      <w:pPr>
        <w:pStyle w:val="Footnoterefernce"/>
        <w:rPr>
          <w:rStyle w:val="FootnoteReference"/>
          <w:noProof/>
        </w:rPr>
      </w:pPr>
      <w:r>
        <w:rPr>
          <w:noProof/>
        </w:rPr>
        <w:t>Kommissionen höll ett offentligt samråd om gränsöverskridande paketleveranser mellan maj och augusti 2015 och fick 361 svar. De största problem med leveranserna som konsumenterna rapporterade om var osäkerhet eller brist på valmöjligheter när det gällde datum och klockslag för leveransen, följt av priserna. Över två tredjedelar av de konsumenter som hade övervägt att handla på nätet, men därefter övergett tanken på grund av leveransrelaterade problem hade gjort detta eftersom leveranskostnaderna var höga. Det var särskilt mindre företag som oftast var missnöjda med priserna för leveranstjänsterna. De nationella postoperatörerna ansåg att systemens driftskompatibilitet var den viktigaste aspekt som skulle kunna förbättra leveranstjänsterna, medan många andra leverantörer uppgav att ökad konkurrens skulle leda till framsteg</w:t>
      </w:r>
      <w:r>
        <w:rPr>
          <w:rStyle w:val="FootnoteReference"/>
          <w:noProof/>
        </w:rPr>
        <w:footnoteReference w:id="27"/>
      </w:r>
      <w:r>
        <w:rPr>
          <w:noProof/>
        </w:rPr>
        <w:t>. Svaren på samrådet låg i linje med en rad undersökningsresultat</w:t>
      </w:r>
      <w:r>
        <w:rPr>
          <w:rStyle w:val="FootnoteReference"/>
          <w:noProof/>
        </w:rPr>
        <w:footnoteReference w:id="28"/>
      </w:r>
      <w:r>
        <w:rPr>
          <w:noProof/>
        </w:rPr>
        <w:t>.</w:t>
      </w:r>
    </w:p>
    <w:p>
      <w:pPr>
        <w:autoSpaceDE w:val="0"/>
        <w:autoSpaceDN w:val="0"/>
        <w:adjustRightInd w:val="0"/>
        <w:spacing w:after="0"/>
        <w:rPr>
          <w:noProof/>
        </w:rPr>
      </w:pPr>
      <w:r>
        <w:rPr>
          <w:noProof/>
        </w:rPr>
        <w:t>Vid ett seminarium som hölls för att uppmärksamma 18 månader sedan offentliggörandet av 2013 års färdplan för paketleveranser förklarade e-handlarna att även om de ansåg att utbudet av leveranstjänster hade förbättrats, fanns det mer att göra. De höga taxorna för gränsöverskridande leveranser och returer framhölls som särskilda frågor samt undermålig driftskompatibilitet och bristen på smidighet när det gäller användning (och byte mellan) olika leverantörer. Vid postdirektivkommitténs möte i juni 2015 redogjordes för de olika förhållningssätt som de nationella tillsynsmyndigheterna intar gentemot marknaden för paketleveranser, och även under postdirektivkommitténs tidigare möten har man diskuterat marknaden för gränsöverskridande paketleveranser efter antagandet av 2012 års grönbok.</w:t>
      </w:r>
    </w:p>
    <w:p>
      <w:pPr>
        <w:pStyle w:val="ManualHeading2"/>
        <w:rPr>
          <w:noProof/>
        </w:rPr>
      </w:pPr>
      <w:r>
        <w:rPr>
          <w:noProof/>
        </w:rPr>
        <w:t>2.2</w:t>
      </w:r>
      <w:r>
        <w:rPr>
          <w:noProof/>
        </w:rPr>
        <w:tab/>
        <w:t>Expertis</w:t>
      </w:r>
    </w:p>
    <w:p>
      <w:pPr>
        <w:rPr>
          <w:noProof/>
        </w:rPr>
      </w:pPr>
      <w:r>
        <w:rPr>
          <w:noProof/>
        </w:rPr>
        <w:t>FTI Consulting</w:t>
      </w:r>
      <w:r>
        <w:rPr>
          <w:rStyle w:val="FootnoteReference"/>
          <w:noProof/>
        </w:rPr>
        <w:footnoteReference w:id="29"/>
      </w:r>
      <w:r>
        <w:rPr>
          <w:noProof/>
        </w:rPr>
        <w:t xml:space="preserve"> visade att tillhandahållare av samhällsomfattande tjänster hade marknadsinflytande på marknaden för gränsöverskridande paketleveranser för små och mindre aktiva avsändare. Copenhagen Economics</w:t>
      </w:r>
      <w:r>
        <w:rPr>
          <w:rStyle w:val="FootnoteReference"/>
          <w:noProof/>
        </w:rPr>
        <w:footnoteReference w:id="30"/>
      </w:r>
      <w:r>
        <w:rPr>
          <w:noProof/>
        </w:rPr>
        <w:t xml:space="preserve"> konstaterade att priserna för gränsöverskridande leveranser ofta var mellan tre och fem gånger högre än motsvarigheter inrikes. University of St Louis drog slutsatsen att de priser för gränsöverskridande paketleveranser (som betalas av privatpersoner och småföretag) som tillhandahållare av samhällsomfattande tjänster offentliggjorde var nästan fem gånger högre än deras inhemska motsvarigheter, och att arbetskostnader eller andra kostnader i det mottagande landet statistiskt sett inte verkade påverka de gränsöverskridande prisskillnaderna</w:t>
      </w:r>
      <w:r>
        <w:rPr>
          <w:rStyle w:val="FootnoteReference"/>
          <w:noProof/>
        </w:rPr>
        <w:footnoteReference w:id="31"/>
      </w:r>
      <w:r>
        <w:rPr>
          <w:noProof/>
        </w:rPr>
        <w:t>.</w:t>
      </w:r>
    </w:p>
    <w:p>
      <w:pPr>
        <w:rPr>
          <w:noProof/>
        </w:rPr>
      </w:pPr>
      <w:r>
        <w:rPr>
          <w:noProof/>
        </w:rPr>
        <w:t>Även Europeiska gruppen av tillsynsmyndigheter för posttjänster har behandlat ett antal frågor som rör gränsöverskridande paketleveranser, bland annat rättssystem</w:t>
      </w:r>
      <w:r>
        <w:rPr>
          <w:rStyle w:val="FootnoteReference"/>
          <w:noProof/>
        </w:rPr>
        <w:footnoteReference w:id="32"/>
      </w:r>
      <w:r>
        <w:rPr>
          <w:noProof/>
        </w:rPr>
        <w:t>, marknadens karaktär samt konkurrensen</w:t>
      </w:r>
      <w:r>
        <w:rPr>
          <w:rStyle w:val="FootnoteReference"/>
          <w:noProof/>
        </w:rPr>
        <w:footnoteReference w:id="33"/>
      </w:r>
      <w:r>
        <w:rPr>
          <w:noProof/>
        </w:rPr>
        <w:t xml:space="preserve"> och marknadsanalysen</w:t>
      </w:r>
      <w:r>
        <w:rPr>
          <w:rStyle w:val="FootnoteReference"/>
          <w:noProof/>
        </w:rPr>
        <w:footnoteReference w:id="34"/>
      </w:r>
      <w:r>
        <w:rPr>
          <w:noProof/>
        </w:rPr>
        <w:t>. Under 2015 inrättades en gemensam arbetsgrupp tillsammans Organet för europeiska regleringsmyndigheter för elektronisk kommunikation (Berec) för att se efter om insikter när det gäller lagstiftningen inom sektorn för elektronisk kommunikation skulle kunna överföras till paketsektorn</w:t>
      </w:r>
      <w:r>
        <w:rPr>
          <w:rStyle w:val="FootnoteReference"/>
          <w:noProof/>
        </w:rPr>
        <w:footnoteReference w:id="35"/>
      </w:r>
      <w:r>
        <w:rPr>
          <w:noProof/>
        </w:rPr>
        <w:t>. En studie från Antwerpens universitet har visat att det saknas uppgifter om EU:s paketmarknad</w:t>
      </w:r>
      <w:r>
        <w:rPr>
          <w:rStyle w:val="FootnoteReference"/>
          <w:noProof/>
        </w:rPr>
        <w:footnoteReference w:id="36"/>
      </w:r>
      <w:r>
        <w:rPr>
          <w:noProof/>
        </w:rPr>
        <w:t>.</w:t>
      </w:r>
    </w:p>
    <w:p>
      <w:pPr>
        <w:pStyle w:val="ManualHeading2"/>
        <w:rPr>
          <w:noProof/>
        </w:rPr>
      </w:pPr>
      <w:r>
        <w:rPr>
          <w:noProof/>
        </w:rPr>
        <w:t>2.3</w:t>
      </w:r>
      <w:r>
        <w:rPr>
          <w:noProof/>
        </w:rPr>
        <w:tab/>
        <w:t>Konsekvensbedömning av den föreslagna förordningen</w:t>
      </w:r>
    </w:p>
    <w:p>
      <w:pPr>
        <w:rPr>
          <w:noProof/>
        </w:rPr>
      </w:pPr>
      <w:r>
        <w:rPr>
          <w:noProof/>
        </w:rPr>
        <w:t xml:space="preserve">I linje med sin politik för bättre lagstiftning har kommissionen gjort en konsekvensbedömning av alternativen. </w:t>
      </w:r>
    </w:p>
    <w:p>
      <w:pPr>
        <w:spacing w:after="0"/>
        <w:rPr>
          <w:noProof/>
        </w:rPr>
      </w:pPr>
      <w:r>
        <w:rPr>
          <w:noProof/>
        </w:rPr>
        <w:t>Fem olika alternativ undersöktes. Ytterligare åtgärder som skulle leda till att paketvolymerna från små detaljhandlare sammanförs avvisades eftersom den informationsplattform som stöds av finansieringen genom Cosme förväntas utveckla denna möjlighet för mindre detaljhandlare.  Prisreglering var inte ett alternativ eftersom den riskerar att snedvrida konkurrensen i en komplicerad marknadsmiljö, särskilt med tanke på att det saknas kunskaper om sektorn när det gäller lagstiftningen och marknaden. Dessutom finns det stora skillnader mellan telesektorn och paketsektorn, till exempel i kostnadsstruktur, vilket bekräftas av ERGP:s och Berecs gemensamma rapport. Att behålla nollalternativet förkastades också, eftersom insatserna hittills inte lett till några förbättringar av prisernas överkomlighet eller tillsynen för gränsöverskridande pakettjänster.</w:t>
      </w:r>
    </w:p>
    <w:p>
      <w:pPr>
        <w:spacing w:after="0"/>
        <w:rPr>
          <w:noProof/>
        </w:rPr>
      </w:pPr>
      <w:r>
        <w:rPr>
          <w:noProof/>
        </w:rPr>
        <w:t>Två grupper av alternativ behölls, med fokus på prisinsyn och tillsyn. Ökad insyn i de priser</w:t>
      </w:r>
      <w:r>
        <w:rPr>
          <w:rStyle w:val="FootnoteReference"/>
          <w:noProof/>
        </w:rPr>
        <w:footnoteReference w:id="37"/>
      </w:r>
      <w:r>
        <w:rPr>
          <w:noProof/>
        </w:rPr>
        <w:t xml:space="preserve"> som postoperatörer förhandlar om individuellt med större e-handlare avvisades, eftersom större avsändare kan dra nytta av rabatterade och förhandlade taxor. Att kräva att e-handlarna ska offentliggöra de priser de betalar till leverantörer avfärdades också. Krav på att alla operatörer ska underrätta de nationella tillsynsmyndigheterna om eventuella prisförändringar i förväg tillbakavisades på grund av den administrativa bördan och den eventuella avskräckande effekten på investeringar och innovation. </w:t>
      </w:r>
    </w:p>
    <w:p>
      <w:pPr>
        <w:spacing w:after="0"/>
        <w:rPr>
          <w:noProof/>
        </w:rPr>
      </w:pPr>
      <w:r>
        <w:rPr>
          <w:noProof/>
        </w:rPr>
        <w:t>I konsekvensbedömningen rekommenderas ett åtgärdspaket för att förbättra öppenheten om de taxor som tillhandahållare av samhällsomfattande tjänster använder och stärka tillsynen av alla tillhandahållare av paketleveranstjänster, som kompletterar arbetet med att förbättra kvaliteten på och tillträdet till gränsöverskridande leveranstjänster</w:t>
      </w:r>
      <w:r>
        <w:rPr>
          <w:rStyle w:val="FootnoteReference"/>
          <w:noProof/>
        </w:rPr>
        <w:footnoteReference w:id="38"/>
      </w:r>
      <w:r>
        <w:rPr>
          <w:noProof/>
        </w:rPr>
        <w:t xml:space="preserve">. </w:t>
      </w:r>
    </w:p>
    <w:p>
      <w:pPr>
        <w:spacing w:after="0"/>
        <w:rPr>
          <w:noProof/>
        </w:rPr>
      </w:pPr>
      <w:r>
        <w:rPr>
          <w:noProof/>
        </w:rPr>
        <w:t xml:space="preserve">De rekommenderade alternativen skulle inte få någon direkt eller indirekt negativ samhällelig inverkan. Indirekt skulle ökad e-handel på grund av överkomligare priser för gränsöverskridande leveranser ha en positiv inverkan på tillväxt och sysselsättning och konsumentskydd, särskilt för utsatta användare i perifera områden. </w:t>
      </w:r>
    </w:p>
    <w:p>
      <w:pPr>
        <w:spacing w:after="0"/>
        <w:rPr>
          <w:noProof/>
        </w:rPr>
      </w:pPr>
      <w:r>
        <w:rPr>
          <w:noProof/>
        </w:rPr>
        <w:t>Inga direkta miljökonsekvenser väntas. Indirekt kan ökad marknadseffektivitet på grund av ökad prisinsyn uppväga eventuell negativ inverkan på miljön (t.ex. mer utsläpp från fordon) med positiv inverkan (t.ex. sammanslagning av godstrafik). Ingen negativ inverkan på de grundläggande rättigheterna förväntas.</w:t>
      </w:r>
    </w:p>
    <w:p>
      <w:pPr>
        <w:pStyle w:val="ManualHeading1"/>
        <w:rPr>
          <w:noProof/>
        </w:rPr>
      </w:pPr>
      <w:r>
        <w:rPr>
          <w:noProof/>
        </w:rPr>
        <w:t>3.</w:t>
      </w:r>
      <w:r>
        <w:rPr>
          <w:noProof/>
        </w:rPr>
        <w:tab/>
        <w:t>FÖRSLAGETS RÄTTSLIGA ASPEKTER</w:t>
      </w:r>
    </w:p>
    <w:p>
      <w:pPr>
        <w:pStyle w:val="ManualHeading2"/>
        <w:rPr>
          <w:noProof/>
        </w:rPr>
      </w:pPr>
      <w:r>
        <w:rPr>
          <w:noProof/>
        </w:rPr>
        <w:t>3.1</w:t>
      </w:r>
      <w:r>
        <w:rPr>
          <w:noProof/>
        </w:rPr>
        <w:tab/>
        <w:t>Rättslig grund</w:t>
      </w:r>
    </w:p>
    <w:p>
      <w:pPr>
        <w:rPr>
          <w:noProof/>
        </w:rPr>
      </w:pPr>
      <w:r>
        <w:rPr>
          <w:noProof/>
        </w:rPr>
        <w:t>Förslaget grundar sig på artikel 114 i fördraget om Europeiska unionens funktionssätt, eftersom det rör den inre marknaden för paketleveranstjänster och dess funktion.</w:t>
      </w:r>
    </w:p>
    <w:p>
      <w:pPr>
        <w:pStyle w:val="ManualHeading2"/>
        <w:rPr>
          <w:noProof/>
        </w:rPr>
      </w:pPr>
      <w:r>
        <w:rPr>
          <w:noProof/>
        </w:rPr>
        <w:t>3.2</w:t>
      </w:r>
      <w:r>
        <w:rPr>
          <w:noProof/>
        </w:rPr>
        <w:tab/>
        <w:t>Subsidiaritetsprincipen</w:t>
      </w:r>
    </w:p>
    <w:p>
      <w:pPr>
        <w:spacing w:after="0"/>
        <w:rPr>
          <w:noProof/>
        </w:rPr>
      </w:pPr>
      <w:r>
        <w:rPr>
          <w:noProof/>
        </w:rPr>
        <w:t>Den nuvarande lagstiftningen (direktiv 97/67/EG) har inte genomförts på ett sätt som ger överkomliga gränsöverskridande pakettjänster i hela EU utöver de samhällsomfattande posttjänsterna</w:t>
      </w:r>
      <w:r>
        <w:rPr>
          <w:rStyle w:val="FootnoteReference"/>
          <w:noProof/>
        </w:rPr>
        <w:footnoteReference w:id="39"/>
      </w:r>
      <w:r>
        <w:rPr>
          <w:noProof/>
        </w:rPr>
        <w:t>. Gränsöverskridande leveranser berör definitionsmässigt leveranstjänster i fler än en medlemsstat och kan därför inte övervakas av de nationella tillsynsmyndigheterna som agerar oberoende av varandra och saknar kännedom om leveranskostnaderna i andra medlemsstater, exempelvis de terminalavgiftsandelar som operatören i den mottagande medlemsstaten tar ut av operatören i avsändarmedlemsstaten. Det behövs åtgärder på unionsnivå för att komma till rätta med problemets underliggande orsaker. Nationella tillsynsmyndigheter kommer att ansvara för att fastställa om gränsöverskridande tjänster är överkomliga, med beaktande av marknadsvillkoren i den berörda medlemsstaten.</w:t>
      </w:r>
    </w:p>
    <w:p>
      <w:pPr>
        <w:spacing w:after="0"/>
        <w:rPr>
          <w:noProof/>
        </w:rPr>
      </w:pPr>
      <w:r>
        <w:rPr>
          <w:noProof/>
        </w:rPr>
        <w:t>Även om skillnaderna i nationella regler om tillsynen av paketoperatörer inte är oförenliga med direktiv 97/67/EG, skapar de rättslig osäkerhet och hinder på den inre marknaden för posttjänster. Det behövs åtgärder på unionsnivå för att fastställa minimikrav för tillsyn av alla postoperatörer i hela unionen och därmed undvika fragmentering av lagstiftningen</w:t>
      </w:r>
      <w:r>
        <w:rPr>
          <w:rStyle w:val="FootnoteReference"/>
          <w:noProof/>
        </w:rPr>
        <w:footnoteReference w:id="40"/>
      </w:r>
      <w:r>
        <w:rPr>
          <w:noProof/>
        </w:rPr>
        <w:t>. Subsidiaritetsprincipen respekteras eftersom EU:s ingripande är nödvändigt för att avlägsna specifika hinder på den inre marknaden.</w:t>
      </w:r>
    </w:p>
    <w:p>
      <w:pPr>
        <w:pStyle w:val="ManualHeading2"/>
        <w:rPr>
          <w:noProof/>
        </w:rPr>
      </w:pPr>
      <w:r>
        <w:rPr>
          <w:noProof/>
        </w:rPr>
        <w:t>3.3</w:t>
      </w:r>
      <w:r>
        <w:rPr>
          <w:noProof/>
        </w:rPr>
        <w:tab/>
        <w:t>Proportionalitetsprincipen</w:t>
      </w:r>
    </w:p>
    <w:p>
      <w:pPr>
        <w:spacing w:after="0"/>
        <w:rPr>
          <w:noProof/>
        </w:rPr>
      </w:pPr>
      <w:r>
        <w:rPr>
          <w:noProof/>
        </w:rPr>
        <w:t>De unionsåtgärder som föreslås i denna förordning begränsas till vad som är nödvändigt för att uppnå de fastställda målen. Självreglering för operatörer av paketleveranstjänster har inte lett till förändringar i tillsyn, öppenhet om taxor och påtagliga förbättringar av prisernas överkomlighet för gränsöverskridande paketleveranstjänster för små avsändare.</w:t>
      </w:r>
    </w:p>
    <w:p>
      <w:pPr>
        <w:spacing w:after="0"/>
        <w:rPr>
          <w:noProof/>
        </w:rPr>
      </w:pPr>
      <w:r>
        <w:rPr>
          <w:noProof/>
        </w:rPr>
        <w:t xml:space="preserve">Åtgärderna för en ökad öppenhet om taxorna är proportionerliga, eftersom de är begränsade och huvudsakligen inriktas på de marknadssegment där det finns belägg för begränsade valmöjligheter som, tillsammans med strukturella egenskaper hos marknaderna för gränsöverskridande paketleveranser (t.ex. höga icke-återvinningsbara kostnader, stordriftsfördelar), leder till höga priser för gränsöverskridande leveranstjänster för avsändare av små volymer. De enskilda kommersiellt förhandlade priser som huvudsakligen används av större e-handlare (och som även andra operatörer än tillhandahållare av samhällsomfattande tjänster erbjuder) omfattas inte av åtgärden om prisinsyn, även om kontroller i efterhand av konkurrensen även fortsättningsvis kommer att omfatta alla operatörer och alla marknadssegment. De paket som omfattas av skyldigheten att tillhandahålla samhällsomfattande tjänster, enligt vilken taxorna ska vara överkomliga, kostnadsorienterade, öppna för insyn och icke-diskriminerande, skiljer sig åt mellan medlemsstaterna, så dessa tjänster är inte direkt jämförbara i hela unionen, och tillämpning av direktiv 97/67/EG skulle inte ge önskat resultat. </w:t>
      </w:r>
    </w:p>
    <w:p>
      <w:pPr>
        <w:spacing w:after="0"/>
        <w:rPr>
          <w:noProof/>
        </w:rPr>
      </w:pPr>
      <w:r>
        <w:rPr>
          <w:noProof/>
        </w:rPr>
        <w:t>Småföretag och mikroföretag (leveransföretag med färre än 50 anställda) som endast är etablerade i en medlemsstat kommer att undantas från detta för att minimera den administrativa bördan för de minsta företagen som inte bedriver gränsöverskridande verksamhet. För dem som omfattas av åtgärden kommer denna förordning att ge större säkerhet om rättsliga skyldigheter och undvika fragmentering i hela EU.</w:t>
      </w:r>
    </w:p>
    <w:p>
      <w:pPr>
        <w:pStyle w:val="ManualHeading2"/>
        <w:rPr>
          <w:noProof/>
        </w:rPr>
      </w:pPr>
      <w:r>
        <w:rPr>
          <w:noProof/>
        </w:rPr>
        <w:t>3.4</w:t>
      </w:r>
      <w:r>
        <w:rPr>
          <w:noProof/>
        </w:rPr>
        <w:tab/>
        <w:t>Val av instrument</w:t>
      </w:r>
    </w:p>
    <w:p>
      <w:pPr>
        <w:spacing w:after="0"/>
        <w:rPr>
          <w:noProof/>
        </w:rPr>
      </w:pPr>
      <w:r>
        <w:rPr>
          <w:noProof/>
        </w:rPr>
        <w:t>Kommissionen föreslår en förordning som avlägsnar hindren på den inre marknaden genom en komplettering av befintlig lagstiftning för posttjänster. Den inbegriper framför allt särskilda direkt tillämpliga skyldigheter för de nationella tillsynsmyndigheterna och för tillhandahållare av paketleveranstjänster. Den innehåller även ett system på EU-nivå för att säkerställa insyn och fastställa överkomliga taxor för gränsöverskridande paketleveranser. Vidare innebär en förordning att det blir möjligt att vidta snabba åtgärder och minimerar medlemsstaternas administrativa börda som rör införlivandet, samtidigt som den förhindrar ytterligare fragmentering av regelverket som kan följa av andra rättsliga instrument (t.ex. ett direktiv).</w:t>
      </w:r>
    </w:p>
    <w:p>
      <w:pPr>
        <w:pStyle w:val="ManualHeading2"/>
        <w:rPr>
          <w:noProof/>
        </w:rPr>
      </w:pPr>
      <w:r>
        <w:rPr>
          <w:noProof/>
        </w:rPr>
        <w:t>3.5</w:t>
      </w:r>
      <w:r>
        <w:rPr>
          <w:noProof/>
        </w:rPr>
        <w:tab/>
        <w:t>Förslagets struktur och de viktigaste rättigheterna och skyldigheterna</w:t>
      </w:r>
    </w:p>
    <w:p>
      <w:pPr>
        <w:ind w:firstLine="720"/>
        <w:rPr>
          <w:b/>
          <w:noProof/>
        </w:rPr>
      </w:pPr>
      <w:r>
        <w:rPr>
          <w:b/>
          <w:noProof/>
        </w:rPr>
        <w:t>Syfte, tillämpningsområde och definitioner (artiklarna 1 och 2)</w:t>
      </w:r>
    </w:p>
    <w:p>
      <w:pPr>
        <w:rPr>
          <w:noProof/>
        </w:rPr>
      </w:pPr>
      <w:r>
        <w:rPr>
          <w:noProof/>
        </w:rPr>
        <w:t>Artiklarna 1 och 2 innehåller allmänna bestämmelser om syfte, tillämpningsområde och relevanta definitioner. Definitionerna kompletterar dem i artikel 2 i direktiv 97/67/EG när det gäller paket. De är helt förenliga med dem som fastställts i direktivet. Som föreskrivs i de gällande bestämmelser som har antagits av Världspostföreningen omfattar begreppet terminalavgiftsandel både terminalavgifter (som gäller för brevförsändelser</w:t>
      </w:r>
      <w:r>
        <w:rPr>
          <w:rStyle w:val="FootnoteReference"/>
          <w:noProof/>
        </w:rPr>
        <w:footnoteReference w:id="41"/>
      </w:r>
      <w:r>
        <w:rPr>
          <w:noProof/>
        </w:rPr>
        <w:t>) och avgiftsandelar för ankommande ytpost (som gäller för paket</w:t>
      </w:r>
      <w:r>
        <w:rPr>
          <w:rStyle w:val="FootnoteReference"/>
          <w:noProof/>
        </w:rPr>
        <w:footnoteReference w:id="42"/>
      </w:r>
      <w:r>
        <w:rPr>
          <w:noProof/>
        </w:rPr>
        <w:t>). I linje med gällande praxis har paket som handhas av tillhandahållare av pakettjänster och medlemsstaterna och som omfattas av denna förordning en maximal vikt på 31,5 kg. Denna förordning ska därmed inte gälla för logistik. Den ska inte heller gälla enbart transport, dvs. när den inte sker i samband med insamling, sortering eller utdelning</w:t>
      </w:r>
      <w:r>
        <w:rPr>
          <w:rStyle w:val="FootnoteReference"/>
          <w:noProof/>
        </w:rPr>
        <w:footnoteReference w:id="43"/>
      </w:r>
      <w:r>
        <w:rPr>
          <w:noProof/>
        </w:rPr>
        <w:t>. Dessutom, och helt i linje med motsvarande bestämmelser i direktiv 97/67/EG, framför allt artikel 2.1 och 2.1a</w:t>
      </w:r>
      <w:r>
        <w:rPr>
          <w:rStyle w:val="FootnoteReference"/>
          <w:noProof/>
        </w:rPr>
        <w:footnoteReference w:id="44"/>
      </w:r>
      <w:r>
        <w:rPr>
          <w:noProof/>
        </w:rPr>
        <w:t>, finns det inget krav på att alla åtgärder enligt artikel 2.2a och 2.2b genomförs samtidigt.</w:t>
      </w:r>
    </w:p>
    <w:p>
      <w:pPr>
        <w:ind w:firstLine="720"/>
        <w:rPr>
          <w:b/>
          <w:noProof/>
        </w:rPr>
      </w:pPr>
      <w:r>
        <w:rPr>
          <w:b/>
          <w:noProof/>
        </w:rPr>
        <w:t>Tillhandahållande av information (artikel 3)</w:t>
      </w:r>
    </w:p>
    <w:p>
      <w:pPr>
        <w:rPr>
          <w:noProof/>
        </w:rPr>
      </w:pPr>
      <w:r>
        <w:rPr>
          <w:noProof/>
        </w:rPr>
        <w:t xml:space="preserve">I denna bestämmelse klargörs att tillhandahållande av information till de nationella tillsynsmyndigheterna gäller alla tillhandahållare av paketleveranstjänster med mer än 50 anställda och dem som är etablerade i mer än en medlemsstat. Den ålägger de nationella tillsynsmyndigheterna att övervaka marknaden och samla in ett begränsat antal statistiska uppgifter. Endast större operatörer utöver dem som är etablerade i mer än en medlemsstat och därmed tillhandahållander gränsöverskridande tjänster skulle inbegripas för att se till att de nationella tillsynsmyndigheterna har de grundläggande uppgifter om det paketsortiment som används för e-handel. Enligt bestämmelsen ska alla tillhandahållare av paketleveranser med mer än 50 anställda årligen lämna in ett begränsat antal uppgifter. Syftet är att standardisera och förtydliga de nuvarande fragmenterade rättsliga befogenheterna och bygga på befintlig bästa praxis. Dessutom är dessa mer enhetliga skyldigheter intressanta även för alleuropeiska tillhandahållare av paketleveranstjänster, som i nuläget är underkastade olika medlemstaters skilda krav på information. Även om de grundläggande informationskraven anges i artikel 3, skulle själva formuläret för detta antas genom en genomförandeakt. I detta avseende bör teknisk rådgivning tillhandahållas av Europeiska gruppen av tillsynsmyndigheter för posttjänster, medan kommissionen ska fastställa formuläret. </w:t>
      </w:r>
    </w:p>
    <w:p>
      <w:pPr>
        <w:ind w:firstLine="720"/>
        <w:rPr>
          <w:b/>
          <w:noProof/>
        </w:rPr>
      </w:pPr>
      <w:r>
        <w:rPr>
          <w:b/>
          <w:noProof/>
        </w:rPr>
        <w:t>Insyn i taxor och terminalavgiftsandelar (artikel 4 och bilagan)</w:t>
      </w:r>
    </w:p>
    <w:p>
      <w:pPr>
        <w:rPr>
          <w:bCs/>
          <w:noProof/>
        </w:rPr>
      </w:pPr>
      <w:r>
        <w:rPr>
          <w:noProof/>
        </w:rPr>
        <w:t xml:space="preserve">Artikel 4.1 innehåller en särskild skyldighet för tillhandahållare av samhällsomfattande tjänster att årligen (senast den 31 januari) till den nationella tillsynsmyndigheten lämna in den offentliggjorda prislistan med taxor som gäller den 1 januari varje kalenderår för en viss uppsättning tjänster som anges i bilagan. De 15 postförsändelser som tillhandahålls av tillhandahållare av samhällsomfattande tjänster och anges i bilagan är de mest relevanta och använda postförsändelserna för enskilda kunder och småföretag. Andra tillhandahållare av paketleveranstjänster omfattas inte av denna bestämmelse, också med tanke på att de i princip ägnar sig åt andra marknadssegment (dvs. tjänster mellan företag och större e-handlare). Även om inte alla punkter som ingår i leden a–o i bilagan kan tillhandahållas av alla tillhandahållare av samhällsomfattande tjänster, omfattar listan de mest relevanta icke expressförsändelser som används i nationell och gränsöverskridande e-handel och som i princip är tillgängliga för alla unionsmedborgare, oberoende av deras geografiska placering. Detta tillhandahållande av regelbundna prisuppgifter om taxor till nationella tillsynsmyndigheter ger en obestridlig uppsättning uppgifter som a) offentliggörs på en särskild webbplats som sköts av kommissionen och b) får sin överkomlighet bedömd enligt artikel 5. </w:t>
      </w:r>
    </w:p>
    <w:p>
      <w:pPr>
        <w:rPr>
          <w:bCs/>
          <w:noProof/>
        </w:rPr>
      </w:pPr>
      <w:r>
        <w:rPr>
          <w:noProof/>
        </w:rPr>
        <w:t xml:space="preserve">Denna skyldighet är begränsad till offentliggjorda prislistor med taxor och omfattar därför inte några rabatterade taxor eller individuellt förhandlade taxor (som är föremål för kommersiella överväganden). Kommissionen ska offentliggöra taxorna senast den 30 april varje kalenderår på en särskild sida på kommissionens webbplats Europa. Denna webbplats är inte kommersiell och är inte heller i första hand tänkt att innehålla uppgifter från andra tillhandahållare, inbegripet tillhandahållare av expressbudstjänster. De tillhandahållare av leveranstjänster som inte är tillhandahållare av samhällsomfattande tjänster får dock också frivilligt ange taxorna för sina tjänster på webbplatsen, så länge leveranstjänsterna i fråga är jämförbara och rör leverans till mottagarens hem eller lokaler och så länge andra tillämpliga kriterier är uppfyllda (se även skäl 14). </w:t>
      </w:r>
    </w:p>
    <w:p>
      <w:pPr>
        <w:rPr>
          <w:bCs/>
          <w:noProof/>
        </w:rPr>
      </w:pPr>
      <w:r>
        <w:rPr>
          <w:noProof/>
        </w:rPr>
        <w:t xml:space="preserve">Enligt artikel 4.3 och 4.4 bör tillhandahållarna av samhällsomfattande tjänster årligen lämna in sina terminalavgiftsandelar (dvs. betalningarna från den avsändande tillhandahållaren av samhällsomfattande tjänster till den mottagande tillhandahållaren av samhällsomfattande tjänster för att täcka kostnaderna för transport, sortering och utdelning av gränsöverskridande försändelser i den mottagande medlemsstaten) till de nationella tillsynsmyndigheterna – och de i sin tur till kommissionen. Eftersom dessa uppgifter är kommersiellt känsliga kommer de inte att offentliggöras och kommer endast att utgöra ett underlag för de samlade taxorna. Det är emellertid viktigt att de nationella tillsynsmyndigheterna och kommissionen har tillgång till och kunskap om terminalavgiftsandelarna, eftersom de utgör nödvändigt underlag för bedömningen av överkomligheten enligt artikel 5. Både tillhandahållandet av taxor och terminalavgiftsandelar utgör en mycket begränsad administrativ börda för tillhandahållarna av samhällsomfattande tjänster. </w:t>
      </w:r>
    </w:p>
    <w:p>
      <w:pPr>
        <w:ind w:firstLine="720"/>
        <w:rPr>
          <w:b/>
          <w:noProof/>
        </w:rPr>
      </w:pPr>
      <w:r>
        <w:rPr>
          <w:b/>
          <w:noProof/>
        </w:rPr>
        <w:t xml:space="preserve">Bedömning av taxornas överkomlighet (artikel 5) </w:t>
      </w:r>
    </w:p>
    <w:p>
      <w:pPr>
        <w:rPr>
          <w:noProof/>
        </w:rPr>
      </w:pPr>
      <w:r>
        <w:rPr>
          <w:noProof/>
        </w:rPr>
        <w:t>Artikel 5.1 ålägger nationella tillsynsmyndigheter att bedöma överkomligheten för de taxor som tillhandahållarna av samhällsomfattande tjänster tillämpar och som erhållits enligt artikel 4.1 på grundval av objektiva kriterier. Det vanligaste och viktigaste bidraget till denna bedömning rör en icke uttömmande förteckning i leden a–c. Det inbegriper gemensamma kriterier såsom inrikestaxor för tillhandahållarna av samhällsomfattande tjänster eller ursprung och mottagare eller nivån för terminalavgiftsandelarna. De kan kompletteras med andra kriterier som är särskilt relevanta för att förklara taxorna i fråga, t.ex. särskilda transport- eller hanteringskostnader eller bilaterala volymer mellan olika tillhandahållare av leveranstjänster. Om den nationella tillsynsmyndigheten fastslår att taxorna för gränsöverskridande paketleveranser inte är överkomliga, ska den be den berörda tillhandahållaren av paketleveranstjänster om ytterligare information och/eller en motivering. De tidsgränser som fastställts är operativa och syftar till att undvika att tillhandahållandet av information eller motivering fördröjs (punkterna 1, 3 och 4). I enlighet med artikel 5.4 ska bedömningen, i tillämpliga fall, tillsammans med motiveringen meddelas inte bara till kommissionen utan även till övriga nationella tillsynsmyndigheter. Bedömningen bör meddelas till berörda konkurrensmyndigheter och även har tystnadsplikt. Denna ökade öppenhet bör leda till avsevärda påtryckningar att ändra de taxor som ligger betydligt högre och som kan betraktas som oöverkomliga eller till och med prohibitiva. Unionsomfattande öppenhet bör garanteras genom artikel 5.4 som handlar om kommissionens offentliggörande på samma särskilda webbplats av en offentlig version av bedömningarna och motiveringarna, som de berörda nationella tillsynsmyndigheterna ska lämna. Detta offentliggörande skulle göra det möjligt för alla berörda parter, inklusive konsumentskyddsmyndigheterna, att regelbundet underrättas i denna fråga.</w:t>
      </w:r>
    </w:p>
    <w:p>
      <w:pPr>
        <w:rPr>
          <w:noProof/>
        </w:rPr>
      </w:pPr>
      <w:r>
        <w:rPr>
          <w:noProof/>
        </w:rPr>
        <w:t xml:space="preserve">De rättsliga principerna för prisernas rimlighet, kostnadsorientering, insyn och icke-diskriminering i artikel 12 i direktiv 97/67/EG gäller endast paket (och brev) som omfattas av skyldigheten att tillhandahålla samhällsomfattande tjänster. De nationella tillsynsmyndigheterna bör se till att taxorna för samhällsomfattande tjänster följer dessa principer. De nationella tillsynsmyndigheterna inriktar sig dock mer på inhemska marknader än på gränsöverskridande marknader, bland annat för att säkerställa överkomliga priser för tjänster inom ramen för samhällsomfattande tjänster. Denna artikel kommer således att uttryckligen utvidga tillsynen av nationella tillsynsmyndigheter till att omfatta en rad gränsöverskridande tjänster som tillhandahållaren av samhällsomfattande tjänster erbjuder och som till stor del liknar men inte helt motsvarar skyldigheten att tillhandahålla samhällsomfattande tjänster i alla medlemsstater. </w:t>
      </w:r>
    </w:p>
    <w:p>
      <w:pPr>
        <w:ind w:firstLine="720"/>
        <w:rPr>
          <w:b/>
          <w:noProof/>
        </w:rPr>
      </w:pPr>
      <w:r>
        <w:rPr>
          <w:b/>
          <w:noProof/>
        </w:rPr>
        <w:t>Öppet och icke-diskriminerande gränsöverskridande tillträde (artikel 6)</w:t>
      </w:r>
    </w:p>
    <w:p>
      <w:pPr>
        <w:rPr>
          <w:noProof/>
        </w:rPr>
      </w:pPr>
      <w:r>
        <w:rPr>
          <w:noProof/>
        </w:rPr>
        <w:t>Artikel 6 är i huvudsak en kodifiering av de principer som har analyserats i de så kallade Reims-besluten (om de multilaterala gränsöverskridande avtal om terminalavgifter som tillhandahållare av samhällsomfattande tjänster har fastställt för brev och paket)</w:t>
      </w:r>
      <w:r>
        <w:rPr>
          <w:rStyle w:val="FootnoteReference"/>
          <w:noProof/>
        </w:rPr>
        <w:footnoteReference w:id="45"/>
      </w:r>
      <w:r>
        <w:rPr>
          <w:noProof/>
        </w:rPr>
        <w:t xml:space="preserve"> och är inspirerad av de förfaranden som fastställs i artikel 3 i förordning 531/2012</w:t>
      </w:r>
      <w:r>
        <w:rPr>
          <w:rStyle w:val="FootnoteReference"/>
          <w:noProof/>
        </w:rPr>
        <w:footnoteReference w:id="46"/>
      </w:r>
      <w:r>
        <w:rPr>
          <w:noProof/>
        </w:rPr>
        <w:t xml:space="preserve"> om roamingtjänsttillträde i grossistledet. Den bör ge rättssäkerhet för tillhandahållare av samhällsomfattande tjänster – som denna bestämmelse avser – och andra tillhandahållare av paketleveranstjänster som kan vilja få tillträde till gränsöverskridande tjänster. Denna bestämmelse behandlar inte allmänna frågor om efterföljande led, vilka omfattas av eventuella nationella regler och artikel 12 femte strecksatsen i direktiv 97/67/EG. Den omfattar inte heller specifika frågor om tillträde till viss infrastruktur som anges i artikel 11a i direktiv 97/67/EG. Av rättssäkerhetsskäl och för tillämpningen av principerna om icke-diskriminering och öppenhet måste man ge konkurrerande alternativa postoperatörer samma tillträde till terminalavgiftsandelarna som gäller för parterna (dvs. tillhandahållarna av samhällsomfattande tjänster) i det multilaterala avtalet om terminalavgiftsandelar. Utifrån en bedömning från fall till fall kan det vara berättigat att de terminalavgiftsandelar som betalas av tredje partens postoperatörer i vissa fall överstiger dem som betalas av tillhandahållarna av samhällsomfattande tjänster. Detta kan vara fallet om parterna kan visa att kostnaden för att upprätta, genomföra och administrera avtalet, de extra kostnader som uppkommer i samband med mottagandet och hanteringen av försändelser från icke utsedda postoperatörer och andra sådana kostnader inte täcks av de terminalavgiftsandelar som betalas av den avsändande operatören. Stället dit tillträdet ska beviljas är i princip det utväxlingskontor för ankommande post som fastställs av tillhandahållaren av samhällsomfattande tjänster. Det är också viktigt att det gränsöverskridande tillträdet omfattar alla tillhörande nätelement, trots skillnader i tillträde till de efterföljande leden i stort, inbegripet programvara och uppgifter (punkterna 2 och 3), eftersom de utgör en del av de pågående avtalen såsom Interconnect och eventuella liknande framtida avtal.</w:t>
      </w:r>
    </w:p>
    <w:p>
      <w:pPr>
        <w:ind w:firstLine="720"/>
        <w:rPr>
          <w:b/>
          <w:noProof/>
        </w:rPr>
      </w:pPr>
      <w:r>
        <w:rPr>
          <w:b/>
          <w:noProof/>
        </w:rPr>
        <w:t>Sanktioner (artikel 7)</w:t>
      </w:r>
    </w:p>
    <w:p>
      <w:pPr>
        <w:rPr>
          <w:noProof/>
        </w:rPr>
      </w:pPr>
      <w:r>
        <w:rPr>
          <w:noProof/>
        </w:rPr>
        <w:t>Detta är en standardbestämmelse som syftar till att förse de nationella tillsynsmyndigheterna med effektiva, proportionerliga och avskräckande sanktioner för överträdelser av EU-lagstiftningen.</w:t>
      </w:r>
    </w:p>
    <w:p>
      <w:pPr>
        <w:ind w:firstLine="720"/>
        <w:rPr>
          <w:b/>
          <w:noProof/>
        </w:rPr>
      </w:pPr>
      <w:r>
        <w:rPr>
          <w:b/>
          <w:noProof/>
        </w:rPr>
        <w:t>Översynsklausul (artikel 8)</w:t>
      </w:r>
    </w:p>
    <w:p>
      <w:pPr>
        <w:rPr>
          <w:noProof/>
        </w:rPr>
      </w:pPr>
      <w:r>
        <w:rPr>
          <w:noProof/>
        </w:rPr>
        <w:t>Enligt artikel 8 är kommissionen skyldig att regelbundet genomföra en översyn. Denna översyn innehåller inte bara frågor som direkt rör förordningen (leden a–c) utan innefattar också andra åtgärder för att förbättra tillgång, tillgänglighet och överkomlighet för gränsöverskridande paketleveranser som måste vidtas inom ramen för 2013 års färdplan för paketleveranser (inbegripet branschinitiativ, standardisering osv.) och som kompletterar denna förordning.</w:t>
      </w:r>
    </w:p>
    <w:p>
      <w:pPr>
        <w:pStyle w:val="ManualHeading1"/>
        <w:rPr>
          <w:noProof/>
        </w:rPr>
      </w:pPr>
      <w:r>
        <w:rPr>
          <w:noProof/>
        </w:rPr>
        <w:t>4.</w:t>
      </w:r>
      <w:r>
        <w:rPr>
          <w:noProof/>
        </w:rPr>
        <w:tab/>
        <w:t xml:space="preserve">BUDGETKONSEKVENSER </w:t>
      </w:r>
    </w:p>
    <w:p>
      <w:pPr>
        <w:rPr>
          <w:noProof/>
        </w:rPr>
      </w:pPr>
      <w:r>
        <w:rPr>
          <w:noProof/>
        </w:rPr>
        <w:t>Förslaget till förordning påverkar inte unionens budget.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2016/0149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om gränsöverskridande paketleveranstjänster</w:t>
      </w:r>
    </w:p>
    <w:p>
      <w:pPr>
        <w:pStyle w:val="IntrtEEE"/>
        <w:rPr>
          <w:noProof/>
        </w:rPr>
      </w:pPr>
      <w:r>
        <w:rPr>
          <w:noProof/>
        </w:rPr>
        <w:t>(Text av betydelse för EES)</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 särskilt artikel 114,</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47"/>
      </w:r>
      <w:r>
        <w:rPr>
          <w:noProof/>
        </w:rPr>
        <w:t xml:space="preserve">, </w:t>
      </w:r>
    </w:p>
    <w:p>
      <w:pPr>
        <w:rPr>
          <w:noProof/>
        </w:rPr>
      </w:pPr>
      <w:r>
        <w:rPr>
          <w:noProof/>
        </w:rPr>
        <w:t>med beaktande av Regionkommitténs yttrande</w:t>
      </w:r>
      <w:r>
        <w:rPr>
          <w:rStyle w:val="FootnoteReference"/>
          <w:noProof/>
        </w:rPr>
        <w:footnoteReference w:id="48"/>
      </w:r>
      <w:r>
        <w:rPr>
          <w:noProof/>
        </w:rPr>
        <w:t>,</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De taxor som gäller för avsändare av mindre volymer av gränsöverskridande paket och andra postförsändelser, särskilt små och medelstora företag samt privatpersoner, är fortfarande förhållandevis höga. Detta har en direkt negativ inverkan på användare av gränsöverskridande paketleveranstjänster, framför allt i samband med e-handel.</w:t>
      </w:r>
    </w:p>
    <w:p>
      <w:pPr>
        <w:pStyle w:val="ManualConsidrant"/>
        <w:rPr>
          <w:noProof/>
        </w:rPr>
      </w:pPr>
      <w:r>
        <w:t>(2)</w:t>
      </w:r>
      <w:r>
        <w:tab/>
      </w:r>
      <w:r>
        <w:rPr>
          <w:noProof/>
        </w:rPr>
        <w:t>Det finns grundläggande skillnader mellan medlemsstaterna när det gäller de nationella tillsynsmyndigheternas befogenheter avseende marknadsövervakning och tillsyn över tillhandahållare av paketleveranser. Detta har bekräftats i en gemensam rapport</w:t>
      </w:r>
      <w:r>
        <w:rPr>
          <w:rStyle w:val="FootnoteReference"/>
          <w:noProof/>
        </w:rPr>
        <w:footnoteReference w:id="49"/>
      </w:r>
      <w:r>
        <w:rPr>
          <w:noProof/>
        </w:rPr>
        <w:t xml:space="preserve"> från Europeiska gruppen av tillsynsmyndigheter för posttjänster och Organet för europeiska regleringsmyndigheter för elektronisk kommunikation, som kom fram till att de nationella regleringsmyndigheterna behöver lämpliga rättsliga befogenheter att ingripa, och att sådana befogenheter inte verkar finnas i alla medlemsstater. Dessa skillnader leder till ytterligare administrativ börda och efterlevnadskostnader för tillhandahållare av paketleveranstjänster som bedriver gränsöverskridande verksamhet. Dessa skillnader utgör därför hinder för gränsöverskridande tillhandahållande av paketleveranstjänster och har därmed en direkt inverkan på hur den inre marknaden fungerar. </w:t>
      </w:r>
    </w:p>
    <w:p>
      <w:pPr>
        <w:pStyle w:val="ManualConsidrant"/>
        <w:rPr>
          <w:noProof/>
        </w:rPr>
      </w:pPr>
      <w:r>
        <w:t>(3)</w:t>
      </w:r>
      <w:r>
        <w:tab/>
      </w:r>
      <w:r>
        <w:rPr>
          <w:noProof/>
        </w:rPr>
        <w:t xml:space="preserve">Marknaden för gränsöverskridande paketleveranstjänster är mångfacetterad och komplex, med olika tillhandahållare som erbjuder olika tjänster och priser beroende på försändelsernas vikt, storlek och format samt bestämmelseort, tilläggstjänster, såsom spårbarhetslösningar, och antalet skickade försändelser. Denna mångfald gör det svårt att jämföra olika tillhandahållares paketleveranstjänster både i fråga om kvalitet och priser. Avsändarna av mindre volymer, såsom små och medelstora företag samt privatpersoner, känner dessutom ofta inte till vilka olika paketleveranstjänster som erbjuds. </w:t>
      </w:r>
    </w:p>
    <w:p>
      <w:pPr>
        <w:pStyle w:val="ManualConsidrant"/>
        <w:rPr>
          <w:noProof/>
        </w:rPr>
      </w:pPr>
      <w:r>
        <w:t>(4)</w:t>
      </w:r>
      <w:r>
        <w:tab/>
      </w:r>
      <w:r>
        <w:rPr>
          <w:noProof/>
        </w:rPr>
        <w:t xml:space="preserve">För att förbättra överkomligheten för gränsöverskridande paketleveranstjänster, särskilt för användare i avlägsna eller glest befolkade områden är det nödvändigt att förbättra insynen i offentliggjorda prislistor med taxor för en begränsad uppsättning gränsöverskridande paketleveranstjänster som tillhandahållare av samhällsomfattande tjänster erbjuder och som framför allt små och medelstora företag samt privatpersoner använder. Insyn i offentliggjorda listor är också nödvändig för att man ska kunna ta tag i problemet med de höga taxorna för gränsöverskridande leveranstjänster och för att, i förekommande fall, minska omotiverade prisskillnader mellan inrikes och gränsöverskridande paketleveranstjänster. </w:t>
      </w:r>
    </w:p>
    <w:p>
      <w:pPr>
        <w:pStyle w:val="ManualConsidrant"/>
        <w:rPr>
          <w:noProof/>
        </w:rPr>
      </w:pPr>
      <w:r>
        <w:t>(5)</w:t>
      </w:r>
      <w:r>
        <w:tab/>
      </w:r>
      <w:r>
        <w:rPr>
          <w:noProof/>
        </w:rPr>
        <w:t xml:space="preserve">I de flesta medlemsstater finns det flera tillhandahållare av inrikes paketleveranstjänster, medan endast ett fåtal av dessa även tillhandahåller gränsöverskridande paketleveranstjänster. För att säkerställa och främja effektiv konkurrens och skydda användare är det i detta sammanhang viktigt med ett öppet och icke-diskriminerande tillträde till de tjänster och infrastrukturer som är nödvändiga för tillhandahållandet av gränsöverskridande paketleveranstjänster. </w:t>
      </w:r>
    </w:p>
    <w:p>
      <w:pPr>
        <w:pStyle w:val="ManualConsidrant"/>
        <w:rPr>
          <w:noProof/>
        </w:rPr>
      </w:pPr>
      <w:r>
        <w:t>(6)</w:t>
      </w:r>
      <w:r>
        <w:tab/>
      </w:r>
      <w:r>
        <w:rPr>
          <w:noProof/>
        </w:rPr>
        <w:t>I nuläget regleras posttjänster genom Europaparlamentets och rådets direktiv 97/67/EG</w:t>
      </w:r>
      <w:r>
        <w:rPr>
          <w:rStyle w:val="FootnoteReference"/>
          <w:noProof/>
        </w:rPr>
        <w:footnoteReference w:id="50"/>
      </w:r>
      <w:r>
        <w:rPr>
          <w:noProof/>
        </w:rPr>
        <w:t>. I detta direktiv fastställs gemensamma regler för tillhandahållande av posttjänster och samhällsomfattande posttjänster i unionen. Det inriktar sig huvudsakligen, men inte uteslutande, på de nationella samhällsomfattande tjänsterna och tar inte upp tillsynen över tillhandahållare av paketleveranstjänster, öppenhet om taxor och terminalavgiftsandelar för vissa gränsöverskridande paketleveranstjänster, bedömning av taxornas överkomlighet för vissa gränsöverskridande paketleveranstjänster samt ett öppet och icke-diskriminerande tillträde till vissa gränsöverskridande paketleveranstjänster och/eller viss infrastruktur. Denna förordning kompletterar därför de regler som fastställs i direktiv 97/67/EG för gränsöverskridande paketleveranstjänster.</w:t>
      </w:r>
    </w:p>
    <w:p>
      <w:pPr>
        <w:pStyle w:val="ManualConsidrant"/>
        <w:rPr>
          <w:noProof/>
        </w:rPr>
      </w:pPr>
      <w:r>
        <w:t>(7)</w:t>
      </w:r>
      <w:r>
        <w:tab/>
      </w:r>
      <w:r>
        <w:rPr>
          <w:noProof/>
        </w:rPr>
        <w:t xml:space="preserve">Uppskattningsvis 80 % av adresserade postförsändelser som genereras av e-handeln i dag väger mindre än två kilogram och behandlas ofta i postkedjan för brevförsändelser. Det är viktigt att dessa postförsändelser omfattas av denna förordning, särskilt kraven på öppenhet om taxor och bedömningen av deras överkomlighet. </w:t>
      </w:r>
    </w:p>
    <w:p>
      <w:pPr>
        <w:pStyle w:val="ManualConsidrant"/>
        <w:rPr>
          <w:noProof/>
        </w:rPr>
      </w:pPr>
      <w:r>
        <w:t>(8)</w:t>
      </w:r>
      <w:r>
        <w:tab/>
      </w:r>
      <w:r>
        <w:rPr>
          <w:noProof/>
        </w:rPr>
        <w:t>Det är därför viktigt att tydligt definiera paketleveranstjänster och ange vilka postförsändelser som omfattas av denna definition. Detta gäller särskilt andra postförsändelser än brevförsändelser som på grund av sin vikt ofta används för att skicka varor. Denna förordning bör därför enligt konsekvent rättspraxis omfatta postförsändelser som väger upp till 31,5 kg, eftersom tyngre föremål inte kan hanteras av en genomsnittlig individ utan hjälpredskap. I linje med gällande praxis och direktiv 97/67/EG bör varje steg i postkedjan, dvs. insamling, sortering och utdelning, betraktas som paketleveranstjänster. Transport som inte sker i ett av dessa led bör inte omfattas av paketleveranstjänster, eftersom det då kan antas att denna verksamhet är en del av transportsektorn.</w:t>
      </w:r>
    </w:p>
    <w:p>
      <w:pPr>
        <w:pStyle w:val="ManualConsidrant"/>
        <w:rPr>
          <w:noProof/>
        </w:rPr>
      </w:pPr>
      <w:r>
        <w:t>(9)</w:t>
      </w:r>
      <w:r>
        <w:tab/>
      </w:r>
      <w:r>
        <w:rPr>
          <w:noProof/>
        </w:rPr>
        <w:t>Terminalavgiftsandelar bygger på multilaterala och bilaterala avtal mellan tillhandahållare av samhällsomfattande tjänster och säkerställer att tillhandahållaren av samhällsomfattande tjänster i det mottagande landet får ersättning för kostnaderna för den tjänst som den utfört åt den avsändande tillhandahållaren av samhällsomfattande tjänster. Terminalavgiftsandelar bör definieras på ett sådant sätt att de innefattar både de terminalavgifter som enligt definitionen i artikel 2.15 i direktiv 97/67/EG tillämpas för postförsändelser och avgiftsandelar för ankommande ytpost som tillämpas för paket.</w:t>
      </w:r>
    </w:p>
    <w:p>
      <w:pPr>
        <w:pStyle w:val="ManualConsidrant"/>
        <w:rPr>
          <w:noProof/>
        </w:rPr>
      </w:pPr>
      <w:r>
        <w:t>(10)</w:t>
      </w:r>
      <w:r>
        <w:tab/>
      </w:r>
      <w:r>
        <w:rPr>
          <w:noProof/>
        </w:rPr>
        <w:t xml:space="preserve">De nationella tillsynsmyndigheterna behöver för statistikens skull ha kunskap och information om tillhandahållare av paketleveranstjänster som är verksamma på marknaden. För att begränsa den administrativa bördan för små tillhandahållare av paketleveranstjänster som är verksamma endast på en nationell eller regional marknad bör ett tröskelvärde tillämpas på grundval av det antal personer som arbetar för tillhandahållaren av tjänster och som medverkar i tillhandahållandet av paketleveranstjänster. </w:t>
      </w:r>
    </w:p>
    <w:p>
      <w:pPr>
        <w:pStyle w:val="ManualConsidrant"/>
        <w:rPr>
          <w:noProof/>
        </w:rPr>
      </w:pPr>
      <w:r>
        <w:t>(11)</w:t>
      </w:r>
      <w:r>
        <w:tab/>
      </w:r>
      <w:r>
        <w:rPr>
          <w:noProof/>
        </w:rPr>
        <w:t>Den ort där en tillhandahållare är etablerad ska fastställas i enlighet med domstolens rättspraxis. Om tillhandahållaren är etablerad på flera orter är det viktigt att fastställa den etableringsort varifrån den faktiska tjänsten tillhandahålls.</w:t>
      </w:r>
    </w:p>
    <w:p>
      <w:pPr>
        <w:pStyle w:val="ManualConsidrant"/>
        <w:rPr>
          <w:noProof/>
        </w:rPr>
      </w:pPr>
      <w:r>
        <w:t>(12)</w:t>
      </w:r>
      <w:r>
        <w:tab/>
      </w:r>
      <w:r>
        <w:rPr>
          <w:noProof/>
        </w:rPr>
        <w:t xml:space="preserve">När tillhandahållare av paketleveranstjänster lämnar uppgifter till den nationella tillsynsmyndigheten bör man beakta att de redan kan ha lämnat vissa uppgifter till samma nationella tillsynsmyndighet. Paketleveranstjänster är viktiga för små och medelstora företag samt privatpersoner, och de bör enkelt kunna jämföra olika tillhandahållare. De tjänster för vilka tillhandahållare av samhällsomfattande tjänster ska ange sina taxor bör definieras tydligt. Dessa taxor bör offentliggöras av kommissionen på en särskild webbplats och bör, tillsammans med det konfidentiella regelbundna tillhandahållandet av de underliggande terminalavgiftsandelarna, ligga till grund för de nationella tillsynsmyndigheternas bedömning av taxornas överkomlighet när det gäller gränsöverskridande paketleveranstjänster. Andra tillhandahållare av paketleveranstjänster än tillhandahållare av samhällsomfattande tjänster får frivilligt i en jämförbar form förse sina nationella tillsynsmyndigheter med taxorna för samma försändelser, under förutsättning att dessa försändelser levereras till adressatens hem eller lokaler. </w:t>
      </w:r>
    </w:p>
    <w:p>
      <w:pPr>
        <w:pStyle w:val="ManualConsidrant"/>
        <w:rPr>
          <w:noProof/>
        </w:rPr>
      </w:pPr>
      <w:r>
        <w:t>(13)</w:t>
      </w:r>
      <w:r>
        <w:tab/>
      </w:r>
      <w:r>
        <w:rPr>
          <w:noProof/>
        </w:rPr>
        <w:t>På grund sin ringa storlek och sina ringa dimensioner bör vissa postförsändelser inte omfattas av skyldigheterna avseende öppenhet om taxor. De postförsändelser som omfattas av dessa skyldigheter bör därför ha en minsta bredd på 20 mm.</w:t>
      </w:r>
    </w:p>
    <w:p>
      <w:pPr>
        <w:pStyle w:val="ManualConsidrant"/>
        <w:rPr>
          <w:noProof/>
        </w:rPr>
      </w:pPr>
      <w:r>
        <w:t>(14)</w:t>
      </w:r>
      <w:r>
        <w:tab/>
      </w:r>
      <w:r>
        <w:rPr>
          <w:noProof/>
        </w:rPr>
        <w:t>När de nationella tillsynsmyndigheterna årligen bedömer taxornas överkomlighet bör de grunda sig på objektiva kriterier, t.ex. inrikestaxor för tillhandahållarna av samhällsomfattande tjänster i avsändarlandet och för tillhandahållarna av samhällsomfattande tjänster i det mottagande landet och nivån för terminalavgiftsandelarna. Dessa gemensamma kriterier kan kompletteras med andra kriterier som är särskilt relevanta för att förklara de aktuella taxorna, t.ex. särskilda transport- eller hanteringskostnader och bilaterala volymer mellan olika tillhandahållare av gränsöverskridande paketleveranstjänster.</w:t>
      </w:r>
    </w:p>
    <w:p>
      <w:pPr>
        <w:pStyle w:val="ManualConsidrant"/>
        <w:rPr>
          <w:noProof/>
        </w:rPr>
      </w:pPr>
      <w:r>
        <w:t>(15)</w:t>
      </w:r>
      <w:r>
        <w:tab/>
      </w:r>
      <w:r>
        <w:rPr>
          <w:noProof/>
        </w:rPr>
        <w:t>Enhetliga taxor för gränsöverskridande leveranser till två eller flera medlemsstater kan vara viktiga för att skydda regional och social sammanhållning. Man bör i detta sammanhang ta hänsyn till att e-handeln erbjuder nya möjligheter för glest befolkade områden att delta i näringslivet. Det är därför nödvändigt att alla enhetliga taxor beaktas till fullo när man bedömer överkomligheten för paketleveranstjänster.</w:t>
      </w:r>
    </w:p>
    <w:p>
      <w:pPr>
        <w:pStyle w:val="ManualConsidrant"/>
        <w:rPr>
          <w:noProof/>
        </w:rPr>
      </w:pPr>
      <w:r>
        <w:t>(16)</w:t>
      </w:r>
      <w:r>
        <w:tab/>
      </w:r>
      <w:r>
        <w:rPr>
          <w:noProof/>
        </w:rPr>
        <w:t>Betydande skillnader mellan inrikes och gränsöverskridande taxor för paketleveranstjänster bör motiveras av objektiva kriterier, såsom extrakostnader för transport och en rimlig vinstmarginal. Det bör krävas av de tillhandahållare av samhällsomfattande tjänster som erbjuder paketleveranstjänster att utan dröjsmål ge en sådan motivering.</w:t>
      </w:r>
    </w:p>
    <w:p>
      <w:pPr>
        <w:pStyle w:val="ManualConsidrant"/>
        <w:rPr>
          <w:noProof/>
        </w:rPr>
      </w:pPr>
      <w:r>
        <w:t>(17)</w:t>
      </w:r>
      <w:r>
        <w:tab/>
      </w:r>
      <w:r>
        <w:rPr>
          <w:noProof/>
        </w:rPr>
        <w:t>För att garantera öppenhet i hela unionen bör analysen av en nationell tillsynsmyndighet lämnas till övriga medlemsstaters nationella tillsynsmyndigheter och till kommissionen. De nationella tillsynsmyndigheterna och kommissionen ska se till att sekretess iakttas. Kommissionen får också be Europeiska gruppen av tillsynsmyndigheter för posttjänster att tillhandahålla en EU-omfattande analys på grundval av de nationella bidragen.</w:t>
      </w:r>
    </w:p>
    <w:p>
      <w:pPr>
        <w:pStyle w:val="ManualConsidrant"/>
        <w:rPr>
          <w:noProof/>
        </w:rPr>
      </w:pPr>
      <w:r>
        <w:t>(18)</w:t>
      </w:r>
      <w:r>
        <w:tab/>
      </w:r>
      <w:r>
        <w:rPr>
          <w:noProof/>
        </w:rPr>
        <w:t>De tillhandahållare av samhällsomfattande tjänster som erbjuder paketleveranstjänster får ingå multilaterala och bilaterala avtal om terminalavgiftsandelar och får inrätta andra program för att underlätta sammankoppling av deras leveransnät. Av skäl som rör icke-diskriminering ska konkurrerande tillhandahållare av paketleveranstjänster ges samma tillträde till de terminalavgiftsandelar som gäller mellan parterna enligt multilaterala avtal. Det kan vara motiverat att de terminalavgiftsandelar som tredje partens tillhandahållare av paketleveranstjänster ska betala i vissa fall överstiger dem som betalas av tillhandahållare av samhällsomfattande tjänster som är parter i sådana avtal. Detta kan vara fallet om parterna i ett multilateralt avtal om terminalavgiftsandelar kan visa att kostnaden för att nå, genomföra och administrera avtalet, de extra kostnader som uppkommer i samband med mottagandet och hanteringen av försändelser från icke utsedda tillhandahållare av paketleveranstjänster och andra sådana kostnader inte täcks av de terminalavgiftsandelar som betalas av den tredje partens tillhandahållare av tjänster i avsändarmedlemsstaten.</w:t>
      </w:r>
    </w:p>
    <w:p>
      <w:pPr>
        <w:pStyle w:val="ManualConsidrant"/>
        <w:rPr>
          <w:noProof/>
        </w:rPr>
      </w:pPr>
      <w:r>
        <w:t>(19)</w:t>
      </w:r>
      <w:r>
        <w:tab/>
      </w:r>
      <w:r>
        <w:rPr>
          <w:noProof/>
        </w:rPr>
        <w:t>I praktiken och av operativa skäl är det ställe dit tillträde bör ges utväxlingskontoret för ankommande post, vilket är ett kontor eller en anläggning som bestäms av tillhandahållarna av samhällsomfattande tjänster i den mottagande medlemsstaten för överlämning av andra postförsändelser än brevförsändelser.</w:t>
      </w:r>
    </w:p>
    <w:p>
      <w:pPr>
        <w:pStyle w:val="ManualConsidrant"/>
        <w:rPr>
          <w:noProof/>
        </w:rPr>
      </w:pPr>
      <w:r>
        <w:t>(20)</w:t>
      </w:r>
      <w:r>
        <w:tab/>
      </w:r>
      <w:r>
        <w:rPr>
          <w:noProof/>
        </w:rPr>
        <w:t>De nationella tillsynsmyndigheterna bör kunna vidta effektiva åtgärder för att övervaka och säkerställa efterlevnaden av bestämmelserna i denna förordning och bör i det avseendet införa effektiva ekonomiska eller administrativa sanktioner vid överträdelser av förordningens bestämmelser.</w:t>
      </w:r>
    </w:p>
    <w:p>
      <w:pPr>
        <w:pStyle w:val="ManualConsidrant"/>
        <w:rPr>
          <w:noProof/>
        </w:rPr>
      </w:pPr>
      <w:r>
        <w:t>(21)</w:t>
      </w:r>
      <w:r>
        <w:tab/>
      </w:r>
      <w:r>
        <w:rPr>
          <w:noProof/>
        </w:rPr>
        <w:t xml:space="preserve">Eftersom marknaderna för paketleveranstjänster förändras snabbt bör kommissionen på nytt bedöma ändamålsenligheten och effektiviteten för denna förordning och regelbundet lägga fram en rapport för Europaparlamentet och rådet. Rapporten till Europaparlamentet och rådet bör vid behov åtföljas av förslag till översyn. </w:t>
      </w:r>
    </w:p>
    <w:p>
      <w:pPr>
        <w:pStyle w:val="ManualConsidrant"/>
        <w:rPr>
          <w:noProof/>
        </w:rPr>
      </w:pPr>
      <w:r>
        <w:t>(22)</w:t>
      </w:r>
      <w:r>
        <w:tab/>
      </w:r>
      <w:r>
        <w:rPr>
          <w:noProof/>
        </w:rPr>
        <w:t>För att säkerställa enhetliga villkor för genomförandet av skyldigheten för tillhandahållare av paketleveranstjänster att lämna uppgifter till nationella tillsynsmyndigheter, bör genomförandebefogenheter delegeras till kommissionen som fastställer ett formulär för inlämnandet av sådana uppgifter. Dessa befogenheter bör</w:t>
      </w:r>
      <w:r>
        <w:rPr>
          <w:rStyle w:val="italic1"/>
          <w:i w:val="0"/>
          <w:noProof/>
        </w:rPr>
        <w:t xml:space="preserve"> utövas </w:t>
      </w:r>
      <w:r>
        <w:rPr>
          <w:noProof/>
        </w:rPr>
        <w:t>i enlighet med Europaparlamentets och rådets förordning (EU) nr 182/2011</w:t>
      </w:r>
      <w:r>
        <w:rPr>
          <w:rStyle w:val="FootnoteReference"/>
          <w:noProof/>
        </w:rPr>
        <w:footnoteReference w:id="51"/>
      </w:r>
      <w:r>
        <w:rPr>
          <w:noProof/>
        </w:rPr>
        <w:t>.</w:t>
      </w:r>
    </w:p>
    <w:p>
      <w:pPr>
        <w:pStyle w:val="ManualConsidrant"/>
        <w:rPr>
          <w:noProof/>
        </w:rPr>
      </w:pPr>
      <w:r>
        <w:t>(23)</w:t>
      </w:r>
      <w:r>
        <w:tab/>
      </w:r>
      <w:r>
        <w:rPr>
          <w:noProof/>
        </w:rPr>
        <w:t>Denna förordning respekterar de grundläggande rättigheterna och iakttar de principer som särskilt erkänns i Europeiska unionens stadga om de grundläggande rättigheterna och bör genomföras i enlighet med dessa rättigheter och principer.</w:t>
      </w:r>
    </w:p>
    <w:p>
      <w:pPr>
        <w:pStyle w:val="ManualConsidrant"/>
        <w:rPr>
          <w:noProof/>
        </w:rPr>
      </w:pPr>
      <w:r>
        <w:t>(24)</w:t>
      </w:r>
      <w:r>
        <w:tab/>
      </w:r>
      <w:r>
        <w:rPr>
          <w:noProof/>
        </w:rPr>
        <w:t>Europaparlamentets och rådets direktiv (EU) 2016/680</w:t>
      </w:r>
      <w:r>
        <w:rPr>
          <w:rStyle w:val="FootnoteReference"/>
          <w:noProof/>
        </w:rPr>
        <w:footnoteReference w:id="52"/>
      </w:r>
      <w:r>
        <w:rPr>
          <w:noProof/>
        </w:rPr>
        <w:t> och Europaparlamentets och rådets förordning (EU) 2016/679</w:t>
      </w:r>
      <w:r>
        <w:rPr>
          <w:rStyle w:val="FootnoteReference"/>
          <w:noProof/>
        </w:rPr>
        <w:footnoteReference w:id="53"/>
      </w:r>
      <w:r>
        <w:rPr>
          <w:noProof/>
        </w:rPr>
        <w:t xml:space="preserve"> gäller för behandlingen av personuppgifter inom ramen för denna förordning.</w:t>
      </w:r>
    </w:p>
    <w:p>
      <w:pPr>
        <w:pStyle w:val="ManualConsidrant"/>
        <w:rPr>
          <w:noProof/>
        </w:rPr>
      </w:pPr>
      <w:r>
        <w:t>(25)</w:t>
      </w:r>
      <w:r>
        <w:tab/>
      </w:r>
      <w:r>
        <w:rPr>
          <w:noProof/>
        </w:rPr>
        <w:t>Eftersom målen för denna förordning, nämligen att fastställa de rättsliga principer och regler som behövs för att förbättra tillsynen, förbättra prisinsynen och inrätta vissa principer för gränsöverskridande paketleveranstjänster som bör stödja konkurrensen, inte kan nås i tillräcklig utsträckning av medlemsstaterna, och på grund av dess omfattning och verkningar kan nås bättre på unionsnivå, får unionen vidta åtgärder i enlighet med subsidiaritetsprincipen i artikel 5 i fördraget om Europeiska unionen. I enlighet med proportionalitetsprincipen i samma artikel går denna förordning inte utöver vad som är nödvändigt för att nå detta mål.</w:t>
      </w:r>
    </w:p>
    <w:p>
      <w:pPr>
        <w:pStyle w:val="Formuledadoption"/>
        <w:rPr>
          <w:noProof/>
        </w:rPr>
      </w:pPr>
      <w:r>
        <w:rPr>
          <w:noProof/>
        </w:rPr>
        <w:t>HÄRIGENOM FÖRESKRIVS FÖLJANDE.</w:t>
      </w:r>
    </w:p>
    <w:p>
      <w:pPr>
        <w:pStyle w:val="SectionTitle"/>
        <w:rPr>
          <w:noProof/>
        </w:rPr>
      </w:pPr>
      <w:r>
        <w:rPr>
          <w:noProof/>
        </w:rPr>
        <w:t>KAPITEL I</w:t>
      </w:r>
    </w:p>
    <w:p>
      <w:pPr>
        <w:pStyle w:val="NormalCentered"/>
        <w:rPr>
          <w:b/>
          <w:noProof/>
        </w:rPr>
      </w:pPr>
      <w:r>
        <w:rPr>
          <w:b/>
          <w:noProof/>
        </w:rPr>
        <w:t>Syfte och definitioner</w:t>
      </w:r>
    </w:p>
    <w:p>
      <w:pPr>
        <w:pStyle w:val="Titrearticle"/>
        <w:rPr>
          <w:noProof/>
        </w:rPr>
      </w:pPr>
      <w:r>
        <w:rPr>
          <w:noProof/>
        </w:rPr>
        <w:t>Artikel 1</w:t>
      </w:r>
      <w:r>
        <w:rPr>
          <w:noProof/>
        </w:rPr>
        <w:br/>
        <w:t xml:space="preserve">Syfte </w:t>
      </w:r>
    </w:p>
    <w:p>
      <w:pPr>
        <w:rPr>
          <w:rStyle w:val="FootnoteReference"/>
          <w:noProof/>
          <w:vertAlign w:val="baseline"/>
        </w:rPr>
      </w:pPr>
      <w:r>
        <w:rPr>
          <w:rStyle w:val="FootnoteReference"/>
          <w:noProof/>
          <w:vertAlign w:val="baseline"/>
        </w:rPr>
        <w:t>Genom denna förordning fastställs följande särskilda bestämmelser, utöver bestämmelserna i direktiv 97/67/EG:</w:t>
      </w:r>
    </w:p>
    <w:p>
      <w:pPr>
        <w:pStyle w:val="Point1letter"/>
        <w:numPr>
          <w:ilvl w:val="3"/>
          <w:numId w:val="31"/>
        </w:numPr>
        <w:rPr>
          <w:noProof/>
        </w:rPr>
      </w:pPr>
      <w:r>
        <w:rPr>
          <w:noProof/>
        </w:rPr>
        <w:t>tillsyn med avseende på pakettjänster,</w:t>
      </w:r>
    </w:p>
    <w:p>
      <w:pPr>
        <w:pStyle w:val="Point1letter"/>
        <w:rPr>
          <w:noProof/>
        </w:rPr>
      </w:pPr>
      <w:r>
        <w:rPr>
          <w:noProof/>
        </w:rPr>
        <w:t>insyn i taxor och terminalavgiftsandelar för vissa gränsöverskridande paketleveranstjänster och bedömning av överkomligheten för vissa gränsöverskridande taxor, och</w:t>
      </w:r>
    </w:p>
    <w:p>
      <w:pPr>
        <w:pStyle w:val="Point1letter"/>
        <w:rPr>
          <w:noProof/>
        </w:rPr>
      </w:pPr>
      <w:r>
        <w:rPr>
          <w:noProof/>
        </w:rPr>
        <w:t>öppet och icke-diskriminerande tillträde till vissa gränsöverskridande paketleveranstjänster och/eller viss infrastruktur.</w:t>
      </w:r>
    </w:p>
    <w:p>
      <w:pPr>
        <w:pStyle w:val="Titrearticle"/>
        <w:rPr>
          <w:noProof/>
        </w:rPr>
      </w:pPr>
      <w:r>
        <w:rPr>
          <w:noProof/>
        </w:rPr>
        <w:t>Artikel 2</w:t>
      </w:r>
      <w:r>
        <w:rPr>
          <w:noProof/>
        </w:rPr>
        <w:br/>
        <w:t>Definitioner</w:t>
      </w:r>
    </w:p>
    <w:p>
      <w:pPr>
        <w:pStyle w:val="ManualNumPar1"/>
        <w:rPr>
          <w:noProof/>
        </w:rPr>
      </w:pPr>
      <w:r>
        <w:t>1.</w:t>
      </w:r>
      <w:r>
        <w:tab/>
      </w:r>
      <w:r>
        <w:rPr>
          <w:noProof/>
        </w:rPr>
        <w:t xml:space="preserve">I denna förordning ska definitionerna i artikel 2 i direktiv 97/67/EG gälla. </w:t>
      </w:r>
    </w:p>
    <w:p>
      <w:pPr>
        <w:pStyle w:val="ManualNumPar1"/>
        <w:rPr>
          <w:noProof/>
        </w:rPr>
      </w:pPr>
      <w:r>
        <w:t>2.</w:t>
      </w:r>
      <w:r>
        <w:tab/>
      </w:r>
      <w:r>
        <w:rPr>
          <w:noProof/>
        </w:rPr>
        <w:t xml:space="preserve">Utöver de definitioner som avses i punkt 1 gäller följande definitioner: </w:t>
      </w:r>
    </w:p>
    <w:p>
      <w:pPr>
        <w:pStyle w:val="Point1letter"/>
        <w:numPr>
          <w:ilvl w:val="3"/>
          <w:numId w:val="7"/>
        </w:numPr>
        <w:spacing w:before="0" w:after="240" w:line="276" w:lineRule="auto"/>
        <w:rPr>
          <w:noProof/>
        </w:rPr>
      </w:pPr>
      <w:r>
        <w:rPr>
          <w:i/>
          <w:noProof/>
        </w:rPr>
        <w:t>paketleveranstjänster:</w:t>
      </w:r>
      <w:r>
        <w:rPr>
          <w:noProof/>
        </w:rPr>
        <w:t xml:space="preserve"> tjänster som innefattar insamling, sortering, transport eller utdelning av andra postförsändelser än brevförsändelser; enbart transport ska inte betraktas som en paketleveranstjänst; leverans av sådana försändelser som överstiger 31,5 kg ska inte betraktas som en paketleveranstjänst. </w:t>
      </w:r>
    </w:p>
    <w:p>
      <w:pPr>
        <w:pStyle w:val="Point1letter"/>
        <w:spacing w:before="0" w:after="240" w:line="276" w:lineRule="auto"/>
        <w:rPr>
          <w:noProof/>
        </w:rPr>
      </w:pPr>
      <w:r>
        <w:rPr>
          <w:i/>
          <w:noProof/>
        </w:rPr>
        <w:t>tillhandahållare av paketleveranstjänster:</w:t>
      </w:r>
      <w:r>
        <w:rPr>
          <w:noProof/>
        </w:rPr>
        <w:t xml:space="preserve"> ett företag som tillhandahåller en eller flera paketleveranstjänster.</w:t>
      </w:r>
    </w:p>
    <w:p>
      <w:pPr>
        <w:pStyle w:val="Point1letter"/>
        <w:rPr>
          <w:noProof/>
        </w:rPr>
      </w:pPr>
      <w:r>
        <w:rPr>
          <w:i/>
          <w:noProof/>
        </w:rPr>
        <w:t>terminalavgiftsandelar:</w:t>
      </w:r>
      <w:r>
        <w:rPr>
          <w:noProof/>
        </w:rPr>
        <w:t xml:space="preserve"> betalning från den avsändande tillhandahållaren av samhällsomfattande tjänster till den mottagande tillhandahållaren av samhällsomfattande tjänster för att täcka kostnaderna för gränsöverskridande paketleveranstjänster i den mottagande medlemsstaten.</w:t>
      </w:r>
    </w:p>
    <w:p>
      <w:pPr>
        <w:pStyle w:val="SectionTitle"/>
        <w:rPr>
          <w:noProof/>
        </w:rPr>
      </w:pPr>
      <w:r>
        <w:rPr>
          <w:noProof/>
        </w:rPr>
        <w:t>KAPITEL II</w:t>
      </w:r>
    </w:p>
    <w:p>
      <w:pPr>
        <w:pStyle w:val="NormalCentered"/>
        <w:rPr>
          <w:b/>
          <w:noProof/>
        </w:rPr>
      </w:pPr>
      <w:r>
        <w:rPr>
          <w:b/>
          <w:noProof/>
        </w:rPr>
        <w:t>Tillsyn</w:t>
      </w:r>
    </w:p>
    <w:p>
      <w:pPr>
        <w:pStyle w:val="Titrearticle"/>
        <w:rPr>
          <w:noProof/>
        </w:rPr>
      </w:pPr>
      <w:r>
        <w:rPr>
          <w:noProof/>
        </w:rPr>
        <w:t>Artikel 3</w:t>
      </w:r>
      <w:r>
        <w:rPr>
          <w:noProof/>
        </w:rPr>
        <w:br/>
        <w:t>Tillhandahållande av information</w:t>
      </w:r>
    </w:p>
    <w:p>
      <w:pPr>
        <w:pStyle w:val="ManualNumPar1"/>
        <w:rPr>
          <w:noProof/>
        </w:rPr>
      </w:pPr>
      <w:r>
        <w:t>1.</w:t>
      </w:r>
      <w:r>
        <w:tab/>
      </w:r>
      <w:r>
        <w:rPr>
          <w:noProof/>
        </w:rPr>
        <w:t xml:space="preserve">Alla tillhandahållare av paketleveranstjänster ska lämna följande information till den nationella tillsynsmyndigheten i den medlemsstat där de är etablerade: </w:t>
      </w:r>
    </w:p>
    <w:p>
      <w:pPr>
        <w:pStyle w:val="Point1letter"/>
        <w:numPr>
          <w:ilvl w:val="3"/>
          <w:numId w:val="4"/>
        </w:numPr>
        <w:spacing w:before="0" w:after="240" w:line="276" w:lineRule="auto"/>
        <w:rPr>
          <w:noProof/>
        </w:rPr>
      </w:pPr>
      <w:r>
        <w:rPr>
          <w:noProof/>
        </w:rPr>
        <w:t>Tillhandahållarens namn, rättsliga ställning och associationsform, registreringsnummer i ett handelsregister eller liknande register, momsregistreringsnummer, adress samt en kontaktperson.</w:t>
      </w:r>
    </w:p>
    <w:p>
      <w:pPr>
        <w:pStyle w:val="Point1letter"/>
        <w:numPr>
          <w:ilvl w:val="3"/>
          <w:numId w:val="4"/>
        </w:numPr>
        <w:spacing w:before="0" w:after="240" w:line="276" w:lineRule="auto"/>
        <w:rPr>
          <w:noProof/>
        </w:rPr>
      </w:pPr>
      <w:r>
        <w:rPr>
          <w:noProof/>
        </w:rPr>
        <w:t>Vilken typ av tjänster som tillhandahållaren erbjuder.</w:t>
      </w:r>
    </w:p>
    <w:p>
      <w:pPr>
        <w:pStyle w:val="Point1letter"/>
        <w:numPr>
          <w:ilvl w:val="3"/>
          <w:numId w:val="4"/>
        </w:numPr>
        <w:spacing w:before="0" w:after="240" w:line="276" w:lineRule="auto"/>
        <w:rPr>
          <w:noProof/>
        </w:rPr>
      </w:pPr>
      <w:r>
        <w:rPr>
          <w:noProof/>
        </w:rPr>
        <w:t xml:space="preserve">Tillhandahållarens allmänna försäljningsvillkor, inbegripet en detaljerad beskrivning av förfarandet vid klagomål. </w:t>
      </w:r>
    </w:p>
    <w:p>
      <w:pPr>
        <w:pStyle w:val="ManualNumPar1"/>
        <w:rPr>
          <w:noProof/>
        </w:rPr>
      </w:pPr>
      <w:r>
        <w:t>2.</w:t>
      </w:r>
      <w:r>
        <w:tab/>
      </w:r>
      <w:r>
        <w:rPr>
          <w:noProof/>
        </w:rPr>
        <w:t xml:space="preserve">Vid eventuella ändringar av den information som avses i punkt 1 ska tillhandahållare av paketleveranstjänster underrätta den nationella tillsynsmyndigheten om denna ändring inom 30 dagar. </w:t>
      </w:r>
    </w:p>
    <w:p>
      <w:pPr>
        <w:pStyle w:val="ManualNumPar1"/>
        <w:rPr>
          <w:noProof/>
        </w:rPr>
      </w:pPr>
      <w:r>
        <w:t>3.</w:t>
      </w:r>
      <w:r>
        <w:tab/>
      </w:r>
      <w:r>
        <w:rPr>
          <w:noProof/>
        </w:rPr>
        <w:t xml:space="preserve">Senast den 31 mars varje kalenderår ska samtliga tillhandahållare av paketleveranstjänster lämna följande information till den nationella tillsynsmyndigheten i den medlemsstat där de är etablerade: </w:t>
      </w:r>
    </w:p>
    <w:p>
      <w:pPr>
        <w:pStyle w:val="Point1letter"/>
        <w:numPr>
          <w:ilvl w:val="3"/>
          <w:numId w:val="11"/>
        </w:numPr>
        <w:spacing w:before="0" w:after="240" w:line="276" w:lineRule="auto"/>
        <w:rPr>
          <w:noProof/>
        </w:rPr>
      </w:pPr>
      <w:r>
        <w:rPr>
          <w:noProof/>
        </w:rPr>
        <w:t>Den årliga omsättningen för paketleveranstjänster för föregående kalenderår i den medlemsstat där tillhandahållaren är etablerad, uppdelat efter pakettjänster avseende nationella, inkommande och utgående gränsöverskridande postförsändelser.</w:t>
      </w:r>
    </w:p>
    <w:p>
      <w:pPr>
        <w:pStyle w:val="Point1letter"/>
        <w:numPr>
          <w:ilvl w:val="3"/>
          <w:numId w:val="4"/>
        </w:numPr>
        <w:spacing w:before="0" w:after="240" w:line="276" w:lineRule="auto"/>
        <w:rPr>
          <w:noProof/>
        </w:rPr>
      </w:pPr>
      <w:r>
        <w:rPr>
          <w:noProof/>
        </w:rPr>
        <w:t>Antalet personer som arbetar för tillhandahållaren och som medverkar i tillhandahållandet av paketleveranstjänster i den medlemsstat där tillhandahållaren är etablerad under föregående kalenderår.</w:t>
      </w:r>
    </w:p>
    <w:p>
      <w:pPr>
        <w:pStyle w:val="Point1letter"/>
        <w:numPr>
          <w:ilvl w:val="3"/>
          <w:numId w:val="4"/>
        </w:numPr>
        <w:spacing w:before="0" w:after="240" w:line="276" w:lineRule="auto"/>
        <w:rPr>
          <w:noProof/>
        </w:rPr>
      </w:pPr>
      <w:r>
        <w:rPr>
          <w:noProof/>
        </w:rPr>
        <w:t>Antalet andra postförsändelser än brevförsändelser på högst 31,5 kg som behandlas i den medlemsstat där tillhandahållaren är etablerad under det föregående kalenderåret, uppdelat på nationella, inkommande och utgående gränsöverskridande postförsändelser.</w:t>
      </w:r>
    </w:p>
    <w:p>
      <w:pPr>
        <w:pStyle w:val="ManualNumPar1"/>
        <w:rPr>
          <w:noProof/>
        </w:rPr>
      </w:pPr>
      <w:r>
        <w:t>4.</w:t>
      </w:r>
      <w:r>
        <w:tab/>
      </w:r>
      <w:r>
        <w:rPr>
          <w:noProof/>
        </w:rPr>
        <w:t xml:space="preserve">Kommissionen ska genom en genomförandeakt bestämma om ett formulär för inlämnandet av den information som avses i punkt 1 i denna artikel. Dessa genomförandeakter ska antas i enlighet med det granskningsförfarande som avses i artikel 9. </w:t>
      </w:r>
    </w:p>
    <w:p>
      <w:pPr>
        <w:pStyle w:val="ManualNumPar1"/>
        <w:rPr>
          <w:noProof/>
        </w:rPr>
      </w:pPr>
      <w:r>
        <w:t>5.</w:t>
      </w:r>
      <w:r>
        <w:tab/>
      </w:r>
      <w:r>
        <w:rPr>
          <w:noProof/>
        </w:rPr>
        <w:t>De nationella tillsynsmyndigheterna får införa informationskrav utöver dem som avses i punkterna 1 och 2 när de behövs för att säkerställa överensstämmelse med denna förordning.</w:t>
      </w:r>
    </w:p>
    <w:p>
      <w:pPr>
        <w:pStyle w:val="ManualNumPar1"/>
        <w:rPr>
          <w:noProof/>
        </w:rPr>
      </w:pPr>
      <w:r>
        <w:t>6.</w:t>
      </w:r>
      <w:r>
        <w:tab/>
      </w:r>
      <w:r>
        <w:rPr>
          <w:noProof/>
        </w:rPr>
        <w:t>En tillhandahållare av paketleveranstjänster som sysselsätter färre än 50 personer ska endast omfattas av de skyldigheter som anges i punkterna 1 och 2 om denne är etablerad i mer än en medlemsstat.</w:t>
      </w:r>
    </w:p>
    <w:p>
      <w:pPr>
        <w:pStyle w:val="Titrearticle"/>
        <w:rPr>
          <w:noProof/>
        </w:rPr>
      </w:pPr>
      <w:r>
        <w:rPr>
          <w:noProof/>
        </w:rPr>
        <w:t>Artikel 4</w:t>
      </w:r>
      <w:r>
        <w:rPr>
          <w:noProof/>
        </w:rPr>
        <w:br/>
        <w:t>Insyn i taxor och terminalavgiftsandelar</w:t>
      </w:r>
    </w:p>
    <w:p>
      <w:pPr>
        <w:pStyle w:val="ManualNumPar1"/>
        <w:rPr>
          <w:noProof/>
        </w:rPr>
      </w:pPr>
      <w:r>
        <w:t>1.</w:t>
      </w:r>
      <w:r>
        <w:tab/>
      </w:r>
      <w:r>
        <w:rPr>
          <w:noProof/>
        </w:rPr>
        <w:t>Tillhandahållare av samhällsomfattande tjänster som erbjuder paketleveranstjänster ska förse den nationella tillsynsmyndigheten i den medlemsstat där de är etablerade med en offentliggjord prislista med taxor som gäller den 1 januari varje kalenderår för leveransen av postförsändelser som omfattas av de kategorier som förtecknas i bilagan. Denna information ska lämnas senast den 31 januari varje kalenderår.</w:t>
      </w:r>
    </w:p>
    <w:p>
      <w:pPr>
        <w:pStyle w:val="ManualNumPar1"/>
        <w:rPr>
          <w:noProof/>
        </w:rPr>
      </w:pPr>
      <w:r>
        <w:t>2.</w:t>
      </w:r>
      <w:r>
        <w:tab/>
      </w:r>
      <w:r>
        <w:rPr>
          <w:noProof/>
        </w:rPr>
        <w:t>De nationella tillsynsmyndigheterna ska utan dröjsmål och senast den 28 februari varje kalenderår lämna in de offentliggjorda prislistor med taxor som erhållits i enlighet med punkt 1 till kommissionen. Kommissionen ska offentliggöra dem på en särskild webbplats senast den 30 april varje kalenderår.</w:t>
      </w:r>
    </w:p>
    <w:p>
      <w:pPr>
        <w:pStyle w:val="ManualNumPar1"/>
        <w:rPr>
          <w:noProof/>
        </w:rPr>
      </w:pPr>
      <w:r>
        <w:t>3.</w:t>
      </w:r>
      <w:r>
        <w:tab/>
      </w:r>
      <w:r>
        <w:rPr>
          <w:noProof/>
        </w:rPr>
        <w:t>Tillhandahållare av samhällsomfattande tjänster som erbjuder paketleveranstjänster ska förse den nationella tillsynsmyndigheten med de terminalavgiftsandelar som gäller den 1 januari varje kalenderår för postförsändelser som härrör från andra medlemsstater. Dessa uppgifter ska lämnas senast den 31 januari varje kalenderår.</w:t>
      </w:r>
    </w:p>
    <w:p>
      <w:pPr>
        <w:pStyle w:val="ManualNumPar1"/>
        <w:rPr>
          <w:noProof/>
        </w:rPr>
      </w:pPr>
      <w:r>
        <w:t>4.</w:t>
      </w:r>
      <w:r>
        <w:tab/>
      </w:r>
      <w:r>
        <w:rPr>
          <w:noProof/>
        </w:rPr>
        <w:t xml:space="preserve">De nationella tillsynsmyndigheterna ska lämna in de terminalavgiftsandelar som erhållits i enlighet med punkt 3 till kommissionen och de nationella tillsynsmyndigheterna i avsändarmedlemsstaterna senast den 28 februari varje kalenderår. </w:t>
      </w:r>
    </w:p>
    <w:p>
      <w:pPr>
        <w:pStyle w:val="Titrearticle"/>
        <w:rPr>
          <w:noProof/>
        </w:rPr>
      </w:pPr>
      <w:r>
        <w:rPr>
          <w:noProof/>
        </w:rPr>
        <w:t>Artikel 5</w:t>
      </w:r>
      <w:r>
        <w:rPr>
          <w:noProof/>
        </w:rPr>
        <w:br/>
        <w:t>Bedömning av taxornas överkomlighet</w:t>
      </w:r>
    </w:p>
    <w:p>
      <w:pPr>
        <w:pStyle w:val="ManualNumPar1"/>
        <w:rPr>
          <w:noProof/>
        </w:rPr>
      </w:pPr>
      <w:r>
        <w:t>1.</w:t>
      </w:r>
      <w:r>
        <w:tab/>
      </w:r>
      <w:r>
        <w:rPr>
          <w:noProof/>
        </w:rPr>
        <w:t>Den nationella tillsynsmyndigheten ska bedöma överkomligheten för de gränsöverskridande taxor som inbegrips i de offentliggjorda prislistor med taxor som erhållits i enlighet med artikel 4.1 inom 3 månader från mottagandet av denna information. Vid bedömningen ska särskilt hänsyn tas till</w:t>
      </w:r>
    </w:p>
    <w:p>
      <w:pPr>
        <w:pStyle w:val="Point1letter"/>
        <w:numPr>
          <w:ilvl w:val="3"/>
          <w:numId w:val="9"/>
        </w:numPr>
        <w:spacing w:before="0" w:after="240" w:line="276" w:lineRule="auto"/>
        <w:rPr>
          <w:noProof/>
        </w:rPr>
      </w:pPr>
      <w:r>
        <w:rPr>
          <w:noProof/>
        </w:rPr>
        <w:t>inrikestaxor för jämförbar paketleveranstjänster i avsändarmedlemsstaten och i mottagarmedlemsstaten,</w:t>
      </w:r>
    </w:p>
    <w:p>
      <w:pPr>
        <w:pStyle w:val="Point1letter"/>
        <w:numPr>
          <w:ilvl w:val="3"/>
          <w:numId w:val="9"/>
        </w:numPr>
        <w:spacing w:before="0" w:after="240" w:line="276" w:lineRule="auto"/>
        <w:rPr>
          <w:noProof/>
        </w:rPr>
      </w:pPr>
      <w:r>
        <w:rPr>
          <w:noProof/>
        </w:rPr>
        <w:t>terminalavgiftsandelarna som erhållits i enlighet med artikel 4.3, och</w:t>
      </w:r>
    </w:p>
    <w:p>
      <w:pPr>
        <w:pStyle w:val="Point1letter"/>
        <w:numPr>
          <w:ilvl w:val="3"/>
          <w:numId w:val="9"/>
        </w:numPr>
        <w:spacing w:before="0" w:after="240" w:line="276" w:lineRule="auto"/>
        <w:rPr>
          <w:noProof/>
        </w:rPr>
      </w:pPr>
      <w:r>
        <w:rPr>
          <w:noProof/>
        </w:rPr>
        <w:t>all tillämpning av en enhetlig taxa för två eller flera medlemsstater.</w:t>
      </w:r>
    </w:p>
    <w:p>
      <w:pPr>
        <w:pStyle w:val="ManualNumPar1"/>
        <w:rPr>
          <w:noProof/>
        </w:rPr>
      </w:pPr>
      <w:r>
        <w:t>2.</w:t>
      </w:r>
      <w:r>
        <w:tab/>
      </w:r>
      <w:r>
        <w:rPr>
          <w:noProof/>
        </w:rPr>
        <w:t xml:space="preserve">Om den nationella tillsynsmyndigheten konstaterar att de gränsöverskridande taxor som avses i punkt 1 inte är överkomliga, ska den begära ytterligare nödvändig information och/eller en motivering avseende nivån för dessa taxor från tillhandahållaren av samhällsomfattande tjänster. </w:t>
      </w:r>
    </w:p>
    <w:p>
      <w:pPr>
        <w:pStyle w:val="ManualNumPar1"/>
        <w:rPr>
          <w:noProof/>
        </w:rPr>
      </w:pPr>
      <w:r>
        <w:t>3.</w:t>
      </w:r>
      <w:r>
        <w:tab/>
      </w:r>
      <w:r>
        <w:rPr>
          <w:noProof/>
        </w:rPr>
        <w:t>Tillhandahållaren av samhällsomfattande tjänster ska förse den nationella tillsynsmyndigheten med den information och/eller den motivering som avses i punkt 2 inom 15 arbetsdagar efter mottagandet av begäran.</w:t>
      </w:r>
    </w:p>
    <w:p>
      <w:pPr>
        <w:pStyle w:val="ManualNumPar1"/>
        <w:rPr>
          <w:noProof/>
        </w:rPr>
      </w:pPr>
      <w:r>
        <w:t>4.</w:t>
      </w:r>
      <w:r>
        <w:tab/>
      </w:r>
      <w:r>
        <w:rPr>
          <w:noProof/>
        </w:rPr>
        <w:t>Den nationella tillsynsmyndigheten ska lämna in sin bedömning, inbegripet information och/eller motivering i enlighet med punkt 3, till kommissionen, de nationella tillsynsmyndigheterna i övriga medlemsstater och de nationella myndigheterna i den nationella tillsynsmyndighets medlemstat som har ansvaret för genomförandet av konkurrenslagstiftningen. En officiell version av denna bedömning ska även lämnas till kommissionen.</w:t>
      </w:r>
      <w:r>
        <w:rPr>
          <w:i/>
          <w:noProof/>
        </w:rPr>
        <w:t xml:space="preserve"> </w:t>
      </w:r>
      <w:r>
        <w:rPr>
          <w:noProof/>
        </w:rPr>
        <w:t>Denna information ska lämnas senast den 31 januari varje kalenderår.</w:t>
      </w:r>
    </w:p>
    <w:p>
      <w:pPr>
        <w:pStyle w:val="ManualNumPar1"/>
        <w:rPr>
          <w:noProof/>
        </w:rPr>
      </w:pPr>
      <w:r>
        <w:t>5.</w:t>
      </w:r>
      <w:r>
        <w:tab/>
      </w:r>
      <w:r>
        <w:rPr>
          <w:noProof/>
        </w:rPr>
        <w:t>Kommissionen ska offentliggöra en officiell version av de nationella tillsynsmyndigheternas bedömning i enlighet med punkt 4 på en särskild webbplats senast den 30 april varje kalenderår.</w:t>
      </w:r>
    </w:p>
    <w:p>
      <w:pPr>
        <w:pStyle w:val="Titrearticle"/>
        <w:rPr>
          <w:noProof/>
        </w:rPr>
      </w:pPr>
      <w:r>
        <w:rPr>
          <w:noProof/>
        </w:rPr>
        <w:t>Artikel 6</w:t>
      </w:r>
      <w:r>
        <w:rPr>
          <w:noProof/>
        </w:rPr>
        <w:br/>
        <w:t>Öppet och icke-diskriminerande gränsöverskridande tillträde</w:t>
      </w:r>
    </w:p>
    <w:p>
      <w:pPr>
        <w:pStyle w:val="ManualNumPar1"/>
        <w:rPr>
          <w:noProof/>
        </w:rPr>
      </w:pPr>
      <w:r>
        <w:t>1.</w:t>
      </w:r>
      <w:r>
        <w:tab/>
      </w:r>
      <w:r>
        <w:rPr>
          <w:noProof/>
        </w:rPr>
        <w:t xml:space="preserve">När tillhandahållare av samhällsomfattande tjänster som erbjuder paketleveranstjänster ingår multilaterala avtal om terminalavgiftsandelar, ska de tillmötesgå varje rimlig begäran om tillträde till alla nätelement och tillhörande faciliteter samt relevanta tjänster och informationssystem som behövs för att tillhandahålla gränsöverskridande paketleveranstjänster. </w:t>
      </w:r>
    </w:p>
    <w:p>
      <w:pPr>
        <w:pStyle w:val="ManualNumPar1"/>
        <w:rPr>
          <w:noProof/>
        </w:rPr>
      </w:pPr>
      <w:r>
        <w:t>2.</w:t>
      </w:r>
      <w:r>
        <w:tab/>
      </w:r>
      <w:r>
        <w:rPr>
          <w:noProof/>
        </w:rPr>
        <w:t>Det ställe dit tillträde ska ges ska vara utväxlingskontoret för ankommande post i det mottagande landet.</w:t>
      </w:r>
    </w:p>
    <w:p>
      <w:pPr>
        <w:pStyle w:val="ManualNumPar1"/>
        <w:rPr>
          <w:noProof/>
        </w:rPr>
      </w:pPr>
      <w:r>
        <w:t>3.</w:t>
      </w:r>
      <w:r>
        <w:tab/>
      </w:r>
      <w:r>
        <w:rPr>
          <w:noProof/>
        </w:rPr>
        <w:t xml:space="preserve">De tillhandahållare av samhällsomfattande tjänster som avses i punkt 1 ska offentliggöra ett referensanbud. Referensanbudet ska innehålla alla relevanta tillhörande villkor, däribland avgifter. </w:t>
      </w:r>
    </w:p>
    <w:p>
      <w:pPr>
        <w:pStyle w:val="ManualNumPar1"/>
        <w:rPr>
          <w:noProof/>
        </w:rPr>
      </w:pPr>
      <w:r>
        <w:t>4.</w:t>
      </w:r>
      <w:r>
        <w:tab/>
      </w:r>
      <w:r>
        <w:rPr>
          <w:noProof/>
        </w:rPr>
        <w:t xml:space="preserve">Referensanbudet ska innefatta samtliga delar som är nödvändiga för det tillträde som avses i punkt 1, inklusive eventuella villkor som begränsar tillträdet till och/eller användningen av tjänster, om sådana villkor tillåts av medlemsstaterna i överensstämmelse med unionslagstiftningen. </w:t>
      </w:r>
    </w:p>
    <w:p>
      <w:pPr>
        <w:pStyle w:val="ManualNumPar1"/>
        <w:rPr>
          <w:noProof/>
        </w:rPr>
      </w:pPr>
      <w:r>
        <w:t>5.</w:t>
      </w:r>
      <w:r>
        <w:tab/>
      </w:r>
      <w:r>
        <w:rPr>
          <w:noProof/>
        </w:rPr>
        <w:t>Innan referensanbudet offentliggörs ska det godkännas av den nationella tillsynsmyndigheten. Den nationella tillsynsmyndigheten får vid behov införa ändringar i referensanbudet för att verkställa skyldigheter som fastställs i denna förordning.</w:t>
      </w:r>
    </w:p>
    <w:p>
      <w:pPr>
        <w:pStyle w:val="ManualNumPar1"/>
        <w:rPr>
          <w:noProof/>
        </w:rPr>
      </w:pPr>
      <w:r>
        <w:t>6.</w:t>
      </w:r>
      <w:r>
        <w:tab/>
      </w:r>
      <w:r>
        <w:rPr>
          <w:noProof/>
        </w:rPr>
        <w:t xml:space="preserve">Tillhandahållare av samhällsomfattande tjänster enligt punkt 1 ska på begäran, och på grundval av ett referensanbud, ge ett individuellt anbud till en tillhandahållare av paketleveranstjänster som begär tillträde i den mening som avses i den punkten senast en månad efter mottagandet av begäran. Tillhandahållare av samhällsomfattande tjänster som tar emot en begäran om tillträde och tillhandahållare som begär tillträde ska förhandla i god tro. </w:t>
      </w:r>
    </w:p>
    <w:p>
      <w:pPr>
        <w:pStyle w:val="ManualNumPar1"/>
        <w:rPr>
          <w:noProof/>
        </w:rPr>
      </w:pPr>
      <w:r>
        <w:t>7.</w:t>
      </w:r>
      <w:r>
        <w:tab/>
      </w:r>
      <w:r>
        <w:rPr>
          <w:noProof/>
        </w:rPr>
        <w:t>Om ingen överenskommelse kan nås på grundval av det individuella anbud som avses i punkt 6 får den tillhandahållare av paketleveranstjänster som begär tillträde lämna in det individuella anbudet från tillhandahållaren av samhällsomfattande tjänster till den nationella tillsynsmyndigheten. Vid behov ska den nationella tillsynsmyndigheten ändra på det individuella anbudet så att de skyldigheter som anges i denna artikel genomförs.</w:t>
      </w:r>
    </w:p>
    <w:p>
      <w:pPr>
        <w:pStyle w:val="ManualNumPar1"/>
        <w:rPr>
          <w:noProof/>
        </w:rPr>
      </w:pPr>
      <w:r>
        <w:t>8.</w:t>
      </w:r>
      <w:r>
        <w:tab/>
      </w:r>
      <w:r>
        <w:rPr>
          <w:noProof/>
        </w:rPr>
        <w:t>Tillträdet ska säkerställas operativt inom rimlig tid och senast tre månader efter tidpunkten för avtalets ingående.</w:t>
      </w:r>
    </w:p>
    <w:p>
      <w:pPr>
        <w:pStyle w:val="SectionTitle"/>
        <w:rPr>
          <w:noProof/>
        </w:rPr>
      </w:pPr>
      <w:r>
        <w:rPr>
          <w:noProof/>
        </w:rPr>
        <w:t>KAPITEL III</w:t>
      </w:r>
    </w:p>
    <w:p>
      <w:pPr>
        <w:pStyle w:val="NormalCentered"/>
        <w:rPr>
          <w:b/>
          <w:noProof/>
        </w:rPr>
      </w:pPr>
      <w:r>
        <w:rPr>
          <w:b/>
          <w:noProof/>
        </w:rPr>
        <w:t>Genomförande, översyn och ikraftträdande</w:t>
      </w:r>
    </w:p>
    <w:p>
      <w:pPr>
        <w:pStyle w:val="Titrearticle"/>
        <w:rPr>
          <w:noProof/>
        </w:rPr>
      </w:pPr>
      <w:r>
        <w:rPr>
          <w:noProof/>
        </w:rPr>
        <w:t>Artikel 7</w:t>
      </w:r>
      <w:r>
        <w:rPr>
          <w:noProof/>
        </w:rPr>
        <w:br/>
        <w:t>Sanktioner</w:t>
      </w:r>
    </w:p>
    <w:p>
      <w:pPr>
        <w:rPr>
          <w:noProof/>
        </w:rPr>
      </w:pPr>
      <w:r>
        <w:rPr>
          <w:noProof/>
        </w:rPr>
        <w:t>Medlemsstaterna ska fastställa bestämmelser om sanktioner för överträdelser av bestämmelserna i denna förordning och vidta nödvändiga åtgärder för att se till att de genomförs. Sanktionerna ska vara effektiva, proportionella och avskräckande.</w:t>
      </w:r>
    </w:p>
    <w:p>
      <w:pPr>
        <w:rPr>
          <w:noProof/>
        </w:rPr>
      </w:pPr>
      <w:r>
        <w:rPr>
          <w:noProof/>
        </w:rPr>
        <w:t>Medlemsstaterna ska anmäla dessa bestämmelser till kommissionen senast den XX och ska utan dröjsmål anmäla till den eventuella ändringar som berör dem.</w:t>
      </w:r>
    </w:p>
    <w:p>
      <w:pPr>
        <w:pStyle w:val="Titrearticle"/>
        <w:rPr>
          <w:noProof/>
        </w:rPr>
      </w:pPr>
      <w:r>
        <w:rPr>
          <w:noProof/>
        </w:rPr>
        <w:t>Artikel 8</w:t>
      </w:r>
      <w:r>
        <w:rPr>
          <w:noProof/>
        </w:rPr>
        <w:br/>
        <w:t>Översyn</w:t>
      </w:r>
    </w:p>
    <w:p>
      <w:pPr>
        <w:rPr>
          <w:noProof/>
        </w:rPr>
      </w:pPr>
      <w:r>
        <w:rPr>
          <w:noProof/>
        </w:rPr>
        <w:t>Före XX/XX/2019, och därefter vart fjärde år, ska kommissionen lämna en utvärderingsrapport till Europaparlamentet, rådet och Ekonomiska och sociala kommittén om tillämpningen av denna förordning, vid behov tillsammans med ett förslag till översyn av den.</w:t>
      </w:r>
    </w:p>
    <w:p>
      <w:pPr>
        <w:rPr>
          <w:noProof/>
        </w:rPr>
      </w:pPr>
      <w:r>
        <w:rPr>
          <w:noProof/>
        </w:rPr>
        <w:t>Kommissionen ska utvärdera åtminstone följande:</w:t>
      </w:r>
    </w:p>
    <w:p>
      <w:pPr>
        <w:pStyle w:val="Point1letter"/>
        <w:numPr>
          <w:ilvl w:val="3"/>
          <w:numId w:val="6"/>
        </w:numPr>
        <w:rPr>
          <w:noProof/>
        </w:rPr>
      </w:pPr>
      <w:r>
        <w:rPr>
          <w:noProof/>
        </w:rPr>
        <w:t>Om prisernas överkomlighet när det gäller gränsöverskridande paketleveranstjänster har förbättrats, inbegripet för användare i avlägsna eller glesbefolkade områden.</w:t>
      </w:r>
    </w:p>
    <w:p>
      <w:pPr>
        <w:pStyle w:val="Point1letter"/>
        <w:rPr>
          <w:noProof/>
        </w:rPr>
      </w:pPr>
      <w:r>
        <w:rPr>
          <w:noProof/>
        </w:rPr>
        <w:t>I vilken utsträckning ett öppet och icke-diskriminerande gränsöverskridande tillträde till grossistmarknaderna i enlighet med artikel 6 har beviljats av tillhandahållare av de samhällsomfattande tjänster som erbjuder paketleveranstjänster.</w:t>
      </w:r>
    </w:p>
    <w:p>
      <w:pPr>
        <w:pStyle w:val="Point1letter"/>
        <w:rPr>
          <w:noProof/>
        </w:rPr>
      </w:pPr>
      <w:r>
        <w:rPr>
          <w:noProof/>
        </w:rPr>
        <w:t>I vilken utsträckning de nationella tillsynsmyndigheterna har haft svårigheter att tillämpa denna förordning.</w:t>
      </w:r>
    </w:p>
    <w:p>
      <w:pPr>
        <w:pStyle w:val="Point1letter"/>
        <w:rPr>
          <w:noProof/>
        </w:rPr>
      </w:pPr>
      <w:r>
        <w:rPr>
          <w:noProof/>
        </w:rPr>
        <w:t>Framsteg för andra initiativ för att fullborda den inre marknaden för paketleveranstjänster.</w:t>
      </w:r>
    </w:p>
    <w:p>
      <w:pPr>
        <w:pStyle w:val="Titrearticle"/>
        <w:rPr>
          <w:noProof/>
        </w:rPr>
      </w:pPr>
      <w:r>
        <w:rPr>
          <w:noProof/>
        </w:rPr>
        <w:t>Artikel 9</w:t>
      </w:r>
      <w:r>
        <w:rPr>
          <w:noProof/>
        </w:rPr>
        <w:br/>
        <w:t xml:space="preserve">Kommittéförfarande </w:t>
      </w:r>
    </w:p>
    <w:p>
      <w:pPr>
        <w:pStyle w:val="ManualNumPar1"/>
        <w:rPr>
          <w:noProof/>
        </w:rPr>
      </w:pPr>
      <w:r>
        <w:t>1.</w:t>
      </w:r>
      <w:r>
        <w:tab/>
      </w:r>
      <w:r>
        <w:rPr>
          <w:noProof/>
        </w:rPr>
        <w:t xml:space="preserve">Kommissionen ska biträdas av den kommitté som inrättats genom artikel 21 i direktiv 97/67/EG. Denna kommitté ska vara en kommitté i den mening som avses i förordning (EU) nr 182/2011. </w:t>
      </w:r>
    </w:p>
    <w:p>
      <w:pPr>
        <w:pStyle w:val="ManualNumPar1"/>
        <w:rPr>
          <w:noProof/>
        </w:rPr>
      </w:pPr>
      <w:r>
        <w:t>2.</w:t>
      </w:r>
      <w:r>
        <w:tab/>
      </w:r>
      <w:r>
        <w:rPr>
          <w:noProof/>
        </w:rPr>
        <w:t xml:space="preserve">När det hänvisas till denna punkt ska artikel 5 i förordning (EU) nr 182/2011 tillämpas. </w:t>
      </w:r>
    </w:p>
    <w:p>
      <w:pPr>
        <w:pStyle w:val="Titrearticle"/>
        <w:rPr>
          <w:noProof/>
        </w:rPr>
      </w:pPr>
      <w:r>
        <w:rPr>
          <w:noProof/>
        </w:rPr>
        <w:t>Artikel 10</w:t>
      </w:r>
      <w:r>
        <w:rPr>
          <w:noProof/>
        </w:rPr>
        <w:br/>
        <w:t>Ikraftträdande</w:t>
      </w:r>
    </w:p>
    <w:p>
      <w:pPr>
        <w:rPr>
          <w:noProof/>
        </w:rPr>
      </w:pPr>
      <w:r>
        <w:rPr>
          <w:noProof/>
        </w:rPr>
        <w:t xml:space="preserve">Denna förordning träder i kraft den tjugonde dagen efter det att den har offentliggjorts i </w:t>
      </w:r>
      <w:r>
        <w:rPr>
          <w:i/>
          <w:noProof/>
        </w:rPr>
        <w:t>Europeiska unionens officiella tidning</w:t>
      </w:r>
      <w:r>
        <w:rPr>
          <w:noProof/>
        </w:rPr>
        <w:t>.</w:t>
      </w:r>
    </w:p>
    <w:p>
      <w:pPr>
        <w:pStyle w:val="Applicationdirecte"/>
        <w:rPr>
          <w:noProof/>
        </w:rPr>
      </w:pPr>
      <w:r>
        <w:rPr>
          <w:noProof/>
        </w:rPr>
        <w:t>Denna förordning är till alla delar bindande och direkt tillämplig i alla medlemsstater.</w:t>
      </w:r>
    </w:p>
    <w:p>
      <w:pPr>
        <w:pStyle w:val="Fait"/>
        <w:rPr>
          <w:noProof/>
        </w:rPr>
      </w:pPr>
      <w:r>
        <w:rPr>
          <w:noProof/>
        </w:rP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tab/>
        <w:t>Eurobarometerundersökning 413.</w:t>
      </w:r>
    </w:p>
  </w:footnote>
  <w:footnote w:id="3">
    <w:p>
      <w:pPr>
        <w:pStyle w:val="FootnoteText"/>
        <w:rPr>
          <w:rStyle w:val="FootnoteReference"/>
          <w:vertAlign w:val="baseline"/>
        </w:rPr>
      </w:pPr>
      <w:r>
        <w:rPr>
          <w:rStyle w:val="FootnoteReference"/>
        </w:rPr>
        <w:footnoteRef/>
      </w:r>
      <w:r>
        <w:tab/>
      </w:r>
      <w:r>
        <w:rPr>
          <w:rStyle w:val="FootnoteReference"/>
          <w:vertAlign w:val="baseline"/>
        </w:rPr>
        <w:t xml:space="preserve">Europaparlamentets utredningstjänst, </w:t>
      </w:r>
      <w:r>
        <w:rPr>
          <w:rStyle w:val="FootnoteReference"/>
          <w:i/>
          <w:vertAlign w:val="baseline"/>
        </w:rPr>
        <w:t>Mapping the Cost of Non-Europe</w:t>
      </w:r>
      <w:r>
        <w:rPr>
          <w:rStyle w:val="FootnoteReference"/>
          <w:vertAlign w:val="baseline"/>
        </w:rPr>
        <w:t xml:space="preserve"> </w:t>
      </w:r>
      <w:r>
        <w:rPr>
          <w:rStyle w:val="FootnoteReference"/>
          <w:i/>
          <w:vertAlign w:val="baseline"/>
        </w:rPr>
        <w:t>2014–19</w:t>
      </w:r>
      <w:r>
        <w:rPr>
          <w:rStyle w:val="FootnoteReference"/>
          <w:vertAlign w:val="baseline"/>
        </w:rPr>
        <w:t>, 2015.</w:t>
      </w:r>
    </w:p>
  </w:footnote>
  <w:footnote w:id="4">
    <w:p>
      <w:pPr>
        <w:pStyle w:val="FootnoteText"/>
        <w:rPr>
          <w:lang w:val="pt-PT"/>
        </w:rPr>
      </w:pPr>
      <w:r>
        <w:rPr>
          <w:rStyle w:val="FootnoteReference"/>
        </w:rPr>
        <w:footnoteRef/>
      </w:r>
      <w:r>
        <w:rPr>
          <w:lang w:val="pt-PT"/>
        </w:rPr>
        <w:tab/>
        <w:t>SWD(2015) 100 final.</w:t>
      </w:r>
    </w:p>
  </w:footnote>
  <w:footnote w:id="5">
    <w:p>
      <w:pPr>
        <w:pStyle w:val="FootnoteText"/>
        <w:rPr>
          <w:lang w:val="pt-PT"/>
        </w:rPr>
      </w:pPr>
      <w:r>
        <w:rPr>
          <w:rStyle w:val="FootnoteReference"/>
        </w:rPr>
        <w:footnoteRef/>
      </w:r>
      <w:r>
        <w:rPr>
          <w:lang w:val="pt-PT"/>
        </w:rPr>
        <w:tab/>
        <w:t xml:space="preserve">COM(2015) 192 final. </w:t>
      </w:r>
    </w:p>
    <w:p>
      <w:pPr>
        <w:pStyle w:val="FootnoteText"/>
        <w:ind w:firstLine="0"/>
        <w:rPr>
          <w:lang w:val="pt-PT"/>
        </w:rPr>
      </w:pPr>
      <w:hyperlink r:id="rId1">
        <w:r>
          <w:rPr>
            <w:rStyle w:val="Hyperlink"/>
            <w:lang w:val="pt-PT"/>
          </w:rPr>
          <w:t>http://ec.europa.eu/priorities/digital-single-market/docs/dsm-communication_en.pdf</w:t>
        </w:r>
      </w:hyperlink>
      <w:r>
        <w:rPr>
          <w:lang w:val="pt-PT"/>
        </w:rPr>
        <w:t xml:space="preserve"> </w:t>
      </w:r>
    </w:p>
  </w:footnote>
  <w:footnote w:id="6">
    <w:p>
      <w:pPr>
        <w:pStyle w:val="FootnoteText"/>
      </w:pPr>
      <w:r>
        <w:rPr>
          <w:rStyle w:val="FootnoteReference"/>
        </w:rPr>
        <w:footnoteRef/>
      </w:r>
      <w:r>
        <w:tab/>
        <w:t>83,5 % av de kunder som svarade på kommissionens samråd om geografisk diskriminering ansåg att geografisk diskriminering inte är motiverad om gränsöverskridande leverans är lättillgänglig och kunden är beredd att betala extra för leveransen (</w:t>
      </w:r>
      <w:hyperlink r:id="rId2">
        <w:r>
          <w:rPr>
            <w:rStyle w:val="Hyperlink"/>
          </w:rPr>
          <w:t>https://ec.europa.eu/digital-agenda</w:t>
        </w:r>
      </w:hyperlink>
      <w:r>
        <w:t xml:space="preserve"> ).</w:t>
      </w:r>
    </w:p>
  </w:footnote>
  <w:footnote w:id="7">
    <w:p>
      <w:pPr>
        <w:pStyle w:val="FootnoteText"/>
      </w:pPr>
      <w:r>
        <w:rPr>
          <w:rStyle w:val="FootnoteReference"/>
        </w:rPr>
        <w:footnoteRef/>
      </w:r>
      <w:r>
        <w:tab/>
        <w:t>KOM(2011) 942 slutlig.</w:t>
      </w:r>
    </w:p>
  </w:footnote>
  <w:footnote w:id="8">
    <w:p>
      <w:pPr>
        <w:pStyle w:val="FootnoteText"/>
        <w:jc w:val="left"/>
      </w:pPr>
      <w:r>
        <w:rPr>
          <w:rStyle w:val="FootnoteReference"/>
        </w:rPr>
        <w:footnoteRef/>
      </w:r>
      <w:r>
        <w:tab/>
        <w:t>COM(2013) 886 final.</w:t>
      </w:r>
    </w:p>
  </w:footnote>
  <w:footnote w:id="9">
    <w:p>
      <w:pPr>
        <w:pStyle w:val="FootnoteText"/>
      </w:pPr>
      <w:r>
        <w:rPr>
          <w:rStyle w:val="FootnoteReference"/>
        </w:rPr>
        <w:footnoteRef/>
      </w:r>
      <w:r>
        <w:tab/>
        <w:t>Begäran om standardisering anges i unionens årliga arbetsprogram för europeisk standardisering för 2015 – COM (2014) 500 final, 30.7.2014. Den håller för närvarande på att antas.</w:t>
      </w:r>
    </w:p>
  </w:footnote>
  <w:footnote w:id="10">
    <w:p>
      <w:pPr>
        <w:pStyle w:val="FootnoteText"/>
      </w:pPr>
      <w:r>
        <w:rPr>
          <w:rStyle w:val="FootnoteReference"/>
        </w:rPr>
        <w:footnoteRef/>
      </w:r>
      <w:r>
        <w:tab/>
        <w:t xml:space="preserve">Läs mer om detta på </w:t>
      </w:r>
      <w:hyperlink r:id="rId3" w:anchor="!publications/c1351">
        <w:r>
          <w:rPr>
            <w:rStyle w:val="Hyperlink"/>
          </w:rPr>
          <w:t>http://www.emota.eu/#!publications/c1351</w:t>
        </w:r>
      </w:hyperlink>
      <w:r>
        <w:t xml:space="preserve"> och </w:t>
      </w:r>
      <w:hyperlink r:id="rId4">
        <w:r>
          <w:rPr>
            <w:rStyle w:val="Hyperlink"/>
          </w:rPr>
          <w:t>http://www.ecommerce-europe.eu/trustmark</w:t>
        </w:r>
      </w:hyperlink>
      <w:r>
        <w:t xml:space="preserve"> </w:t>
      </w:r>
    </w:p>
  </w:footnote>
  <w:footnote w:id="11">
    <w:p>
      <w:pPr>
        <w:pStyle w:val="FootnoteText"/>
        <w:rPr>
          <w:lang w:val="en-GB"/>
        </w:rPr>
      </w:pPr>
      <w:r>
        <w:rPr>
          <w:rStyle w:val="FootnoteReference"/>
        </w:rPr>
        <w:footnoteRef/>
      </w:r>
      <w:r>
        <w:rPr>
          <w:lang w:val="en-GB"/>
        </w:rPr>
        <w:tab/>
        <w:t xml:space="preserve">Berec-ERGP, </w:t>
      </w:r>
      <w:r>
        <w:rPr>
          <w:i/>
          <w:lang w:val="en-GB"/>
        </w:rPr>
        <w:t>Price Transparency and regulatory oversight of cross-border parcels delivery, taking into account possible regulatory insights from the electronic communications sector</w:t>
      </w:r>
      <w:r>
        <w:rPr>
          <w:lang w:val="en-GB"/>
        </w:rPr>
        <w:t>, 2015.</w:t>
      </w:r>
    </w:p>
  </w:footnote>
  <w:footnote w:id="12">
    <w:p>
      <w:pPr>
        <w:pStyle w:val="FootnoteText"/>
      </w:pPr>
      <w:r>
        <w:rPr>
          <w:rStyle w:val="FootnoteReference"/>
        </w:rPr>
        <w:footnoteRef/>
      </w:r>
      <w:r>
        <w:tab/>
        <w:t>Pakettjänster var traditionellt inte ett monopoliserat område som brevtjänster var.</w:t>
      </w:r>
    </w:p>
  </w:footnote>
  <w:footnote w:id="13">
    <w:p>
      <w:pPr>
        <w:pStyle w:val="FootnoteText"/>
        <w:rPr>
          <w:lang w:val="en-GB"/>
        </w:rPr>
      </w:pPr>
      <w:r>
        <w:rPr>
          <w:rStyle w:val="FootnoteReference"/>
        </w:rPr>
        <w:footnoteRef/>
      </w:r>
      <w:r>
        <w:tab/>
        <w:t xml:space="preserve">Så sent som 2007 stod fortfarande brevförsändelser för över hälften (52 %) av den europeiska postsektorns inkomster. År 2011 ansvarade segmentet för paket och expresstjänster för över hälften (52 %). </w:t>
      </w:r>
      <w:r>
        <w:rPr>
          <w:lang w:val="en-GB"/>
        </w:rPr>
        <w:t xml:space="preserve">WIK, </w:t>
      </w:r>
      <w:r>
        <w:rPr>
          <w:i/>
          <w:lang w:val="en-GB"/>
        </w:rPr>
        <w:t>Main Developments in the Postal Sector</w:t>
      </w:r>
      <w:r>
        <w:rPr>
          <w:lang w:val="en-GB"/>
        </w:rPr>
        <w:t xml:space="preserve">, 2013. </w:t>
      </w:r>
    </w:p>
  </w:footnote>
  <w:footnote w:id="14">
    <w:p>
      <w:pPr>
        <w:pStyle w:val="FootnoteText"/>
      </w:pPr>
      <w:r>
        <w:rPr>
          <w:rStyle w:val="FootnoteReference"/>
        </w:rPr>
        <w:footnoteRef/>
      </w:r>
      <w:r>
        <w:rPr>
          <w:lang w:val="en-GB"/>
        </w:rPr>
        <w:tab/>
        <w:t xml:space="preserve">Europeiska kommissionen, </w:t>
      </w:r>
      <w:r>
        <w:rPr>
          <w:i/>
          <w:lang w:val="en-GB"/>
        </w:rPr>
        <w:t>Consumer survey identifying the main cross-border obstacles to the DSM and where they matter most</w:t>
      </w:r>
      <w:r>
        <w:rPr>
          <w:lang w:val="en-GB"/>
        </w:rPr>
        <w:t xml:space="preserve">, 2015. </w:t>
      </w:r>
      <w:r>
        <w:t>Särskild Eurobarometer 398 från oktober 2013, där det konstaterades att nästan 40 % av konsumenterna anger att leveransproblem hindrar dem från att handla på nätet.</w:t>
      </w:r>
    </w:p>
  </w:footnote>
  <w:footnote w:id="15">
    <w:p>
      <w:pPr>
        <w:pStyle w:val="FootnoteText"/>
        <w:rPr>
          <w:lang w:val="en-GB"/>
        </w:rPr>
      </w:pPr>
      <w:r>
        <w:rPr>
          <w:rStyle w:val="FootnoteReference"/>
        </w:rPr>
        <w:footnoteRef/>
      </w:r>
      <w:r>
        <w:rPr>
          <w:lang w:val="en-GB"/>
        </w:rPr>
        <w:tab/>
        <w:t xml:space="preserve">University St Louis. </w:t>
      </w:r>
      <w:r>
        <w:rPr>
          <w:i/>
          <w:sz w:val="18"/>
          <w:lang w:val="en-GB"/>
        </w:rPr>
        <w:t>Econometric study on cross-border prices</w:t>
      </w:r>
      <w:r>
        <w:rPr>
          <w:lang w:val="en-GB"/>
        </w:rPr>
        <w:t xml:space="preserve">, 2015. </w:t>
      </w:r>
    </w:p>
  </w:footnote>
  <w:footnote w:id="16">
    <w:p>
      <w:pPr>
        <w:pStyle w:val="FootnoteText"/>
      </w:pPr>
      <w:r>
        <w:rPr>
          <w:rStyle w:val="FootnoteReference"/>
        </w:rPr>
        <w:footnoteRef/>
      </w:r>
      <w:r>
        <w:tab/>
        <w:t xml:space="preserve">Över hälften av detaljhandlarna, varav merparten var små och medelstora företag, som svarade på kommissionens offentliga samråd 2015 om gränsöverskridande paketleveranser uppgav att de inte fick några rabatter.  </w:t>
      </w:r>
    </w:p>
  </w:footnote>
  <w:footnote w:id="17">
    <w:p>
      <w:pPr>
        <w:pStyle w:val="FootnoteText"/>
      </w:pPr>
      <w:r>
        <w:rPr>
          <w:rStyle w:val="FootnoteReference"/>
        </w:rPr>
        <w:footnoteRef/>
      </w:r>
      <w:r>
        <w:tab/>
        <w:t xml:space="preserve">Av en studie som University St Louis utförde framkom att de offentliggjorda gränsöverskridande priser som tillhandahållare av samhällsomfattande tjänster tar ut ofta är mellan tre och fem gånger högre än de inrikes motsvarigheterna. Även om dessa offentliggjorda priser ibland också kan vara nedsatta, om tillämpliga villkor är uppfyllda, är de fortfarande högre än individuellt förhandlade taxor. </w:t>
      </w:r>
    </w:p>
  </w:footnote>
  <w:footnote w:id="18">
    <w:p>
      <w:pPr>
        <w:pStyle w:val="FootnoteText"/>
        <w:rPr>
          <w:sz w:val="18"/>
          <w:szCs w:val="18"/>
        </w:rPr>
      </w:pPr>
      <w:r>
        <w:rPr>
          <w:rStyle w:val="FootnoteReference"/>
        </w:rPr>
        <w:footnoteRef/>
      </w:r>
      <w:r>
        <w:tab/>
        <w:t xml:space="preserve">FTI drog 2011 slutsatsen i dokumentet </w:t>
      </w:r>
      <w:r>
        <w:rPr>
          <w:i/>
          <w:sz w:val="18"/>
        </w:rPr>
        <w:t>Intra-Community cross-border parcel delivery</w:t>
      </w:r>
      <w:r>
        <w:t xml:space="preserve"> att marknaden för paketleveranser är tudelad, i synnerhet i glesbygd, med små och sällsynta avsändare som ofta inte har något alternativ till nationella postoperatörer och som betalar högre priser, medan marknaden för stora avsändare var konkurrenskraftig.</w:t>
      </w:r>
      <w:r>
        <w:rPr>
          <w:sz w:val="18"/>
        </w:rPr>
        <w:t xml:space="preserve"> </w:t>
      </w:r>
    </w:p>
  </w:footnote>
  <w:footnote w:id="19">
    <w:p>
      <w:pPr>
        <w:pStyle w:val="FootnoteText"/>
      </w:pPr>
      <w:r>
        <w:rPr>
          <w:rStyle w:val="FootnoteReference"/>
        </w:rPr>
        <w:footnoteRef/>
      </w:r>
      <w:r>
        <w:tab/>
        <w:t>Exempelvis tar DHL ut 20,00 euro (eller 0,30 euro/kg om försändelsen överstiger en viss gräns) för leverans eller insamling i avlägsna områden i Finland. UPS tar ut 30 % mer för att skicka något från Amsterdam till Den Burg (ön Texel) än från Rotterdam till Amsterdam. De flesta tillhandahållare av samhällsomfattande tjänster tar ut en enhetlig taxa, dvs. samma pris på hela det nationella territoriet.</w:t>
      </w:r>
    </w:p>
  </w:footnote>
  <w:footnote w:id="20">
    <w:p>
      <w:pPr>
        <w:pStyle w:val="FootnoteText"/>
      </w:pPr>
      <w:r>
        <w:rPr>
          <w:rStyle w:val="FootnoteReference"/>
        </w:rPr>
        <w:footnoteRef/>
      </w:r>
      <w:r>
        <w:tab/>
      </w:r>
      <w:hyperlink r:id="rId5">
        <w:r>
          <w:rPr>
            <w:rStyle w:val="Hyperlink"/>
          </w:rPr>
          <w:t>http://ec.europa.eu/growth/smes/cosme/</w:t>
        </w:r>
      </w:hyperlink>
      <w:r>
        <w:t xml:space="preserve"> </w:t>
      </w:r>
    </w:p>
  </w:footnote>
  <w:footnote w:id="21">
    <w:p>
      <w:pPr>
        <w:pStyle w:val="FootnoteText"/>
      </w:pPr>
      <w:r>
        <w:rPr>
          <w:rStyle w:val="FootnoteReference"/>
        </w:rPr>
        <w:footnoteRef/>
      </w:r>
      <w:r>
        <w:tab/>
        <w:t xml:space="preserve">Se t.ex. Copenhagen Economics, </w:t>
      </w:r>
      <w:r>
        <w:rPr>
          <w:i/>
        </w:rPr>
        <w:t>Principles of e-commerce delivery prices</w:t>
      </w:r>
      <w:r>
        <w:t xml:space="preserve">, 2016. </w:t>
      </w:r>
    </w:p>
  </w:footnote>
  <w:footnote w:id="22">
    <w:p>
      <w:pPr>
        <w:pStyle w:val="FootnoteText"/>
      </w:pPr>
      <w:r>
        <w:rPr>
          <w:rStyle w:val="FootnoteReference"/>
        </w:rPr>
        <w:footnoteRef/>
      </w:r>
      <w:r>
        <w:tab/>
        <w:t>Undantag är La Poste (Frankrike), som har en taxa för utomeuropeiska territorier och Correos (Spanien) som har samma taxor för fastlandet och Balearerna och andra taxor för Kanarieöarna, Ceuta, Melilla och Andorra.</w:t>
      </w:r>
    </w:p>
  </w:footnote>
  <w:footnote w:id="23">
    <w:p>
      <w:pPr>
        <w:pStyle w:val="FootnoteText"/>
      </w:pPr>
      <w:r>
        <w:rPr>
          <w:rStyle w:val="FootnoteReference"/>
        </w:rPr>
        <w:footnoteRef/>
      </w:r>
      <w:r>
        <w:tab/>
        <w:t>Europaparlamentets och rådets direktiv 97/67/EG av den 15 december 1997 om gemensamma regler för utvecklingen av gemenskapens inre marknad för posttjänster och för förbättring av kvaliteten på tjänsterna (EGT L 15, 21.1.1998, s. 14).</w:t>
      </w:r>
    </w:p>
  </w:footnote>
  <w:footnote w:id="24">
    <w:p>
      <w:pPr>
        <w:pStyle w:val="FootnoteText"/>
      </w:pPr>
      <w:r>
        <w:rPr>
          <w:rStyle w:val="FootnoteReference"/>
        </w:rPr>
        <w:footnoteRef/>
      </w:r>
      <w:r>
        <w:tab/>
        <w:t xml:space="preserve">Europaparlamentets och rådets direktiv 2002/39/EG av den 10 juni 2002 om ändring av direktiv 97/67/EG för att ytterligare öka konkurrensen inom postsektorn i gemenskapen (EGT L 176, 5.7.2002, s. 21). </w:t>
      </w:r>
    </w:p>
  </w:footnote>
  <w:footnote w:id="25">
    <w:p>
      <w:pPr>
        <w:pStyle w:val="FootnoteText"/>
      </w:pPr>
      <w:r>
        <w:rPr>
          <w:rStyle w:val="FootnoteReference"/>
        </w:rPr>
        <w:footnoteRef/>
      </w:r>
      <w:r>
        <w:tab/>
        <w:t>Europaparlamentets och rådets direktiv 2008/6/EG av den 20 februari 2008 om ändring av direktiv 97/67/EG beträffande fullständigt genomförande av gemenskapens inre marknad för posttjänster (EUT L 52, 27.2.2008, s. 3).</w:t>
      </w:r>
    </w:p>
  </w:footnote>
  <w:footnote w:id="26">
    <w:p>
      <w:pPr>
        <w:pStyle w:val="FootnoteText"/>
      </w:pPr>
      <w:r>
        <w:rPr>
          <w:rStyle w:val="FootnoteReference"/>
        </w:rPr>
        <w:footnoteRef/>
      </w:r>
      <w:r>
        <w:tab/>
        <w:t>2015/2147 (INI).</w:t>
      </w:r>
    </w:p>
  </w:footnote>
  <w:footnote w:id="27">
    <w:p>
      <w:pPr>
        <w:pStyle w:val="FootnoteText"/>
      </w:pPr>
      <w:r>
        <w:rPr>
          <w:rStyle w:val="FootnoteReference"/>
        </w:rPr>
        <w:footnoteRef/>
      </w:r>
      <w:r>
        <w:tab/>
        <w:t xml:space="preserve">Läs mer om samrådet på </w:t>
      </w:r>
    </w:p>
    <w:p>
      <w:pPr>
        <w:pStyle w:val="FootnoteText"/>
        <w:ind w:firstLine="0"/>
      </w:pPr>
      <w:hyperlink r:id="rId6">
        <w:r>
          <w:rPr>
            <w:rStyle w:val="Hyperlink"/>
          </w:rPr>
          <w:t>http://ec.europa.eu/growth/tools-databases/newsroom/cf/itemdetail.cfm?item_id=8169</w:t>
        </w:r>
      </w:hyperlink>
      <w:r>
        <w:t xml:space="preserve"> </w:t>
      </w:r>
    </w:p>
  </w:footnote>
  <w:footnote w:id="28">
    <w:p>
      <w:pPr>
        <w:pStyle w:val="FootnoteText"/>
      </w:pPr>
      <w:r>
        <w:rPr>
          <w:rStyle w:val="FootnoteReference"/>
        </w:rPr>
        <w:footnoteRef/>
      </w:r>
      <w:r>
        <w:tab/>
        <w:t>Se till exempel Flash Eurobarometer 413 och konsumentundersökningen om den digitala inre marknaden.</w:t>
      </w:r>
    </w:p>
  </w:footnote>
  <w:footnote w:id="29">
    <w:p>
      <w:pPr>
        <w:pStyle w:val="FootnoteText"/>
        <w:rPr>
          <w:lang w:val="en-GB"/>
        </w:rPr>
      </w:pPr>
      <w:r>
        <w:rPr>
          <w:rStyle w:val="FootnoteReference"/>
        </w:rPr>
        <w:footnoteRef/>
      </w:r>
      <w:r>
        <w:rPr>
          <w:lang w:val="en-GB"/>
        </w:rPr>
        <w:tab/>
        <w:t>FTI Consulting, 2011.</w:t>
      </w:r>
    </w:p>
  </w:footnote>
  <w:footnote w:id="30">
    <w:p>
      <w:pPr>
        <w:pStyle w:val="FootnoteText"/>
        <w:rPr>
          <w:lang w:val="en-GB"/>
        </w:rPr>
      </w:pPr>
      <w:r>
        <w:rPr>
          <w:rStyle w:val="FootnoteReference"/>
        </w:rPr>
        <w:footnoteRef/>
      </w:r>
      <w:r>
        <w:rPr>
          <w:lang w:val="en-GB"/>
        </w:rPr>
        <w:tab/>
        <w:t xml:space="preserve">Copenhagen Economics. </w:t>
      </w:r>
      <w:r>
        <w:rPr>
          <w:i/>
          <w:lang w:val="en-GB"/>
        </w:rPr>
        <w:t>E-commerce and delivery</w:t>
      </w:r>
      <w:r>
        <w:rPr>
          <w:lang w:val="en-GB"/>
        </w:rPr>
        <w:t>, 2013.</w:t>
      </w:r>
    </w:p>
  </w:footnote>
  <w:footnote w:id="31">
    <w:p>
      <w:pPr>
        <w:pStyle w:val="FootnoteText"/>
        <w:rPr>
          <w:lang w:val="en-GB"/>
        </w:rPr>
      </w:pPr>
      <w:r>
        <w:rPr>
          <w:rStyle w:val="FootnoteReference"/>
        </w:rPr>
        <w:footnoteRef/>
      </w:r>
      <w:r>
        <w:rPr>
          <w:lang w:val="en-GB"/>
        </w:rPr>
        <w:tab/>
        <w:t>University St Louis, 2015.</w:t>
      </w:r>
    </w:p>
  </w:footnote>
  <w:footnote w:id="32">
    <w:p>
      <w:pPr>
        <w:pStyle w:val="FootnoteText"/>
        <w:rPr>
          <w:lang w:val="en-GB"/>
        </w:rPr>
      </w:pPr>
      <w:r>
        <w:rPr>
          <w:rStyle w:val="FootnoteReference"/>
        </w:rPr>
        <w:footnoteRef/>
      </w:r>
      <w:r>
        <w:rPr>
          <w:lang w:val="en-GB"/>
        </w:rPr>
        <w:tab/>
        <w:t>ERGP (15) 28.</w:t>
      </w:r>
    </w:p>
  </w:footnote>
  <w:footnote w:id="33">
    <w:p>
      <w:pPr>
        <w:pStyle w:val="FootnoteText"/>
        <w:rPr>
          <w:lang w:val="en-GB"/>
        </w:rPr>
      </w:pPr>
      <w:r>
        <w:rPr>
          <w:rStyle w:val="FootnoteReference"/>
        </w:rPr>
        <w:footnoteRef/>
      </w:r>
      <w:r>
        <w:rPr>
          <w:lang w:val="en-GB"/>
        </w:rPr>
        <w:tab/>
        <w:t>ERGP (14) 26.</w:t>
      </w:r>
    </w:p>
  </w:footnote>
  <w:footnote w:id="34">
    <w:p>
      <w:pPr>
        <w:pStyle w:val="FootnoteText"/>
        <w:rPr>
          <w:lang w:val="en-GB"/>
        </w:rPr>
      </w:pPr>
      <w:r>
        <w:rPr>
          <w:rStyle w:val="FootnoteReference"/>
        </w:rPr>
        <w:footnoteRef/>
      </w:r>
      <w:r>
        <w:rPr>
          <w:lang w:val="en-GB"/>
        </w:rPr>
        <w:tab/>
        <w:t>ERGP (13) 37.</w:t>
      </w:r>
    </w:p>
  </w:footnote>
  <w:footnote w:id="35">
    <w:p>
      <w:pPr>
        <w:pStyle w:val="FootnoteText"/>
        <w:rPr>
          <w:lang w:val="en-GB"/>
        </w:rPr>
      </w:pPr>
      <w:r>
        <w:rPr>
          <w:rStyle w:val="FootnoteReference"/>
        </w:rPr>
        <w:footnoteRef/>
      </w:r>
      <w:r>
        <w:rPr>
          <w:lang w:val="en-GB"/>
        </w:rPr>
        <w:tab/>
        <w:t>ERGP PL (15) 32.</w:t>
      </w:r>
    </w:p>
  </w:footnote>
  <w:footnote w:id="36">
    <w:p>
      <w:pPr>
        <w:pStyle w:val="FootnoteText"/>
        <w:rPr>
          <w:i/>
          <w:lang w:val="en-GB"/>
        </w:rPr>
      </w:pPr>
      <w:r>
        <w:rPr>
          <w:rStyle w:val="FootnoteReference"/>
        </w:rPr>
        <w:footnoteRef/>
      </w:r>
      <w:r>
        <w:rPr>
          <w:lang w:val="en-GB"/>
        </w:rPr>
        <w:tab/>
        <w:t xml:space="preserve">Antwerpens universitet, </w:t>
      </w:r>
      <w:r>
        <w:rPr>
          <w:i/>
          <w:lang w:val="en-GB"/>
        </w:rPr>
        <w:t>Cross-border parcel logistics</w:t>
      </w:r>
      <w:r>
        <w:rPr>
          <w:lang w:val="en-GB"/>
        </w:rPr>
        <w:t>, 2015.</w:t>
      </w:r>
    </w:p>
  </w:footnote>
  <w:footnote w:id="37">
    <w:p>
      <w:pPr>
        <w:pStyle w:val="FootnoteText"/>
      </w:pPr>
      <w:r>
        <w:rPr>
          <w:rStyle w:val="FootnoteReference"/>
        </w:rPr>
        <w:footnoteRef/>
      </w:r>
      <w:r>
        <w:tab/>
        <w:t xml:space="preserve">Även denna lösning förkastades, eftersom det skulle kräva offentliggörande av kommersiellt känslig information som skulle ta bort konkurrensprocessens genomslagskraft. </w:t>
      </w:r>
    </w:p>
  </w:footnote>
  <w:footnote w:id="38">
    <w:p>
      <w:pPr>
        <w:pStyle w:val="FootnoteText"/>
      </w:pPr>
      <w:r>
        <w:rPr>
          <w:rStyle w:val="FootnoteReference"/>
        </w:rPr>
        <w:footnoteRef/>
      </w:r>
      <w:r>
        <w:tab/>
        <w:t xml:space="preserve">Dokumenten om konsekvensbedömningen finns tillgängliga på </w:t>
      </w:r>
      <w:hyperlink r:id="rId7">
        <w:r>
          <w:rPr>
            <w:rStyle w:val="Hyperlink"/>
          </w:rPr>
          <w:t>http://ec.europa.eu/smart-regulation/impact/ia_carried_out/cia_2016_en.htm</w:t>
        </w:r>
      </w:hyperlink>
      <w:r>
        <w:t xml:space="preserve"> </w:t>
      </w:r>
    </w:p>
  </w:footnote>
  <w:footnote w:id="39">
    <w:p>
      <w:pPr>
        <w:pStyle w:val="FootnoteText"/>
      </w:pPr>
      <w:r>
        <w:rPr>
          <w:rStyle w:val="FootnoteReference"/>
        </w:rPr>
        <w:footnoteRef/>
      </w:r>
      <w:r>
        <w:tab/>
        <w:t>Även när det gäller gränsöverskridande paketleveranstjänster som ingår i de samhällsomfattande tjänsterna har det uttryckts att dessa tjänster inte är överkomliga i den mening som avses i artikel 12 i direktivet om posttjänster.</w:t>
      </w:r>
    </w:p>
  </w:footnote>
  <w:footnote w:id="40">
    <w:p>
      <w:pPr>
        <w:pStyle w:val="FootnoteText"/>
      </w:pPr>
      <w:r>
        <w:rPr>
          <w:rStyle w:val="FootnoteReference"/>
        </w:rPr>
        <w:footnoteRef/>
      </w:r>
      <w:r>
        <w:tab/>
        <w:t xml:space="preserve">Exempelvis har de nationella tillsynsmyndigheterna olika synsätt som innebär större bördor på tillhandahållarna av paketleveranser som skulle behöva rätta sig efter mycket olika förfrågningar om uppgifter i varje medlemsstat där de bedriver verksamhet. </w:t>
      </w:r>
    </w:p>
  </w:footnote>
  <w:footnote w:id="41">
    <w:p>
      <w:pPr>
        <w:pStyle w:val="FootnoteText"/>
      </w:pPr>
      <w:r>
        <w:rPr>
          <w:rStyle w:val="FootnoteReference"/>
        </w:rPr>
        <w:footnoteRef/>
      </w:r>
      <w:r>
        <w:tab/>
        <w:t>Artikel 29 i Världspostkonventionen.</w:t>
      </w:r>
    </w:p>
  </w:footnote>
  <w:footnote w:id="42">
    <w:p>
      <w:pPr>
        <w:pStyle w:val="FootnoteText"/>
      </w:pPr>
      <w:r>
        <w:rPr>
          <w:rStyle w:val="FootnoteReference"/>
        </w:rPr>
        <w:footnoteRef/>
      </w:r>
      <w:r>
        <w:tab/>
        <w:t>Artiklarna 35 och 36 i Världspostkonventionen.</w:t>
      </w:r>
    </w:p>
  </w:footnote>
  <w:footnote w:id="43">
    <w:p>
      <w:pPr>
        <w:pStyle w:val="FootnoteText"/>
      </w:pPr>
      <w:r>
        <w:rPr>
          <w:rStyle w:val="FootnoteReference"/>
        </w:rPr>
        <w:footnoteRef/>
      </w:r>
      <w:r>
        <w:tab/>
        <w:t>Se skäl 17 i Europaparlamentets och rådets direktiv 2008/6/EG av den 20 februari 2008 om ändring av direktiv 97/67/EG, EUT L 52, 27.2.2009, s. 5.</w:t>
      </w:r>
    </w:p>
  </w:footnote>
  <w:footnote w:id="44">
    <w:p>
      <w:pPr>
        <w:pStyle w:val="FootnoteText"/>
      </w:pPr>
      <w:r>
        <w:rPr>
          <w:rStyle w:val="FootnoteReference"/>
        </w:rPr>
        <w:footnoteRef/>
      </w:r>
      <w:r>
        <w:tab/>
        <w:t>Se generaladvokat Jääskinens avgörande i mål C-148/10, DHL International NV, tidigare Express Line NV, EU:C:2011:351, punkt 59.</w:t>
      </w:r>
    </w:p>
  </w:footnote>
  <w:footnote w:id="45">
    <w:p>
      <w:pPr>
        <w:pStyle w:val="FootnoteText"/>
      </w:pPr>
      <w:r>
        <w:rPr>
          <w:rStyle w:val="FootnoteReference"/>
        </w:rPr>
        <w:footnoteRef/>
      </w:r>
      <w:r>
        <w:tab/>
        <w:t>Kommissionens beslut av den 23 oktober 2003 om ett förfarande enligt artikel 81 i EG-fördraget och artikel 53 i EES-avtalet (ärende COMP/C/38.170 – Reims II andra anmälan</w:t>
      </w:r>
      <w:r>
        <w:rPr>
          <w:rStyle w:val="Strong"/>
          <w:color w:val="444444"/>
          <w:sz w:val="19"/>
        </w:rPr>
        <w:t xml:space="preserve"> </w:t>
      </w:r>
      <w:r>
        <w:t>(delgivet med nr K(2003) 3892), EUT L 56/76, 24.2.2004.</w:t>
      </w:r>
    </w:p>
  </w:footnote>
  <w:footnote w:id="46">
    <w:p>
      <w:pPr>
        <w:pStyle w:val="FootnoteText"/>
        <w:rPr>
          <w:lang w:val="fr-FR"/>
        </w:rPr>
      </w:pPr>
      <w:r>
        <w:rPr>
          <w:rStyle w:val="FootnoteReference"/>
        </w:rPr>
        <w:footnoteRef/>
      </w:r>
      <w:r>
        <w:rPr>
          <w:lang w:val="fr-FR"/>
        </w:rPr>
        <w:tab/>
        <w:t>EUT L 172, 30.6.2012, s. 10.</w:t>
      </w:r>
    </w:p>
  </w:footnote>
  <w:footnote w:id="47">
    <w:p>
      <w:pPr>
        <w:pStyle w:val="FootnoteText"/>
        <w:rPr>
          <w:lang w:val="fr-FR"/>
        </w:rPr>
      </w:pPr>
      <w:r>
        <w:rPr>
          <w:rStyle w:val="FootnoteReference"/>
        </w:rPr>
        <w:footnoteRef/>
      </w:r>
      <w:r>
        <w:rPr>
          <w:lang w:val="fr-FR"/>
        </w:rPr>
        <w:tab/>
        <w:t>EUT C , , s. .</w:t>
      </w:r>
    </w:p>
  </w:footnote>
  <w:footnote w:id="48">
    <w:p>
      <w:pPr>
        <w:pStyle w:val="FootnoteText"/>
      </w:pPr>
      <w:r>
        <w:rPr>
          <w:rStyle w:val="FootnoteReference"/>
        </w:rPr>
        <w:footnoteRef/>
      </w:r>
      <w:r>
        <w:tab/>
        <w:t>EUT C , , s. .</w:t>
      </w:r>
    </w:p>
  </w:footnote>
  <w:footnote w:id="49">
    <w:p>
      <w:pPr>
        <w:pStyle w:val="FootnoteText"/>
      </w:pPr>
      <w:r>
        <w:rPr>
          <w:rStyle w:val="FootnoteReference"/>
        </w:rPr>
        <w:footnoteRef/>
      </w:r>
      <w:r>
        <w:tab/>
        <w:t>BoR (15) 214/ERGP PL (15) 32.</w:t>
      </w:r>
    </w:p>
  </w:footnote>
  <w:footnote w:id="50">
    <w:p>
      <w:pPr>
        <w:pStyle w:val="FootnoteText"/>
      </w:pPr>
      <w:r>
        <w:rPr>
          <w:rStyle w:val="FootnoteReference"/>
        </w:rPr>
        <w:footnoteRef/>
      </w:r>
      <w:r>
        <w:tab/>
        <w:t xml:space="preserve">Europaparlamentets och rådets direktiv 97/67/EG av den 15 december 1997 om gemensamma regler för utvecklingen av gemenskapens inre marknad för posttjänster och för förbättring av kvaliteten på tjänsterna (EGT L 1, 21.1.1998, s. 14). </w:t>
      </w:r>
    </w:p>
  </w:footnote>
  <w:footnote w:id="51">
    <w:p>
      <w:pPr>
        <w:pStyle w:val="FootnoteTex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52">
    <w:p>
      <w:pPr>
        <w:pStyle w:val="FootnoteText"/>
      </w:pPr>
      <w:r>
        <w:rPr>
          <w:rStyle w:val="FootnoteReference"/>
        </w:rPr>
        <w:footnoteRef/>
      </w:r>
      <w:r>
        <w:tab/>
      </w:r>
      <w:r>
        <w:rPr>
          <w:rStyle w:val="FootnoteTextChar"/>
          <w:lang w:val="sv-SE"/>
        </w:rPr>
        <w:t xml:space="preserve">Europaparlamentets och rådets direktiv (EU) </w:t>
      </w:r>
      <w:r>
        <w:t xml:space="preserve">2016/680 </w:t>
      </w:r>
      <w:r>
        <w:rPr>
          <w:rStyle w:val="FootnoteTextChar"/>
          <w:lang w:val="sv-SE"/>
        </w:rPr>
        <w:t>av den 27 april 2016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(EUT L 119, 4.5.2016, s. 89).</w:t>
      </w:r>
    </w:p>
  </w:footnote>
  <w:footnote w:id="53">
    <w:p>
      <w:pPr>
        <w:autoSpaceDE w:val="0"/>
        <w:autoSpaceDN w:val="0"/>
        <w:adjustRightInd w:val="0"/>
        <w:spacing w:before="0" w:after="0"/>
        <w:ind w:left="720" w:hanging="720"/>
        <w:jc w:val="left"/>
      </w:pPr>
      <w:r>
        <w:rPr>
          <w:rStyle w:val="FootnoteReference"/>
        </w:rPr>
        <w:footnoteRef/>
      </w:r>
      <w:r>
        <w:tab/>
      </w:r>
      <w:r>
        <w:rPr>
          <w:rStyle w:val="FootnoteTextChar"/>
          <w:lang w:val="sv-SE"/>
        </w:rPr>
        <w:t xml:space="preserve">Europaparlamentets och rådets förordning (EU) 2016/679 av den 27 april 2016 om skydd för fysiska personer med avseende på behandling av personuppgifter och om det fria flödet av sådana uppgifter och om upphävande av direktiv 95/46/EG (allmän dataskyddsförordning). </w:t>
      </w:r>
      <w:r>
        <w:rPr>
          <w:rStyle w:val="FootnoteTextChar"/>
        </w:rPr>
        <w:t>(EUT L 119, 4.5.2016,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1"/>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2"/>
  </w:num>
  <w:num w:numId="15">
    <w:abstractNumId w:val="8"/>
  </w:num>
  <w:num w:numId="16">
    <w:abstractNumId w:val="4"/>
  </w:num>
  <w:num w:numId="17">
    <w:abstractNumId w:val="3"/>
  </w:num>
  <w:num w:numId="18">
    <w:abstractNumId w:val="26"/>
  </w:num>
  <w:num w:numId="19">
    <w:abstractNumId w:val="28"/>
  </w:num>
  <w:num w:numId="20">
    <w:abstractNumId w:val="27"/>
  </w:num>
  <w:num w:numId="21">
    <w:abstractNumId w:val="30"/>
  </w:num>
  <w:num w:numId="22">
    <w:abstractNumId w:val="7"/>
  </w:num>
  <w:num w:numId="23">
    <w:abstractNumId w:val="14"/>
  </w:num>
  <w:num w:numId="24">
    <w:abstractNumId w:val="18"/>
  </w:num>
  <w:num w:numId="25">
    <w:abstractNumId w:val="16"/>
  </w:num>
  <w:num w:numId="26">
    <w:abstractNumId w:val="2"/>
  </w:num>
  <w:num w:numId="27">
    <w:abstractNumId w:val="19"/>
  </w:num>
  <w:num w:numId="28">
    <w:abstractNumId w:val="1"/>
  </w:num>
  <w:num w:numId="29">
    <w:abstractNumId w:val="0"/>
  </w:num>
  <w:num w:numId="30">
    <w:abstractNumId w:val="1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3"/>
  </w:num>
  <w:num w:numId="34">
    <w:abstractNumId w:val="29"/>
  </w:num>
  <w:num w:numId="35">
    <w:abstractNumId w:val="10"/>
  </w:num>
  <w:num w:numId="36">
    <w:abstractNumId w:val="15"/>
  </w:num>
  <w:num w:numId="37">
    <w:abstractNumId w:val="6"/>
  </w:num>
  <w:num w:numId="38">
    <w:abstractNumId w:val="25"/>
  </w:num>
  <w:num w:numId="39">
    <w:abstractNumId w:val="5"/>
  </w:num>
  <w:num w:numId="40">
    <w:abstractNumId w:val="17"/>
  </w:num>
  <w:num w:numId="41">
    <w:abstractNumId w:val="22"/>
  </w:num>
  <w:num w:numId="42">
    <w:abstractNumId w:val="23"/>
  </w:num>
  <w:num w:numId="43">
    <w:abstractNumId w:val="9"/>
  </w:num>
  <w:num w:numId="44">
    <w:abstractNumId w:val="21"/>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7 13:56: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2"/>
    <w:docVar w:name="DQCStatus" w:val="Green"/>
    <w:docVar w:name="DQCVersion" w:val="3"/>
    <w:docVar w:name="DQCWithWarnings" w:val="0"/>
    <w:docVar w:name="LW_CONFIDENCE" w:val=" "/>
    <w:docVar w:name="LW_CONST_RESTREINT_UE" w:val="RESTREINT UE"/>
    <w:docVar w:name="LW_CORRIGENDUM" w:val="&lt;UNUSED&gt;"/>
    <w:docVar w:name="LW_COVERPAGE_GUID" w:val="EE012A224D7541A7810C3AD3E28BC556"/>
    <w:docVar w:name="LW_CROSSREFERENCE" w:val="{SWD(2016) 166 final}_x000b_{SWD(2016) 167 final}"/>
    <w:docVar w:name="LW_DocType" w:val="COM"/>
    <w:docVar w:name="LW_EMISSION" w:val="25.5.2016"/>
    <w:docVar w:name="LW_EMISSION_ISODATE" w:val="2016-05-25"/>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av betydelse för EES)"/>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149"/>
    <w:docVar w:name="LW_REF.II.NEW.CP_YEAR" w:val="2016"/>
    <w:docVar w:name="LW_REF.INST.NEW" w:val="COM"/>
    <w:docVar w:name="LW_REF.INST.NEW_ADOPTED" w:val="final"/>
    <w:docVar w:name="LW_REF.INST.NEW_TEXT" w:val="(2016) 285"/>
    <w:docVar w:name="LW_REF.INTERNE" w:val="&lt;UNUSED&gt;"/>
    <w:docVar w:name="LW_SOUS.TITRE.OBJ.CP" w:val="&lt;UNUSED&gt;"/>
    <w:docVar w:name="LW_STATUT.CP" w:val="Förslag till"/>
    <w:docVar w:name="LW_SUPERTITRE" w:val="&lt;UNUSED&gt;"/>
    <w:docVar w:name="LW_TITRE.OBJ.CP" w:val="om gränsöverskridande paketleveranstjänster"/>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Normal"/>
    <w:link w:val="Heading5Char"/>
    <w:qFormat/>
    <w:pPr>
      <w:spacing w:before="240" w:after="60" w:line="276" w:lineRule="auto"/>
      <w:ind w:left="3332" w:hanging="708"/>
      <w:outlineLvl w:val="4"/>
    </w:pPr>
    <w:rPr>
      <w:rFonts w:ascii="Arial" w:hAnsi="Arial" w:cstheme="minorBidi"/>
      <w:sz w:val="22"/>
    </w:rPr>
  </w:style>
  <w:style w:type="paragraph" w:styleId="Heading6">
    <w:name w:val="heading 6"/>
    <w:basedOn w:val="Normal"/>
    <w:next w:val="Normal"/>
    <w:link w:val="Heading6Char"/>
    <w:qFormat/>
    <w:pPr>
      <w:spacing w:before="240" w:after="60" w:line="276" w:lineRule="auto"/>
      <w:ind w:left="4040" w:hanging="708"/>
      <w:outlineLvl w:val="5"/>
    </w:pPr>
    <w:rPr>
      <w:rFonts w:ascii="Arial" w:hAnsi="Arial" w:cstheme="minorBidi"/>
      <w:i/>
      <w:sz w:val="22"/>
    </w:rPr>
  </w:style>
  <w:style w:type="paragraph" w:styleId="Heading7">
    <w:name w:val="heading 7"/>
    <w:basedOn w:val="Normal"/>
    <w:next w:val="Normal"/>
    <w:link w:val="Heading7Char"/>
    <w:qFormat/>
    <w:pPr>
      <w:spacing w:before="240" w:after="60" w:line="276" w:lineRule="auto"/>
      <w:ind w:left="4748" w:hanging="708"/>
      <w:outlineLvl w:val="6"/>
    </w:pPr>
    <w:rPr>
      <w:rFonts w:ascii="Arial" w:hAnsi="Arial" w:cstheme="minorBidi"/>
      <w:sz w:val="20"/>
    </w:rPr>
  </w:style>
  <w:style w:type="paragraph" w:styleId="Heading8">
    <w:name w:val="heading 8"/>
    <w:basedOn w:val="Normal"/>
    <w:next w:val="Normal"/>
    <w:link w:val="Heading8Char"/>
    <w:qFormat/>
    <w:pPr>
      <w:spacing w:before="240" w:after="60" w:line="276" w:lineRule="auto"/>
      <w:ind w:left="5456" w:hanging="708"/>
      <w:outlineLvl w:val="7"/>
    </w:pPr>
    <w:rPr>
      <w:rFonts w:ascii="Arial" w:hAnsi="Arial" w:cstheme="minorBidi"/>
      <w:i/>
      <w:sz w:val="20"/>
    </w:rPr>
  </w:style>
  <w:style w:type="paragraph" w:styleId="Heading9">
    <w:name w:val="heading 9"/>
    <w:basedOn w:val="Normal"/>
    <w:next w:val="Normal"/>
    <w:link w:val="Heading9Char"/>
    <w:qFormat/>
    <w:pPr>
      <w:spacing w:before="240" w:after="60" w:line="276" w:lineRule="auto"/>
      <w:ind w:left="6164" w:hanging="708"/>
      <w:outlineLvl w:val="8"/>
    </w:pPr>
    <w:rPr>
      <w:rFonts w:ascii="Arial" w:hAnsi="Arial" w:cstheme="minorBidi"/>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hAnsi="Arial"/>
      <w:lang w:val="sv-SE"/>
    </w:rPr>
  </w:style>
  <w:style w:type="character" w:customStyle="1" w:styleId="Heading6Char">
    <w:name w:val="Heading 6 Char"/>
    <w:basedOn w:val="DefaultParagraphFont"/>
    <w:link w:val="Heading6"/>
    <w:rPr>
      <w:rFonts w:ascii="Arial" w:hAnsi="Arial"/>
      <w:i/>
      <w:lang w:val="sv-SE"/>
    </w:rPr>
  </w:style>
  <w:style w:type="character" w:customStyle="1" w:styleId="Heading7Char">
    <w:name w:val="Heading 7 Char"/>
    <w:basedOn w:val="DefaultParagraphFont"/>
    <w:link w:val="Heading7"/>
    <w:rPr>
      <w:rFonts w:ascii="Arial" w:hAnsi="Arial"/>
      <w:sz w:val="20"/>
      <w:lang w:val="sv-SE"/>
    </w:rPr>
  </w:style>
  <w:style w:type="character" w:customStyle="1" w:styleId="Heading8Char">
    <w:name w:val="Heading 8 Char"/>
    <w:basedOn w:val="DefaultParagraphFont"/>
    <w:link w:val="Heading8"/>
    <w:rPr>
      <w:rFonts w:ascii="Arial" w:hAnsi="Arial"/>
      <w:i/>
      <w:sz w:val="20"/>
      <w:lang w:val="sv-SE"/>
    </w:rPr>
  </w:style>
  <w:style w:type="character" w:customStyle="1" w:styleId="Heading9Char">
    <w:name w:val="Heading 9 Char"/>
    <w:basedOn w:val="DefaultParagraphFont"/>
    <w:link w:val="Heading9"/>
    <w:rPr>
      <w:rFonts w:ascii="Arial" w:hAnsi="Arial"/>
      <w:i/>
      <w:sz w:val="18"/>
      <w:lang w:val="sv-SE"/>
    </w:rPr>
  </w:style>
  <w:style w:type="paragraph" w:styleId="BalloonText">
    <w:name w:val="Balloon Text"/>
    <w:basedOn w:val="Normal"/>
    <w:link w:val="BalloonTextChar"/>
    <w:uiPriority w:val="99"/>
    <w:semiHidden/>
    <w:unhideWhenUsed/>
    <w:pPr>
      <w:spacing w:before="0" w:after="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customStyle="1" w:styleId="CM1">
    <w:name w:val="CM1"/>
    <w:basedOn w:val="Normal"/>
    <w:next w:val="Normal"/>
    <w:uiPriority w:val="99"/>
    <w:pPr>
      <w:autoSpaceDE w:val="0"/>
      <w:autoSpaceDN w:val="0"/>
      <w:adjustRightInd w:val="0"/>
      <w:spacing w:before="0" w:after="0" w:line="276" w:lineRule="auto"/>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line="276" w:lineRule="auto"/>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line="276" w:lineRule="auto"/>
      <w:jc w:val="left"/>
    </w:pPr>
    <w:rPr>
      <w:rFonts w:ascii="EUAlbertina" w:hAnsi="EUAlbertina" w:cstheme="minorBidi"/>
      <w:szCs w:val="24"/>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semiHidden/>
    <w:rPr>
      <w:rFonts w:ascii="Times New Roman" w:hAnsi="Times New Roman" w:cs="Times New Roman"/>
      <w:sz w:val="20"/>
      <w:szCs w:val="20"/>
      <w:lang w:val="sv-SE"/>
    </w:rPr>
  </w:style>
  <w:style w:type="paragraph" w:styleId="CommentText">
    <w:name w:val="annotation text"/>
    <w:basedOn w:val="Normal"/>
    <w:link w:val="CommentTextChar1"/>
    <w:semiHidden/>
    <w:unhideWhenUsed/>
    <w:rPr>
      <w:sz w:val="20"/>
      <w:szCs w:val="20"/>
    </w:rPr>
  </w:style>
  <w:style w:type="character" w:customStyle="1" w:styleId="CommentTextChar1">
    <w:name w:val="Comment Text Char1"/>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240" w:line="276" w:lineRule="auto"/>
    </w:pPr>
    <w:rPr>
      <w:rFonts w:asciiTheme="minorHAnsi" w:hAnsiTheme="minorHAnsi" w:cstheme="minorBidi"/>
      <w:b/>
      <w:bCs/>
      <w:szCs w:val="22"/>
    </w:rPr>
  </w:style>
  <w:style w:type="character" w:customStyle="1" w:styleId="CommentSubjectChar">
    <w:name w:val="Comment Subject Char"/>
    <w:basedOn w:val="CommentTextChar1"/>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SignatureChar">
    <w:name w:val="Signature Char"/>
    <w:basedOn w:val="DefaultParagraphFont"/>
    <w:uiPriority w:val="99"/>
    <w:semiHidden/>
    <w:rPr>
      <w:rFonts w:ascii="Times New Roman" w:hAnsi="Times New Roman" w:cs="Times New Roman"/>
      <w:sz w:val="24"/>
      <w:lang w:val="sv-SE"/>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customStyle="1" w:styleId="italic1">
    <w:name w:val="italic1"/>
    <w:rPr>
      <w:i/>
      <w:iCs/>
    </w:rPr>
  </w:style>
  <w:style w:type="paragraph" w:customStyle="1" w:styleId="AddressTL">
    <w:name w:val="AddressTL"/>
    <w:basedOn w:val="Normal"/>
    <w:next w:val="Normal"/>
    <w:pPr>
      <w:spacing w:before="0" w:after="720" w:line="276" w:lineRule="auto"/>
      <w:jc w:val="left"/>
    </w:pPr>
    <w:rPr>
      <w:rFonts w:asciiTheme="minorHAnsi" w:hAnsiTheme="minorHAnsi" w:cstheme="minorBidi"/>
    </w:rPr>
  </w:style>
  <w:style w:type="paragraph" w:customStyle="1" w:styleId="AddressTR">
    <w:name w:val="AddressTR"/>
    <w:basedOn w:val="Normal"/>
    <w:next w:val="Normal"/>
    <w:pPr>
      <w:spacing w:before="0" w:after="720" w:line="276" w:lineRule="auto"/>
      <w:ind w:left="5103"/>
      <w:jc w:val="left"/>
    </w:pPr>
    <w:rPr>
      <w:rFonts w:asciiTheme="minorHAnsi" w:hAnsiTheme="minorHAnsi" w:cstheme="minorBidi"/>
    </w:rPr>
  </w:style>
  <w:style w:type="paragraph" w:styleId="BlockText">
    <w:name w:val="Block Text"/>
    <w:basedOn w:val="Normal"/>
    <w:pPr>
      <w:spacing w:before="0" w:line="276" w:lineRule="auto"/>
      <w:ind w:left="1440" w:right="1440"/>
    </w:pPr>
    <w:rPr>
      <w:rFonts w:asciiTheme="minorHAnsi" w:hAnsiTheme="minorHAnsi" w:cstheme="minorBidi"/>
    </w:rPr>
  </w:style>
  <w:style w:type="paragraph" w:styleId="BodyText">
    <w:name w:val="Body Text"/>
    <w:basedOn w:val="Normal"/>
    <w:link w:val="BodyTextChar"/>
    <w:pPr>
      <w:spacing w:before="0" w:line="276" w:lineRule="auto"/>
    </w:pPr>
    <w:rPr>
      <w:rFonts w:asciiTheme="minorHAnsi" w:hAnsiTheme="minorHAnsi" w:cstheme="minorBidi"/>
    </w:rPr>
  </w:style>
  <w:style w:type="character" w:customStyle="1" w:styleId="BodyTextChar">
    <w:name w:val="Body Text Char"/>
    <w:basedOn w:val="DefaultParagraphFont"/>
    <w:link w:val="BodyText"/>
    <w:rPr>
      <w:sz w:val="24"/>
      <w:lang w:val="sv-SE"/>
    </w:rPr>
  </w:style>
  <w:style w:type="paragraph" w:styleId="BodyText2">
    <w:name w:val="Body Text 2"/>
    <w:basedOn w:val="Normal"/>
    <w:link w:val="BodyText2Char"/>
    <w:pPr>
      <w:spacing w:before="0" w:line="480" w:lineRule="auto"/>
    </w:pPr>
    <w:rPr>
      <w:rFonts w:asciiTheme="minorHAnsi" w:hAnsiTheme="minorHAnsi" w:cstheme="minorBidi"/>
    </w:rPr>
  </w:style>
  <w:style w:type="character" w:customStyle="1" w:styleId="BodyText2Char">
    <w:name w:val="Body Text 2 Char"/>
    <w:basedOn w:val="DefaultParagraphFont"/>
    <w:link w:val="BodyText2"/>
    <w:rPr>
      <w:sz w:val="24"/>
      <w:lang w:val="sv-SE"/>
    </w:rPr>
  </w:style>
  <w:style w:type="paragraph" w:styleId="BodyText3">
    <w:name w:val="Body Text 3"/>
    <w:basedOn w:val="Normal"/>
    <w:link w:val="BodyText3Char"/>
    <w:pPr>
      <w:spacing w:before="0" w:line="276" w:lineRule="auto"/>
    </w:pPr>
    <w:rPr>
      <w:rFonts w:asciiTheme="minorHAnsi" w:hAnsiTheme="minorHAnsi" w:cstheme="minorBidi"/>
      <w:sz w:val="16"/>
    </w:rPr>
  </w:style>
  <w:style w:type="character" w:customStyle="1" w:styleId="BodyText3Char">
    <w:name w:val="Body Text 3 Char"/>
    <w:basedOn w:val="DefaultParagraphFont"/>
    <w:link w:val="BodyText3"/>
    <w:rPr>
      <w:sz w:val="16"/>
      <w:lang w:val="sv-S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4"/>
      <w:lang w:val="sv-SE"/>
    </w:rPr>
  </w:style>
  <w:style w:type="paragraph" w:styleId="BodyTextIndent">
    <w:name w:val="Body Text Indent"/>
    <w:basedOn w:val="Normal"/>
    <w:link w:val="BodyTextIndentChar"/>
    <w:pPr>
      <w:spacing w:before="0" w:line="276" w:lineRule="auto"/>
      <w:ind w:left="283"/>
    </w:pPr>
    <w:rPr>
      <w:rFonts w:asciiTheme="minorHAnsi" w:hAnsiTheme="minorHAnsi" w:cstheme="minorBidi"/>
    </w:rPr>
  </w:style>
  <w:style w:type="character" w:customStyle="1" w:styleId="BodyTextIndentChar">
    <w:name w:val="Body Text Indent Char"/>
    <w:basedOn w:val="DefaultParagraphFont"/>
    <w:link w:val="BodyTextIndent"/>
    <w:rPr>
      <w:sz w:val="24"/>
      <w:lang w:val="sv-S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4"/>
      <w:lang w:val="sv-SE"/>
    </w:rPr>
  </w:style>
  <w:style w:type="paragraph" w:styleId="BodyTextIndent2">
    <w:name w:val="Body Text Indent 2"/>
    <w:basedOn w:val="Normal"/>
    <w:link w:val="BodyTextIndent2Char"/>
    <w:pPr>
      <w:spacing w:before="0" w:line="480"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Pr>
      <w:sz w:val="24"/>
      <w:lang w:val="sv-SE"/>
    </w:rPr>
  </w:style>
  <w:style w:type="paragraph" w:styleId="BodyTextIndent3">
    <w:name w:val="Body Text Indent 3"/>
    <w:basedOn w:val="Normal"/>
    <w:link w:val="BodyTextIndent3Char"/>
    <w:pPr>
      <w:spacing w:before="0" w:line="276" w:lineRule="auto"/>
      <w:ind w:left="283"/>
    </w:pPr>
    <w:rPr>
      <w:rFonts w:asciiTheme="minorHAnsi" w:hAnsiTheme="minorHAnsi" w:cstheme="minorBidi"/>
      <w:sz w:val="16"/>
    </w:rPr>
  </w:style>
  <w:style w:type="character" w:customStyle="1" w:styleId="BodyTextIndent3Char">
    <w:name w:val="Body Text Indent 3 Char"/>
    <w:basedOn w:val="DefaultParagraphFont"/>
    <w:link w:val="BodyTextIndent3"/>
    <w:rPr>
      <w:sz w:val="16"/>
      <w:lang w:val="sv-SE"/>
    </w:rPr>
  </w:style>
  <w:style w:type="paragraph" w:styleId="Caption">
    <w:name w:val="caption"/>
    <w:basedOn w:val="Normal"/>
    <w:next w:val="Normal"/>
    <w:qFormat/>
    <w:pPr>
      <w:spacing w:line="276" w:lineRule="auto"/>
    </w:pPr>
    <w:rPr>
      <w:rFonts w:asciiTheme="minorHAnsi" w:hAnsiTheme="minorHAnsi" w:cstheme="minorBidi"/>
      <w:b/>
    </w:rPr>
  </w:style>
  <w:style w:type="paragraph" w:styleId="Closing">
    <w:name w:val="Closing"/>
    <w:basedOn w:val="Normal"/>
    <w:next w:val="Signature"/>
    <w:link w:val="ClosingChar"/>
    <w:pPr>
      <w:tabs>
        <w:tab w:val="left" w:pos="5103"/>
      </w:tabs>
      <w:spacing w:before="240" w:after="240" w:line="276" w:lineRule="auto"/>
      <w:ind w:left="5103"/>
      <w:jc w:val="left"/>
    </w:pPr>
    <w:rPr>
      <w:rFonts w:asciiTheme="minorHAnsi" w:hAnsiTheme="minorHAnsi" w:cstheme="minorBidi"/>
    </w:rPr>
  </w:style>
  <w:style w:type="character" w:customStyle="1" w:styleId="ClosingChar">
    <w:name w:val="Closing Char"/>
    <w:basedOn w:val="DefaultParagraphFont"/>
    <w:link w:val="Closing"/>
    <w:rPr>
      <w:sz w:val="24"/>
      <w:lang w:val="sv-SE"/>
    </w:rPr>
  </w:style>
  <w:style w:type="paragraph" w:styleId="Signature">
    <w:name w:val="Signature"/>
    <w:basedOn w:val="Normal"/>
    <w:next w:val="Contact"/>
    <w:link w:val="SignatureChar1"/>
    <w:pPr>
      <w:tabs>
        <w:tab w:val="left" w:pos="5103"/>
      </w:tabs>
      <w:spacing w:before="1200" w:after="0" w:line="276" w:lineRule="auto"/>
      <w:ind w:left="5103"/>
      <w:jc w:val="center"/>
    </w:pPr>
    <w:rPr>
      <w:rFonts w:asciiTheme="minorHAnsi" w:hAnsiTheme="minorHAnsi" w:cstheme="minorBidi"/>
    </w:rPr>
  </w:style>
  <w:style w:type="character" w:customStyle="1" w:styleId="SignatureChar1">
    <w:name w:val="Signature Char1"/>
    <w:basedOn w:val="DefaultParagraphFont"/>
    <w:link w:val="Signature"/>
    <w:rPr>
      <w:sz w:val="24"/>
      <w:lang w:val="sv-SE"/>
    </w:rPr>
  </w:style>
  <w:style w:type="paragraph" w:customStyle="1" w:styleId="Enclosures">
    <w:name w:val="Enclosures"/>
    <w:basedOn w:val="Normal"/>
    <w:next w:val="Participants"/>
    <w:pPr>
      <w:keepNext/>
      <w:keepLines/>
      <w:tabs>
        <w:tab w:val="left" w:pos="5670"/>
      </w:tabs>
      <w:spacing w:before="480" w:after="0" w:line="276" w:lineRule="auto"/>
      <w:ind w:left="1985" w:hanging="1985"/>
      <w:jc w:val="left"/>
    </w:pPr>
    <w:rPr>
      <w:rFonts w:asciiTheme="minorHAnsi" w:hAnsiTheme="minorHAnsi" w:cstheme="minorBidi"/>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line="276" w:lineRule="auto"/>
      <w:ind w:left="1985" w:hanging="1985"/>
      <w:jc w:val="left"/>
    </w:pPr>
    <w:rPr>
      <w:rFonts w:asciiTheme="minorHAnsi" w:hAnsiTheme="minorHAnsi" w:cstheme="minorBidi"/>
    </w:rPr>
  </w:style>
  <w:style w:type="paragraph" w:customStyle="1" w:styleId="Copies">
    <w:name w:val="Copies"/>
    <w:basedOn w:val="Normal"/>
    <w:next w:val="Normal"/>
    <w:pPr>
      <w:tabs>
        <w:tab w:val="left" w:pos="2552"/>
        <w:tab w:val="left" w:pos="2835"/>
        <w:tab w:val="left" w:pos="5670"/>
        <w:tab w:val="left" w:pos="6379"/>
        <w:tab w:val="left" w:pos="6804"/>
      </w:tabs>
      <w:spacing w:before="480" w:after="0" w:line="276" w:lineRule="auto"/>
      <w:ind w:left="1985" w:hanging="1985"/>
      <w:jc w:val="left"/>
    </w:pPr>
    <w:rPr>
      <w:rFonts w:asciiTheme="minorHAnsi" w:hAnsiTheme="minorHAnsi" w:cstheme="minorBidi"/>
    </w:rPr>
  </w:style>
  <w:style w:type="paragraph" w:styleId="Date">
    <w:name w:val="Date"/>
    <w:basedOn w:val="Normal"/>
    <w:next w:val="References"/>
    <w:link w:val="DateChar"/>
    <w:pPr>
      <w:spacing w:before="0" w:after="0" w:line="276" w:lineRule="auto"/>
      <w:ind w:left="5103" w:right="-567"/>
      <w:jc w:val="left"/>
    </w:pPr>
    <w:rPr>
      <w:rFonts w:asciiTheme="minorHAnsi" w:hAnsiTheme="minorHAnsi" w:cstheme="minorBidi"/>
    </w:rPr>
  </w:style>
  <w:style w:type="character" w:customStyle="1" w:styleId="DateChar">
    <w:name w:val="Date Char"/>
    <w:basedOn w:val="DefaultParagraphFont"/>
    <w:link w:val="Date"/>
    <w:rPr>
      <w:sz w:val="24"/>
      <w:lang w:val="sv-SE"/>
    </w:rPr>
  </w:style>
  <w:style w:type="paragraph" w:customStyle="1" w:styleId="References">
    <w:name w:val="References"/>
    <w:basedOn w:val="Normal"/>
    <w:next w:val="AddressTR"/>
    <w:pPr>
      <w:spacing w:before="0" w:after="240" w:line="276" w:lineRule="auto"/>
      <w:ind w:left="5103"/>
      <w:jc w:val="left"/>
    </w:pPr>
    <w:rPr>
      <w:rFonts w:asciiTheme="minorHAnsi" w:hAnsiTheme="minorHAnsi" w:cstheme="minorBidi"/>
      <w:sz w:val="20"/>
    </w:rPr>
  </w:style>
  <w:style w:type="paragraph" w:styleId="DocumentMap">
    <w:name w:val="Document Map"/>
    <w:basedOn w:val="Normal"/>
    <w:link w:val="DocumentMapChar"/>
    <w:semiHidden/>
    <w:pPr>
      <w:shd w:val="clear" w:color="auto" w:fill="000080"/>
      <w:spacing w:before="0" w:after="240" w:line="276" w:lineRule="auto"/>
    </w:pPr>
    <w:rPr>
      <w:rFonts w:ascii="Tahoma" w:hAnsi="Tahoma" w:cstheme="minorBidi"/>
    </w:rPr>
  </w:style>
  <w:style w:type="character" w:customStyle="1" w:styleId="DocumentMapChar">
    <w:name w:val="Document Map Char"/>
    <w:basedOn w:val="DefaultParagraphFont"/>
    <w:link w:val="DocumentMap"/>
    <w:semiHidden/>
    <w:rPr>
      <w:rFonts w:ascii="Tahoma" w:hAnsi="Tahoma"/>
      <w:sz w:val="24"/>
      <w:shd w:val="clear" w:color="auto" w:fill="000080"/>
      <w:lang w:val="sv-SE"/>
    </w:rPr>
  </w:style>
  <w:style w:type="paragraph" w:customStyle="1" w:styleId="DoubSign">
    <w:name w:val="DoubSign"/>
    <w:basedOn w:val="Normal"/>
    <w:next w:val="Contact"/>
    <w:pPr>
      <w:tabs>
        <w:tab w:val="left" w:pos="5103"/>
      </w:tabs>
      <w:spacing w:before="1200" w:after="0" w:line="276" w:lineRule="auto"/>
      <w:jc w:val="left"/>
    </w:pPr>
    <w:rPr>
      <w:rFonts w:asciiTheme="minorHAnsi" w:hAnsiTheme="minorHAnsi" w:cstheme="minorBidi"/>
    </w:rPr>
  </w:style>
  <w:style w:type="paragraph" w:styleId="EndnoteText">
    <w:name w:val="endnote text"/>
    <w:basedOn w:val="Normal"/>
    <w:link w:val="EndnoteTextChar"/>
    <w:semiHidden/>
    <w:pPr>
      <w:spacing w:before="0" w:after="240" w:line="276" w:lineRule="auto"/>
    </w:pPr>
    <w:rPr>
      <w:rFonts w:asciiTheme="minorHAnsi" w:hAnsiTheme="minorHAnsi" w:cstheme="minorBidi"/>
      <w:sz w:val="20"/>
    </w:rPr>
  </w:style>
  <w:style w:type="character" w:customStyle="1" w:styleId="EndnoteTextChar">
    <w:name w:val="Endnote Text Char"/>
    <w:basedOn w:val="DefaultParagraphFont"/>
    <w:link w:val="EndnoteText"/>
    <w:semiHidden/>
    <w:rPr>
      <w:sz w:val="20"/>
      <w:lang w:val="sv-SE"/>
    </w:rPr>
  </w:style>
  <w:style w:type="paragraph" w:styleId="EnvelopeAddress">
    <w:name w:val="envelope address"/>
    <w:basedOn w:val="Normal"/>
    <w:pPr>
      <w:framePr w:w="7920" w:h="1980" w:hRule="exact" w:hSpace="180" w:wrap="auto" w:hAnchor="page" w:xAlign="center" w:yAlign="bottom"/>
      <w:spacing w:before="0" w:after="0" w:line="276" w:lineRule="auto"/>
    </w:pPr>
    <w:rPr>
      <w:rFonts w:asciiTheme="minorHAnsi" w:hAnsiTheme="minorHAnsi" w:cstheme="minorBidi"/>
    </w:rPr>
  </w:style>
  <w:style w:type="paragraph" w:styleId="EnvelopeReturn">
    <w:name w:val="envelope return"/>
    <w:basedOn w:val="Normal"/>
    <w:pPr>
      <w:spacing w:before="0" w:after="0" w:line="276" w:lineRule="auto"/>
    </w:pPr>
    <w:rPr>
      <w:rFonts w:asciiTheme="minorHAnsi" w:hAnsiTheme="minorHAnsi" w:cstheme="minorBidi"/>
      <w:sz w:val="20"/>
    </w:rPr>
  </w:style>
  <w:style w:type="paragraph" w:styleId="Index1">
    <w:name w:val="index 1"/>
    <w:basedOn w:val="Normal"/>
    <w:next w:val="Normal"/>
    <w:autoRedefine/>
    <w:semiHidden/>
    <w:pPr>
      <w:spacing w:before="0" w:after="240" w:line="276" w:lineRule="auto"/>
      <w:ind w:left="240" w:hanging="240"/>
    </w:pPr>
    <w:rPr>
      <w:rFonts w:asciiTheme="minorHAnsi" w:hAnsiTheme="minorHAnsi" w:cstheme="minorBidi"/>
    </w:rPr>
  </w:style>
  <w:style w:type="paragraph" w:styleId="Index2">
    <w:name w:val="index 2"/>
    <w:basedOn w:val="Normal"/>
    <w:next w:val="Normal"/>
    <w:autoRedefine/>
    <w:semiHidden/>
    <w:pPr>
      <w:spacing w:before="0" w:after="240" w:line="276" w:lineRule="auto"/>
      <w:ind w:left="480" w:hanging="240"/>
    </w:pPr>
    <w:rPr>
      <w:rFonts w:asciiTheme="minorHAnsi" w:hAnsiTheme="minorHAnsi" w:cstheme="minorBidi"/>
    </w:rPr>
  </w:style>
  <w:style w:type="paragraph" w:styleId="Index3">
    <w:name w:val="index 3"/>
    <w:basedOn w:val="Normal"/>
    <w:next w:val="Normal"/>
    <w:autoRedefine/>
    <w:semiHidden/>
    <w:pPr>
      <w:spacing w:before="0" w:after="240" w:line="276" w:lineRule="auto"/>
      <w:ind w:left="720" w:hanging="240"/>
    </w:pPr>
    <w:rPr>
      <w:rFonts w:asciiTheme="minorHAnsi" w:hAnsiTheme="minorHAnsi" w:cstheme="minorBidi"/>
    </w:rPr>
  </w:style>
  <w:style w:type="paragraph" w:styleId="Index4">
    <w:name w:val="index 4"/>
    <w:basedOn w:val="Normal"/>
    <w:next w:val="Normal"/>
    <w:autoRedefine/>
    <w:semiHidden/>
    <w:pPr>
      <w:spacing w:before="0" w:after="240" w:line="276" w:lineRule="auto"/>
      <w:ind w:left="960" w:hanging="240"/>
    </w:pPr>
    <w:rPr>
      <w:rFonts w:asciiTheme="minorHAnsi" w:hAnsiTheme="minorHAnsi" w:cstheme="minorBidi"/>
    </w:rPr>
  </w:style>
  <w:style w:type="paragraph" w:styleId="Index5">
    <w:name w:val="index 5"/>
    <w:basedOn w:val="Normal"/>
    <w:next w:val="Normal"/>
    <w:autoRedefine/>
    <w:semiHidden/>
    <w:pPr>
      <w:spacing w:before="0" w:after="240" w:line="276" w:lineRule="auto"/>
      <w:ind w:left="1200" w:hanging="240"/>
    </w:pPr>
    <w:rPr>
      <w:rFonts w:asciiTheme="minorHAnsi" w:hAnsiTheme="minorHAnsi" w:cstheme="minorBidi"/>
    </w:rPr>
  </w:style>
  <w:style w:type="paragraph" w:styleId="Index6">
    <w:name w:val="index 6"/>
    <w:basedOn w:val="Normal"/>
    <w:next w:val="Normal"/>
    <w:autoRedefine/>
    <w:semiHidden/>
    <w:pPr>
      <w:spacing w:before="0" w:after="240" w:line="276" w:lineRule="auto"/>
      <w:ind w:left="1440" w:hanging="240"/>
    </w:pPr>
    <w:rPr>
      <w:rFonts w:asciiTheme="minorHAnsi" w:hAnsiTheme="minorHAnsi" w:cstheme="minorBidi"/>
    </w:rPr>
  </w:style>
  <w:style w:type="paragraph" w:styleId="Index7">
    <w:name w:val="index 7"/>
    <w:basedOn w:val="Normal"/>
    <w:next w:val="Normal"/>
    <w:autoRedefine/>
    <w:semiHidden/>
    <w:pPr>
      <w:spacing w:before="0" w:after="240" w:line="276" w:lineRule="auto"/>
      <w:ind w:left="1680" w:hanging="240"/>
    </w:pPr>
    <w:rPr>
      <w:rFonts w:asciiTheme="minorHAnsi" w:hAnsiTheme="minorHAnsi" w:cstheme="minorBidi"/>
    </w:rPr>
  </w:style>
  <w:style w:type="paragraph" w:styleId="Index8">
    <w:name w:val="index 8"/>
    <w:basedOn w:val="Normal"/>
    <w:next w:val="Normal"/>
    <w:autoRedefine/>
    <w:semiHidden/>
    <w:pPr>
      <w:spacing w:before="0" w:after="240" w:line="276" w:lineRule="auto"/>
      <w:ind w:left="1920" w:hanging="240"/>
    </w:pPr>
    <w:rPr>
      <w:rFonts w:asciiTheme="minorHAnsi" w:hAnsiTheme="minorHAnsi" w:cstheme="minorBidi"/>
    </w:rPr>
  </w:style>
  <w:style w:type="paragraph" w:styleId="Index9">
    <w:name w:val="index 9"/>
    <w:basedOn w:val="Normal"/>
    <w:next w:val="Normal"/>
    <w:autoRedefine/>
    <w:semiHidden/>
    <w:pPr>
      <w:spacing w:before="0" w:after="240" w:line="276" w:lineRule="auto"/>
      <w:ind w:left="2160" w:hanging="240"/>
    </w:pPr>
    <w:rPr>
      <w:rFonts w:asciiTheme="minorHAnsi" w:hAnsiTheme="minorHAnsi" w:cstheme="minorBidi"/>
    </w:rPr>
  </w:style>
  <w:style w:type="paragraph" w:styleId="IndexHeading">
    <w:name w:val="index heading"/>
    <w:basedOn w:val="Normal"/>
    <w:next w:val="Index1"/>
    <w:semiHidden/>
    <w:pPr>
      <w:spacing w:before="0" w:after="240" w:line="276" w:lineRule="auto"/>
    </w:pPr>
    <w:rPr>
      <w:rFonts w:ascii="Arial" w:hAnsi="Arial" w:cstheme="minorBidi"/>
      <w:b/>
    </w:rPr>
  </w:style>
  <w:style w:type="paragraph" w:styleId="List">
    <w:name w:val="List"/>
    <w:basedOn w:val="Normal"/>
    <w:pPr>
      <w:spacing w:before="0" w:after="240" w:line="276" w:lineRule="auto"/>
      <w:ind w:left="283" w:hanging="283"/>
    </w:pPr>
    <w:rPr>
      <w:rFonts w:asciiTheme="minorHAnsi" w:hAnsiTheme="minorHAnsi" w:cstheme="minorBidi"/>
    </w:rPr>
  </w:style>
  <w:style w:type="paragraph" w:styleId="List2">
    <w:name w:val="List 2"/>
    <w:basedOn w:val="Normal"/>
    <w:pPr>
      <w:spacing w:before="0" w:after="240" w:line="276" w:lineRule="auto"/>
      <w:ind w:left="566" w:hanging="283"/>
    </w:pPr>
    <w:rPr>
      <w:rFonts w:asciiTheme="minorHAnsi" w:hAnsiTheme="minorHAnsi" w:cstheme="minorBidi"/>
    </w:rPr>
  </w:style>
  <w:style w:type="paragraph" w:styleId="List3">
    <w:name w:val="List 3"/>
    <w:basedOn w:val="Normal"/>
    <w:pPr>
      <w:spacing w:before="0" w:after="240" w:line="276" w:lineRule="auto"/>
      <w:ind w:left="849" w:hanging="283"/>
    </w:pPr>
    <w:rPr>
      <w:rFonts w:asciiTheme="minorHAnsi" w:hAnsiTheme="minorHAnsi" w:cstheme="minorBidi"/>
    </w:rPr>
  </w:style>
  <w:style w:type="paragraph" w:styleId="List4">
    <w:name w:val="List 4"/>
    <w:basedOn w:val="Normal"/>
    <w:pPr>
      <w:spacing w:before="0" w:after="240" w:line="276" w:lineRule="auto"/>
      <w:ind w:left="1132" w:hanging="283"/>
    </w:pPr>
    <w:rPr>
      <w:rFonts w:asciiTheme="minorHAnsi" w:hAnsiTheme="minorHAnsi" w:cstheme="minorBidi"/>
    </w:rPr>
  </w:style>
  <w:style w:type="paragraph" w:styleId="List5">
    <w:name w:val="List 5"/>
    <w:basedOn w:val="Normal"/>
    <w:pPr>
      <w:spacing w:before="0" w:after="240" w:line="276" w:lineRule="auto"/>
      <w:ind w:left="1415" w:hanging="283"/>
    </w:pPr>
    <w:rPr>
      <w:rFonts w:asciiTheme="minorHAnsi" w:hAnsiTheme="minorHAnsi" w:cstheme="minorBidi"/>
    </w:rPr>
  </w:style>
  <w:style w:type="paragraph" w:styleId="ListBullet">
    <w:name w:val="List Bullet"/>
    <w:basedOn w:val="Normal"/>
    <w:pPr>
      <w:numPr>
        <w:numId w:val="13"/>
      </w:numPr>
      <w:spacing w:before="0" w:after="240" w:line="276" w:lineRule="auto"/>
    </w:pPr>
    <w:rPr>
      <w:rFonts w:asciiTheme="minorHAnsi" w:hAnsiTheme="minorHAnsi" w:cstheme="minorBidi"/>
    </w:rPr>
  </w:style>
  <w:style w:type="paragraph" w:styleId="ListBullet2">
    <w:name w:val="List Bullet 2"/>
    <w:basedOn w:val="Text2"/>
    <w:pPr>
      <w:numPr>
        <w:numId w:val="15"/>
      </w:numPr>
      <w:spacing w:before="0" w:after="240" w:line="276" w:lineRule="auto"/>
    </w:pPr>
    <w:rPr>
      <w:rFonts w:asciiTheme="minorHAnsi" w:hAnsiTheme="minorHAnsi" w:cstheme="minorBidi"/>
    </w:rPr>
  </w:style>
  <w:style w:type="paragraph" w:styleId="ListBullet3">
    <w:name w:val="List Bullet 3"/>
    <w:basedOn w:val="Text3"/>
    <w:pPr>
      <w:numPr>
        <w:numId w:val="16"/>
      </w:numPr>
      <w:spacing w:before="0" w:after="240" w:line="276" w:lineRule="auto"/>
    </w:pPr>
    <w:rPr>
      <w:rFonts w:asciiTheme="minorHAnsi" w:hAnsiTheme="minorHAnsi" w:cstheme="minorBidi"/>
    </w:rPr>
  </w:style>
  <w:style w:type="paragraph" w:styleId="ListBullet4">
    <w:name w:val="List Bullet 4"/>
    <w:basedOn w:val="Text4"/>
    <w:pPr>
      <w:numPr>
        <w:numId w:val="17"/>
      </w:numPr>
      <w:spacing w:before="0" w:after="240" w:line="276" w:lineRule="auto"/>
    </w:pPr>
    <w:rPr>
      <w:rFonts w:asciiTheme="minorHAnsi" w:hAnsiTheme="minorHAnsi" w:cstheme="minorBidi"/>
    </w:rPr>
  </w:style>
  <w:style w:type="paragraph" w:styleId="ListBullet5">
    <w:name w:val="List Bullet 5"/>
    <w:basedOn w:val="Normal"/>
    <w:autoRedefine/>
    <w:pPr>
      <w:numPr>
        <w:numId w:val="28"/>
      </w:numPr>
      <w:spacing w:before="0" w:after="240" w:line="276" w:lineRule="auto"/>
    </w:pPr>
    <w:rPr>
      <w:rFonts w:asciiTheme="minorHAnsi" w:hAnsiTheme="minorHAnsi" w:cstheme="minorBidi"/>
    </w:rPr>
  </w:style>
  <w:style w:type="paragraph" w:styleId="ListContinue">
    <w:name w:val="List Continue"/>
    <w:basedOn w:val="Normal"/>
    <w:pPr>
      <w:spacing w:before="0" w:line="276" w:lineRule="auto"/>
      <w:ind w:left="283"/>
    </w:pPr>
    <w:rPr>
      <w:rFonts w:asciiTheme="minorHAnsi" w:hAnsiTheme="minorHAnsi" w:cstheme="minorBidi"/>
    </w:rPr>
  </w:style>
  <w:style w:type="paragraph" w:styleId="ListContinue2">
    <w:name w:val="List Continue 2"/>
    <w:basedOn w:val="Normal"/>
    <w:pPr>
      <w:spacing w:before="0" w:line="276" w:lineRule="auto"/>
      <w:ind w:left="566"/>
    </w:pPr>
    <w:rPr>
      <w:rFonts w:asciiTheme="minorHAnsi" w:hAnsiTheme="minorHAnsi" w:cstheme="minorBidi"/>
    </w:rPr>
  </w:style>
  <w:style w:type="paragraph" w:styleId="ListContinue3">
    <w:name w:val="List Continue 3"/>
    <w:basedOn w:val="Normal"/>
    <w:pPr>
      <w:spacing w:before="0" w:line="276" w:lineRule="auto"/>
      <w:ind w:left="849"/>
    </w:pPr>
    <w:rPr>
      <w:rFonts w:asciiTheme="minorHAnsi" w:hAnsiTheme="minorHAnsi" w:cstheme="minorBidi"/>
    </w:rPr>
  </w:style>
  <w:style w:type="paragraph" w:styleId="ListContinue4">
    <w:name w:val="List Continue 4"/>
    <w:basedOn w:val="Normal"/>
    <w:pPr>
      <w:spacing w:before="0" w:line="276" w:lineRule="auto"/>
      <w:ind w:left="1132"/>
    </w:pPr>
    <w:rPr>
      <w:rFonts w:asciiTheme="minorHAnsi" w:hAnsiTheme="minorHAnsi" w:cstheme="minorBidi"/>
    </w:rPr>
  </w:style>
  <w:style w:type="paragraph" w:styleId="ListContinue5">
    <w:name w:val="List Continue 5"/>
    <w:basedOn w:val="Normal"/>
    <w:pPr>
      <w:spacing w:before="0" w:line="276" w:lineRule="auto"/>
      <w:ind w:left="1415"/>
    </w:pPr>
    <w:rPr>
      <w:rFonts w:asciiTheme="minorHAnsi" w:hAnsiTheme="minorHAnsi" w:cstheme="minorBidi"/>
    </w:rPr>
  </w:style>
  <w:style w:type="paragraph" w:styleId="ListNumber">
    <w:name w:val="List Number"/>
    <w:basedOn w:val="Normal"/>
    <w:pPr>
      <w:numPr>
        <w:numId w:val="23"/>
      </w:numPr>
      <w:spacing w:before="0" w:after="240" w:line="276" w:lineRule="auto"/>
    </w:pPr>
    <w:rPr>
      <w:rFonts w:asciiTheme="minorHAnsi" w:hAnsiTheme="minorHAnsi" w:cstheme="minorBidi"/>
    </w:rPr>
  </w:style>
  <w:style w:type="paragraph" w:styleId="ListNumber2">
    <w:name w:val="List Number 2"/>
    <w:basedOn w:val="Text2"/>
    <w:pPr>
      <w:numPr>
        <w:numId w:val="25"/>
      </w:numPr>
      <w:spacing w:before="0" w:after="240" w:line="276" w:lineRule="auto"/>
    </w:pPr>
    <w:rPr>
      <w:rFonts w:asciiTheme="minorHAnsi" w:hAnsiTheme="minorHAnsi" w:cstheme="minorBidi"/>
    </w:rPr>
  </w:style>
  <w:style w:type="paragraph" w:styleId="ListNumber3">
    <w:name w:val="List Number 3"/>
    <w:basedOn w:val="Text3"/>
    <w:pPr>
      <w:numPr>
        <w:numId w:val="26"/>
      </w:numPr>
      <w:spacing w:before="0" w:after="240" w:line="276" w:lineRule="auto"/>
    </w:pPr>
    <w:rPr>
      <w:rFonts w:asciiTheme="minorHAnsi" w:hAnsiTheme="minorHAnsi" w:cstheme="minorBidi"/>
    </w:rPr>
  </w:style>
  <w:style w:type="paragraph" w:styleId="ListNumber4">
    <w:name w:val="List Number 4"/>
    <w:basedOn w:val="Text4"/>
    <w:pPr>
      <w:numPr>
        <w:numId w:val="27"/>
      </w:numPr>
      <w:spacing w:before="0" w:after="240" w:line="276" w:lineRule="auto"/>
    </w:pPr>
    <w:rPr>
      <w:rFonts w:asciiTheme="minorHAnsi" w:hAnsiTheme="minorHAnsi" w:cstheme="minorBidi"/>
    </w:rPr>
  </w:style>
  <w:style w:type="paragraph" w:styleId="ListNumber5">
    <w:name w:val="List Number 5"/>
    <w:basedOn w:val="Normal"/>
    <w:pPr>
      <w:numPr>
        <w:numId w:val="29"/>
      </w:numPr>
      <w:spacing w:before="0" w:after="240" w:line="276" w:lineRule="auto"/>
    </w:pPr>
    <w:rPr>
      <w:rFonts w:asciiTheme="minorHAnsi" w:hAnsiTheme="minorHAnsi" w:cstheme="minorBidi"/>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character" w:customStyle="1" w:styleId="MacroTextChar">
    <w:name w:val="Macro Text Char"/>
    <w:basedOn w:val="DefaultParagraphFont"/>
    <w:link w:val="MacroText"/>
    <w:semiHidden/>
    <w:rPr>
      <w:rFonts w:ascii="Courier New" w:hAnsi="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line="276" w:lineRule="auto"/>
      <w:ind w:left="1134" w:hanging="1134"/>
    </w:pPr>
    <w:rPr>
      <w:rFonts w:ascii="Arial" w:hAnsi="Arial" w:cstheme="minorBidi"/>
    </w:rPr>
  </w:style>
  <w:style w:type="character" w:customStyle="1" w:styleId="MessageHeaderChar">
    <w:name w:val="Message Header Char"/>
    <w:basedOn w:val="DefaultParagraphFont"/>
    <w:link w:val="MessageHeader"/>
    <w:rPr>
      <w:rFonts w:ascii="Arial" w:hAnsi="Arial"/>
      <w:sz w:val="24"/>
      <w:shd w:val="pct20" w:color="auto" w:fill="auto"/>
      <w:lang w:val="sv-SE"/>
    </w:rPr>
  </w:style>
  <w:style w:type="paragraph" w:styleId="NormalIndent">
    <w:name w:val="Normal Indent"/>
    <w:basedOn w:val="Normal"/>
    <w:pPr>
      <w:spacing w:before="0" w:after="240" w:line="276" w:lineRule="auto"/>
      <w:ind w:left="720"/>
    </w:pPr>
    <w:rPr>
      <w:rFonts w:asciiTheme="minorHAnsi" w:hAnsiTheme="minorHAnsi" w:cstheme="minorBidi"/>
    </w:rPr>
  </w:style>
  <w:style w:type="paragraph" w:styleId="NoteHeading">
    <w:name w:val="Note Heading"/>
    <w:basedOn w:val="Normal"/>
    <w:next w:val="Normal"/>
    <w:link w:val="NoteHeadingChar"/>
    <w:pPr>
      <w:spacing w:before="0" w:after="240" w:line="276" w:lineRule="auto"/>
    </w:pPr>
    <w:rPr>
      <w:rFonts w:asciiTheme="minorHAnsi" w:hAnsiTheme="minorHAnsi" w:cstheme="minorBidi"/>
    </w:rPr>
  </w:style>
  <w:style w:type="character" w:customStyle="1" w:styleId="NoteHeadingChar">
    <w:name w:val="Note Heading Char"/>
    <w:basedOn w:val="DefaultParagraphFont"/>
    <w:link w:val="NoteHeading"/>
    <w:rPr>
      <w:sz w:val="24"/>
      <w:lang w:val="sv-SE"/>
    </w:rPr>
  </w:style>
  <w:style w:type="paragraph" w:customStyle="1" w:styleId="NoteHead">
    <w:name w:val="NoteHead"/>
    <w:basedOn w:val="Normal"/>
    <w:next w:val="Subject"/>
    <w:pPr>
      <w:spacing w:before="720" w:after="720" w:line="276" w:lineRule="auto"/>
      <w:jc w:val="center"/>
    </w:pPr>
    <w:rPr>
      <w:rFonts w:asciiTheme="minorHAnsi" w:hAnsiTheme="minorHAnsi" w:cstheme="minorBidi"/>
      <w:b/>
      <w:smallCaps/>
    </w:rPr>
  </w:style>
  <w:style w:type="paragraph" w:customStyle="1" w:styleId="Subject">
    <w:name w:val="Subject"/>
    <w:basedOn w:val="Normal"/>
    <w:next w:val="Normal"/>
    <w:pPr>
      <w:spacing w:before="0" w:after="480" w:line="276" w:lineRule="auto"/>
      <w:ind w:left="1531" w:hanging="1531"/>
      <w:jc w:val="left"/>
    </w:pPr>
    <w:rPr>
      <w:rFonts w:asciiTheme="minorHAnsi" w:hAnsiTheme="minorHAnsi" w:cstheme="minorBidi"/>
      <w:b/>
    </w:rPr>
  </w:style>
  <w:style w:type="paragraph" w:customStyle="1" w:styleId="NoteList">
    <w:name w:val="NoteList"/>
    <w:basedOn w:val="Normal"/>
    <w:next w:val="Subject"/>
    <w:pPr>
      <w:tabs>
        <w:tab w:val="left" w:pos="5823"/>
      </w:tabs>
      <w:spacing w:before="720" w:after="720" w:line="276" w:lineRule="auto"/>
      <w:ind w:left="5104" w:hanging="3119"/>
      <w:jc w:val="left"/>
    </w:pPr>
    <w:rPr>
      <w:rFonts w:asciiTheme="minorHAnsi" w:hAnsiTheme="minorHAnsi" w:cstheme="minorBidi"/>
      <w:b/>
      <w:smallCaps/>
    </w:rPr>
  </w:style>
  <w:style w:type="paragraph" w:styleId="PlainText">
    <w:name w:val="Plain Text"/>
    <w:basedOn w:val="Normal"/>
    <w:link w:val="PlainTextChar"/>
    <w:pPr>
      <w:spacing w:before="0" w:after="240" w:line="276" w:lineRule="auto"/>
    </w:pPr>
    <w:rPr>
      <w:rFonts w:ascii="Courier New" w:hAnsi="Courier New" w:cstheme="minorBidi"/>
      <w:sz w:val="20"/>
    </w:rPr>
  </w:style>
  <w:style w:type="character" w:customStyle="1" w:styleId="PlainTextChar">
    <w:name w:val="Plain Text Char"/>
    <w:basedOn w:val="DefaultParagraphFont"/>
    <w:link w:val="PlainText"/>
    <w:rPr>
      <w:rFonts w:ascii="Courier New" w:hAnsi="Courier New"/>
      <w:sz w:val="20"/>
      <w:lang w:val="sv-SE"/>
    </w:rPr>
  </w:style>
  <w:style w:type="paragraph" w:styleId="Salutation">
    <w:name w:val="Salutation"/>
    <w:basedOn w:val="Normal"/>
    <w:next w:val="Normal"/>
    <w:link w:val="SalutationChar"/>
    <w:pPr>
      <w:spacing w:before="0" w:after="240" w:line="276" w:lineRule="auto"/>
    </w:pPr>
    <w:rPr>
      <w:rFonts w:asciiTheme="minorHAnsi" w:hAnsiTheme="minorHAnsi" w:cstheme="minorBidi"/>
    </w:rPr>
  </w:style>
  <w:style w:type="character" w:customStyle="1" w:styleId="SalutationChar">
    <w:name w:val="Salutation Char"/>
    <w:basedOn w:val="DefaultParagraphFont"/>
    <w:link w:val="Salutation"/>
    <w:rPr>
      <w:sz w:val="24"/>
      <w:lang w:val="sv-SE"/>
    </w:rPr>
  </w:style>
  <w:style w:type="paragraph" w:styleId="Subtitle">
    <w:name w:val="Subtitle"/>
    <w:basedOn w:val="Normal"/>
    <w:link w:val="SubtitleChar"/>
    <w:qFormat/>
    <w:pPr>
      <w:spacing w:before="0" w:after="60" w:line="276" w:lineRule="auto"/>
      <w:jc w:val="center"/>
      <w:outlineLvl w:val="1"/>
    </w:pPr>
    <w:rPr>
      <w:rFonts w:ascii="Arial" w:hAnsi="Arial" w:cstheme="minorBidi"/>
    </w:rPr>
  </w:style>
  <w:style w:type="character" w:customStyle="1" w:styleId="SubtitleChar">
    <w:name w:val="Subtitle Char"/>
    <w:basedOn w:val="DefaultParagraphFont"/>
    <w:link w:val="Subtitle"/>
    <w:rPr>
      <w:rFonts w:ascii="Arial" w:hAnsi="Arial"/>
      <w:sz w:val="24"/>
      <w:lang w:val="sv-SE"/>
    </w:rPr>
  </w:style>
  <w:style w:type="paragraph" w:styleId="TableofAuthorities">
    <w:name w:val="table of authorities"/>
    <w:basedOn w:val="Normal"/>
    <w:next w:val="Normal"/>
    <w:semiHidden/>
    <w:pPr>
      <w:spacing w:before="0" w:after="240" w:line="276" w:lineRule="auto"/>
      <w:ind w:left="240" w:hanging="240"/>
    </w:pPr>
    <w:rPr>
      <w:rFonts w:asciiTheme="minorHAnsi" w:hAnsiTheme="minorHAnsi" w:cstheme="minorBidi"/>
    </w:rPr>
  </w:style>
  <w:style w:type="paragraph" w:styleId="TableofFigures">
    <w:name w:val="table of figures"/>
    <w:basedOn w:val="Normal"/>
    <w:next w:val="Normal"/>
    <w:semiHidden/>
    <w:pPr>
      <w:spacing w:before="0" w:after="240" w:line="276" w:lineRule="auto"/>
      <w:ind w:left="480" w:hanging="480"/>
    </w:pPr>
    <w:rPr>
      <w:rFonts w:asciiTheme="minorHAnsi" w:hAnsiTheme="minorHAnsi" w:cstheme="minorBidi"/>
    </w:rPr>
  </w:style>
  <w:style w:type="paragraph" w:styleId="Title">
    <w:name w:val="Title"/>
    <w:basedOn w:val="Normal"/>
    <w:link w:val="TitleChar"/>
    <w:qFormat/>
    <w:pPr>
      <w:spacing w:before="240" w:after="60" w:line="276" w:lineRule="auto"/>
      <w:jc w:val="center"/>
      <w:outlineLvl w:val="0"/>
    </w:pPr>
    <w:rPr>
      <w:rFonts w:ascii="Arial" w:hAnsi="Arial" w:cstheme="minorBidi"/>
      <w:b/>
      <w:kern w:val="28"/>
      <w:sz w:val="32"/>
    </w:rPr>
  </w:style>
  <w:style w:type="character" w:customStyle="1" w:styleId="TitleChar">
    <w:name w:val="Title Char"/>
    <w:basedOn w:val="DefaultParagraphFont"/>
    <w:link w:val="Title"/>
    <w:rPr>
      <w:rFonts w:ascii="Arial" w:hAnsi="Arial"/>
      <w:b/>
      <w:kern w:val="28"/>
      <w:sz w:val="32"/>
      <w:lang w:val="sv-SE"/>
    </w:rPr>
  </w:style>
  <w:style w:type="paragraph" w:styleId="TOAHeading">
    <w:name w:val="toa heading"/>
    <w:basedOn w:val="Normal"/>
    <w:next w:val="Normal"/>
    <w:semiHidden/>
    <w:pPr>
      <w:spacing w:after="240" w:line="276" w:lineRule="auto"/>
    </w:pPr>
    <w:rPr>
      <w:rFonts w:ascii="Arial" w:hAnsi="Arial" w:cstheme="minorBidi"/>
      <w:b/>
    </w:rPr>
  </w:style>
  <w:style w:type="paragraph" w:customStyle="1" w:styleId="YReferences">
    <w:name w:val="YReferences"/>
    <w:basedOn w:val="Normal"/>
    <w:next w:val="Normal"/>
    <w:pPr>
      <w:spacing w:before="0" w:after="480" w:line="276" w:lineRule="auto"/>
      <w:ind w:left="1531" w:hanging="1531"/>
    </w:pPr>
    <w:rPr>
      <w:rFonts w:asciiTheme="minorHAnsi" w:hAnsiTheme="minorHAnsi" w:cstheme="minorBidi"/>
    </w:rPr>
  </w:style>
  <w:style w:type="paragraph" w:customStyle="1" w:styleId="ListBullet1">
    <w:name w:val="List Bullet 1"/>
    <w:basedOn w:val="Text1"/>
    <w:pPr>
      <w:numPr>
        <w:numId w:val="14"/>
      </w:numPr>
      <w:spacing w:before="0" w:after="240" w:line="276" w:lineRule="auto"/>
    </w:pPr>
    <w:rPr>
      <w:rFonts w:asciiTheme="minorHAnsi" w:hAnsiTheme="minorHAnsi" w:cstheme="minorBidi"/>
    </w:rPr>
  </w:style>
  <w:style w:type="paragraph" w:customStyle="1" w:styleId="ListDash">
    <w:name w:val="List Dash"/>
    <w:basedOn w:val="Normal"/>
    <w:pPr>
      <w:numPr>
        <w:numId w:val="18"/>
      </w:numPr>
      <w:spacing w:before="0" w:after="240" w:line="276" w:lineRule="auto"/>
    </w:pPr>
    <w:rPr>
      <w:rFonts w:asciiTheme="minorHAnsi" w:hAnsiTheme="minorHAnsi" w:cstheme="minorBidi"/>
    </w:rPr>
  </w:style>
  <w:style w:type="paragraph" w:customStyle="1" w:styleId="ListDash1">
    <w:name w:val="List Dash 1"/>
    <w:basedOn w:val="Text1"/>
    <w:pPr>
      <w:numPr>
        <w:numId w:val="19"/>
      </w:numPr>
      <w:spacing w:before="0" w:after="240" w:line="276" w:lineRule="auto"/>
    </w:pPr>
    <w:rPr>
      <w:rFonts w:asciiTheme="minorHAnsi" w:hAnsiTheme="minorHAnsi" w:cstheme="minorBidi"/>
    </w:rPr>
  </w:style>
  <w:style w:type="paragraph" w:customStyle="1" w:styleId="ListDash2">
    <w:name w:val="List Dash 2"/>
    <w:basedOn w:val="Text2"/>
    <w:pPr>
      <w:numPr>
        <w:numId w:val="20"/>
      </w:numPr>
      <w:spacing w:before="0" w:after="240" w:line="276" w:lineRule="auto"/>
    </w:pPr>
    <w:rPr>
      <w:rFonts w:asciiTheme="minorHAnsi" w:hAnsiTheme="minorHAnsi" w:cstheme="minorBidi"/>
    </w:rPr>
  </w:style>
  <w:style w:type="paragraph" w:customStyle="1" w:styleId="ListDash3">
    <w:name w:val="List Dash 3"/>
    <w:basedOn w:val="Text3"/>
    <w:pPr>
      <w:numPr>
        <w:numId w:val="21"/>
      </w:numPr>
      <w:spacing w:before="0" w:after="240" w:line="276" w:lineRule="auto"/>
    </w:pPr>
    <w:rPr>
      <w:rFonts w:asciiTheme="minorHAnsi" w:hAnsiTheme="minorHAnsi" w:cstheme="minorBidi"/>
    </w:rPr>
  </w:style>
  <w:style w:type="paragraph" w:customStyle="1" w:styleId="ListDash4">
    <w:name w:val="List Dash 4"/>
    <w:basedOn w:val="Text4"/>
    <w:pPr>
      <w:numPr>
        <w:numId w:val="22"/>
      </w:numPr>
      <w:spacing w:before="0" w:after="240" w:line="276" w:lineRule="auto"/>
    </w:pPr>
    <w:rPr>
      <w:rFonts w:asciiTheme="minorHAnsi" w:hAnsiTheme="minorHAnsi" w:cstheme="minorBidi"/>
    </w:rPr>
  </w:style>
  <w:style w:type="paragraph" w:customStyle="1" w:styleId="ListNumberLevel2">
    <w:name w:val="List Number (Level 2)"/>
    <w:basedOn w:val="Normal"/>
    <w:pPr>
      <w:numPr>
        <w:ilvl w:val="1"/>
        <w:numId w:val="23"/>
      </w:numPr>
      <w:spacing w:before="0" w:after="240" w:line="276" w:lineRule="auto"/>
    </w:pPr>
    <w:rPr>
      <w:rFonts w:asciiTheme="minorHAnsi" w:hAnsiTheme="minorHAnsi" w:cstheme="minorBidi"/>
    </w:rPr>
  </w:style>
  <w:style w:type="paragraph" w:customStyle="1" w:styleId="ListNumberLevel3">
    <w:name w:val="List Number (Level 3)"/>
    <w:basedOn w:val="Normal"/>
    <w:pPr>
      <w:numPr>
        <w:ilvl w:val="2"/>
        <w:numId w:val="23"/>
      </w:numPr>
      <w:spacing w:before="0" w:after="240" w:line="276" w:lineRule="auto"/>
    </w:pPr>
    <w:rPr>
      <w:rFonts w:asciiTheme="minorHAnsi" w:hAnsiTheme="minorHAnsi" w:cstheme="minorBidi"/>
    </w:rPr>
  </w:style>
  <w:style w:type="paragraph" w:customStyle="1" w:styleId="ListNumberLevel4">
    <w:name w:val="List Number (Level 4)"/>
    <w:basedOn w:val="Normal"/>
    <w:pPr>
      <w:numPr>
        <w:ilvl w:val="3"/>
        <w:numId w:val="23"/>
      </w:numPr>
      <w:spacing w:before="0" w:after="240" w:line="276" w:lineRule="auto"/>
    </w:pPr>
    <w:rPr>
      <w:rFonts w:asciiTheme="minorHAnsi" w:hAnsiTheme="minorHAnsi" w:cstheme="minorBidi"/>
    </w:rPr>
  </w:style>
  <w:style w:type="paragraph" w:customStyle="1" w:styleId="ListNumber1">
    <w:name w:val="List Number 1"/>
    <w:basedOn w:val="Text1"/>
    <w:pPr>
      <w:numPr>
        <w:numId w:val="24"/>
      </w:numPr>
      <w:spacing w:before="0" w:after="240" w:line="276" w:lineRule="auto"/>
    </w:pPr>
    <w:rPr>
      <w:rFonts w:asciiTheme="minorHAnsi" w:hAnsiTheme="minorHAnsi" w:cstheme="minorBidi"/>
    </w:rPr>
  </w:style>
  <w:style w:type="paragraph" w:customStyle="1" w:styleId="ListNumber1Level2">
    <w:name w:val="List Number 1 (Level 2)"/>
    <w:basedOn w:val="Text1"/>
    <w:pPr>
      <w:numPr>
        <w:ilvl w:val="1"/>
        <w:numId w:val="24"/>
      </w:numPr>
      <w:spacing w:before="0" w:after="240" w:line="276" w:lineRule="auto"/>
    </w:pPr>
    <w:rPr>
      <w:rFonts w:asciiTheme="minorHAnsi" w:hAnsiTheme="minorHAnsi" w:cstheme="minorBidi"/>
    </w:rPr>
  </w:style>
  <w:style w:type="paragraph" w:customStyle="1" w:styleId="ListNumber1Level3">
    <w:name w:val="List Number 1 (Level 3)"/>
    <w:basedOn w:val="Text1"/>
    <w:pPr>
      <w:numPr>
        <w:ilvl w:val="2"/>
        <w:numId w:val="24"/>
      </w:numPr>
      <w:spacing w:before="0" w:after="240" w:line="276" w:lineRule="auto"/>
    </w:pPr>
    <w:rPr>
      <w:rFonts w:asciiTheme="minorHAnsi" w:hAnsiTheme="minorHAnsi" w:cstheme="minorBidi"/>
    </w:rPr>
  </w:style>
  <w:style w:type="paragraph" w:customStyle="1" w:styleId="ListNumber1Level4">
    <w:name w:val="List Number 1 (Level 4)"/>
    <w:basedOn w:val="Text1"/>
    <w:pPr>
      <w:numPr>
        <w:ilvl w:val="3"/>
        <w:numId w:val="24"/>
      </w:numPr>
      <w:spacing w:before="0" w:after="240" w:line="276" w:lineRule="auto"/>
    </w:pPr>
    <w:rPr>
      <w:rFonts w:asciiTheme="minorHAnsi" w:hAnsiTheme="minorHAnsi" w:cstheme="minorBidi"/>
    </w:rPr>
  </w:style>
  <w:style w:type="paragraph" w:customStyle="1" w:styleId="ListNumber2Level2">
    <w:name w:val="List Number 2 (Level 2)"/>
    <w:basedOn w:val="Text2"/>
    <w:pPr>
      <w:numPr>
        <w:ilvl w:val="1"/>
        <w:numId w:val="25"/>
      </w:numPr>
      <w:spacing w:before="0" w:after="240" w:line="276" w:lineRule="auto"/>
    </w:pPr>
    <w:rPr>
      <w:rFonts w:asciiTheme="minorHAnsi" w:hAnsiTheme="minorHAnsi" w:cstheme="minorBidi"/>
    </w:rPr>
  </w:style>
  <w:style w:type="paragraph" w:customStyle="1" w:styleId="ListNumber2Level3">
    <w:name w:val="List Number 2 (Level 3)"/>
    <w:basedOn w:val="Text2"/>
    <w:pPr>
      <w:numPr>
        <w:ilvl w:val="2"/>
        <w:numId w:val="25"/>
      </w:numPr>
      <w:spacing w:before="0" w:after="240" w:line="276" w:lineRule="auto"/>
    </w:pPr>
    <w:rPr>
      <w:rFonts w:asciiTheme="minorHAnsi" w:hAnsiTheme="minorHAnsi" w:cstheme="minorBidi"/>
    </w:rPr>
  </w:style>
  <w:style w:type="paragraph" w:customStyle="1" w:styleId="ListNumber2Level4">
    <w:name w:val="List Number 2 (Level 4)"/>
    <w:basedOn w:val="Text2"/>
    <w:pPr>
      <w:numPr>
        <w:ilvl w:val="3"/>
        <w:numId w:val="25"/>
      </w:numPr>
      <w:spacing w:before="0" w:after="240" w:line="276" w:lineRule="auto"/>
      <w:ind w:left="3901" w:hanging="703"/>
    </w:pPr>
    <w:rPr>
      <w:rFonts w:asciiTheme="minorHAnsi" w:hAnsiTheme="minorHAnsi" w:cstheme="minorBidi"/>
    </w:rPr>
  </w:style>
  <w:style w:type="paragraph" w:customStyle="1" w:styleId="ListNumber3Level2">
    <w:name w:val="List Number 3 (Level 2)"/>
    <w:basedOn w:val="Text3"/>
    <w:pPr>
      <w:numPr>
        <w:ilvl w:val="1"/>
        <w:numId w:val="26"/>
      </w:numPr>
      <w:spacing w:before="0" w:after="240" w:line="276" w:lineRule="auto"/>
    </w:pPr>
    <w:rPr>
      <w:rFonts w:asciiTheme="minorHAnsi" w:hAnsiTheme="minorHAnsi" w:cstheme="minorBidi"/>
    </w:rPr>
  </w:style>
  <w:style w:type="paragraph" w:customStyle="1" w:styleId="ListNumber3Level3">
    <w:name w:val="List Number 3 (Level 3)"/>
    <w:basedOn w:val="Text3"/>
    <w:pPr>
      <w:numPr>
        <w:ilvl w:val="2"/>
        <w:numId w:val="26"/>
      </w:numPr>
      <w:spacing w:before="0" w:after="240" w:line="276" w:lineRule="auto"/>
    </w:pPr>
    <w:rPr>
      <w:rFonts w:asciiTheme="minorHAnsi" w:hAnsiTheme="minorHAnsi" w:cstheme="minorBidi"/>
    </w:rPr>
  </w:style>
  <w:style w:type="paragraph" w:customStyle="1" w:styleId="ListNumber3Level4">
    <w:name w:val="List Number 3 (Level 4)"/>
    <w:basedOn w:val="Text3"/>
    <w:pPr>
      <w:numPr>
        <w:ilvl w:val="3"/>
        <w:numId w:val="26"/>
      </w:numPr>
      <w:spacing w:before="0" w:after="240" w:line="276" w:lineRule="auto"/>
    </w:pPr>
    <w:rPr>
      <w:rFonts w:asciiTheme="minorHAnsi" w:hAnsiTheme="minorHAnsi" w:cstheme="minorBidi"/>
    </w:rPr>
  </w:style>
  <w:style w:type="paragraph" w:customStyle="1" w:styleId="ListNumber4Level2">
    <w:name w:val="List Number 4 (Level 2)"/>
    <w:basedOn w:val="Text4"/>
    <w:pPr>
      <w:numPr>
        <w:ilvl w:val="1"/>
        <w:numId w:val="27"/>
      </w:numPr>
      <w:spacing w:before="0" w:after="240" w:line="276" w:lineRule="auto"/>
    </w:pPr>
    <w:rPr>
      <w:rFonts w:asciiTheme="minorHAnsi" w:hAnsiTheme="minorHAnsi" w:cstheme="minorBidi"/>
    </w:rPr>
  </w:style>
  <w:style w:type="paragraph" w:customStyle="1" w:styleId="ListNumber4Level3">
    <w:name w:val="List Number 4 (Level 3)"/>
    <w:basedOn w:val="Text4"/>
    <w:pPr>
      <w:numPr>
        <w:ilvl w:val="2"/>
        <w:numId w:val="27"/>
      </w:numPr>
      <w:spacing w:before="0" w:after="240" w:line="276" w:lineRule="auto"/>
    </w:pPr>
    <w:rPr>
      <w:rFonts w:asciiTheme="minorHAnsi" w:hAnsiTheme="minorHAnsi" w:cstheme="minorBidi"/>
    </w:rPr>
  </w:style>
  <w:style w:type="paragraph" w:customStyle="1" w:styleId="ListNumber4Level4">
    <w:name w:val="List Number 4 (Level 4)"/>
    <w:basedOn w:val="Text4"/>
    <w:pPr>
      <w:numPr>
        <w:ilvl w:val="3"/>
        <w:numId w:val="27"/>
      </w:numPr>
      <w:spacing w:before="0" w:after="240" w:line="276" w:lineRule="auto"/>
    </w:pPr>
    <w:rPr>
      <w:rFonts w:asciiTheme="minorHAnsi" w:hAnsiTheme="minorHAnsi" w:cstheme="minorBidi"/>
    </w:rPr>
  </w:style>
  <w:style w:type="paragraph" w:customStyle="1" w:styleId="Contact">
    <w:name w:val="Contact"/>
    <w:basedOn w:val="Normal"/>
    <w:next w:val="Normal"/>
    <w:pPr>
      <w:spacing w:before="480" w:after="0" w:line="276" w:lineRule="auto"/>
      <w:ind w:left="567" w:hanging="567"/>
      <w:jc w:val="left"/>
    </w:pPr>
    <w:rPr>
      <w:rFonts w:asciiTheme="minorHAnsi" w:hAnsiTheme="minorHAnsi" w:cstheme="minorBidi"/>
    </w:rPr>
  </w:style>
  <w:style w:type="paragraph" w:customStyle="1" w:styleId="DisclaimerNotice">
    <w:name w:val="Disclaimer Notice"/>
    <w:basedOn w:val="Normal"/>
    <w:next w:val="AddressTR"/>
    <w:pPr>
      <w:spacing w:before="0" w:after="240" w:line="276" w:lineRule="auto"/>
      <w:ind w:left="5103"/>
      <w:jc w:val="left"/>
    </w:pPr>
    <w:rPr>
      <w:rFonts w:asciiTheme="minorHAnsi" w:hAnsiTheme="minorHAnsi" w:cstheme="minorBidi"/>
      <w:i/>
      <w:sz w:val="20"/>
    </w:rPr>
  </w:style>
  <w:style w:type="paragraph" w:customStyle="1" w:styleId="Disclaimer">
    <w:name w:val="Disclaimer"/>
    <w:basedOn w:val="Normal"/>
    <w:pPr>
      <w:keepLines/>
      <w:pBdr>
        <w:top w:val="single" w:sz="4" w:space="1" w:color="auto"/>
      </w:pBdr>
      <w:spacing w:before="480" w:after="0" w:line="276" w:lineRule="auto"/>
    </w:pPr>
    <w:rPr>
      <w:rFonts w:asciiTheme="minorHAnsi" w:hAnsiTheme="minorHAnsi" w:cstheme="minorBidi"/>
      <w:i/>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line="276" w:lineRule="auto"/>
    </w:pPr>
    <w:rPr>
      <w:rFonts w:ascii="Arial" w:hAnsi="Arial" w:cstheme="minorBidi"/>
      <w:b/>
      <w:sz w:val="16"/>
    </w:rPr>
  </w:style>
  <w:style w:type="paragraph" w:customStyle="1" w:styleId="Designator">
    <w:name w:val="Designator"/>
    <w:basedOn w:val="Normal"/>
    <w:pPr>
      <w:spacing w:before="0" w:after="0" w:line="276" w:lineRule="auto"/>
      <w:jc w:val="center"/>
    </w:pPr>
    <w:rPr>
      <w:rFonts w:asciiTheme="minorHAnsi" w:hAnsiTheme="minorHAnsi" w:cstheme="minorBidi"/>
      <w:b/>
      <w:caps/>
      <w:sz w:val="32"/>
    </w:rPr>
  </w:style>
  <w:style w:type="paragraph" w:customStyle="1" w:styleId="Releasable">
    <w:name w:val="Releasable"/>
    <w:basedOn w:val="Normal"/>
    <w:qFormat/>
    <w:pPr>
      <w:spacing w:before="0" w:after="0" w:line="276" w:lineRule="auto"/>
      <w:jc w:val="center"/>
    </w:pPr>
    <w:rPr>
      <w:rFonts w:asciiTheme="minorHAnsi" w:hAnsiTheme="minorHAnsi" w:cstheme="minorBidi"/>
      <w:b/>
      <w:caps/>
      <w:sz w:val="32"/>
    </w:rPr>
  </w:style>
  <w:style w:type="paragraph" w:customStyle="1" w:styleId="RUE">
    <w:name w:val="RUE"/>
    <w:basedOn w:val="Normal"/>
    <w:pPr>
      <w:spacing w:before="0" w:after="0" w:line="276" w:lineRule="auto"/>
      <w:jc w:val="center"/>
    </w:pPr>
    <w:rPr>
      <w:rFonts w:asciiTheme="minorHAnsi" w:hAnsiTheme="minorHAnsi" w:cstheme="minorBidi"/>
      <w:b/>
      <w:caps/>
      <w:sz w:val="32"/>
      <w:bdr w:val="single" w:sz="18" w:space="0" w:color="auto"/>
    </w:rPr>
  </w:style>
  <w:style w:type="paragraph" w:customStyle="1" w:styleId="ConfidentialUE">
    <w:name w:val="Confidential UE"/>
    <w:basedOn w:val="Normal"/>
    <w:pPr>
      <w:spacing w:before="0" w:after="0" w:line="276" w:lineRule="auto"/>
      <w:jc w:val="center"/>
    </w:pPr>
    <w:rPr>
      <w:rFonts w:asciiTheme="minorHAnsi" w:hAnsiTheme="minorHAnsi" w:cstheme="minorBidi"/>
      <w:b/>
      <w:caps/>
      <w:sz w:val="32"/>
      <w:bdr w:val="single" w:sz="18" w:space="0" w:color="auto"/>
    </w:rPr>
  </w:style>
  <w:style w:type="paragraph" w:customStyle="1" w:styleId="TrsSecretUE">
    <w:name w:val="Très Secret UE"/>
    <w:basedOn w:val="Normal"/>
    <w:pPr>
      <w:spacing w:before="0" w:after="0" w:line="276" w:lineRule="auto"/>
      <w:jc w:val="center"/>
    </w:pPr>
    <w:rPr>
      <w:rFonts w:asciiTheme="minorHAnsi" w:hAnsiTheme="minorHAnsi" w:cstheme="minorBidi"/>
      <w:b/>
      <w:caps/>
      <w:color w:val="FF0000"/>
      <w:sz w:val="32"/>
      <w:bdr w:val="single" w:sz="18" w:space="0" w:color="FF0000"/>
    </w:rPr>
  </w:style>
  <w:style w:type="paragraph" w:customStyle="1" w:styleId="SecretUE">
    <w:name w:val="Secret UE"/>
    <w:basedOn w:val="Normal"/>
    <w:pPr>
      <w:spacing w:before="0" w:after="0" w:line="276" w:lineRule="auto"/>
      <w:jc w:val="center"/>
    </w:pPr>
    <w:rPr>
      <w:rFonts w:asciiTheme="minorHAnsi" w:hAnsiTheme="minorHAnsi" w:cstheme="minorBidi"/>
      <w:b/>
      <w:caps/>
      <w:color w:val="FF0000"/>
      <w:sz w:val="32"/>
      <w:bdr w:val="single" w:sz="18" w:space="0" w:color="FF0000"/>
    </w:rPr>
  </w:style>
  <w:style w:type="paragraph" w:customStyle="1" w:styleId="LegalNumPar">
    <w:name w:val="LegalNumPar"/>
    <w:basedOn w:val="Normal"/>
    <w:pPr>
      <w:numPr>
        <w:numId w:val="30"/>
      </w:numPr>
      <w:spacing w:before="0" w:after="240" w:line="360" w:lineRule="auto"/>
      <w:jc w:val="left"/>
    </w:pPr>
    <w:rPr>
      <w:rFonts w:asciiTheme="minorHAnsi" w:hAnsiTheme="minorHAnsi" w:cstheme="minorBidi"/>
    </w:rPr>
  </w:style>
  <w:style w:type="paragraph" w:customStyle="1" w:styleId="LegalNumPar2">
    <w:name w:val="LegalNumPar2"/>
    <w:basedOn w:val="Normal"/>
    <w:pPr>
      <w:numPr>
        <w:ilvl w:val="1"/>
        <w:numId w:val="30"/>
      </w:numPr>
      <w:spacing w:before="0" w:after="240" w:line="360" w:lineRule="auto"/>
      <w:jc w:val="left"/>
    </w:pPr>
    <w:rPr>
      <w:rFonts w:asciiTheme="minorHAnsi" w:hAnsiTheme="minorHAnsi" w:cstheme="minorBidi"/>
    </w:rPr>
  </w:style>
  <w:style w:type="paragraph" w:customStyle="1" w:styleId="LegalNumPar3">
    <w:name w:val="LegalNumPar3"/>
    <w:basedOn w:val="Normal"/>
    <w:pPr>
      <w:numPr>
        <w:ilvl w:val="2"/>
        <w:numId w:val="30"/>
      </w:numPr>
      <w:spacing w:before="0" w:after="240" w:line="360" w:lineRule="auto"/>
      <w:jc w:val="left"/>
    </w:pPr>
    <w:rPr>
      <w:rFonts w:asciiTheme="minorHAnsi" w:hAnsiTheme="minorHAnsi" w:cstheme="minorBidi"/>
    </w:rPr>
  </w:style>
  <w:style w:type="paragraph" w:customStyle="1" w:styleId="Footnoterefernce">
    <w:name w:val="Footnote refernce"/>
    <w:basedOn w:val="Normal"/>
    <w:pPr>
      <w:autoSpaceDE w:val="0"/>
      <w:autoSpaceDN w:val="0"/>
      <w:adjustRightInd w:val="0"/>
      <w:spacing w:after="0"/>
    </w:pPr>
  </w:style>
  <w:style w:type="character" w:styleId="Emphasis">
    <w:name w:val="Emphasis"/>
    <w:basedOn w:val="DefaultParagraphFont"/>
    <w:uiPriority w:val="20"/>
    <w:qFormat/>
    <w:rPr>
      <w:i/>
      <w:iCs/>
      <w:vanish w:val="0"/>
      <w:webHidden w:val="0"/>
      <w:color w:val="0099CC"/>
      <w:specVanish w:val="0"/>
    </w:rPr>
  </w:style>
  <w:style w:type="character" w:styleId="Strong">
    <w:name w:val="Strong"/>
    <w:basedOn w:val="DefaultParagraphFont"/>
    <w:uiPriority w:val="22"/>
    <w:qFormat/>
    <w:rPr>
      <w:b/>
      <w:bCs/>
    </w:rPr>
  </w:style>
  <w:style w:type="character" w:customStyle="1" w:styleId="super">
    <w:name w:val="super"/>
    <w:basedOn w:val="DefaultParagraphFont"/>
    <w:rPr>
      <w:rFonts w:ascii="Times New Roman" w:hAnsi="Times New Roman" w:cs="Times New Roman" w:hint="default"/>
      <w:sz w:val="17"/>
      <w:szCs w:val="17"/>
      <w:vertAlign w:val="superscri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Normal"/>
    <w:link w:val="Heading5Char"/>
    <w:qFormat/>
    <w:pPr>
      <w:spacing w:before="240" w:after="60" w:line="276" w:lineRule="auto"/>
      <w:ind w:left="3332" w:hanging="708"/>
      <w:outlineLvl w:val="4"/>
    </w:pPr>
    <w:rPr>
      <w:rFonts w:ascii="Arial" w:hAnsi="Arial" w:cstheme="minorBidi"/>
      <w:sz w:val="22"/>
    </w:rPr>
  </w:style>
  <w:style w:type="paragraph" w:styleId="Heading6">
    <w:name w:val="heading 6"/>
    <w:basedOn w:val="Normal"/>
    <w:next w:val="Normal"/>
    <w:link w:val="Heading6Char"/>
    <w:qFormat/>
    <w:pPr>
      <w:spacing w:before="240" w:after="60" w:line="276" w:lineRule="auto"/>
      <w:ind w:left="4040" w:hanging="708"/>
      <w:outlineLvl w:val="5"/>
    </w:pPr>
    <w:rPr>
      <w:rFonts w:ascii="Arial" w:hAnsi="Arial" w:cstheme="minorBidi"/>
      <w:i/>
      <w:sz w:val="22"/>
    </w:rPr>
  </w:style>
  <w:style w:type="paragraph" w:styleId="Heading7">
    <w:name w:val="heading 7"/>
    <w:basedOn w:val="Normal"/>
    <w:next w:val="Normal"/>
    <w:link w:val="Heading7Char"/>
    <w:qFormat/>
    <w:pPr>
      <w:spacing w:before="240" w:after="60" w:line="276" w:lineRule="auto"/>
      <w:ind w:left="4748" w:hanging="708"/>
      <w:outlineLvl w:val="6"/>
    </w:pPr>
    <w:rPr>
      <w:rFonts w:ascii="Arial" w:hAnsi="Arial" w:cstheme="minorBidi"/>
      <w:sz w:val="20"/>
    </w:rPr>
  </w:style>
  <w:style w:type="paragraph" w:styleId="Heading8">
    <w:name w:val="heading 8"/>
    <w:basedOn w:val="Normal"/>
    <w:next w:val="Normal"/>
    <w:link w:val="Heading8Char"/>
    <w:qFormat/>
    <w:pPr>
      <w:spacing w:before="240" w:after="60" w:line="276" w:lineRule="auto"/>
      <w:ind w:left="5456" w:hanging="708"/>
      <w:outlineLvl w:val="7"/>
    </w:pPr>
    <w:rPr>
      <w:rFonts w:ascii="Arial" w:hAnsi="Arial" w:cstheme="minorBidi"/>
      <w:i/>
      <w:sz w:val="20"/>
    </w:rPr>
  </w:style>
  <w:style w:type="paragraph" w:styleId="Heading9">
    <w:name w:val="heading 9"/>
    <w:basedOn w:val="Normal"/>
    <w:next w:val="Normal"/>
    <w:link w:val="Heading9Char"/>
    <w:qFormat/>
    <w:pPr>
      <w:spacing w:before="240" w:after="60" w:line="276" w:lineRule="auto"/>
      <w:ind w:left="6164" w:hanging="708"/>
      <w:outlineLvl w:val="8"/>
    </w:pPr>
    <w:rPr>
      <w:rFonts w:ascii="Arial" w:hAnsi="Arial" w:cstheme="minorBidi"/>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hAnsi="Arial"/>
      <w:lang w:val="sv-SE"/>
    </w:rPr>
  </w:style>
  <w:style w:type="character" w:customStyle="1" w:styleId="Heading6Char">
    <w:name w:val="Heading 6 Char"/>
    <w:basedOn w:val="DefaultParagraphFont"/>
    <w:link w:val="Heading6"/>
    <w:rPr>
      <w:rFonts w:ascii="Arial" w:hAnsi="Arial"/>
      <w:i/>
      <w:lang w:val="sv-SE"/>
    </w:rPr>
  </w:style>
  <w:style w:type="character" w:customStyle="1" w:styleId="Heading7Char">
    <w:name w:val="Heading 7 Char"/>
    <w:basedOn w:val="DefaultParagraphFont"/>
    <w:link w:val="Heading7"/>
    <w:rPr>
      <w:rFonts w:ascii="Arial" w:hAnsi="Arial"/>
      <w:sz w:val="20"/>
      <w:lang w:val="sv-SE"/>
    </w:rPr>
  </w:style>
  <w:style w:type="character" w:customStyle="1" w:styleId="Heading8Char">
    <w:name w:val="Heading 8 Char"/>
    <w:basedOn w:val="DefaultParagraphFont"/>
    <w:link w:val="Heading8"/>
    <w:rPr>
      <w:rFonts w:ascii="Arial" w:hAnsi="Arial"/>
      <w:i/>
      <w:sz w:val="20"/>
      <w:lang w:val="sv-SE"/>
    </w:rPr>
  </w:style>
  <w:style w:type="character" w:customStyle="1" w:styleId="Heading9Char">
    <w:name w:val="Heading 9 Char"/>
    <w:basedOn w:val="DefaultParagraphFont"/>
    <w:link w:val="Heading9"/>
    <w:rPr>
      <w:rFonts w:ascii="Arial" w:hAnsi="Arial"/>
      <w:i/>
      <w:sz w:val="18"/>
      <w:lang w:val="sv-SE"/>
    </w:rPr>
  </w:style>
  <w:style w:type="paragraph" w:styleId="BalloonText">
    <w:name w:val="Balloon Text"/>
    <w:basedOn w:val="Normal"/>
    <w:link w:val="BalloonTextChar"/>
    <w:uiPriority w:val="99"/>
    <w:semiHidden/>
    <w:unhideWhenUsed/>
    <w:pPr>
      <w:spacing w:before="0" w:after="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customStyle="1" w:styleId="CM1">
    <w:name w:val="CM1"/>
    <w:basedOn w:val="Normal"/>
    <w:next w:val="Normal"/>
    <w:uiPriority w:val="99"/>
    <w:pPr>
      <w:autoSpaceDE w:val="0"/>
      <w:autoSpaceDN w:val="0"/>
      <w:adjustRightInd w:val="0"/>
      <w:spacing w:before="0" w:after="0" w:line="276" w:lineRule="auto"/>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line="276" w:lineRule="auto"/>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line="276" w:lineRule="auto"/>
      <w:jc w:val="left"/>
    </w:pPr>
    <w:rPr>
      <w:rFonts w:ascii="EUAlbertina" w:hAnsi="EUAlbertina" w:cstheme="minorBidi"/>
      <w:szCs w:val="24"/>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semiHidden/>
    <w:rPr>
      <w:rFonts w:ascii="Times New Roman" w:hAnsi="Times New Roman" w:cs="Times New Roman"/>
      <w:sz w:val="20"/>
      <w:szCs w:val="20"/>
      <w:lang w:val="sv-SE"/>
    </w:rPr>
  </w:style>
  <w:style w:type="paragraph" w:styleId="CommentText">
    <w:name w:val="annotation text"/>
    <w:basedOn w:val="Normal"/>
    <w:link w:val="CommentTextChar1"/>
    <w:semiHidden/>
    <w:unhideWhenUsed/>
    <w:rPr>
      <w:sz w:val="20"/>
      <w:szCs w:val="20"/>
    </w:rPr>
  </w:style>
  <w:style w:type="character" w:customStyle="1" w:styleId="CommentTextChar1">
    <w:name w:val="Comment Text Char1"/>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240" w:line="276" w:lineRule="auto"/>
    </w:pPr>
    <w:rPr>
      <w:rFonts w:asciiTheme="minorHAnsi" w:hAnsiTheme="minorHAnsi" w:cstheme="minorBidi"/>
      <w:b/>
      <w:bCs/>
      <w:szCs w:val="22"/>
    </w:rPr>
  </w:style>
  <w:style w:type="character" w:customStyle="1" w:styleId="CommentSubjectChar">
    <w:name w:val="Comment Subject Char"/>
    <w:basedOn w:val="CommentTextChar1"/>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SignatureChar">
    <w:name w:val="Signature Char"/>
    <w:basedOn w:val="DefaultParagraphFont"/>
    <w:uiPriority w:val="99"/>
    <w:semiHidden/>
    <w:rPr>
      <w:rFonts w:ascii="Times New Roman" w:hAnsi="Times New Roman" w:cs="Times New Roman"/>
      <w:sz w:val="24"/>
      <w:lang w:val="sv-SE"/>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customStyle="1" w:styleId="italic1">
    <w:name w:val="italic1"/>
    <w:rPr>
      <w:i/>
      <w:iCs/>
    </w:rPr>
  </w:style>
  <w:style w:type="paragraph" w:customStyle="1" w:styleId="AddressTL">
    <w:name w:val="AddressTL"/>
    <w:basedOn w:val="Normal"/>
    <w:next w:val="Normal"/>
    <w:pPr>
      <w:spacing w:before="0" w:after="720" w:line="276" w:lineRule="auto"/>
      <w:jc w:val="left"/>
    </w:pPr>
    <w:rPr>
      <w:rFonts w:asciiTheme="minorHAnsi" w:hAnsiTheme="minorHAnsi" w:cstheme="minorBidi"/>
    </w:rPr>
  </w:style>
  <w:style w:type="paragraph" w:customStyle="1" w:styleId="AddressTR">
    <w:name w:val="AddressTR"/>
    <w:basedOn w:val="Normal"/>
    <w:next w:val="Normal"/>
    <w:pPr>
      <w:spacing w:before="0" w:after="720" w:line="276" w:lineRule="auto"/>
      <w:ind w:left="5103"/>
      <w:jc w:val="left"/>
    </w:pPr>
    <w:rPr>
      <w:rFonts w:asciiTheme="minorHAnsi" w:hAnsiTheme="minorHAnsi" w:cstheme="minorBidi"/>
    </w:rPr>
  </w:style>
  <w:style w:type="paragraph" w:styleId="BlockText">
    <w:name w:val="Block Text"/>
    <w:basedOn w:val="Normal"/>
    <w:pPr>
      <w:spacing w:before="0" w:line="276" w:lineRule="auto"/>
      <w:ind w:left="1440" w:right="1440"/>
    </w:pPr>
    <w:rPr>
      <w:rFonts w:asciiTheme="minorHAnsi" w:hAnsiTheme="minorHAnsi" w:cstheme="minorBidi"/>
    </w:rPr>
  </w:style>
  <w:style w:type="paragraph" w:styleId="BodyText">
    <w:name w:val="Body Text"/>
    <w:basedOn w:val="Normal"/>
    <w:link w:val="BodyTextChar"/>
    <w:pPr>
      <w:spacing w:before="0" w:line="276" w:lineRule="auto"/>
    </w:pPr>
    <w:rPr>
      <w:rFonts w:asciiTheme="minorHAnsi" w:hAnsiTheme="minorHAnsi" w:cstheme="minorBidi"/>
    </w:rPr>
  </w:style>
  <w:style w:type="character" w:customStyle="1" w:styleId="BodyTextChar">
    <w:name w:val="Body Text Char"/>
    <w:basedOn w:val="DefaultParagraphFont"/>
    <w:link w:val="BodyText"/>
    <w:rPr>
      <w:sz w:val="24"/>
      <w:lang w:val="sv-SE"/>
    </w:rPr>
  </w:style>
  <w:style w:type="paragraph" w:styleId="BodyText2">
    <w:name w:val="Body Text 2"/>
    <w:basedOn w:val="Normal"/>
    <w:link w:val="BodyText2Char"/>
    <w:pPr>
      <w:spacing w:before="0" w:line="480" w:lineRule="auto"/>
    </w:pPr>
    <w:rPr>
      <w:rFonts w:asciiTheme="minorHAnsi" w:hAnsiTheme="minorHAnsi" w:cstheme="minorBidi"/>
    </w:rPr>
  </w:style>
  <w:style w:type="character" w:customStyle="1" w:styleId="BodyText2Char">
    <w:name w:val="Body Text 2 Char"/>
    <w:basedOn w:val="DefaultParagraphFont"/>
    <w:link w:val="BodyText2"/>
    <w:rPr>
      <w:sz w:val="24"/>
      <w:lang w:val="sv-SE"/>
    </w:rPr>
  </w:style>
  <w:style w:type="paragraph" w:styleId="BodyText3">
    <w:name w:val="Body Text 3"/>
    <w:basedOn w:val="Normal"/>
    <w:link w:val="BodyText3Char"/>
    <w:pPr>
      <w:spacing w:before="0" w:line="276" w:lineRule="auto"/>
    </w:pPr>
    <w:rPr>
      <w:rFonts w:asciiTheme="minorHAnsi" w:hAnsiTheme="minorHAnsi" w:cstheme="minorBidi"/>
      <w:sz w:val="16"/>
    </w:rPr>
  </w:style>
  <w:style w:type="character" w:customStyle="1" w:styleId="BodyText3Char">
    <w:name w:val="Body Text 3 Char"/>
    <w:basedOn w:val="DefaultParagraphFont"/>
    <w:link w:val="BodyText3"/>
    <w:rPr>
      <w:sz w:val="16"/>
      <w:lang w:val="sv-S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4"/>
      <w:lang w:val="sv-SE"/>
    </w:rPr>
  </w:style>
  <w:style w:type="paragraph" w:styleId="BodyTextIndent">
    <w:name w:val="Body Text Indent"/>
    <w:basedOn w:val="Normal"/>
    <w:link w:val="BodyTextIndentChar"/>
    <w:pPr>
      <w:spacing w:before="0" w:line="276" w:lineRule="auto"/>
      <w:ind w:left="283"/>
    </w:pPr>
    <w:rPr>
      <w:rFonts w:asciiTheme="minorHAnsi" w:hAnsiTheme="minorHAnsi" w:cstheme="minorBidi"/>
    </w:rPr>
  </w:style>
  <w:style w:type="character" w:customStyle="1" w:styleId="BodyTextIndentChar">
    <w:name w:val="Body Text Indent Char"/>
    <w:basedOn w:val="DefaultParagraphFont"/>
    <w:link w:val="BodyTextIndent"/>
    <w:rPr>
      <w:sz w:val="24"/>
      <w:lang w:val="sv-S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4"/>
      <w:lang w:val="sv-SE"/>
    </w:rPr>
  </w:style>
  <w:style w:type="paragraph" w:styleId="BodyTextIndent2">
    <w:name w:val="Body Text Indent 2"/>
    <w:basedOn w:val="Normal"/>
    <w:link w:val="BodyTextIndent2Char"/>
    <w:pPr>
      <w:spacing w:before="0" w:line="480"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Pr>
      <w:sz w:val="24"/>
      <w:lang w:val="sv-SE"/>
    </w:rPr>
  </w:style>
  <w:style w:type="paragraph" w:styleId="BodyTextIndent3">
    <w:name w:val="Body Text Indent 3"/>
    <w:basedOn w:val="Normal"/>
    <w:link w:val="BodyTextIndent3Char"/>
    <w:pPr>
      <w:spacing w:before="0" w:line="276" w:lineRule="auto"/>
      <w:ind w:left="283"/>
    </w:pPr>
    <w:rPr>
      <w:rFonts w:asciiTheme="minorHAnsi" w:hAnsiTheme="minorHAnsi" w:cstheme="minorBidi"/>
      <w:sz w:val="16"/>
    </w:rPr>
  </w:style>
  <w:style w:type="character" w:customStyle="1" w:styleId="BodyTextIndent3Char">
    <w:name w:val="Body Text Indent 3 Char"/>
    <w:basedOn w:val="DefaultParagraphFont"/>
    <w:link w:val="BodyTextIndent3"/>
    <w:rPr>
      <w:sz w:val="16"/>
      <w:lang w:val="sv-SE"/>
    </w:rPr>
  </w:style>
  <w:style w:type="paragraph" w:styleId="Caption">
    <w:name w:val="caption"/>
    <w:basedOn w:val="Normal"/>
    <w:next w:val="Normal"/>
    <w:qFormat/>
    <w:pPr>
      <w:spacing w:line="276" w:lineRule="auto"/>
    </w:pPr>
    <w:rPr>
      <w:rFonts w:asciiTheme="minorHAnsi" w:hAnsiTheme="minorHAnsi" w:cstheme="minorBidi"/>
      <w:b/>
    </w:rPr>
  </w:style>
  <w:style w:type="paragraph" w:styleId="Closing">
    <w:name w:val="Closing"/>
    <w:basedOn w:val="Normal"/>
    <w:next w:val="Signature"/>
    <w:link w:val="ClosingChar"/>
    <w:pPr>
      <w:tabs>
        <w:tab w:val="left" w:pos="5103"/>
      </w:tabs>
      <w:spacing w:before="240" w:after="240" w:line="276" w:lineRule="auto"/>
      <w:ind w:left="5103"/>
      <w:jc w:val="left"/>
    </w:pPr>
    <w:rPr>
      <w:rFonts w:asciiTheme="minorHAnsi" w:hAnsiTheme="minorHAnsi" w:cstheme="minorBidi"/>
    </w:rPr>
  </w:style>
  <w:style w:type="character" w:customStyle="1" w:styleId="ClosingChar">
    <w:name w:val="Closing Char"/>
    <w:basedOn w:val="DefaultParagraphFont"/>
    <w:link w:val="Closing"/>
    <w:rPr>
      <w:sz w:val="24"/>
      <w:lang w:val="sv-SE"/>
    </w:rPr>
  </w:style>
  <w:style w:type="paragraph" w:styleId="Signature">
    <w:name w:val="Signature"/>
    <w:basedOn w:val="Normal"/>
    <w:next w:val="Contact"/>
    <w:link w:val="SignatureChar1"/>
    <w:pPr>
      <w:tabs>
        <w:tab w:val="left" w:pos="5103"/>
      </w:tabs>
      <w:spacing w:before="1200" w:after="0" w:line="276" w:lineRule="auto"/>
      <w:ind w:left="5103"/>
      <w:jc w:val="center"/>
    </w:pPr>
    <w:rPr>
      <w:rFonts w:asciiTheme="minorHAnsi" w:hAnsiTheme="minorHAnsi" w:cstheme="minorBidi"/>
    </w:rPr>
  </w:style>
  <w:style w:type="character" w:customStyle="1" w:styleId="SignatureChar1">
    <w:name w:val="Signature Char1"/>
    <w:basedOn w:val="DefaultParagraphFont"/>
    <w:link w:val="Signature"/>
    <w:rPr>
      <w:sz w:val="24"/>
      <w:lang w:val="sv-SE"/>
    </w:rPr>
  </w:style>
  <w:style w:type="paragraph" w:customStyle="1" w:styleId="Enclosures">
    <w:name w:val="Enclosures"/>
    <w:basedOn w:val="Normal"/>
    <w:next w:val="Participants"/>
    <w:pPr>
      <w:keepNext/>
      <w:keepLines/>
      <w:tabs>
        <w:tab w:val="left" w:pos="5670"/>
      </w:tabs>
      <w:spacing w:before="480" w:after="0" w:line="276" w:lineRule="auto"/>
      <w:ind w:left="1985" w:hanging="1985"/>
      <w:jc w:val="left"/>
    </w:pPr>
    <w:rPr>
      <w:rFonts w:asciiTheme="minorHAnsi" w:hAnsiTheme="minorHAnsi" w:cstheme="minorBidi"/>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line="276" w:lineRule="auto"/>
      <w:ind w:left="1985" w:hanging="1985"/>
      <w:jc w:val="left"/>
    </w:pPr>
    <w:rPr>
      <w:rFonts w:asciiTheme="minorHAnsi" w:hAnsiTheme="minorHAnsi" w:cstheme="minorBidi"/>
    </w:rPr>
  </w:style>
  <w:style w:type="paragraph" w:customStyle="1" w:styleId="Copies">
    <w:name w:val="Copies"/>
    <w:basedOn w:val="Normal"/>
    <w:next w:val="Normal"/>
    <w:pPr>
      <w:tabs>
        <w:tab w:val="left" w:pos="2552"/>
        <w:tab w:val="left" w:pos="2835"/>
        <w:tab w:val="left" w:pos="5670"/>
        <w:tab w:val="left" w:pos="6379"/>
        <w:tab w:val="left" w:pos="6804"/>
      </w:tabs>
      <w:spacing w:before="480" w:after="0" w:line="276" w:lineRule="auto"/>
      <w:ind w:left="1985" w:hanging="1985"/>
      <w:jc w:val="left"/>
    </w:pPr>
    <w:rPr>
      <w:rFonts w:asciiTheme="minorHAnsi" w:hAnsiTheme="minorHAnsi" w:cstheme="minorBidi"/>
    </w:rPr>
  </w:style>
  <w:style w:type="paragraph" w:styleId="Date">
    <w:name w:val="Date"/>
    <w:basedOn w:val="Normal"/>
    <w:next w:val="References"/>
    <w:link w:val="DateChar"/>
    <w:pPr>
      <w:spacing w:before="0" w:after="0" w:line="276" w:lineRule="auto"/>
      <w:ind w:left="5103" w:right="-567"/>
      <w:jc w:val="left"/>
    </w:pPr>
    <w:rPr>
      <w:rFonts w:asciiTheme="minorHAnsi" w:hAnsiTheme="minorHAnsi" w:cstheme="minorBidi"/>
    </w:rPr>
  </w:style>
  <w:style w:type="character" w:customStyle="1" w:styleId="DateChar">
    <w:name w:val="Date Char"/>
    <w:basedOn w:val="DefaultParagraphFont"/>
    <w:link w:val="Date"/>
    <w:rPr>
      <w:sz w:val="24"/>
      <w:lang w:val="sv-SE"/>
    </w:rPr>
  </w:style>
  <w:style w:type="paragraph" w:customStyle="1" w:styleId="References">
    <w:name w:val="References"/>
    <w:basedOn w:val="Normal"/>
    <w:next w:val="AddressTR"/>
    <w:pPr>
      <w:spacing w:before="0" w:after="240" w:line="276" w:lineRule="auto"/>
      <w:ind w:left="5103"/>
      <w:jc w:val="left"/>
    </w:pPr>
    <w:rPr>
      <w:rFonts w:asciiTheme="minorHAnsi" w:hAnsiTheme="minorHAnsi" w:cstheme="minorBidi"/>
      <w:sz w:val="20"/>
    </w:rPr>
  </w:style>
  <w:style w:type="paragraph" w:styleId="DocumentMap">
    <w:name w:val="Document Map"/>
    <w:basedOn w:val="Normal"/>
    <w:link w:val="DocumentMapChar"/>
    <w:semiHidden/>
    <w:pPr>
      <w:shd w:val="clear" w:color="auto" w:fill="000080"/>
      <w:spacing w:before="0" w:after="240" w:line="276" w:lineRule="auto"/>
    </w:pPr>
    <w:rPr>
      <w:rFonts w:ascii="Tahoma" w:hAnsi="Tahoma" w:cstheme="minorBidi"/>
    </w:rPr>
  </w:style>
  <w:style w:type="character" w:customStyle="1" w:styleId="DocumentMapChar">
    <w:name w:val="Document Map Char"/>
    <w:basedOn w:val="DefaultParagraphFont"/>
    <w:link w:val="DocumentMap"/>
    <w:semiHidden/>
    <w:rPr>
      <w:rFonts w:ascii="Tahoma" w:hAnsi="Tahoma"/>
      <w:sz w:val="24"/>
      <w:shd w:val="clear" w:color="auto" w:fill="000080"/>
      <w:lang w:val="sv-SE"/>
    </w:rPr>
  </w:style>
  <w:style w:type="paragraph" w:customStyle="1" w:styleId="DoubSign">
    <w:name w:val="DoubSign"/>
    <w:basedOn w:val="Normal"/>
    <w:next w:val="Contact"/>
    <w:pPr>
      <w:tabs>
        <w:tab w:val="left" w:pos="5103"/>
      </w:tabs>
      <w:spacing w:before="1200" w:after="0" w:line="276" w:lineRule="auto"/>
      <w:jc w:val="left"/>
    </w:pPr>
    <w:rPr>
      <w:rFonts w:asciiTheme="minorHAnsi" w:hAnsiTheme="minorHAnsi" w:cstheme="minorBidi"/>
    </w:rPr>
  </w:style>
  <w:style w:type="paragraph" w:styleId="EndnoteText">
    <w:name w:val="endnote text"/>
    <w:basedOn w:val="Normal"/>
    <w:link w:val="EndnoteTextChar"/>
    <w:semiHidden/>
    <w:pPr>
      <w:spacing w:before="0" w:after="240" w:line="276" w:lineRule="auto"/>
    </w:pPr>
    <w:rPr>
      <w:rFonts w:asciiTheme="minorHAnsi" w:hAnsiTheme="minorHAnsi" w:cstheme="minorBidi"/>
      <w:sz w:val="20"/>
    </w:rPr>
  </w:style>
  <w:style w:type="character" w:customStyle="1" w:styleId="EndnoteTextChar">
    <w:name w:val="Endnote Text Char"/>
    <w:basedOn w:val="DefaultParagraphFont"/>
    <w:link w:val="EndnoteText"/>
    <w:semiHidden/>
    <w:rPr>
      <w:sz w:val="20"/>
      <w:lang w:val="sv-SE"/>
    </w:rPr>
  </w:style>
  <w:style w:type="paragraph" w:styleId="EnvelopeAddress">
    <w:name w:val="envelope address"/>
    <w:basedOn w:val="Normal"/>
    <w:pPr>
      <w:framePr w:w="7920" w:h="1980" w:hRule="exact" w:hSpace="180" w:wrap="auto" w:hAnchor="page" w:xAlign="center" w:yAlign="bottom"/>
      <w:spacing w:before="0" w:after="0" w:line="276" w:lineRule="auto"/>
    </w:pPr>
    <w:rPr>
      <w:rFonts w:asciiTheme="minorHAnsi" w:hAnsiTheme="minorHAnsi" w:cstheme="minorBidi"/>
    </w:rPr>
  </w:style>
  <w:style w:type="paragraph" w:styleId="EnvelopeReturn">
    <w:name w:val="envelope return"/>
    <w:basedOn w:val="Normal"/>
    <w:pPr>
      <w:spacing w:before="0" w:after="0" w:line="276" w:lineRule="auto"/>
    </w:pPr>
    <w:rPr>
      <w:rFonts w:asciiTheme="minorHAnsi" w:hAnsiTheme="minorHAnsi" w:cstheme="minorBidi"/>
      <w:sz w:val="20"/>
    </w:rPr>
  </w:style>
  <w:style w:type="paragraph" w:styleId="Index1">
    <w:name w:val="index 1"/>
    <w:basedOn w:val="Normal"/>
    <w:next w:val="Normal"/>
    <w:autoRedefine/>
    <w:semiHidden/>
    <w:pPr>
      <w:spacing w:before="0" w:after="240" w:line="276" w:lineRule="auto"/>
      <w:ind w:left="240" w:hanging="240"/>
    </w:pPr>
    <w:rPr>
      <w:rFonts w:asciiTheme="minorHAnsi" w:hAnsiTheme="minorHAnsi" w:cstheme="minorBidi"/>
    </w:rPr>
  </w:style>
  <w:style w:type="paragraph" w:styleId="Index2">
    <w:name w:val="index 2"/>
    <w:basedOn w:val="Normal"/>
    <w:next w:val="Normal"/>
    <w:autoRedefine/>
    <w:semiHidden/>
    <w:pPr>
      <w:spacing w:before="0" w:after="240" w:line="276" w:lineRule="auto"/>
      <w:ind w:left="480" w:hanging="240"/>
    </w:pPr>
    <w:rPr>
      <w:rFonts w:asciiTheme="minorHAnsi" w:hAnsiTheme="minorHAnsi" w:cstheme="minorBidi"/>
    </w:rPr>
  </w:style>
  <w:style w:type="paragraph" w:styleId="Index3">
    <w:name w:val="index 3"/>
    <w:basedOn w:val="Normal"/>
    <w:next w:val="Normal"/>
    <w:autoRedefine/>
    <w:semiHidden/>
    <w:pPr>
      <w:spacing w:before="0" w:after="240" w:line="276" w:lineRule="auto"/>
      <w:ind w:left="720" w:hanging="240"/>
    </w:pPr>
    <w:rPr>
      <w:rFonts w:asciiTheme="minorHAnsi" w:hAnsiTheme="minorHAnsi" w:cstheme="minorBidi"/>
    </w:rPr>
  </w:style>
  <w:style w:type="paragraph" w:styleId="Index4">
    <w:name w:val="index 4"/>
    <w:basedOn w:val="Normal"/>
    <w:next w:val="Normal"/>
    <w:autoRedefine/>
    <w:semiHidden/>
    <w:pPr>
      <w:spacing w:before="0" w:after="240" w:line="276" w:lineRule="auto"/>
      <w:ind w:left="960" w:hanging="240"/>
    </w:pPr>
    <w:rPr>
      <w:rFonts w:asciiTheme="minorHAnsi" w:hAnsiTheme="minorHAnsi" w:cstheme="minorBidi"/>
    </w:rPr>
  </w:style>
  <w:style w:type="paragraph" w:styleId="Index5">
    <w:name w:val="index 5"/>
    <w:basedOn w:val="Normal"/>
    <w:next w:val="Normal"/>
    <w:autoRedefine/>
    <w:semiHidden/>
    <w:pPr>
      <w:spacing w:before="0" w:after="240" w:line="276" w:lineRule="auto"/>
      <w:ind w:left="1200" w:hanging="240"/>
    </w:pPr>
    <w:rPr>
      <w:rFonts w:asciiTheme="minorHAnsi" w:hAnsiTheme="minorHAnsi" w:cstheme="minorBidi"/>
    </w:rPr>
  </w:style>
  <w:style w:type="paragraph" w:styleId="Index6">
    <w:name w:val="index 6"/>
    <w:basedOn w:val="Normal"/>
    <w:next w:val="Normal"/>
    <w:autoRedefine/>
    <w:semiHidden/>
    <w:pPr>
      <w:spacing w:before="0" w:after="240" w:line="276" w:lineRule="auto"/>
      <w:ind w:left="1440" w:hanging="240"/>
    </w:pPr>
    <w:rPr>
      <w:rFonts w:asciiTheme="minorHAnsi" w:hAnsiTheme="minorHAnsi" w:cstheme="minorBidi"/>
    </w:rPr>
  </w:style>
  <w:style w:type="paragraph" w:styleId="Index7">
    <w:name w:val="index 7"/>
    <w:basedOn w:val="Normal"/>
    <w:next w:val="Normal"/>
    <w:autoRedefine/>
    <w:semiHidden/>
    <w:pPr>
      <w:spacing w:before="0" w:after="240" w:line="276" w:lineRule="auto"/>
      <w:ind w:left="1680" w:hanging="240"/>
    </w:pPr>
    <w:rPr>
      <w:rFonts w:asciiTheme="minorHAnsi" w:hAnsiTheme="minorHAnsi" w:cstheme="minorBidi"/>
    </w:rPr>
  </w:style>
  <w:style w:type="paragraph" w:styleId="Index8">
    <w:name w:val="index 8"/>
    <w:basedOn w:val="Normal"/>
    <w:next w:val="Normal"/>
    <w:autoRedefine/>
    <w:semiHidden/>
    <w:pPr>
      <w:spacing w:before="0" w:after="240" w:line="276" w:lineRule="auto"/>
      <w:ind w:left="1920" w:hanging="240"/>
    </w:pPr>
    <w:rPr>
      <w:rFonts w:asciiTheme="minorHAnsi" w:hAnsiTheme="minorHAnsi" w:cstheme="minorBidi"/>
    </w:rPr>
  </w:style>
  <w:style w:type="paragraph" w:styleId="Index9">
    <w:name w:val="index 9"/>
    <w:basedOn w:val="Normal"/>
    <w:next w:val="Normal"/>
    <w:autoRedefine/>
    <w:semiHidden/>
    <w:pPr>
      <w:spacing w:before="0" w:after="240" w:line="276" w:lineRule="auto"/>
      <w:ind w:left="2160" w:hanging="240"/>
    </w:pPr>
    <w:rPr>
      <w:rFonts w:asciiTheme="minorHAnsi" w:hAnsiTheme="minorHAnsi" w:cstheme="minorBidi"/>
    </w:rPr>
  </w:style>
  <w:style w:type="paragraph" w:styleId="IndexHeading">
    <w:name w:val="index heading"/>
    <w:basedOn w:val="Normal"/>
    <w:next w:val="Index1"/>
    <w:semiHidden/>
    <w:pPr>
      <w:spacing w:before="0" w:after="240" w:line="276" w:lineRule="auto"/>
    </w:pPr>
    <w:rPr>
      <w:rFonts w:ascii="Arial" w:hAnsi="Arial" w:cstheme="minorBidi"/>
      <w:b/>
    </w:rPr>
  </w:style>
  <w:style w:type="paragraph" w:styleId="List">
    <w:name w:val="List"/>
    <w:basedOn w:val="Normal"/>
    <w:pPr>
      <w:spacing w:before="0" w:after="240" w:line="276" w:lineRule="auto"/>
      <w:ind w:left="283" w:hanging="283"/>
    </w:pPr>
    <w:rPr>
      <w:rFonts w:asciiTheme="minorHAnsi" w:hAnsiTheme="minorHAnsi" w:cstheme="minorBidi"/>
    </w:rPr>
  </w:style>
  <w:style w:type="paragraph" w:styleId="List2">
    <w:name w:val="List 2"/>
    <w:basedOn w:val="Normal"/>
    <w:pPr>
      <w:spacing w:before="0" w:after="240" w:line="276" w:lineRule="auto"/>
      <w:ind w:left="566" w:hanging="283"/>
    </w:pPr>
    <w:rPr>
      <w:rFonts w:asciiTheme="minorHAnsi" w:hAnsiTheme="minorHAnsi" w:cstheme="minorBidi"/>
    </w:rPr>
  </w:style>
  <w:style w:type="paragraph" w:styleId="List3">
    <w:name w:val="List 3"/>
    <w:basedOn w:val="Normal"/>
    <w:pPr>
      <w:spacing w:before="0" w:after="240" w:line="276" w:lineRule="auto"/>
      <w:ind w:left="849" w:hanging="283"/>
    </w:pPr>
    <w:rPr>
      <w:rFonts w:asciiTheme="minorHAnsi" w:hAnsiTheme="minorHAnsi" w:cstheme="minorBidi"/>
    </w:rPr>
  </w:style>
  <w:style w:type="paragraph" w:styleId="List4">
    <w:name w:val="List 4"/>
    <w:basedOn w:val="Normal"/>
    <w:pPr>
      <w:spacing w:before="0" w:after="240" w:line="276" w:lineRule="auto"/>
      <w:ind w:left="1132" w:hanging="283"/>
    </w:pPr>
    <w:rPr>
      <w:rFonts w:asciiTheme="minorHAnsi" w:hAnsiTheme="minorHAnsi" w:cstheme="minorBidi"/>
    </w:rPr>
  </w:style>
  <w:style w:type="paragraph" w:styleId="List5">
    <w:name w:val="List 5"/>
    <w:basedOn w:val="Normal"/>
    <w:pPr>
      <w:spacing w:before="0" w:after="240" w:line="276" w:lineRule="auto"/>
      <w:ind w:left="1415" w:hanging="283"/>
    </w:pPr>
    <w:rPr>
      <w:rFonts w:asciiTheme="minorHAnsi" w:hAnsiTheme="minorHAnsi" w:cstheme="minorBidi"/>
    </w:rPr>
  </w:style>
  <w:style w:type="paragraph" w:styleId="ListBullet">
    <w:name w:val="List Bullet"/>
    <w:basedOn w:val="Normal"/>
    <w:pPr>
      <w:numPr>
        <w:numId w:val="13"/>
      </w:numPr>
      <w:spacing w:before="0" w:after="240" w:line="276" w:lineRule="auto"/>
    </w:pPr>
    <w:rPr>
      <w:rFonts w:asciiTheme="minorHAnsi" w:hAnsiTheme="minorHAnsi" w:cstheme="minorBidi"/>
    </w:rPr>
  </w:style>
  <w:style w:type="paragraph" w:styleId="ListBullet2">
    <w:name w:val="List Bullet 2"/>
    <w:basedOn w:val="Text2"/>
    <w:pPr>
      <w:numPr>
        <w:numId w:val="15"/>
      </w:numPr>
      <w:spacing w:before="0" w:after="240" w:line="276" w:lineRule="auto"/>
    </w:pPr>
    <w:rPr>
      <w:rFonts w:asciiTheme="minorHAnsi" w:hAnsiTheme="minorHAnsi" w:cstheme="minorBidi"/>
    </w:rPr>
  </w:style>
  <w:style w:type="paragraph" w:styleId="ListBullet3">
    <w:name w:val="List Bullet 3"/>
    <w:basedOn w:val="Text3"/>
    <w:pPr>
      <w:numPr>
        <w:numId w:val="16"/>
      </w:numPr>
      <w:spacing w:before="0" w:after="240" w:line="276" w:lineRule="auto"/>
    </w:pPr>
    <w:rPr>
      <w:rFonts w:asciiTheme="minorHAnsi" w:hAnsiTheme="minorHAnsi" w:cstheme="minorBidi"/>
    </w:rPr>
  </w:style>
  <w:style w:type="paragraph" w:styleId="ListBullet4">
    <w:name w:val="List Bullet 4"/>
    <w:basedOn w:val="Text4"/>
    <w:pPr>
      <w:numPr>
        <w:numId w:val="17"/>
      </w:numPr>
      <w:spacing w:before="0" w:after="240" w:line="276" w:lineRule="auto"/>
    </w:pPr>
    <w:rPr>
      <w:rFonts w:asciiTheme="minorHAnsi" w:hAnsiTheme="minorHAnsi" w:cstheme="minorBidi"/>
    </w:rPr>
  </w:style>
  <w:style w:type="paragraph" w:styleId="ListBullet5">
    <w:name w:val="List Bullet 5"/>
    <w:basedOn w:val="Normal"/>
    <w:autoRedefine/>
    <w:pPr>
      <w:numPr>
        <w:numId w:val="28"/>
      </w:numPr>
      <w:spacing w:before="0" w:after="240" w:line="276" w:lineRule="auto"/>
    </w:pPr>
    <w:rPr>
      <w:rFonts w:asciiTheme="minorHAnsi" w:hAnsiTheme="minorHAnsi" w:cstheme="minorBidi"/>
    </w:rPr>
  </w:style>
  <w:style w:type="paragraph" w:styleId="ListContinue">
    <w:name w:val="List Continue"/>
    <w:basedOn w:val="Normal"/>
    <w:pPr>
      <w:spacing w:before="0" w:line="276" w:lineRule="auto"/>
      <w:ind w:left="283"/>
    </w:pPr>
    <w:rPr>
      <w:rFonts w:asciiTheme="minorHAnsi" w:hAnsiTheme="minorHAnsi" w:cstheme="minorBidi"/>
    </w:rPr>
  </w:style>
  <w:style w:type="paragraph" w:styleId="ListContinue2">
    <w:name w:val="List Continue 2"/>
    <w:basedOn w:val="Normal"/>
    <w:pPr>
      <w:spacing w:before="0" w:line="276" w:lineRule="auto"/>
      <w:ind w:left="566"/>
    </w:pPr>
    <w:rPr>
      <w:rFonts w:asciiTheme="minorHAnsi" w:hAnsiTheme="minorHAnsi" w:cstheme="minorBidi"/>
    </w:rPr>
  </w:style>
  <w:style w:type="paragraph" w:styleId="ListContinue3">
    <w:name w:val="List Continue 3"/>
    <w:basedOn w:val="Normal"/>
    <w:pPr>
      <w:spacing w:before="0" w:line="276" w:lineRule="auto"/>
      <w:ind w:left="849"/>
    </w:pPr>
    <w:rPr>
      <w:rFonts w:asciiTheme="minorHAnsi" w:hAnsiTheme="minorHAnsi" w:cstheme="minorBidi"/>
    </w:rPr>
  </w:style>
  <w:style w:type="paragraph" w:styleId="ListContinue4">
    <w:name w:val="List Continue 4"/>
    <w:basedOn w:val="Normal"/>
    <w:pPr>
      <w:spacing w:before="0" w:line="276" w:lineRule="auto"/>
      <w:ind w:left="1132"/>
    </w:pPr>
    <w:rPr>
      <w:rFonts w:asciiTheme="minorHAnsi" w:hAnsiTheme="minorHAnsi" w:cstheme="minorBidi"/>
    </w:rPr>
  </w:style>
  <w:style w:type="paragraph" w:styleId="ListContinue5">
    <w:name w:val="List Continue 5"/>
    <w:basedOn w:val="Normal"/>
    <w:pPr>
      <w:spacing w:before="0" w:line="276" w:lineRule="auto"/>
      <w:ind w:left="1415"/>
    </w:pPr>
    <w:rPr>
      <w:rFonts w:asciiTheme="minorHAnsi" w:hAnsiTheme="minorHAnsi" w:cstheme="minorBidi"/>
    </w:rPr>
  </w:style>
  <w:style w:type="paragraph" w:styleId="ListNumber">
    <w:name w:val="List Number"/>
    <w:basedOn w:val="Normal"/>
    <w:pPr>
      <w:numPr>
        <w:numId w:val="23"/>
      </w:numPr>
      <w:spacing w:before="0" w:after="240" w:line="276" w:lineRule="auto"/>
    </w:pPr>
    <w:rPr>
      <w:rFonts w:asciiTheme="minorHAnsi" w:hAnsiTheme="minorHAnsi" w:cstheme="minorBidi"/>
    </w:rPr>
  </w:style>
  <w:style w:type="paragraph" w:styleId="ListNumber2">
    <w:name w:val="List Number 2"/>
    <w:basedOn w:val="Text2"/>
    <w:pPr>
      <w:numPr>
        <w:numId w:val="25"/>
      </w:numPr>
      <w:spacing w:before="0" w:after="240" w:line="276" w:lineRule="auto"/>
    </w:pPr>
    <w:rPr>
      <w:rFonts w:asciiTheme="minorHAnsi" w:hAnsiTheme="minorHAnsi" w:cstheme="minorBidi"/>
    </w:rPr>
  </w:style>
  <w:style w:type="paragraph" w:styleId="ListNumber3">
    <w:name w:val="List Number 3"/>
    <w:basedOn w:val="Text3"/>
    <w:pPr>
      <w:numPr>
        <w:numId w:val="26"/>
      </w:numPr>
      <w:spacing w:before="0" w:after="240" w:line="276" w:lineRule="auto"/>
    </w:pPr>
    <w:rPr>
      <w:rFonts w:asciiTheme="minorHAnsi" w:hAnsiTheme="minorHAnsi" w:cstheme="minorBidi"/>
    </w:rPr>
  </w:style>
  <w:style w:type="paragraph" w:styleId="ListNumber4">
    <w:name w:val="List Number 4"/>
    <w:basedOn w:val="Text4"/>
    <w:pPr>
      <w:numPr>
        <w:numId w:val="27"/>
      </w:numPr>
      <w:spacing w:before="0" w:after="240" w:line="276" w:lineRule="auto"/>
    </w:pPr>
    <w:rPr>
      <w:rFonts w:asciiTheme="minorHAnsi" w:hAnsiTheme="minorHAnsi" w:cstheme="minorBidi"/>
    </w:rPr>
  </w:style>
  <w:style w:type="paragraph" w:styleId="ListNumber5">
    <w:name w:val="List Number 5"/>
    <w:basedOn w:val="Normal"/>
    <w:pPr>
      <w:numPr>
        <w:numId w:val="29"/>
      </w:numPr>
      <w:spacing w:before="0" w:after="240" w:line="276" w:lineRule="auto"/>
    </w:pPr>
    <w:rPr>
      <w:rFonts w:asciiTheme="minorHAnsi" w:hAnsiTheme="minorHAnsi" w:cstheme="minorBidi"/>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character" w:customStyle="1" w:styleId="MacroTextChar">
    <w:name w:val="Macro Text Char"/>
    <w:basedOn w:val="DefaultParagraphFont"/>
    <w:link w:val="MacroText"/>
    <w:semiHidden/>
    <w:rPr>
      <w:rFonts w:ascii="Courier New" w:hAnsi="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line="276" w:lineRule="auto"/>
      <w:ind w:left="1134" w:hanging="1134"/>
    </w:pPr>
    <w:rPr>
      <w:rFonts w:ascii="Arial" w:hAnsi="Arial" w:cstheme="minorBidi"/>
    </w:rPr>
  </w:style>
  <w:style w:type="character" w:customStyle="1" w:styleId="MessageHeaderChar">
    <w:name w:val="Message Header Char"/>
    <w:basedOn w:val="DefaultParagraphFont"/>
    <w:link w:val="MessageHeader"/>
    <w:rPr>
      <w:rFonts w:ascii="Arial" w:hAnsi="Arial"/>
      <w:sz w:val="24"/>
      <w:shd w:val="pct20" w:color="auto" w:fill="auto"/>
      <w:lang w:val="sv-SE"/>
    </w:rPr>
  </w:style>
  <w:style w:type="paragraph" w:styleId="NormalIndent">
    <w:name w:val="Normal Indent"/>
    <w:basedOn w:val="Normal"/>
    <w:pPr>
      <w:spacing w:before="0" w:after="240" w:line="276" w:lineRule="auto"/>
      <w:ind w:left="720"/>
    </w:pPr>
    <w:rPr>
      <w:rFonts w:asciiTheme="minorHAnsi" w:hAnsiTheme="minorHAnsi" w:cstheme="minorBidi"/>
    </w:rPr>
  </w:style>
  <w:style w:type="paragraph" w:styleId="NoteHeading">
    <w:name w:val="Note Heading"/>
    <w:basedOn w:val="Normal"/>
    <w:next w:val="Normal"/>
    <w:link w:val="NoteHeadingChar"/>
    <w:pPr>
      <w:spacing w:before="0" w:after="240" w:line="276" w:lineRule="auto"/>
    </w:pPr>
    <w:rPr>
      <w:rFonts w:asciiTheme="minorHAnsi" w:hAnsiTheme="minorHAnsi" w:cstheme="minorBidi"/>
    </w:rPr>
  </w:style>
  <w:style w:type="character" w:customStyle="1" w:styleId="NoteHeadingChar">
    <w:name w:val="Note Heading Char"/>
    <w:basedOn w:val="DefaultParagraphFont"/>
    <w:link w:val="NoteHeading"/>
    <w:rPr>
      <w:sz w:val="24"/>
      <w:lang w:val="sv-SE"/>
    </w:rPr>
  </w:style>
  <w:style w:type="paragraph" w:customStyle="1" w:styleId="NoteHead">
    <w:name w:val="NoteHead"/>
    <w:basedOn w:val="Normal"/>
    <w:next w:val="Subject"/>
    <w:pPr>
      <w:spacing w:before="720" w:after="720" w:line="276" w:lineRule="auto"/>
      <w:jc w:val="center"/>
    </w:pPr>
    <w:rPr>
      <w:rFonts w:asciiTheme="minorHAnsi" w:hAnsiTheme="minorHAnsi" w:cstheme="minorBidi"/>
      <w:b/>
      <w:smallCaps/>
    </w:rPr>
  </w:style>
  <w:style w:type="paragraph" w:customStyle="1" w:styleId="Subject">
    <w:name w:val="Subject"/>
    <w:basedOn w:val="Normal"/>
    <w:next w:val="Normal"/>
    <w:pPr>
      <w:spacing w:before="0" w:after="480" w:line="276" w:lineRule="auto"/>
      <w:ind w:left="1531" w:hanging="1531"/>
      <w:jc w:val="left"/>
    </w:pPr>
    <w:rPr>
      <w:rFonts w:asciiTheme="minorHAnsi" w:hAnsiTheme="minorHAnsi" w:cstheme="minorBidi"/>
      <w:b/>
    </w:rPr>
  </w:style>
  <w:style w:type="paragraph" w:customStyle="1" w:styleId="NoteList">
    <w:name w:val="NoteList"/>
    <w:basedOn w:val="Normal"/>
    <w:next w:val="Subject"/>
    <w:pPr>
      <w:tabs>
        <w:tab w:val="left" w:pos="5823"/>
      </w:tabs>
      <w:spacing w:before="720" w:after="720" w:line="276" w:lineRule="auto"/>
      <w:ind w:left="5104" w:hanging="3119"/>
      <w:jc w:val="left"/>
    </w:pPr>
    <w:rPr>
      <w:rFonts w:asciiTheme="minorHAnsi" w:hAnsiTheme="minorHAnsi" w:cstheme="minorBidi"/>
      <w:b/>
      <w:smallCaps/>
    </w:rPr>
  </w:style>
  <w:style w:type="paragraph" w:styleId="PlainText">
    <w:name w:val="Plain Text"/>
    <w:basedOn w:val="Normal"/>
    <w:link w:val="PlainTextChar"/>
    <w:pPr>
      <w:spacing w:before="0" w:after="240" w:line="276" w:lineRule="auto"/>
    </w:pPr>
    <w:rPr>
      <w:rFonts w:ascii="Courier New" w:hAnsi="Courier New" w:cstheme="minorBidi"/>
      <w:sz w:val="20"/>
    </w:rPr>
  </w:style>
  <w:style w:type="character" w:customStyle="1" w:styleId="PlainTextChar">
    <w:name w:val="Plain Text Char"/>
    <w:basedOn w:val="DefaultParagraphFont"/>
    <w:link w:val="PlainText"/>
    <w:rPr>
      <w:rFonts w:ascii="Courier New" w:hAnsi="Courier New"/>
      <w:sz w:val="20"/>
      <w:lang w:val="sv-SE"/>
    </w:rPr>
  </w:style>
  <w:style w:type="paragraph" w:styleId="Salutation">
    <w:name w:val="Salutation"/>
    <w:basedOn w:val="Normal"/>
    <w:next w:val="Normal"/>
    <w:link w:val="SalutationChar"/>
    <w:pPr>
      <w:spacing w:before="0" w:after="240" w:line="276" w:lineRule="auto"/>
    </w:pPr>
    <w:rPr>
      <w:rFonts w:asciiTheme="minorHAnsi" w:hAnsiTheme="minorHAnsi" w:cstheme="minorBidi"/>
    </w:rPr>
  </w:style>
  <w:style w:type="character" w:customStyle="1" w:styleId="SalutationChar">
    <w:name w:val="Salutation Char"/>
    <w:basedOn w:val="DefaultParagraphFont"/>
    <w:link w:val="Salutation"/>
    <w:rPr>
      <w:sz w:val="24"/>
      <w:lang w:val="sv-SE"/>
    </w:rPr>
  </w:style>
  <w:style w:type="paragraph" w:styleId="Subtitle">
    <w:name w:val="Subtitle"/>
    <w:basedOn w:val="Normal"/>
    <w:link w:val="SubtitleChar"/>
    <w:qFormat/>
    <w:pPr>
      <w:spacing w:before="0" w:after="60" w:line="276" w:lineRule="auto"/>
      <w:jc w:val="center"/>
      <w:outlineLvl w:val="1"/>
    </w:pPr>
    <w:rPr>
      <w:rFonts w:ascii="Arial" w:hAnsi="Arial" w:cstheme="minorBidi"/>
    </w:rPr>
  </w:style>
  <w:style w:type="character" w:customStyle="1" w:styleId="SubtitleChar">
    <w:name w:val="Subtitle Char"/>
    <w:basedOn w:val="DefaultParagraphFont"/>
    <w:link w:val="Subtitle"/>
    <w:rPr>
      <w:rFonts w:ascii="Arial" w:hAnsi="Arial"/>
      <w:sz w:val="24"/>
      <w:lang w:val="sv-SE"/>
    </w:rPr>
  </w:style>
  <w:style w:type="paragraph" w:styleId="TableofAuthorities">
    <w:name w:val="table of authorities"/>
    <w:basedOn w:val="Normal"/>
    <w:next w:val="Normal"/>
    <w:semiHidden/>
    <w:pPr>
      <w:spacing w:before="0" w:after="240" w:line="276" w:lineRule="auto"/>
      <w:ind w:left="240" w:hanging="240"/>
    </w:pPr>
    <w:rPr>
      <w:rFonts w:asciiTheme="minorHAnsi" w:hAnsiTheme="minorHAnsi" w:cstheme="minorBidi"/>
    </w:rPr>
  </w:style>
  <w:style w:type="paragraph" w:styleId="TableofFigures">
    <w:name w:val="table of figures"/>
    <w:basedOn w:val="Normal"/>
    <w:next w:val="Normal"/>
    <w:semiHidden/>
    <w:pPr>
      <w:spacing w:before="0" w:after="240" w:line="276" w:lineRule="auto"/>
      <w:ind w:left="480" w:hanging="480"/>
    </w:pPr>
    <w:rPr>
      <w:rFonts w:asciiTheme="minorHAnsi" w:hAnsiTheme="minorHAnsi" w:cstheme="minorBidi"/>
    </w:rPr>
  </w:style>
  <w:style w:type="paragraph" w:styleId="Title">
    <w:name w:val="Title"/>
    <w:basedOn w:val="Normal"/>
    <w:link w:val="TitleChar"/>
    <w:qFormat/>
    <w:pPr>
      <w:spacing w:before="240" w:after="60" w:line="276" w:lineRule="auto"/>
      <w:jc w:val="center"/>
      <w:outlineLvl w:val="0"/>
    </w:pPr>
    <w:rPr>
      <w:rFonts w:ascii="Arial" w:hAnsi="Arial" w:cstheme="minorBidi"/>
      <w:b/>
      <w:kern w:val="28"/>
      <w:sz w:val="32"/>
    </w:rPr>
  </w:style>
  <w:style w:type="character" w:customStyle="1" w:styleId="TitleChar">
    <w:name w:val="Title Char"/>
    <w:basedOn w:val="DefaultParagraphFont"/>
    <w:link w:val="Title"/>
    <w:rPr>
      <w:rFonts w:ascii="Arial" w:hAnsi="Arial"/>
      <w:b/>
      <w:kern w:val="28"/>
      <w:sz w:val="32"/>
      <w:lang w:val="sv-SE"/>
    </w:rPr>
  </w:style>
  <w:style w:type="paragraph" w:styleId="TOAHeading">
    <w:name w:val="toa heading"/>
    <w:basedOn w:val="Normal"/>
    <w:next w:val="Normal"/>
    <w:semiHidden/>
    <w:pPr>
      <w:spacing w:after="240" w:line="276" w:lineRule="auto"/>
    </w:pPr>
    <w:rPr>
      <w:rFonts w:ascii="Arial" w:hAnsi="Arial" w:cstheme="minorBidi"/>
      <w:b/>
    </w:rPr>
  </w:style>
  <w:style w:type="paragraph" w:customStyle="1" w:styleId="YReferences">
    <w:name w:val="YReferences"/>
    <w:basedOn w:val="Normal"/>
    <w:next w:val="Normal"/>
    <w:pPr>
      <w:spacing w:before="0" w:after="480" w:line="276" w:lineRule="auto"/>
      <w:ind w:left="1531" w:hanging="1531"/>
    </w:pPr>
    <w:rPr>
      <w:rFonts w:asciiTheme="minorHAnsi" w:hAnsiTheme="minorHAnsi" w:cstheme="minorBidi"/>
    </w:rPr>
  </w:style>
  <w:style w:type="paragraph" w:customStyle="1" w:styleId="ListBullet1">
    <w:name w:val="List Bullet 1"/>
    <w:basedOn w:val="Text1"/>
    <w:pPr>
      <w:numPr>
        <w:numId w:val="14"/>
      </w:numPr>
      <w:spacing w:before="0" w:after="240" w:line="276" w:lineRule="auto"/>
    </w:pPr>
    <w:rPr>
      <w:rFonts w:asciiTheme="minorHAnsi" w:hAnsiTheme="minorHAnsi" w:cstheme="minorBidi"/>
    </w:rPr>
  </w:style>
  <w:style w:type="paragraph" w:customStyle="1" w:styleId="ListDash">
    <w:name w:val="List Dash"/>
    <w:basedOn w:val="Normal"/>
    <w:pPr>
      <w:numPr>
        <w:numId w:val="18"/>
      </w:numPr>
      <w:spacing w:before="0" w:after="240" w:line="276" w:lineRule="auto"/>
    </w:pPr>
    <w:rPr>
      <w:rFonts w:asciiTheme="minorHAnsi" w:hAnsiTheme="minorHAnsi" w:cstheme="minorBidi"/>
    </w:rPr>
  </w:style>
  <w:style w:type="paragraph" w:customStyle="1" w:styleId="ListDash1">
    <w:name w:val="List Dash 1"/>
    <w:basedOn w:val="Text1"/>
    <w:pPr>
      <w:numPr>
        <w:numId w:val="19"/>
      </w:numPr>
      <w:spacing w:before="0" w:after="240" w:line="276" w:lineRule="auto"/>
    </w:pPr>
    <w:rPr>
      <w:rFonts w:asciiTheme="minorHAnsi" w:hAnsiTheme="minorHAnsi" w:cstheme="minorBidi"/>
    </w:rPr>
  </w:style>
  <w:style w:type="paragraph" w:customStyle="1" w:styleId="ListDash2">
    <w:name w:val="List Dash 2"/>
    <w:basedOn w:val="Text2"/>
    <w:pPr>
      <w:numPr>
        <w:numId w:val="20"/>
      </w:numPr>
      <w:spacing w:before="0" w:after="240" w:line="276" w:lineRule="auto"/>
    </w:pPr>
    <w:rPr>
      <w:rFonts w:asciiTheme="minorHAnsi" w:hAnsiTheme="minorHAnsi" w:cstheme="minorBidi"/>
    </w:rPr>
  </w:style>
  <w:style w:type="paragraph" w:customStyle="1" w:styleId="ListDash3">
    <w:name w:val="List Dash 3"/>
    <w:basedOn w:val="Text3"/>
    <w:pPr>
      <w:numPr>
        <w:numId w:val="21"/>
      </w:numPr>
      <w:spacing w:before="0" w:after="240" w:line="276" w:lineRule="auto"/>
    </w:pPr>
    <w:rPr>
      <w:rFonts w:asciiTheme="minorHAnsi" w:hAnsiTheme="minorHAnsi" w:cstheme="minorBidi"/>
    </w:rPr>
  </w:style>
  <w:style w:type="paragraph" w:customStyle="1" w:styleId="ListDash4">
    <w:name w:val="List Dash 4"/>
    <w:basedOn w:val="Text4"/>
    <w:pPr>
      <w:numPr>
        <w:numId w:val="22"/>
      </w:numPr>
      <w:spacing w:before="0" w:after="240" w:line="276" w:lineRule="auto"/>
    </w:pPr>
    <w:rPr>
      <w:rFonts w:asciiTheme="minorHAnsi" w:hAnsiTheme="minorHAnsi" w:cstheme="minorBidi"/>
    </w:rPr>
  </w:style>
  <w:style w:type="paragraph" w:customStyle="1" w:styleId="ListNumberLevel2">
    <w:name w:val="List Number (Level 2)"/>
    <w:basedOn w:val="Normal"/>
    <w:pPr>
      <w:numPr>
        <w:ilvl w:val="1"/>
        <w:numId w:val="23"/>
      </w:numPr>
      <w:spacing w:before="0" w:after="240" w:line="276" w:lineRule="auto"/>
    </w:pPr>
    <w:rPr>
      <w:rFonts w:asciiTheme="minorHAnsi" w:hAnsiTheme="minorHAnsi" w:cstheme="minorBidi"/>
    </w:rPr>
  </w:style>
  <w:style w:type="paragraph" w:customStyle="1" w:styleId="ListNumberLevel3">
    <w:name w:val="List Number (Level 3)"/>
    <w:basedOn w:val="Normal"/>
    <w:pPr>
      <w:numPr>
        <w:ilvl w:val="2"/>
        <w:numId w:val="23"/>
      </w:numPr>
      <w:spacing w:before="0" w:after="240" w:line="276" w:lineRule="auto"/>
    </w:pPr>
    <w:rPr>
      <w:rFonts w:asciiTheme="minorHAnsi" w:hAnsiTheme="minorHAnsi" w:cstheme="minorBidi"/>
    </w:rPr>
  </w:style>
  <w:style w:type="paragraph" w:customStyle="1" w:styleId="ListNumberLevel4">
    <w:name w:val="List Number (Level 4)"/>
    <w:basedOn w:val="Normal"/>
    <w:pPr>
      <w:numPr>
        <w:ilvl w:val="3"/>
        <w:numId w:val="23"/>
      </w:numPr>
      <w:spacing w:before="0" w:after="240" w:line="276" w:lineRule="auto"/>
    </w:pPr>
    <w:rPr>
      <w:rFonts w:asciiTheme="minorHAnsi" w:hAnsiTheme="minorHAnsi" w:cstheme="minorBidi"/>
    </w:rPr>
  </w:style>
  <w:style w:type="paragraph" w:customStyle="1" w:styleId="ListNumber1">
    <w:name w:val="List Number 1"/>
    <w:basedOn w:val="Text1"/>
    <w:pPr>
      <w:numPr>
        <w:numId w:val="24"/>
      </w:numPr>
      <w:spacing w:before="0" w:after="240" w:line="276" w:lineRule="auto"/>
    </w:pPr>
    <w:rPr>
      <w:rFonts w:asciiTheme="minorHAnsi" w:hAnsiTheme="minorHAnsi" w:cstheme="minorBidi"/>
    </w:rPr>
  </w:style>
  <w:style w:type="paragraph" w:customStyle="1" w:styleId="ListNumber1Level2">
    <w:name w:val="List Number 1 (Level 2)"/>
    <w:basedOn w:val="Text1"/>
    <w:pPr>
      <w:numPr>
        <w:ilvl w:val="1"/>
        <w:numId w:val="24"/>
      </w:numPr>
      <w:spacing w:before="0" w:after="240" w:line="276" w:lineRule="auto"/>
    </w:pPr>
    <w:rPr>
      <w:rFonts w:asciiTheme="minorHAnsi" w:hAnsiTheme="minorHAnsi" w:cstheme="minorBidi"/>
    </w:rPr>
  </w:style>
  <w:style w:type="paragraph" w:customStyle="1" w:styleId="ListNumber1Level3">
    <w:name w:val="List Number 1 (Level 3)"/>
    <w:basedOn w:val="Text1"/>
    <w:pPr>
      <w:numPr>
        <w:ilvl w:val="2"/>
        <w:numId w:val="24"/>
      </w:numPr>
      <w:spacing w:before="0" w:after="240" w:line="276" w:lineRule="auto"/>
    </w:pPr>
    <w:rPr>
      <w:rFonts w:asciiTheme="minorHAnsi" w:hAnsiTheme="minorHAnsi" w:cstheme="minorBidi"/>
    </w:rPr>
  </w:style>
  <w:style w:type="paragraph" w:customStyle="1" w:styleId="ListNumber1Level4">
    <w:name w:val="List Number 1 (Level 4)"/>
    <w:basedOn w:val="Text1"/>
    <w:pPr>
      <w:numPr>
        <w:ilvl w:val="3"/>
        <w:numId w:val="24"/>
      </w:numPr>
      <w:spacing w:before="0" w:after="240" w:line="276" w:lineRule="auto"/>
    </w:pPr>
    <w:rPr>
      <w:rFonts w:asciiTheme="minorHAnsi" w:hAnsiTheme="minorHAnsi" w:cstheme="minorBidi"/>
    </w:rPr>
  </w:style>
  <w:style w:type="paragraph" w:customStyle="1" w:styleId="ListNumber2Level2">
    <w:name w:val="List Number 2 (Level 2)"/>
    <w:basedOn w:val="Text2"/>
    <w:pPr>
      <w:numPr>
        <w:ilvl w:val="1"/>
        <w:numId w:val="25"/>
      </w:numPr>
      <w:spacing w:before="0" w:after="240" w:line="276" w:lineRule="auto"/>
    </w:pPr>
    <w:rPr>
      <w:rFonts w:asciiTheme="minorHAnsi" w:hAnsiTheme="minorHAnsi" w:cstheme="minorBidi"/>
    </w:rPr>
  </w:style>
  <w:style w:type="paragraph" w:customStyle="1" w:styleId="ListNumber2Level3">
    <w:name w:val="List Number 2 (Level 3)"/>
    <w:basedOn w:val="Text2"/>
    <w:pPr>
      <w:numPr>
        <w:ilvl w:val="2"/>
        <w:numId w:val="25"/>
      </w:numPr>
      <w:spacing w:before="0" w:after="240" w:line="276" w:lineRule="auto"/>
    </w:pPr>
    <w:rPr>
      <w:rFonts w:asciiTheme="minorHAnsi" w:hAnsiTheme="minorHAnsi" w:cstheme="minorBidi"/>
    </w:rPr>
  </w:style>
  <w:style w:type="paragraph" w:customStyle="1" w:styleId="ListNumber2Level4">
    <w:name w:val="List Number 2 (Level 4)"/>
    <w:basedOn w:val="Text2"/>
    <w:pPr>
      <w:numPr>
        <w:ilvl w:val="3"/>
        <w:numId w:val="25"/>
      </w:numPr>
      <w:spacing w:before="0" w:after="240" w:line="276" w:lineRule="auto"/>
      <w:ind w:left="3901" w:hanging="703"/>
    </w:pPr>
    <w:rPr>
      <w:rFonts w:asciiTheme="minorHAnsi" w:hAnsiTheme="minorHAnsi" w:cstheme="minorBidi"/>
    </w:rPr>
  </w:style>
  <w:style w:type="paragraph" w:customStyle="1" w:styleId="ListNumber3Level2">
    <w:name w:val="List Number 3 (Level 2)"/>
    <w:basedOn w:val="Text3"/>
    <w:pPr>
      <w:numPr>
        <w:ilvl w:val="1"/>
        <w:numId w:val="26"/>
      </w:numPr>
      <w:spacing w:before="0" w:after="240" w:line="276" w:lineRule="auto"/>
    </w:pPr>
    <w:rPr>
      <w:rFonts w:asciiTheme="minorHAnsi" w:hAnsiTheme="minorHAnsi" w:cstheme="minorBidi"/>
    </w:rPr>
  </w:style>
  <w:style w:type="paragraph" w:customStyle="1" w:styleId="ListNumber3Level3">
    <w:name w:val="List Number 3 (Level 3)"/>
    <w:basedOn w:val="Text3"/>
    <w:pPr>
      <w:numPr>
        <w:ilvl w:val="2"/>
        <w:numId w:val="26"/>
      </w:numPr>
      <w:spacing w:before="0" w:after="240" w:line="276" w:lineRule="auto"/>
    </w:pPr>
    <w:rPr>
      <w:rFonts w:asciiTheme="minorHAnsi" w:hAnsiTheme="minorHAnsi" w:cstheme="minorBidi"/>
    </w:rPr>
  </w:style>
  <w:style w:type="paragraph" w:customStyle="1" w:styleId="ListNumber3Level4">
    <w:name w:val="List Number 3 (Level 4)"/>
    <w:basedOn w:val="Text3"/>
    <w:pPr>
      <w:numPr>
        <w:ilvl w:val="3"/>
        <w:numId w:val="26"/>
      </w:numPr>
      <w:spacing w:before="0" w:after="240" w:line="276" w:lineRule="auto"/>
    </w:pPr>
    <w:rPr>
      <w:rFonts w:asciiTheme="minorHAnsi" w:hAnsiTheme="minorHAnsi" w:cstheme="minorBidi"/>
    </w:rPr>
  </w:style>
  <w:style w:type="paragraph" w:customStyle="1" w:styleId="ListNumber4Level2">
    <w:name w:val="List Number 4 (Level 2)"/>
    <w:basedOn w:val="Text4"/>
    <w:pPr>
      <w:numPr>
        <w:ilvl w:val="1"/>
        <w:numId w:val="27"/>
      </w:numPr>
      <w:spacing w:before="0" w:after="240" w:line="276" w:lineRule="auto"/>
    </w:pPr>
    <w:rPr>
      <w:rFonts w:asciiTheme="minorHAnsi" w:hAnsiTheme="minorHAnsi" w:cstheme="minorBidi"/>
    </w:rPr>
  </w:style>
  <w:style w:type="paragraph" w:customStyle="1" w:styleId="ListNumber4Level3">
    <w:name w:val="List Number 4 (Level 3)"/>
    <w:basedOn w:val="Text4"/>
    <w:pPr>
      <w:numPr>
        <w:ilvl w:val="2"/>
        <w:numId w:val="27"/>
      </w:numPr>
      <w:spacing w:before="0" w:after="240" w:line="276" w:lineRule="auto"/>
    </w:pPr>
    <w:rPr>
      <w:rFonts w:asciiTheme="minorHAnsi" w:hAnsiTheme="minorHAnsi" w:cstheme="minorBidi"/>
    </w:rPr>
  </w:style>
  <w:style w:type="paragraph" w:customStyle="1" w:styleId="ListNumber4Level4">
    <w:name w:val="List Number 4 (Level 4)"/>
    <w:basedOn w:val="Text4"/>
    <w:pPr>
      <w:numPr>
        <w:ilvl w:val="3"/>
        <w:numId w:val="27"/>
      </w:numPr>
      <w:spacing w:before="0" w:after="240" w:line="276" w:lineRule="auto"/>
    </w:pPr>
    <w:rPr>
      <w:rFonts w:asciiTheme="minorHAnsi" w:hAnsiTheme="minorHAnsi" w:cstheme="minorBidi"/>
    </w:rPr>
  </w:style>
  <w:style w:type="paragraph" w:customStyle="1" w:styleId="Contact">
    <w:name w:val="Contact"/>
    <w:basedOn w:val="Normal"/>
    <w:next w:val="Normal"/>
    <w:pPr>
      <w:spacing w:before="480" w:after="0" w:line="276" w:lineRule="auto"/>
      <w:ind w:left="567" w:hanging="567"/>
      <w:jc w:val="left"/>
    </w:pPr>
    <w:rPr>
      <w:rFonts w:asciiTheme="minorHAnsi" w:hAnsiTheme="minorHAnsi" w:cstheme="minorBidi"/>
    </w:rPr>
  </w:style>
  <w:style w:type="paragraph" w:customStyle="1" w:styleId="DisclaimerNotice">
    <w:name w:val="Disclaimer Notice"/>
    <w:basedOn w:val="Normal"/>
    <w:next w:val="AddressTR"/>
    <w:pPr>
      <w:spacing w:before="0" w:after="240" w:line="276" w:lineRule="auto"/>
      <w:ind w:left="5103"/>
      <w:jc w:val="left"/>
    </w:pPr>
    <w:rPr>
      <w:rFonts w:asciiTheme="minorHAnsi" w:hAnsiTheme="minorHAnsi" w:cstheme="minorBidi"/>
      <w:i/>
      <w:sz w:val="20"/>
    </w:rPr>
  </w:style>
  <w:style w:type="paragraph" w:customStyle="1" w:styleId="Disclaimer">
    <w:name w:val="Disclaimer"/>
    <w:basedOn w:val="Normal"/>
    <w:pPr>
      <w:keepLines/>
      <w:pBdr>
        <w:top w:val="single" w:sz="4" w:space="1" w:color="auto"/>
      </w:pBdr>
      <w:spacing w:before="480" w:after="0" w:line="276" w:lineRule="auto"/>
    </w:pPr>
    <w:rPr>
      <w:rFonts w:asciiTheme="minorHAnsi" w:hAnsiTheme="minorHAnsi" w:cstheme="minorBidi"/>
      <w:i/>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line="276" w:lineRule="auto"/>
    </w:pPr>
    <w:rPr>
      <w:rFonts w:ascii="Arial" w:hAnsi="Arial" w:cstheme="minorBidi"/>
      <w:b/>
      <w:sz w:val="16"/>
    </w:rPr>
  </w:style>
  <w:style w:type="paragraph" w:customStyle="1" w:styleId="Designator">
    <w:name w:val="Designator"/>
    <w:basedOn w:val="Normal"/>
    <w:pPr>
      <w:spacing w:before="0" w:after="0" w:line="276" w:lineRule="auto"/>
      <w:jc w:val="center"/>
    </w:pPr>
    <w:rPr>
      <w:rFonts w:asciiTheme="minorHAnsi" w:hAnsiTheme="minorHAnsi" w:cstheme="minorBidi"/>
      <w:b/>
      <w:caps/>
      <w:sz w:val="32"/>
    </w:rPr>
  </w:style>
  <w:style w:type="paragraph" w:customStyle="1" w:styleId="Releasable">
    <w:name w:val="Releasable"/>
    <w:basedOn w:val="Normal"/>
    <w:qFormat/>
    <w:pPr>
      <w:spacing w:before="0" w:after="0" w:line="276" w:lineRule="auto"/>
      <w:jc w:val="center"/>
    </w:pPr>
    <w:rPr>
      <w:rFonts w:asciiTheme="minorHAnsi" w:hAnsiTheme="minorHAnsi" w:cstheme="minorBidi"/>
      <w:b/>
      <w:caps/>
      <w:sz w:val="32"/>
    </w:rPr>
  </w:style>
  <w:style w:type="paragraph" w:customStyle="1" w:styleId="RUE">
    <w:name w:val="RUE"/>
    <w:basedOn w:val="Normal"/>
    <w:pPr>
      <w:spacing w:before="0" w:after="0" w:line="276" w:lineRule="auto"/>
      <w:jc w:val="center"/>
    </w:pPr>
    <w:rPr>
      <w:rFonts w:asciiTheme="minorHAnsi" w:hAnsiTheme="minorHAnsi" w:cstheme="minorBidi"/>
      <w:b/>
      <w:caps/>
      <w:sz w:val="32"/>
      <w:bdr w:val="single" w:sz="18" w:space="0" w:color="auto"/>
    </w:rPr>
  </w:style>
  <w:style w:type="paragraph" w:customStyle="1" w:styleId="ConfidentialUE">
    <w:name w:val="Confidential UE"/>
    <w:basedOn w:val="Normal"/>
    <w:pPr>
      <w:spacing w:before="0" w:after="0" w:line="276" w:lineRule="auto"/>
      <w:jc w:val="center"/>
    </w:pPr>
    <w:rPr>
      <w:rFonts w:asciiTheme="minorHAnsi" w:hAnsiTheme="minorHAnsi" w:cstheme="minorBidi"/>
      <w:b/>
      <w:caps/>
      <w:sz w:val="32"/>
      <w:bdr w:val="single" w:sz="18" w:space="0" w:color="auto"/>
    </w:rPr>
  </w:style>
  <w:style w:type="paragraph" w:customStyle="1" w:styleId="TrsSecretUE">
    <w:name w:val="Très Secret UE"/>
    <w:basedOn w:val="Normal"/>
    <w:pPr>
      <w:spacing w:before="0" w:after="0" w:line="276" w:lineRule="auto"/>
      <w:jc w:val="center"/>
    </w:pPr>
    <w:rPr>
      <w:rFonts w:asciiTheme="minorHAnsi" w:hAnsiTheme="minorHAnsi" w:cstheme="minorBidi"/>
      <w:b/>
      <w:caps/>
      <w:color w:val="FF0000"/>
      <w:sz w:val="32"/>
      <w:bdr w:val="single" w:sz="18" w:space="0" w:color="FF0000"/>
    </w:rPr>
  </w:style>
  <w:style w:type="paragraph" w:customStyle="1" w:styleId="SecretUE">
    <w:name w:val="Secret UE"/>
    <w:basedOn w:val="Normal"/>
    <w:pPr>
      <w:spacing w:before="0" w:after="0" w:line="276" w:lineRule="auto"/>
      <w:jc w:val="center"/>
    </w:pPr>
    <w:rPr>
      <w:rFonts w:asciiTheme="minorHAnsi" w:hAnsiTheme="minorHAnsi" w:cstheme="minorBidi"/>
      <w:b/>
      <w:caps/>
      <w:color w:val="FF0000"/>
      <w:sz w:val="32"/>
      <w:bdr w:val="single" w:sz="18" w:space="0" w:color="FF0000"/>
    </w:rPr>
  </w:style>
  <w:style w:type="paragraph" w:customStyle="1" w:styleId="LegalNumPar">
    <w:name w:val="LegalNumPar"/>
    <w:basedOn w:val="Normal"/>
    <w:pPr>
      <w:numPr>
        <w:numId w:val="30"/>
      </w:numPr>
      <w:spacing w:before="0" w:after="240" w:line="360" w:lineRule="auto"/>
      <w:jc w:val="left"/>
    </w:pPr>
    <w:rPr>
      <w:rFonts w:asciiTheme="minorHAnsi" w:hAnsiTheme="minorHAnsi" w:cstheme="minorBidi"/>
    </w:rPr>
  </w:style>
  <w:style w:type="paragraph" w:customStyle="1" w:styleId="LegalNumPar2">
    <w:name w:val="LegalNumPar2"/>
    <w:basedOn w:val="Normal"/>
    <w:pPr>
      <w:numPr>
        <w:ilvl w:val="1"/>
        <w:numId w:val="30"/>
      </w:numPr>
      <w:spacing w:before="0" w:after="240" w:line="360" w:lineRule="auto"/>
      <w:jc w:val="left"/>
    </w:pPr>
    <w:rPr>
      <w:rFonts w:asciiTheme="minorHAnsi" w:hAnsiTheme="minorHAnsi" w:cstheme="minorBidi"/>
    </w:rPr>
  </w:style>
  <w:style w:type="paragraph" w:customStyle="1" w:styleId="LegalNumPar3">
    <w:name w:val="LegalNumPar3"/>
    <w:basedOn w:val="Normal"/>
    <w:pPr>
      <w:numPr>
        <w:ilvl w:val="2"/>
        <w:numId w:val="30"/>
      </w:numPr>
      <w:spacing w:before="0" w:after="240" w:line="360" w:lineRule="auto"/>
      <w:jc w:val="left"/>
    </w:pPr>
    <w:rPr>
      <w:rFonts w:asciiTheme="minorHAnsi" w:hAnsiTheme="minorHAnsi" w:cstheme="minorBidi"/>
    </w:rPr>
  </w:style>
  <w:style w:type="paragraph" w:customStyle="1" w:styleId="Footnoterefernce">
    <w:name w:val="Footnote refernce"/>
    <w:basedOn w:val="Normal"/>
    <w:pPr>
      <w:autoSpaceDE w:val="0"/>
      <w:autoSpaceDN w:val="0"/>
      <w:adjustRightInd w:val="0"/>
      <w:spacing w:after="0"/>
    </w:pPr>
  </w:style>
  <w:style w:type="character" w:styleId="Emphasis">
    <w:name w:val="Emphasis"/>
    <w:basedOn w:val="DefaultParagraphFont"/>
    <w:uiPriority w:val="20"/>
    <w:qFormat/>
    <w:rPr>
      <w:i/>
      <w:iCs/>
      <w:vanish w:val="0"/>
      <w:webHidden w:val="0"/>
      <w:color w:val="0099CC"/>
      <w:specVanish w:val="0"/>
    </w:rPr>
  </w:style>
  <w:style w:type="character" w:styleId="Strong">
    <w:name w:val="Strong"/>
    <w:basedOn w:val="DefaultParagraphFont"/>
    <w:uiPriority w:val="22"/>
    <w:qFormat/>
    <w:rPr>
      <w:b/>
      <w:bCs/>
    </w:rPr>
  </w:style>
  <w:style w:type="character" w:customStyle="1" w:styleId="super">
    <w:name w:val="super"/>
    <w:basedOn w:val="DefaultParagraphFont"/>
    <w:rPr>
      <w:rFonts w:ascii="Times New Roman" w:hAnsi="Times New Roman" w:cs="Times New Roman" w:hint="default"/>
      <w:sz w:val="17"/>
      <w:szCs w:val="17"/>
      <w:vertAlign w:val="superscri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881549">
      <w:bodyDiv w:val="1"/>
      <w:marLeft w:val="0"/>
      <w:marRight w:val="0"/>
      <w:marTop w:val="0"/>
      <w:marBottom w:val="0"/>
      <w:divBdr>
        <w:top w:val="none" w:sz="0" w:space="0" w:color="auto"/>
        <w:left w:val="none" w:sz="0" w:space="0" w:color="auto"/>
        <w:bottom w:val="none" w:sz="0" w:space="0" w:color="auto"/>
        <w:right w:val="none" w:sz="0" w:space="0" w:color="auto"/>
      </w:divBdr>
    </w:div>
    <w:div w:id="1973099621">
      <w:bodyDiv w:val="1"/>
      <w:marLeft w:val="0"/>
      <w:marRight w:val="0"/>
      <w:marTop w:val="0"/>
      <w:marBottom w:val="0"/>
      <w:divBdr>
        <w:top w:val="none" w:sz="0" w:space="0" w:color="auto"/>
        <w:left w:val="none" w:sz="0" w:space="0" w:color="auto"/>
        <w:bottom w:val="none" w:sz="0" w:space="0" w:color="auto"/>
        <w:right w:val="none" w:sz="0" w:space="0" w:color="auto"/>
      </w:divBdr>
      <w:divsChild>
        <w:div w:id="1217812222">
          <w:marLeft w:val="0"/>
          <w:marRight w:val="0"/>
          <w:marTop w:val="0"/>
          <w:marBottom w:val="0"/>
          <w:divBdr>
            <w:top w:val="none" w:sz="0" w:space="0" w:color="auto"/>
            <w:left w:val="none" w:sz="0" w:space="0" w:color="auto"/>
            <w:bottom w:val="none" w:sz="0" w:space="0" w:color="auto"/>
            <w:right w:val="none" w:sz="0" w:space="0" w:color="auto"/>
          </w:divBdr>
          <w:divsChild>
            <w:div w:id="1863786123">
              <w:marLeft w:val="0"/>
              <w:marRight w:val="0"/>
              <w:marTop w:val="0"/>
              <w:marBottom w:val="0"/>
              <w:divBdr>
                <w:top w:val="none" w:sz="0" w:space="0" w:color="auto"/>
                <w:left w:val="none" w:sz="0" w:space="0" w:color="auto"/>
                <w:bottom w:val="none" w:sz="0" w:space="0" w:color="auto"/>
                <w:right w:val="none" w:sz="0" w:space="0" w:color="auto"/>
              </w:divBdr>
              <w:divsChild>
                <w:div w:id="1582905244">
                  <w:marLeft w:val="0"/>
                  <w:marRight w:val="0"/>
                  <w:marTop w:val="0"/>
                  <w:marBottom w:val="0"/>
                  <w:divBdr>
                    <w:top w:val="none" w:sz="0" w:space="0" w:color="auto"/>
                    <w:left w:val="none" w:sz="0" w:space="0" w:color="auto"/>
                    <w:bottom w:val="none" w:sz="0" w:space="0" w:color="auto"/>
                    <w:right w:val="none" w:sz="0" w:space="0" w:color="auto"/>
                  </w:divBdr>
                  <w:divsChild>
                    <w:div w:id="1791584706">
                      <w:marLeft w:val="1"/>
                      <w:marRight w:val="1"/>
                      <w:marTop w:val="0"/>
                      <w:marBottom w:val="0"/>
                      <w:divBdr>
                        <w:top w:val="none" w:sz="0" w:space="0" w:color="auto"/>
                        <w:left w:val="none" w:sz="0" w:space="0" w:color="auto"/>
                        <w:bottom w:val="none" w:sz="0" w:space="0" w:color="auto"/>
                        <w:right w:val="none" w:sz="0" w:space="0" w:color="auto"/>
                      </w:divBdr>
                      <w:divsChild>
                        <w:div w:id="1610431505">
                          <w:marLeft w:val="0"/>
                          <w:marRight w:val="0"/>
                          <w:marTop w:val="0"/>
                          <w:marBottom w:val="0"/>
                          <w:divBdr>
                            <w:top w:val="none" w:sz="0" w:space="0" w:color="auto"/>
                            <w:left w:val="none" w:sz="0" w:space="0" w:color="auto"/>
                            <w:bottom w:val="none" w:sz="0" w:space="0" w:color="auto"/>
                            <w:right w:val="none" w:sz="0" w:space="0" w:color="auto"/>
                          </w:divBdr>
                          <w:divsChild>
                            <w:div w:id="405764140">
                              <w:marLeft w:val="0"/>
                              <w:marRight w:val="0"/>
                              <w:marTop w:val="0"/>
                              <w:marBottom w:val="360"/>
                              <w:divBdr>
                                <w:top w:val="none" w:sz="0" w:space="0" w:color="auto"/>
                                <w:left w:val="none" w:sz="0" w:space="0" w:color="auto"/>
                                <w:bottom w:val="none" w:sz="0" w:space="0" w:color="auto"/>
                                <w:right w:val="none" w:sz="0" w:space="0" w:color="auto"/>
                              </w:divBdr>
                              <w:divsChild>
                                <w:div w:id="408310093">
                                  <w:marLeft w:val="0"/>
                                  <w:marRight w:val="0"/>
                                  <w:marTop w:val="0"/>
                                  <w:marBottom w:val="0"/>
                                  <w:divBdr>
                                    <w:top w:val="none" w:sz="0" w:space="0" w:color="auto"/>
                                    <w:left w:val="none" w:sz="0" w:space="0" w:color="auto"/>
                                    <w:bottom w:val="none" w:sz="0" w:space="0" w:color="auto"/>
                                    <w:right w:val="none" w:sz="0" w:space="0" w:color="auto"/>
                                  </w:divBdr>
                                  <w:divsChild>
                                    <w:div w:id="727606880">
                                      <w:marLeft w:val="0"/>
                                      <w:marRight w:val="0"/>
                                      <w:marTop w:val="0"/>
                                      <w:marBottom w:val="0"/>
                                      <w:divBdr>
                                        <w:top w:val="none" w:sz="0" w:space="0" w:color="auto"/>
                                        <w:left w:val="none" w:sz="0" w:space="0" w:color="auto"/>
                                        <w:bottom w:val="none" w:sz="0" w:space="0" w:color="auto"/>
                                        <w:right w:val="none" w:sz="0" w:space="0" w:color="auto"/>
                                      </w:divBdr>
                                      <w:divsChild>
                                        <w:div w:id="756092626">
                                          <w:marLeft w:val="0"/>
                                          <w:marRight w:val="0"/>
                                          <w:marTop w:val="0"/>
                                          <w:marBottom w:val="0"/>
                                          <w:divBdr>
                                            <w:top w:val="none" w:sz="0" w:space="0" w:color="auto"/>
                                            <w:left w:val="none" w:sz="0" w:space="0" w:color="auto"/>
                                            <w:bottom w:val="none" w:sz="0" w:space="0" w:color="auto"/>
                                            <w:right w:val="none" w:sz="0" w:space="0" w:color="auto"/>
                                          </w:divBdr>
                                          <w:divsChild>
                                            <w:div w:id="539897050">
                                              <w:marLeft w:val="0"/>
                                              <w:marRight w:val="0"/>
                                              <w:marTop w:val="0"/>
                                              <w:marBottom w:val="0"/>
                                              <w:divBdr>
                                                <w:top w:val="none" w:sz="0" w:space="0" w:color="auto"/>
                                                <w:left w:val="none" w:sz="0" w:space="0" w:color="auto"/>
                                                <w:bottom w:val="none" w:sz="0" w:space="0" w:color="auto"/>
                                                <w:right w:val="none" w:sz="0" w:space="0" w:color="auto"/>
                                              </w:divBdr>
                                              <w:divsChild>
                                                <w:div w:id="12648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mota.eu/" TargetMode="External"/><Relationship Id="rId7" Type="http://schemas.openxmlformats.org/officeDocument/2006/relationships/hyperlink" Target="http://ec.europa.eu/smart-regulation/impact/ia_carried_out/cia_2016_en.htm" TargetMode="External"/><Relationship Id="rId2" Type="http://schemas.openxmlformats.org/officeDocument/2006/relationships/hyperlink" Target="https://ec.europa.eu/digital-agenda" TargetMode="External"/><Relationship Id="rId1" Type="http://schemas.openxmlformats.org/officeDocument/2006/relationships/hyperlink" Target="http://ec.europa.eu/priorities/digital-single-market/docs/dsm-communication_en.pdf" TargetMode="External"/><Relationship Id="rId6" Type="http://schemas.openxmlformats.org/officeDocument/2006/relationships/hyperlink" Target="http://ec.europa.eu/growth/tools-databases/newsroom/cf/itemdetail.cfm?item_id=8169" TargetMode="External"/><Relationship Id="rId5" Type="http://schemas.openxmlformats.org/officeDocument/2006/relationships/hyperlink" Target="http://ec.europa.eu/growth/smes/cosme/" TargetMode="External"/><Relationship Id="rId4" Type="http://schemas.openxmlformats.org/officeDocument/2006/relationships/hyperlink" Target="http://www.ecommerce-europe.eu/trust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4F7522A-61CA-4BF4-8D22-6F9782DE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22</Pages>
  <Words>7354</Words>
  <Characters>49276</Characters>
  <Application>Microsoft Office Word</Application>
  <DocSecurity>0</DocSecurity>
  <Lines>769</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2016-05-25T16:05:00Z</cp:lastPrinted>
  <dcterms:created xsi:type="dcterms:W3CDTF">2016-05-27T07:04:00Z</dcterms:created>
  <dcterms:modified xsi:type="dcterms:W3CDTF">2016-05-27T11:56:00Z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