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1B" w:rsidRDefault="001D3521" w:rsidP="001D3521">
      <w:pPr>
        <w:pStyle w:val="Pagedecouverture"/>
      </w:pPr>
      <w:bookmarkStart w:id="0" w:name="LW_BM_COVERPAGE"/>
      <w:r>
        <w:pict>
          <v:shape id="_x0000_i1034" type="#_x0000_t75" alt="740550984D5E46FEBE36ECB0960D41DD" style="width:450.75pt;height:334.5pt">
            <v:imagedata r:id="rId9" o:title=""/>
          </v:shape>
        </w:pict>
      </w:r>
      <w:bookmarkStart w:id="1" w:name="_GoBack"/>
      <w:bookmarkEnd w:id="1"/>
    </w:p>
    <w:bookmarkEnd w:id="0"/>
    <w:p w:rsidR="00246565" w:rsidRPr="00246565" w:rsidRDefault="00246565" w:rsidP="00246565">
      <w:pPr>
        <w:pStyle w:val="Pagedecouverture"/>
        <w:sectPr w:rsidR="00246565" w:rsidRPr="00246565" w:rsidSect="001D352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506FA1" w:rsidRPr="00506FA1" w:rsidRDefault="00506FA1" w:rsidP="00506FA1">
      <w:pPr>
        <w:autoSpaceDE w:val="0"/>
        <w:autoSpaceDN w:val="0"/>
        <w:adjustRightInd w:val="0"/>
        <w:spacing w:after="120" w:line="240" w:lineRule="auto"/>
        <w:jc w:val="both"/>
        <w:rPr>
          <w:rFonts w:ascii="Times New Roman" w:eastAsia="Calibri" w:hAnsi="Times New Roman" w:cs="Times New Roman"/>
          <w:b/>
          <w:bCs/>
          <w:sz w:val="24"/>
          <w:szCs w:val="24"/>
          <w:u w:val="single"/>
        </w:rPr>
      </w:pPr>
      <w:r>
        <w:rPr>
          <w:rFonts w:ascii="Times New Roman" w:hAnsi="Times New Roman"/>
          <w:b/>
          <w:sz w:val="24"/>
          <w:u w:val="single"/>
        </w:rPr>
        <w:lastRenderedPageBreak/>
        <w:t>1. ΕΙΣΑΓΩΓΗ</w:t>
      </w:r>
    </w:p>
    <w:p w:rsidR="00506FA1" w:rsidRPr="00506FA1" w:rsidRDefault="00506FA1" w:rsidP="00506FA1">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Στις 16 Δεκεμβρίου 2013, η Ευρωπαϊκή Ένωση ξεκίνησε διάλογο με την Τουρκία για την </w:t>
      </w:r>
      <w:r>
        <w:rPr>
          <w:rFonts w:ascii="Times New Roman" w:hAnsi="Times New Roman"/>
          <w:b/>
          <w:sz w:val="24"/>
        </w:rPr>
        <w:t>ελευθέρωση του καθεστώτος θεωρήσεων</w:t>
      </w:r>
      <w:r>
        <w:rPr>
          <w:rFonts w:ascii="Times New Roman" w:hAnsi="Times New Roman"/>
          <w:sz w:val="24"/>
        </w:rPr>
        <w:t>, παράλληλα με την υπογραφή της συμφωνίας ΕΕ-Τουρκίας για την επανεισδοχή</w:t>
      </w:r>
      <w:r>
        <w:rPr>
          <w:rFonts w:ascii="Times New Roman" w:hAnsi="Times New Roman"/>
          <w:sz w:val="24"/>
          <w:vertAlign w:val="superscript"/>
        </w:rPr>
        <w:footnoteReference w:id="1"/>
      </w:r>
      <w:r>
        <w:rPr>
          <w:rFonts w:ascii="Times New Roman" w:hAnsi="Times New Roman"/>
          <w:sz w:val="24"/>
        </w:rPr>
        <w:t xml:space="preserve">. Ο διάλογος βασίζεται στον </w:t>
      </w:r>
      <w:r>
        <w:rPr>
          <w:rFonts w:ascii="Times New Roman" w:hAnsi="Times New Roman"/>
          <w:i/>
          <w:sz w:val="24"/>
        </w:rPr>
        <w:t>χάρτη πορείας για την ελευθέρωση του καθεστώτος των θεωρήσεων με την Τουρκία</w:t>
      </w:r>
      <w:r>
        <w:rPr>
          <w:rFonts w:ascii="Times New Roman" w:hAnsi="Times New Roman"/>
          <w:sz w:val="24"/>
        </w:rPr>
        <w:t xml:space="preserve"> («χάρτης πορείας»), έγγραφο που καθορίζει τις απαιτήσεις τις οποίες πρέπει να εκπληρώσει η Τουρκία ώστε</w:t>
      </w:r>
      <w:r w:rsidR="001D3521">
        <w:rPr>
          <w:rFonts w:ascii="Times New Roman" w:hAnsi="Times New Roman"/>
          <w:sz w:val="24"/>
        </w:rPr>
        <w:t xml:space="preserve"> </w:t>
      </w:r>
      <w:r>
        <w:rPr>
          <w:rFonts w:ascii="Times New Roman" w:hAnsi="Times New Roman"/>
          <w:sz w:val="24"/>
        </w:rPr>
        <w:t xml:space="preserve">το Ευρωπαϊκό Κοινοβούλιο και το Συμβούλιο να μπορέσουν να τροποποιήσουν τον κανονισμό (ΕΚ) αριθ. 539/2001 ο οποίος θα επιτρέπει στους Τούρκους υπηκόους που είναι κάτοχοι βιομετρικών διαβατηρίων σύμφωνα με τα πρότυπα της ΕΕ να ταξιδεύουν στον χώρο Σένγκεν χωρίς θεώρηση για βραχεία διαμονή (δηλαδή έως 90 ημέρες εντός οιασδήποτε περιόδου 180 ημερών). Οι 72 απαιτήσεις που παρατίθενται στον οδικό χάρτη χωρίζονται σε πέντε θεματικές ενότητες: ασφάλεια εγγράφων, διαχείριση της μετανάστευσης, δημόσια τάξη και ασφάλεια, θεμελιώδη δικαιώματα και επανεισδοχή των παράτυπων μεταναστών. </w:t>
      </w:r>
    </w:p>
    <w:p w:rsidR="00506FA1" w:rsidRPr="00506FA1" w:rsidRDefault="00506FA1" w:rsidP="00506FA1">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Στις 20 Οκτωβρίου 2014, η Επιτροπή ενέκρινε την </w:t>
      </w:r>
      <w:r>
        <w:rPr>
          <w:rFonts w:ascii="Times New Roman" w:hAnsi="Times New Roman"/>
          <w:i/>
          <w:sz w:val="24"/>
        </w:rPr>
        <w:t>πρώτη της έκθεση σχετικά με την πρόοδο της Τουρκίας όσον αφορά την εκπλήρωση των κριτηρίων του χάρτη πορείας για την ελευθέρωση του καθεστώτος θεωρήσεων</w:t>
      </w:r>
      <w:r w:rsidR="00032934" w:rsidRPr="00032934">
        <w:rPr>
          <w:rFonts w:ascii="Times New Roman" w:hAnsi="Times New Roman"/>
          <w:i/>
          <w:sz w:val="24"/>
        </w:rPr>
        <w:t xml:space="preserve"> </w:t>
      </w:r>
      <w:r>
        <w:rPr>
          <w:rFonts w:ascii="Times New Roman" w:hAnsi="Times New Roman"/>
          <w:sz w:val="24"/>
        </w:rPr>
        <w:t>(«πρώτη έκθεση»).</w:t>
      </w:r>
      <w:r>
        <w:rPr>
          <w:rFonts w:ascii="Times New Roman" w:hAnsi="Times New Roman"/>
          <w:sz w:val="24"/>
          <w:vertAlign w:val="superscript"/>
        </w:rPr>
        <w:footnoteReference w:id="2"/>
      </w:r>
      <w:r>
        <w:rPr>
          <w:rFonts w:ascii="Times New Roman" w:hAnsi="Times New Roman"/>
          <w:sz w:val="24"/>
        </w:rPr>
        <w:t xml:space="preserve"> Η πρώτη έκθεση αξιολογούσε την εκπλήρωση κάθε κριτηρίου και περιείχε συστάσεις για την επίτευξη μεγαλύτερης προόδου όσον αφορά όλα τα κριτήρια. </w:t>
      </w:r>
    </w:p>
    <w:p w:rsidR="00506FA1" w:rsidRPr="00506FA1" w:rsidRDefault="0036477A" w:rsidP="00506FA1">
      <w:pPr>
        <w:autoSpaceDE w:val="0"/>
        <w:autoSpaceDN w:val="0"/>
        <w:adjustRightInd w:val="0"/>
        <w:spacing w:after="120" w:line="240" w:lineRule="auto"/>
        <w:jc w:val="both"/>
        <w:rPr>
          <w:rFonts w:ascii="Times New Roman" w:hAnsi="Times New Roman" w:cs="Times New Roman"/>
          <w:i/>
          <w:sz w:val="24"/>
          <w:szCs w:val="24"/>
        </w:rPr>
      </w:pPr>
      <w:r>
        <w:rPr>
          <w:rFonts w:ascii="Times New Roman" w:hAnsi="Times New Roman"/>
          <w:sz w:val="24"/>
        </w:rPr>
        <w:t>Στις 29 Νοεμβρίου 2015 πραγματοποιήθηκε σύνοδος κορυφής ΕΕ - Τουρκίας, όπου οι δύο πλευρές συμφώνησαν όσον αφορά τις λεπτομέρειες για την εμβάθυνση της συνεργασίας τους, κυρίως όσον αφορά τη διαχείριση της συριακής προσφυγικής κρίσης και την καταπολέμηση της παράνομης μετανάστευσης. Κατά τη σύνοδο κορυφής, η τουρκική πλευρά εξέφρασε τη δέσμευσή της να επιταχύνει την υλοποίηση του χάρτη πορείας, μεταξύ άλλων με την επίσπευση της εφαρμογής όλων των διατάξεων της συμφωνίας επανεισδοχής ΕΕ-Τουρκίας, ώστε να μπορέσει να επιτευχθεί η ελευθέρωση του καθεστώτος θεωρήσεων έως τον Οκτώβριο του 2016</w:t>
      </w:r>
      <w:r>
        <w:rPr>
          <w:rFonts w:ascii="Times New Roman" w:hAnsi="Times New Roman"/>
          <w:sz w:val="24"/>
          <w:vertAlign w:val="superscript"/>
        </w:rPr>
        <w:footnoteReference w:id="3"/>
      </w:r>
      <w:r>
        <w:rPr>
          <w:rFonts w:ascii="Times New Roman" w:hAnsi="Times New Roman"/>
          <w:sz w:val="24"/>
        </w:rPr>
        <w:t>. Η δέσμευση έγινε δεκτή με ικανοποίηση από την ΕΕ.</w:t>
      </w:r>
    </w:p>
    <w:p w:rsidR="0036477A" w:rsidRDefault="0036477A" w:rsidP="0036477A">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Στις 4 Μαρτίου 2016, η Επιτροπή εξέδωσε τη </w:t>
      </w:r>
      <w:r>
        <w:rPr>
          <w:rFonts w:ascii="Times New Roman" w:hAnsi="Times New Roman"/>
          <w:i/>
          <w:sz w:val="24"/>
        </w:rPr>
        <w:t xml:space="preserve">δεύτερη έκθεσή της σχετικά με την πρόοδο της Τουρκίας όσον αφορά την εκπλήρωση των </w:t>
      </w:r>
      <w:r w:rsidR="00243878" w:rsidRPr="00243878">
        <w:rPr>
          <w:rFonts w:ascii="Times New Roman" w:hAnsi="Times New Roman"/>
          <w:i/>
          <w:sz w:val="24"/>
        </w:rPr>
        <w:t>κριτηρίων</w:t>
      </w:r>
      <w:r>
        <w:rPr>
          <w:rFonts w:ascii="Times New Roman" w:hAnsi="Times New Roman"/>
          <w:i/>
          <w:sz w:val="24"/>
        </w:rPr>
        <w:t xml:space="preserve"> του χάρτη πορείας για την ελευθέρωση του καθεστώτος θεωρήσεων</w:t>
      </w:r>
      <w:r>
        <w:rPr>
          <w:rFonts w:ascii="Times New Roman" w:hAnsi="Times New Roman"/>
          <w:sz w:val="24"/>
        </w:rPr>
        <w:t xml:space="preserve"> («δεύτερη έκθεση») συνοδευόμενη από έγγραφο εργασίας των υπηρεσιών της Επιτροπής.</w:t>
      </w:r>
      <w:r>
        <w:rPr>
          <w:rFonts w:ascii="Times New Roman" w:hAnsi="Times New Roman"/>
          <w:sz w:val="24"/>
          <w:vertAlign w:val="superscript"/>
        </w:rPr>
        <w:footnoteReference w:id="4"/>
      </w:r>
      <w:r>
        <w:rPr>
          <w:rFonts w:ascii="Times New Roman" w:hAnsi="Times New Roman"/>
          <w:sz w:val="24"/>
        </w:rPr>
        <w:t xml:space="preserve"> Το έγγραφο εργασίας των υπηρεσιών της Επιτροπής περιγράφει την πρόοδο που έχει σημειώσει η Τουρκία από την πρώτη έκθεση όσον αφορά την εκπλήρωση</w:t>
      </w:r>
      <w:r w:rsidR="001D3521">
        <w:rPr>
          <w:rFonts w:ascii="Times New Roman" w:hAnsi="Times New Roman"/>
          <w:sz w:val="24"/>
        </w:rPr>
        <w:t xml:space="preserve"> </w:t>
      </w:r>
      <w:r>
        <w:rPr>
          <w:rFonts w:ascii="Times New Roman" w:hAnsi="Times New Roman"/>
          <w:sz w:val="24"/>
        </w:rPr>
        <w:t>ενός εκάστου κριτηρίου, ενώ η δεύτερη έκθεση περιλαμβάνει συστάσεις για την επίτευξη περαιτέρω προόδου σε όλα τα κριτήρια. Επιπλέον, το έγγραφο περιλαμβάνει επίσης εκτίμηση των πιθανών επιπτώσεων που θα έχει η ελευθέρωση του καθεστώτος θεωρήσεων για την Τουρκία στη μεταναστευτική κατάσταση της ΕΕ.</w:t>
      </w:r>
    </w:p>
    <w:p w:rsidR="0036477A" w:rsidRPr="006B417C" w:rsidRDefault="0036477A" w:rsidP="0036477A">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sz w:val="24"/>
        </w:rPr>
        <w:t>Στις 7 και 18 Μαρτίου 2016, πραγματοποιήθηκαν σύνοδοι αρχηγών κρατών και κυβερνήσεων της ΕΕ και της Τουρκίας. Η τελευταία σύνοδος κατέληξε σε κοινή δήλωση ΕΕ-</w:t>
      </w:r>
      <w:r>
        <w:rPr>
          <w:rFonts w:ascii="Times New Roman" w:hAnsi="Times New Roman"/>
          <w:sz w:val="24"/>
        </w:rPr>
        <w:lastRenderedPageBreak/>
        <w:t>Τουρκίας</w:t>
      </w:r>
      <w:r>
        <w:rPr>
          <w:rStyle w:val="FootnoteReference"/>
          <w:rFonts w:ascii="Times New Roman" w:hAnsi="Times New Roman"/>
          <w:sz w:val="24"/>
        </w:rPr>
        <w:footnoteReference w:id="5"/>
      </w:r>
      <w:r>
        <w:rPr>
          <w:rFonts w:ascii="Times New Roman" w:hAnsi="Times New Roman"/>
          <w:sz w:val="24"/>
        </w:rPr>
        <w:t xml:space="preserve"> («δήλωση») στην οποία αναφέρεται ότι «</w:t>
      </w:r>
      <w:r>
        <w:rPr>
          <w:rFonts w:ascii="Times New Roman" w:hAnsi="Times New Roman"/>
          <w:i/>
          <w:sz w:val="24"/>
        </w:rPr>
        <w:t>Η εφαρμογή του χάρτη πορείας για την ελευθέρωση του καθεστώτος θεωρήσεων θα επισπευσθεί σε όλα τα συμμετέχοντα κράτη μέλη προκειμένου να αρθούν οι υποχρεώσεις θεώρησης για τους τούρκους πολίτες το αργότερο έως τα τέλη Ιουνίου του 2016, με την προϋπόθεση ότι θα έχουν εκπληρωθεί όλα τα κριτήρια. Προς τούτο, η Τουρκία θα προβεί στις αναγκαίες ενέργειες για να ανταποκριθεί στις εναπομένουσες απαιτήσεις ούτως ώστε να μπορέσει η Επιτροπή, μετά την απαιτούμενη αξιολόγηση της συμμόρφωσης προς τα κριτήρια, να υποβάλει κατάλληλη πρόταση έως τα τέλη Απριλίου, βάσει της οποίας θα λάβουν τελική απόφαση το Ευρωπαϊκό Κοινοβούλιο και το Συμβούλιο</w:t>
      </w:r>
      <w:r>
        <w:rPr>
          <w:rFonts w:ascii="Times New Roman" w:hAnsi="Times New Roman"/>
          <w:sz w:val="24"/>
        </w:rPr>
        <w:t>».</w:t>
      </w:r>
    </w:p>
    <w:p w:rsidR="00593C0D" w:rsidRDefault="00593C0D" w:rsidP="0036477A">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sz w:val="24"/>
        </w:rPr>
        <w:t>Στην παρούσα τρίτη έκθεση παρουσιάζεται η αξιολόγηση της συμμόρφωσης, όπως απαιτείται στη δήλωση. Περιγράφονται τα κυριότερα βήματα προόδου που έχει σημειώσει η Τουρκία μετά τη δεύτερη έκθεση για την εκπλήρωση των απαιτήσεων που περιλαμβάνονται στον χάρτη πορείας. Παρέχονται επίσης λεπτομερείς συστάσεις σχετικά με τα μέτρα τα οποία πρέπει ακόμη να λάβει η Τουρκία, έως τις 4 Μαΐου 2016, προκειμένου να πληροί τα τελευταία εκκρεμή κριτήρια αξιολόγησης του χάρτη πορείας και προκειμένου να δοθεί στο Ευρωπαϊκό Κοινοβούλιο και το Συμβούλιο η δυνατότητα να εγκρίνει τη νομοθετική πρόταση της Επιτροπής.</w:t>
      </w:r>
    </w:p>
    <w:p w:rsidR="00A54C1A" w:rsidRPr="00A54C1A" w:rsidRDefault="00A54C1A" w:rsidP="00A54C1A">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sz w:val="24"/>
        </w:rPr>
        <w:t xml:space="preserve">Η τρίτη έκθεση συνοδεύεται από έγγραφο εργασίας των υπηρεσιών της Επιτροπής, το οποίο παρέχει τεκμηριωμένες πληροφορίες σχετικά με την πορεία των εργασιών όσον αφορά την εκπλήρωση κάθε απαίτησης. Το έγγραφο εργασίας των υπηρεσιών της Επιτροπής περιλαμβάνει επίσης εκτίμηση των επιπτώσεων στην ασφάλεια της ΕΕ που ενδέχεται να έχει η ελευθέρωση του καθεστώτος θεωρήσεων για την Τουρκία. </w:t>
      </w:r>
    </w:p>
    <w:p w:rsidR="00506FA1" w:rsidRPr="00506FA1" w:rsidRDefault="00506FA1" w:rsidP="00506FA1">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Η τρίτη έκθεση ακολουθεί τη δομή του χάρτη πορείας και, ως εκ τούτου, εξετάζει μία προς μία τις πέντε ενότητες, αναφέροντας για καθεμία εξ αυτών τις απαιτήσεις που δεν πληρούνται ακόμη πλήρως, καθώς και τα μέτρα τα οποία θα πρέπει να λάβει η Τουρκία προκειμένου να ικανοποιηθούν οι τελευταίες αυτές εκκρεμείς απαιτήσεις.</w:t>
      </w:r>
      <w:r w:rsidR="001D3521">
        <w:rPr>
          <w:rFonts w:ascii="Times New Roman" w:hAnsi="Times New Roman"/>
          <w:sz w:val="24"/>
        </w:rPr>
        <w:t xml:space="preserve"> </w:t>
      </w:r>
    </w:p>
    <w:p w:rsidR="00506FA1" w:rsidRPr="00506FA1" w:rsidRDefault="00506FA1" w:rsidP="00506FA1">
      <w:pPr>
        <w:spacing w:after="120" w:line="240" w:lineRule="auto"/>
        <w:jc w:val="both"/>
        <w:rPr>
          <w:rFonts w:ascii="Times New Roman" w:eastAsia="Calibri" w:hAnsi="Times New Roman" w:cs="Times New Roman"/>
          <w:sz w:val="24"/>
          <w:szCs w:val="24"/>
        </w:rPr>
      </w:pPr>
    </w:p>
    <w:p w:rsidR="00506FA1" w:rsidRPr="00506FA1" w:rsidRDefault="00506FA1" w:rsidP="008C480A">
      <w:pPr>
        <w:keepNext/>
        <w:autoSpaceDE w:val="0"/>
        <w:autoSpaceDN w:val="0"/>
        <w:adjustRightInd w:val="0"/>
        <w:spacing w:after="120" w:line="240" w:lineRule="auto"/>
        <w:jc w:val="both"/>
        <w:rPr>
          <w:rFonts w:ascii="Times New Roman" w:eastAsia="Calibri" w:hAnsi="Times New Roman" w:cs="Times New Roman"/>
          <w:b/>
          <w:bCs/>
          <w:sz w:val="24"/>
          <w:szCs w:val="24"/>
          <w:u w:val="single"/>
        </w:rPr>
      </w:pPr>
      <w:r>
        <w:rPr>
          <w:rFonts w:ascii="Times New Roman" w:hAnsi="Times New Roman"/>
          <w:sz w:val="24"/>
        </w:rPr>
        <w:t xml:space="preserve"> </w:t>
      </w:r>
      <w:r>
        <w:rPr>
          <w:rFonts w:ascii="Times New Roman" w:hAnsi="Times New Roman"/>
          <w:b/>
          <w:sz w:val="24"/>
          <w:u w:val="single"/>
        </w:rPr>
        <w:t>2. ΕΝΟΤΗΤΑ 1: ΑΣΦΑΛΕΙΑ ΤΩΝ ΕΓΓΡΑΦΩΝ</w:t>
      </w:r>
    </w:p>
    <w:p w:rsidR="00036B39" w:rsidRDefault="00244825" w:rsidP="00506FA1">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Μετά τη δημοσίευση της δεύτερης έκθεσης, η Τουρκία σημείωσε περαιτέρω πρόοδο όσον αφορά την εκπλήρωση των απαιτήσεων της παρούσας ενότητας. </w:t>
      </w:r>
    </w:p>
    <w:p w:rsidR="008934DD" w:rsidRDefault="00036B39" w:rsidP="00506FA1">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rPr>
        <w:t>Ειδικότερα, οι τουρκικές αρχές άρχισαν να χορηγούν στους Τούρκους πολίτες, σε πιλοτικό επίπεδο, νέες και πιο ασφαλείς ταυτότητες που περιλαμβάνουν βιομετρικά αναγνωριστικά στοιχεία. Η αντικατάσταση των παλαιών ταυτοτήτων με τις νέες ταυτότητες για όλους τους πολίτες της Τουρκίας θα διαρκέσει περίπου τρία έτη. Η διαδικασία βρίσκεται πλέον σε πλήρη εξέλιξη.</w:t>
      </w:r>
    </w:p>
    <w:p w:rsidR="00F441C8" w:rsidRDefault="006000DF" w:rsidP="00F441C8">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Επιπλέον, οι τουρκικές αρχές έχουν αρχίσει να συνεργάζονται με τα κράτη μέλη της ΕΕ όσον αφορά την ανταλλαγή πληροφοριών για τα πλαστά και παραποιημένα ταξιδιωτικά έγγραφα. Η Τουρκική Εθνική Αστυνομία (ΤΕΑ) φορτώνει πλέον τακτικά και έγκαιρα στη βάση δεδομένων Dial-Doc της Ιντερπόλ, στην οποία έχουν πρόσβαση όλα τα κράτη μέλη, πληροφορίες σχετικά με τα πλαστά και παραποιημένα ταξιδιωτικά έγγραφα που εντοπίζονται στην Τουρκία κατά τις δραστηριότητες συνοριακών ελέγχων. Παράλληλα, στους κύριους αερολιμένες της Τουρκίας (τον αερολιμένα Ατατούρκ της Κωνσταντινούπολης και τον αερολιμένα Αττάλεια), η ΤΕΑ έχει δημιουργήσει ειδικά γραφεία επιφορτισμένα με την ανταλλαγή πληροφοριών και συμβουλών με τους αξιωματικούς συνδέσμους μετανάστευσης </w:t>
      </w:r>
      <w:r>
        <w:rPr>
          <w:rFonts w:ascii="Times New Roman" w:hAnsi="Times New Roman"/>
          <w:sz w:val="24"/>
        </w:rPr>
        <w:lastRenderedPageBreak/>
        <w:t xml:space="preserve">των κρατών μελών ως προς τον εντοπισμό ύποπτων ταξιδιωτικών εγγράφων σε πρόσωπα που ταξιδεύουν προς την ΕΕ. Επιπλέον, αυξημένες δυνατότητες κατάρτισης έχουν αρχίσει να προσφέρονται από την ΤΕΑ στους υπαλλήλους της που απασχολούνται στα σημεία διέλευσης των συνόρων, με σκοπό να ενισχυθεί η ικανότητά τους όσον αφορά την ανίχνευση πλαστών εγγράφων, με επίκεντρο τα έγγραφα που εκδίδονται από τα κράτη μέλη της ΕΕ. </w:t>
      </w:r>
    </w:p>
    <w:p w:rsidR="00F441C8" w:rsidRDefault="007E4539" w:rsidP="00F441C8">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Ως αποτέλεσμα των εξελίξεων αυτών, μόνο ένα είναι το κριτήριο αξιολόγησης της ενότητας 1 το οποίο εξακολουθεί να μην πληροί η Τουρκία, συγκεκριμένα η απαίτηση χορήγησης βιομετρικών διαβατηρίων στους πολίτες της σύμφωνα με τα πρότυπα της ΕΕ, όπως περιγράφεται στον κανονισμό αριθ. 2252/2004 του Συμβουλίου, δηλ. διαβατήρια με ανεπαφικό πλινθίο τα οποία περιλαμβάνουν όχι μόνο την εικόνα του προσώπου του κατόχου του διαβατηρίου, αλλά και τα δακτυλικά του αποτυπώματα, και το οποίο προστατεύεται με σύστημα κρυπτογράφησης συμπληρωματικού ελέγχου πρόσβασης (ΣΣΣ).</w:t>
      </w:r>
      <w:r>
        <w:rPr>
          <w:vertAlign w:val="superscript"/>
        </w:rPr>
        <w:footnoteReference w:id="6"/>
      </w:r>
      <w:r>
        <w:rPr>
          <w:rFonts w:ascii="Times New Roman" w:hAnsi="Times New Roman"/>
          <w:sz w:val="24"/>
        </w:rPr>
        <w:t xml:space="preserve"> </w:t>
      </w:r>
    </w:p>
    <w:p w:rsidR="009543D2" w:rsidRDefault="00984F71" w:rsidP="009543D2">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rPr>
        <w:t xml:space="preserve">Οι τουρκικές αρχές εργάζονται εδώ και μήνες σε τεχνικό επίπεδο, μεταξύ άλλων με τη βοήθεια χρηματοδοτούμενου από την ΕΕ προγράμματος, για την εκπλήρωση αυτού του κριτηρίου. Ωστόσο, οι τουρκικές αρχές ενημέρωσαν ότι, για τεχνικούς λόγους, δεν θα είναι δυνατή η πλήρης συμμόρφωση με το κριτήριο αξιολόγησης τον Οκτώβριο του 2016. Με δεδομένη την επίσπευση της διαδικασίας ελευθέρωσης του καθεστώτος θεωρήσεων, την οποία ενέκριναν οι αρχηγοί κρατών και κυβερνήσεων της ΕΕ και της Τουρκίας, δεν είναι αντικειμενικά εφικτή η έγκαιρη συμμόρφωση των τουρκικών αρχών με το κριτήριο αυτό. </w:t>
      </w:r>
    </w:p>
    <w:p w:rsidR="009543D2" w:rsidRDefault="009543D2" w:rsidP="009543D2">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Εντούτοις, ως προσωρινή λύση, από τον Ιούνιο του 2016 και έως το τέλος του έτους, οι τουρκικές αρχές συμφώνησαν να χορηγούν στους πολίτες τους διαβατήρια που περιλαμβάνουν την εικόνα προσώπου και τα δακτυλικά αποτυπώματα του κατόχου του διαβατηρίου ώστε να μπορεί ο κάτοχος του διαβατηρίου να τυγχάνει του ενδεχόμενου καθεστώτος απαλλαγής από την υποχρέωση θεώρησης, αν και όταν χορηγείται. Αυτά τα προσωρινά διαβατήρια, τα οποία θα χορηγούνται μόνον έως το τέλος του 2016 με σύντομη διάρκεια ισχύος, θα διαφέρουν από τα διαβατήρια που απαιτούνται βάσει του κριτηρίου αξιολόγησης μόνο κατά το ότι το πλινθίο τους θα προστατεύεται με τον εκτενή έλεγχο πρόσβασης (EAC). Το εν λόγω σύστημα κρυπτογράφησης συνάδει με τα πρότυπα του Διεθνούς Οργανισμού Πολιτικής Αεροπορίας (ICAO), και μέχρι το τέλος του 2014 αντιπροσώπευε επίσης το πρότυπο για την Ευρωπαϊκή Ένωση.</w:t>
      </w:r>
      <w:r w:rsidR="001D3521">
        <w:rPr>
          <w:rFonts w:ascii="Times New Roman" w:hAnsi="Times New Roman"/>
          <w:sz w:val="24"/>
        </w:rPr>
        <w:t xml:space="preserve"> </w:t>
      </w:r>
    </w:p>
    <w:p w:rsidR="00604B00" w:rsidRPr="009543D2" w:rsidRDefault="000726FC" w:rsidP="009543D2">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Υπενθυμίζεται στις τουρκικές αρχές ότι, πριν καταστεί δυνατή η έναρξη του καθεστώτος ταξιδιών χωρίς υποχρέωση θεώρησης, θα πρέπει να ανταλλάσσουν επίσης με όλα τα κράτη μέλη τα πιστοποιητικά που θα τους επιτρέπουν να ταυτοποιούν και να διαβάζουν τις πληροφορίες που αποθηκεύονται στο πλινθίο των τουρκικών διαβατηρίων.</w:t>
      </w:r>
      <w:r w:rsidR="001D3521">
        <w:rPr>
          <w:rFonts w:ascii="Times New Roman" w:hAnsi="Times New Roman"/>
          <w:sz w:val="24"/>
        </w:rPr>
        <w:t xml:space="preserve"> </w:t>
      </w:r>
    </w:p>
    <w:p w:rsidR="00604B00" w:rsidRPr="00604B00" w:rsidRDefault="00604B00" w:rsidP="009D3EEE">
      <w:pPr>
        <w:autoSpaceDE w:val="0"/>
        <w:autoSpaceDN w:val="0"/>
        <w:adjustRightInd w:val="0"/>
        <w:spacing w:after="120" w:line="240" w:lineRule="auto"/>
        <w:jc w:val="both"/>
        <w:rPr>
          <w:rFonts w:ascii="Times New Roman" w:eastAsia="Calibri" w:hAnsi="Times New Roman" w:cs="Times New Roman"/>
          <w:b/>
          <w:bCs/>
          <w:sz w:val="24"/>
          <w:szCs w:val="24"/>
          <w:u w:val="single"/>
        </w:rPr>
      </w:pPr>
    </w:p>
    <w:p w:rsidR="00506FA1" w:rsidRPr="00506FA1" w:rsidRDefault="00506FA1" w:rsidP="008C480A">
      <w:pPr>
        <w:keepNext/>
        <w:autoSpaceDE w:val="0"/>
        <w:autoSpaceDN w:val="0"/>
        <w:adjustRightInd w:val="0"/>
        <w:spacing w:after="120" w:line="240" w:lineRule="auto"/>
        <w:jc w:val="both"/>
        <w:rPr>
          <w:rFonts w:ascii="Times New Roman" w:eastAsia="Calibri" w:hAnsi="Times New Roman" w:cs="Times New Roman"/>
          <w:b/>
          <w:bCs/>
          <w:sz w:val="24"/>
          <w:szCs w:val="24"/>
          <w:u w:val="single"/>
        </w:rPr>
      </w:pPr>
      <w:r>
        <w:rPr>
          <w:rFonts w:ascii="Times New Roman" w:hAnsi="Times New Roman"/>
          <w:b/>
          <w:sz w:val="24"/>
          <w:u w:val="single"/>
        </w:rPr>
        <w:t>3. ΕΝΟΤΗΤΑ 2: ΔΙΑΧΕΙΡΙΣΗ ΤΗΣ ΜΕΤΑΝΑΣΤΕΥΣΗΣ</w:t>
      </w:r>
    </w:p>
    <w:p w:rsidR="00B31D09" w:rsidRDefault="001356A3" w:rsidP="009E4BF2">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Με σειρά πρωτοβουλιών που άρχισαν να υλοποιούνται σταδιακά από τις τουρκικές αρχές όσον αφορά τη διαχείριση των συνόρων, τη διαχείριση της μετανάστευσης, τη διεθνή προστασία και την πολιτική θεωρήσεων, πληρούνται πλέον όλες οι απαιτήσεις στο πλαίσιο της παρούσας ενότητας.</w:t>
      </w:r>
    </w:p>
    <w:p w:rsidR="00F862DA" w:rsidRDefault="0040217F" w:rsidP="009E4BF2">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Μέσω δράσεων στον τομέα της </w:t>
      </w:r>
      <w:r>
        <w:rPr>
          <w:rFonts w:ascii="Times New Roman" w:hAnsi="Times New Roman"/>
          <w:b/>
          <w:sz w:val="24"/>
        </w:rPr>
        <w:t>διαχείρισης των συνόρων</w:t>
      </w:r>
      <w:r>
        <w:rPr>
          <w:rFonts w:ascii="Times New Roman" w:hAnsi="Times New Roman"/>
          <w:sz w:val="24"/>
        </w:rPr>
        <w:t xml:space="preserve">, οι τουρκικές αρχές έχουν επιτύχει να μειώσουν σημαντικά τον αριθμό των ατόμων που διασχίζουν παράτυπα το </w:t>
      </w:r>
      <w:r>
        <w:rPr>
          <w:rFonts w:ascii="Times New Roman" w:hAnsi="Times New Roman"/>
          <w:sz w:val="24"/>
        </w:rPr>
        <w:lastRenderedPageBreak/>
        <w:t>τουρκικό έδαφος με προορισμό τα ελληνικά νησιά. Ενώ τον Ιανουάριο και τον Φεβρουάριο του 2016, οι μέσες ημερήσιες αφίξεις ανέρχονταν σε 1 987 και 1 942 αντίστοιχα, τον Μάρτιο και τον Απρίλιο ανήλθαν σε 852 και 140 αντίστοιχα. Το αποτέλεσμα αυτό έχει επιτευχθεί εν μέρει μέσω ενισχυμένων περιπολιών των παράκτιων περιοχών και του Αιγαίου, και εν μέρει με τη λήψη αυστηρότερων μέτρων για τον περιορισμό της εσωτερικής κινητικότητας των αιτούντων άσυλο και των προσφύγων στην Τουρκία. Η υλοποίηση της δήλωσης ΕΕ-Τουρκίας της 18ης Μαρτίου 2016 έπαιξε επίσης σημαντικό ρόλο στην αποθάρρυνση των παράτυπων αναχωρήσεων μεταναστών.</w:t>
      </w:r>
    </w:p>
    <w:p w:rsidR="00A335F4" w:rsidRDefault="00A335F4" w:rsidP="00506FA1">
      <w:pPr>
        <w:autoSpaceDE w:val="0"/>
        <w:autoSpaceDN w:val="0"/>
        <w:adjustRightInd w:val="0"/>
        <w:spacing w:after="120" w:line="240" w:lineRule="auto"/>
        <w:jc w:val="both"/>
        <w:rPr>
          <w:rFonts w:ascii="Times New Roman" w:eastAsia="Calibri" w:hAnsi="Times New Roman" w:cs="Times New Roman"/>
          <w:bCs/>
          <w:sz w:val="24"/>
          <w:szCs w:val="24"/>
        </w:rPr>
      </w:pPr>
      <w:r>
        <w:rPr>
          <w:rFonts w:ascii="Times New Roman" w:hAnsi="Times New Roman"/>
          <w:sz w:val="24"/>
        </w:rPr>
        <w:t>Κατά τους προσεχείς μήνες, θα είναι σημαντικό, αφενός, να συνεχίσουν οι τουρκικές αρχές τις προσπάθειές τους για την πρόληψη της παράτυπης εξόδου, μεταξύ άλλων με την καταπολέμηση εγκληματικών οργανώσεων που ελέγχουν τη λαθραία διακίνηση μεταναστών, και, αφετέρου, να παραμείνουν σε εγρήγορση όσον αφορά το ενδεχόμενο εμφάνισης νέων και εναλλακτικών μεταναστευτικών οδών προς την ΕΕ.</w:t>
      </w:r>
    </w:p>
    <w:p w:rsidR="00EA6B38" w:rsidRDefault="0040217F" w:rsidP="009D3EEE">
      <w:pPr>
        <w:autoSpaceDE w:val="0"/>
        <w:autoSpaceDN w:val="0"/>
        <w:adjustRightInd w:val="0"/>
        <w:spacing w:after="120" w:line="240" w:lineRule="auto"/>
        <w:jc w:val="both"/>
        <w:rPr>
          <w:rFonts w:ascii="Times New Roman" w:hAnsi="Times New Roman"/>
          <w:bCs/>
          <w:sz w:val="24"/>
          <w:szCs w:val="24"/>
        </w:rPr>
      </w:pPr>
      <w:r>
        <w:rPr>
          <w:rFonts w:ascii="Times New Roman" w:hAnsi="Times New Roman"/>
          <w:sz w:val="24"/>
        </w:rPr>
        <w:t xml:space="preserve">Οι τουρκικές αρχές έχουν κυρώσει τη συμφωνία για τη σύσταση του τριμερούς κέντρου συνοριακής συνεργασίας στο συνοριακό σημείο διέλευσης Capitan Andreevo. Η εν λόγω συμφωνία θα πρέπει να τεθεί σε εφαρμογή το συντομότερο δυνατόν. Οι τουρκικές αρχές κοινοποίησαν επίσημα στους Έλληνες εταίρους τους την προθυμία τους για τη δημιουργία ασφαλούς γραμμής επικοινωνίας που να συνδέει την ακτοφυλακή των δύο χωρών. Έχουν ξεκινήσει συζητήσεις σε τεχνικό επίπεδο. Η δημιουργία της εν λόγω γραμμής επικοινωνίας θα πρέπει να διευκολύνει την ανταλλαγή πληροφοριών σχετικά με τη λαθραία διακίνηση μεταναστών, καθώς και τον συντονισμό των περιπολιών στη θάλασσα. </w:t>
      </w:r>
    </w:p>
    <w:p w:rsidR="00011CF8" w:rsidRPr="00891F69" w:rsidRDefault="0040217F" w:rsidP="009D3EEE">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Οι τουρκικές αρχές έλαβαν επίσης την απόφαση να δημιουργήσουν το εθνικό κέντρο ανάλυσης κινδύνου (NACORAC), η ανάπτυξη του οποίου θα υποστηριχθεί από σχέδιο χρηματοδοτούμενο από την ΕΕ. Άλλα ήδη προβλεπόμενα σχέδια, χρηματοδοτούμενα από την ΕΕ, θα συμβάλουν στην ενίσχυση της επιτήρησης των συνόρων κατά μήκος των ανατολικών συνόρων της Τουρκίας για την αποφυγή μη εντοπιζόμενης διέλευσης των συνόρων. Τέλος, οι τουρκικές αρχές ενέκριναν επίσης κοινό κώδικα δεοντολογίας και κανόνες για την καταπολέμηση της διαφθοράς που ισχύουν για το προσωπικό που προσλαμβάνουν οι υπηρεσίες διαχείρισης των συνόρων. </w:t>
      </w:r>
    </w:p>
    <w:p w:rsidR="000D3854" w:rsidRDefault="00C31871" w:rsidP="009D3EEE">
      <w:pPr>
        <w:autoSpaceDE w:val="0"/>
        <w:autoSpaceDN w:val="0"/>
        <w:adjustRightInd w:val="0"/>
        <w:spacing w:after="120" w:line="240" w:lineRule="auto"/>
        <w:jc w:val="both"/>
        <w:rPr>
          <w:rFonts w:ascii="Times New Roman" w:hAnsi="Times New Roman"/>
          <w:bCs/>
          <w:sz w:val="24"/>
          <w:szCs w:val="24"/>
        </w:rPr>
      </w:pPr>
      <w:r>
        <w:rPr>
          <w:rFonts w:ascii="Times New Roman" w:hAnsi="Times New Roman"/>
          <w:sz w:val="24"/>
        </w:rPr>
        <w:t xml:space="preserve">Στον τομέα του </w:t>
      </w:r>
      <w:r>
        <w:rPr>
          <w:rFonts w:ascii="Times New Roman" w:hAnsi="Times New Roman"/>
          <w:b/>
          <w:sz w:val="24"/>
        </w:rPr>
        <w:t>ασύλου</w:t>
      </w:r>
      <w:r>
        <w:rPr>
          <w:rFonts w:ascii="Times New Roman" w:hAnsi="Times New Roman"/>
          <w:sz w:val="24"/>
        </w:rPr>
        <w:t xml:space="preserve">, η Τουρκία έχει επίσης λάβει πολύ σημαντικά μέτρα. </w:t>
      </w:r>
    </w:p>
    <w:p w:rsidR="007D1782" w:rsidRDefault="00EA6B38" w:rsidP="009D3EEE">
      <w:pPr>
        <w:autoSpaceDE w:val="0"/>
        <w:autoSpaceDN w:val="0"/>
        <w:adjustRightInd w:val="0"/>
        <w:spacing w:after="120" w:line="240" w:lineRule="auto"/>
        <w:jc w:val="both"/>
        <w:rPr>
          <w:rFonts w:ascii="Times New Roman" w:hAnsi="Times New Roman"/>
          <w:bCs/>
          <w:sz w:val="24"/>
          <w:szCs w:val="24"/>
        </w:rPr>
      </w:pPr>
      <w:r>
        <w:rPr>
          <w:rFonts w:ascii="Times New Roman" w:hAnsi="Times New Roman"/>
          <w:sz w:val="24"/>
        </w:rPr>
        <w:t>Κατ’ αρχάς η Γενική Διεύθυνση Διαχείρισης της Μετανάστευσης (DGMM), υπεύθυνη για τη διαχείριση του τουρκικού συστήματος ασύλου, διεκπεραιώνει πλέον χωρίς καθυστέρηση όλες τις νέες αιτήσεις διεθνούς προστασίας. Η DGMM άρχισε επίσης να μειώνει τη συσσώρευση όλων των παλαιών, εν αναμονή αξιολόγησης, αιτήσεων ασύλου, οι οποίες, στα τέλη Φεβρουαρίου, ανέρχονταν συνολικά σε 140 000 περίπου. Χάρη στη νέα προορατική προσέγγιση της DGMM, και την κινητοποίηση πρόσθετων ανθρώπινων πόρων, η συσσώρευση είχε μειωθεί ήδη σε περίπου 100 000 εκκρεμείς αιτήσεις ασύλου στα τέλη Απριλίου. Μολονότι η DGMM προχωρεί τώρα με ταχείς ρυθμούς στην επεξεργασία των αιτήσεων ασύλου, δεν είναι αντικειμενικά εφικτό να υποβληθεί σε επεξεργασία το σύνολο των εκκρεμών αιτήσεων ασύλου έως το τέλος Ιουνίου του 2016, δηλ. εντός της προθεσμίας που ορίζεται στην ανακοίνωση της 18ης Μαρτίου για την ολοκλήρωση της διαδικασίας ελευθέρωσης του καθεστώτος θεωρήσεων. Ωστόσο, η DGMM έχει εκπονήσει και θέτει ήδη σε εφαρμογή χάρτη πορείας βάσει του οποίου σχεδιάζει να ολοκληρώσει τις εργασίες της έως τα τέλη του 2016.</w:t>
      </w:r>
      <w:r w:rsidR="001D3521">
        <w:rPr>
          <w:rFonts w:ascii="Times New Roman" w:hAnsi="Times New Roman"/>
          <w:sz w:val="24"/>
        </w:rPr>
        <w:t xml:space="preserve"> </w:t>
      </w:r>
    </w:p>
    <w:p w:rsidR="0085374D" w:rsidRDefault="00594A6B" w:rsidP="009D3EEE">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Οι τουρκικές αρχές εξακολούθησαν επίσης να σημειώνουν πρόοδο όσον αφορά την παροχή κοινωνικής βοήθειας στους πρόσφυγες που φιλοξενούνται στη χώρα. Στις 27 Απριλίου 2015, η τουρκική κυβέρνηση εξέδωσε κανονισμό για την παροχή στους αιτούντες άσυλο και τους δικαιούχους διεθνούς προστασίας πρόσβασης σε άδειες εργασίας, υπό όρους συγκρίσιμους με </w:t>
      </w:r>
      <w:r>
        <w:rPr>
          <w:rFonts w:ascii="Times New Roman" w:hAnsi="Times New Roman"/>
          <w:sz w:val="24"/>
        </w:rPr>
        <w:lastRenderedPageBreak/>
        <w:t>εκείνους που είχε ήδη χορηγήσει τον Ιανουάριο του 2015 στους πρόσφυγες από τη Συρία στο πλαίσιο καθεστώτος προσωρινής προστασίας.</w:t>
      </w:r>
    </w:p>
    <w:p w:rsidR="00C31871" w:rsidRDefault="006B1BF9" w:rsidP="009D3EEE">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Θα είναι σημαντικό οι τουρκικές αρχές να συνεχίσουν στο εγγύς μέλλον, αξιοποιώντας τη χορηγούμενη</w:t>
      </w:r>
      <w:r w:rsidR="001D3521">
        <w:rPr>
          <w:rFonts w:ascii="Times New Roman" w:hAnsi="Times New Roman"/>
          <w:sz w:val="24"/>
        </w:rPr>
        <w:t xml:space="preserve"> </w:t>
      </w:r>
      <w:r>
        <w:rPr>
          <w:rFonts w:ascii="Times New Roman" w:hAnsi="Times New Roman"/>
          <w:sz w:val="24"/>
        </w:rPr>
        <w:t xml:space="preserve">από την ΕΕ και τα κράτη μέλη της χρηματοδοτική βοήθεια, η οποία έχει αυξηθεί από τότε που τέθηκε σε λειτουργία η διευκόλυνση στήριξης της Τουρκίας για τους πρόσφυγες (FRIT), να θεσπίζουν μέτρα που θα διευκολύνουν την πρόσβαση των αιτούντων και των δικαιούχων διεθνούς προστασίας σε κοινωνικές υπηρεσίες, αξιοπρεπή στέγαση, επαγγελματική και γλωσσική κατάρτιση, και να στηρίζουν κάθε πρωτοβουλία που συμβάλλει στην κοινωνική ένταξη και οικονομική τους αυτάρκεια εντός της τουρκικής κοινωνίας. </w:t>
      </w:r>
    </w:p>
    <w:p w:rsidR="0085374D" w:rsidRDefault="00800B97" w:rsidP="009D3EEE">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Πρόοδος σημειώθηκε επίσης από τις τουρκικές αρχές, κατά την περίοδο αναφοράς, και στον τομέα </w:t>
      </w:r>
      <w:r>
        <w:rPr>
          <w:rFonts w:ascii="Times New Roman" w:hAnsi="Times New Roman"/>
          <w:b/>
          <w:sz w:val="24"/>
        </w:rPr>
        <w:t>διαχείρισης της μετανάστευσης</w:t>
      </w:r>
      <w:r>
        <w:rPr>
          <w:rFonts w:ascii="Times New Roman" w:hAnsi="Times New Roman"/>
          <w:sz w:val="24"/>
        </w:rPr>
        <w:t xml:space="preserve">. </w:t>
      </w:r>
    </w:p>
    <w:p w:rsidR="00800B97" w:rsidRPr="006B1BF9" w:rsidRDefault="004B69F6" w:rsidP="009D3EEE">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Οι διαδικασίες και αρχές υλοποίησης που διέπουν την οικειοθελή επιστροφή αλλοδαπών εγκρίθηκαν στις 26 Απριλίου 2016. Η συμφωνία επανεισδοχής με το Πακιστάν κυρώθηκε και τέθηκε σε ισχύ στις 20 Απριλίου 2016. Σύναψη συμφωνιών επανεισδοχής προτάθηκε επίσης από τις τουρκικές αρχές σε </w:t>
      </w:r>
      <w:r>
        <w:rPr>
          <w:rFonts w:ascii="Times New Roman" w:hAnsi="Times New Roman"/>
          <w:color w:val="191919"/>
          <w:sz w:val="24"/>
        </w:rPr>
        <w:t>δεκατέσσερις χώρες προέλευσης παράτυπων μεταναστών, συγκεκριμένα στο Αφγανιστάν, την Αλγερία, το Μπαγκλαντές, το Καμερούν, το Κονγκό, την Ερυθραία, την Γκάνα, το Ιράν, το Ιράκ, το Μαρόκο, τη Μιανμάρ, τη Σομαλία, το Σουδάν και την Τυνησία</w:t>
      </w:r>
      <w:r>
        <w:rPr>
          <w:rFonts w:ascii="Times New Roman" w:hAnsi="Times New Roman"/>
          <w:sz w:val="24"/>
        </w:rPr>
        <w:t>.</w:t>
      </w:r>
      <w:r w:rsidR="001D3521">
        <w:rPr>
          <w:rFonts w:ascii="Times New Roman" w:hAnsi="Times New Roman"/>
          <w:color w:val="191919"/>
          <w:sz w:val="24"/>
        </w:rPr>
        <w:t xml:space="preserve"> </w:t>
      </w:r>
      <w:r>
        <w:rPr>
          <w:rFonts w:ascii="Times New Roman" w:hAnsi="Times New Roman"/>
          <w:color w:val="191919"/>
          <w:sz w:val="24"/>
        </w:rPr>
        <w:t xml:space="preserve">Οι διαπραγματεύσεις με </w:t>
      </w:r>
      <w:r>
        <w:rPr>
          <w:rFonts w:ascii="Times New Roman" w:hAnsi="Times New Roman"/>
          <w:sz w:val="24"/>
        </w:rPr>
        <w:t>ορισμένες από τις χώρες αυτές έχουν ξεκινήσει.</w:t>
      </w:r>
    </w:p>
    <w:p w:rsidR="00B7285A" w:rsidRPr="001E6D55" w:rsidRDefault="003B39D0" w:rsidP="001E6D55">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rPr>
        <w:t xml:space="preserve">Στον τομέα της </w:t>
      </w:r>
      <w:r>
        <w:rPr>
          <w:rFonts w:ascii="Times New Roman" w:hAnsi="Times New Roman"/>
          <w:b/>
          <w:sz w:val="24"/>
        </w:rPr>
        <w:t>πολιτικής θεωρήσεων</w:t>
      </w:r>
      <w:r>
        <w:rPr>
          <w:rFonts w:ascii="Times New Roman" w:hAnsi="Times New Roman"/>
          <w:sz w:val="24"/>
        </w:rPr>
        <w:t>, στις 2 Μαΐου 2016, η τουρκική κυβέρνηση εξέδωσε διάταγμα που αναφέρει ότι οι πολίτες όλων των κρατών μελών θα μπορούν να εισέρχονται στην Τουρκία από την ημερομηνία άρσης της υποχρέωσης θεώρησης για τους τούρκους πολίτες. Με τον τρόπο αυτό εξασφαλίζεται το τέλος της εμπεριέχουσας διακρίσεις υποχρέωσης θεώρησης στην οποία εξακολουθούν να υπόκεινται οι πολίτες έντεκα κρατών μελών.</w:t>
      </w:r>
      <w:r>
        <w:rPr>
          <w:rFonts w:ascii="Times New Roman" w:hAnsi="Times New Roman"/>
          <w:b/>
          <w:sz w:val="24"/>
        </w:rPr>
        <w:t xml:space="preserve"> </w:t>
      </w:r>
    </w:p>
    <w:p w:rsidR="003B39D0" w:rsidRDefault="000722ED" w:rsidP="003B39D0">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Οι τουρκικές αρχές έλαβαν επίσης διάφορα μέτρα για την ενίσχυση του οικείου συστήματος θεωρήσεων έναντι των χωρών που θεωρείται ότι διατρέχουν υψηλό μεταναστευτικό κίνδυνο.</w:t>
      </w:r>
    </w:p>
    <w:p w:rsidR="003B39D0" w:rsidRDefault="003B39D0" w:rsidP="003B39D0">
      <w:pPr>
        <w:autoSpaceDE w:val="0"/>
        <w:autoSpaceDN w:val="0"/>
        <w:adjustRightInd w:val="0"/>
        <w:spacing w:after="120" w:line="240" w:lineRule="auto"/>
        <w:jc w:val="both"/>
        <w:rPr>
          <w:rStyle w:val="bumpedfont15"/>
          <w:rFonts w:ascii="Times New Roman" w:hAnsi="Times New Roman" w:cs="Times New Roman"/>
          <w:sz w:val="24"/>
          <w:szCs w:val="24"/>
        </w:rPr>
      </w:pPr>
      <w:r>
        <w:rPr>
          <w:rFonts w:ascii="Times New Roman" w:hAnsi="Times New Roman"/>
          <w:sz w:val="24"/>
        </w:rPr>
        <w:t xml:space="preserve">Προβλέπουν αυστηρότερες διαδικασίες και απαιτήσεις για την έκδοση θεωρήσεων από τις πρεσβείες τους με την έκδοση, στις 26 Απριλίου 2016, </w:t>
      </w:r>
      <w:r>
        <w:rPr>
          <w:rStyle w:val="bumpedfont15"/>
          <w:rFonts w:ascii="Times New Roman" w:hAnsi="Times New Roman"/>
          <w:sz w:val="24"/>
        </w:rPr>
        <w:t>οδηγίας σχετικά με τις αρχές και τις διαδικασίες που διέπουν την αξιολόγηση των αιτήσεων θεώρησης</w:t>
      </w:r>
      <w:r>
        <w:rPr>
          <w:rFonts w:ascii="Times New Roman" w:hAnsi="Times New Roman"/>
          <w:sz w:val="24"/>
        </w:rPr>
        <w:t>.</w:t>
      </w:r>
      <w:r>
        <w:rPr>
          <w:rStyle w:val="bumpedfont15"/>
          <w:rFonts w:ascii="Times New Roman" w:hAnsi="Times New Roman"/>
          <w:sz w:val="24"/>
        </w:rPr>
        <w:t xml:space="preserve"> </w:t>
      </w:r>
    </w:p>
    <w:p w:rsidR="00C53CB8" w:rsidRDefault="0085374D" w:rsidP="003B39D0">
      <w:pPr>
        <w:autoSpaceDE w:val="0"/>
        <w:autoSpaceDN w:val="0"/>
        <w:adjustRightInd w:val="0"/>
        <w:spacing w:after="120" w:line="240" w:lineRule="auto"/>
        <w:jc w:val="both"/>
        <w:rPr>
          <w:rFonts w:ascii="Times New Roman" w:eastAsia="Calibri" w:hAnsi="Times New Roman" w:cs="Times New Roman"/>
          <w:sz w:val="24"/>
          <w:szCs w:val="24"/>
        </w:rPr>
      </w:pPr>
      <w:r>
        <w:rPr>
          <w:rStyle w:val="bumpedfont15"/>
          <w:rFonts w:ascii="Times New Roman" w:hAnsi="Times New Roman"/>
          <w:sz w:val="24"/>
        </w:rPr>
        <w:t xml:space="preserve">Οι τουρκικές αρχές αποφάσισαν επίσης να επιβάλουν </w:t>
      </w:r>
      <w:r>
        <w:rPr>
          <w:rFonts w:ascii="Times New Roman" w:hAnsi="Times New Roman"/>
          <w:sz w:val="24"/>
        </w:rPr>
        <w:t xml:space="preserve">θεωρήσεις διέλευσης από αερολιμένα στους πολίτες 18 χωρών (Αφγανιστάν, Μπανγκλαντές, Καμερούν, Κονγκό, Λαϊκή Δημοκρατία του Κονγκό, Ερυθραία, Γκάνα, Ακτή Ελεφαντοστού, Μάλι, Μιανμάρ, Νιγηρία, Πακιστάν, Σομαλία, Νότια Αφρική, Σρι Λάνκα, Σουδάν, Ουγκάντα) με διάταξη που θα αρχίσει να ισχύει την 1η Σεπτεμβρίου 2016. </w:t>
      </w:r>
    </w:p>
    <w:p w:rsidR="002B3573" w:rsidRDefault="001B1420" w:rsidP="009D3EEE">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Πολύ ασφαλέστερο έχει καταστεί και το τουρκικό σύστημα ηλεκτρονικών θεωρήσεων. Η δυνατότητα να επωφεληθούν του συστήματος αυτού έχει περιοριστεί είτε σε υπηκόους χωρών που δεν είναι χώρες προέλευσης παράτυπων μεταναστευτικών ροών, είτε σε υπηκόους χωρών προέλευσης που κατέχουν έγκυρη θεώρηση ή άδεια διαμονής που έχει εκδοθεί από χώρα του Σένγκεν, ή από τις Ηνωμένες Πολιτείες, το Ηνωμένο Βασίλειο ή την Ιρλανδία. Οι τουρκικές αρχές έχουν επίσης δημιουργήσει ειδικές θυρίδες, στα περισσότερα συνοριακά σημεία διέλευσης της χώρας, όπου ειδικά καταρτισμένοι αστυνομικοί εξακριβώνουν αν όντως υπάρχουν οι εν λόγω θεωρήσεις ή άδειες διαμονής στα διαβατήρια των κατόχων ηλεκτρονικής θεώρησης. </w:t>
      </w:r>
    </w:p>
    <w:p w:rsidR="003D0226" w:rsidRDefault="002B3573" w:rsidP="009D3EEE">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Στο εγγύς μέλλον, θα είναι εξαιρετικά σημαντικό να συνεχίσει η Τουρκία σταδιακά να ευθυγραμμίζει περαιτέρω το οικείο σύστημα θεωρήσεων με τα πρότυπα της ΕΕ. </w:t>
      </w:r>
    </w:p>
    <w:p w:rsidR="003D0226" w:rsidRDefault="000722ED" w:rsidP="009D3EEE">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lastRenderedPageBreak/>
        <w:t>Βραχυπρόθεσμα, οι τουρκικές αρχές θα πρέπει να συνεχίσουν να παρακολουθούν τις πρακτικές συνέπειες που απορρέουν από το γεγονός ότι ο κατάλογος των χωρών για τις οποίες δεν απαιτείται θεώρηση εισόδου σύμφωνα με το τουρκικό καθεστώς απαλλαγής εξακολουθεί να διαφέρει από τον κατάλογο που καταρτίστηκε για την είσοδο στην ΕΕ, και να αντιδρούν εγκαίρως σε περίπτωση που φαίνεται ότι η διαφορά αυτή διευκολύνει την άφιξη παράτυπων μεταναστών μέσω της Τουρκίας προς την ΕΕ.</w:t>
      </w:r>
      <w:r w:rsidR="001D3521">
        <w:rPr>
          <w:rFonts w:ascii="Times New Roman" w:hAnsi="Times New Roman"/>
          <w:sz w:val="24"/>
        </w:rPr>
        <w:t xml:space="preserve"> </w:t>
      </w:r>
    </w:p>
    <w:p w:rsidR="004D116F" w:rsidRPr="0085374D" w:rsidRDefault="00C53CB8" w:rsidP="009D3EEE">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Τον Ιανουάριο και τον Φεβρουάριο του 2016, οι τουρκικές αρχές, διαπιστώνοντας ότι τούτο ίσχυε για τους Σύριους και τους Ιρακινούς, επέβαλαν αποτελεσματικότερες υποχρεώσεις θεώρησης για αυτές τις δύο ιθαγένειες. Τούτο συνέβαλε στην εξάλειψη των υψηλών παράτυπων μεταναστευτικών ροών προς την ΕΕ. Οι τουρκικές αρχές θα πρέπει να είναι προετοιμασμένες να επαναλάβουν την πρακτική αυτή και στο μέλλον και να επιβάλουν χωρίς καθυστέρηση υποχρεώσεις θεώρησης σε επιπλέον χώρες για τις οποίες δεν απαιτείται θεώρηση εισόδου, μόλις φανεί ότι πολλοί από τους πολίτες των χωρών αυτών κάνουν κατάχρηση της δυνατότητας εισόδου στην Τουρκία χωρίς θεώρηση. Τούτο ισχύει ακόμη περισσότερο εάν ελλοχεύει ο κίνδυνος επακόλουθης παράτυπης μετανάστευσης προς την ΕΕ. Ιδιαίτερη σημασία προσλαμβάνουν τα παραδείγματα του Ιράν, του Μαρόκου και του Λιβάνου, τριών χωρών για τις οποίες δεν απαιτείται θεώρηση, από τις οποίες το 2015, 23 087, 7 419 και 2 044 παράτυποι μετανάστες έφθασαν αντίστοιχα στην ΕΕ μέσω του τουρκικού εδάφους.</w:t>
      </w:r>
    </w:p>
    <w:p w:rsidR="00506FA1" w:rsidRPr="00506FA1" w:rsidRDefault="00506FA1" w:rsidP="00506FA1">
      <w:pPr>
        <w:autoSpaceDE w:val="0"/>
        <w:autoSpaceDN w:val="0"/>
        <w:adjustRightInd w:val="0"/>
        <w:spacing w:after="120" w:line="240" w:lineRule="auto"/>
        <w:jc w:val="both"/>
        <w:rPr>
          <w:rFonts w:ascii="Times New Roman" w:eastAsia="Calibri" w:hAnsi="Times New Roman" w:cs="Times New Roman"/>
          <w:sz w:val="24"/>
          <w:szCs w:val="24"/>
        </w:rPr>
      </w:pPr>
    </w:p>
    <w:p w:rsidR="00506FA1" w:rsidRPr="00506FA1" w:rsidRDefault="00506FA1" w:rsidP="008C480A">
      <w:pPr>
        <w:keepNext/>
        <w:autoSpaceDE w:val="0"/>
        <w:autoSpaceDN w:val="0"/>
        <w:adjustRightInd w:val="0"/>
        <w:spacing w:after="120" w:line="240" w:lineRule="auto"/>
        <w:jc w:val="both"/>
        <w:rPr>
          <w:rFonts w:ascii="Times New Roman" w:eastAsia="Calibri" w:hAnsi="Times New Roman" w:cs="Times New Roman"/>
          <w:b/>
          <w:bCs/>
          <w:sz w:val="24"/>
          <w:szCs w:val="24"/>
          <w:u w:val="single"/>
        </w:rPr>
      </w:pPr>
      <w:r>
        <w:rPr>
          <w:rFonts w:ascii="Times New Roman" w:hAnsi="Times New Roman"/>
          <w:b/>
          <w:sz w:val="24"/>
          <w:u w:val="single"/>
        </w:rPr>
        <w:t>4. ΕΝΟΤΗΤΑ 3: ΔΗΜΟΣΙΑ ΤΑΞΗ ΚΑΙ ΑΣΦΑΛΕΙΑ</w:t>
      </w:r>
    </w:p>
    <w:p w:rsidR="00BD4266" w:rsidRDefault="004E55C4" w:rsidP="00EC49D4">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Μετά την έκδοση της δεύτερης έκθεσης, οι τουρκικές αρχές έλαβαν πολλά μέτρα βάσει της ενότητας 3, τα οποία οδήγησαν σε σημαντικά βήματα προόδου.</w:t>
      </w:r>
    </w:p>
    <w:p w:rsidR="00800B97" w:rsidRPr="008969D2" w:rsidRDefault="00F21323" w:rsidP="009D3EEE">
      <w:pPr>
        <w:widowControl w:val="0"/>
        <w:autoSpaceDE w:val="0"/>
        <w:autoSpaceDN w:val="0"/>
        <w:spacing w:after="120" w:line="240" w:lineRule="auto"/>
        <w:jc w:val="both"/>
        <w:rPr>
          <w:rFonts w:ascii="Times New Roman" w:eastAsia="Calibri" w:hAnsi="Times New Roman" w:cs="Times New Roman"/>
          <w:sz w:val="24"/>
          <w:szCs w:val="24"/>
        </w:rPr>
      </w:pPr>
      <w:r>
        <w:rPr>
          <w:rFonts w:ascii="Times New Roman" w:hAnsi="Times New Roman"/>
          <w:sz w:val="24"/>
        </w:rPr>
        <w:t>Ειδικότερα, η Τουρκία εξέδωσε νέα στρατηγική και σχέδιο δράσης για την καταπολέμηση του οργανωμένου εγκλήματος, το οποίο πρέπει τώρα να εφαρμόσει πλήρως, ιδίως σε ό, τι αφορά δράσεις που στοχεύουν στον περιορισμό του διασυνοριακού εγκλήματος, όπως το λαθρεμπόριο όπλων. Στις 18 Απριλίου 2016, η Τουρκία ενέκρινε επίσης νέα στρατηγική και πολυετές σχέδιο δράσης για την καταπολέμηση του λαθρεμπορίου ναρκωτικών, για την περίοδο 2016-2018. Στις 30 Απριλίου 2016, οι τουρκικές αρχές ενέκριναν, επίσης, εθνικό σχέδιο δράσης για την καταπολέμηση της διαφθοράς.</w:t>
      </w:r>
    </w:p>
    <w:p w:rsidR="00800B97" w:rsidRDefault="009526B5" w:rsidP="009D3EEE">
      <w:pPr>
        <w:widowControl w:val="0"/>
        <w:autoSpaceDE w:val="0"/>
        <w:autoSpaceDN w:val="0"/>
        <w:spacing w:after="120" w:line="240" w:lineRule="auto"/>
        <w:jc w:val="both"/>
        <w:rPr>
          <w:rFonts w:ascii="Times New Roman" w:hAnsi="Times New Roman" w:cs="Times New Roman"/>
          <w:sz w:val="24"/>
          <w:szCs w:val="24"/>
        </w:rPr>
      </w:pPr>
      <w:r>
        <w:rPr>
          <w:rFonts w:ascii="Times New Roman" w:hAnsi="Times New Roman"/>
          <w:sz w:val="24"/>
        </w:rPr>
        <w:t>Επιπλέον, η Τουρκία κύρωσε τη σύμβαση του Συμβουλίου της Ευρώπης</w:t>
      </w:r>
      <w:r w:rsidR="001D3521">
        <w:rPr>
          <w:rFonts w:ascii="Times New Roman" w:hAnsi="Times New Roman"/>
          <w:sz w:val="24"/>
        </w:rPr>
        <w:t xml:space="preserve"> </w:t>
      </w:r>
      <w:r>
        <w:rPr>
          <w:rFonts w:ascii="Times New Roman" w:hAnsi="Times New Roman"/>
          <w:sz w:val="24"/>
        </w:rPr>
        <w:t>για το ξέπλυμα, την έρευνα, την κατάσχεση και δήμευση προϊόντων που προέρχονται από εγκληματικές δραστηριότητες και για τη χρηματοδότηση της τρομοκρατίας, εκδίδοντας παράλληλα νομοθεσία για την ευθυγράμμιση του εθνικού της πλαισίου με τις διατάξεις της εν λόγω σύμβασης. Είναι λίαν σημαντική η εφαρμογή της νέας αυτής νομοθεσίας σύμφωνα με τα αναθεωρημένα πρότυπα της ομάδας χρηματοοικονομικής δράσης. Εν τω μεταξύ, επίσης με τη βοήθεια χρηματοδοτούμενου από την ΕΕ σχεδίου, οι αρχές συνέχισαν να ενισχύουν τις ικανότητες της MASAK –της τουρκικής μονάδας χρηματοοικονομικών πληροφοριών (ΜΧΠ)– για συνεργασία με τις υπηρεσίες επιβολής του νόμου της Τουρκίας κατά την ανίχνευση και την ανάλυση της νομιμοποίησης εσόδων από παράνομες δραστηριότητες και της χρηματοδότησης της τρομοκρατίας, καθώς και για συνεργασία με τις ΜΧΠ των κρατών μελών στον τομέα αυτό</w:t>
      </w:r>
      <w:r>
        <w:rPr>
          <w:rFonts w:ascii="Times New Roman" w:hAnsi="Times New Roman"/>
          <w:color w:val="000000"/>
          <w:sz w:val="24"/>
        </w:rPr>
        <w:t>.</w:t>
      </w:r>
    </w:p>
    <w:p w:rsidR="00800B97" w:rsidRDefault="00800B97" w:rsidP="009D3EEE">
      <w:pPr>
        <w:widowControl w:val="0"/>
        <w:autoSpaceDE w:val="0"/>
        <w:autoSpaceDN w:val="0"/>
        <w:spacing w:after="120" w:line="240" w:lineRule="auto"/>
        <w:jc w:val="both"/>
        <w:rPr>
          <w:rFonts w:ascii="Times New Roman" w:eastAsia="Calibri" w:hAnsi="Times New Roman" w:cs="Times New Roman"/>
          <w:sz w:val="24"/>
          <w:szCs w:val="24"/>
        </w:rPr>
      </w:pPr>
      <w:r>
        <w:rPr>
          <w:rFonts w:ascii="Times New Roman" w:hAnsi="Times New Roman"/>
          <w:sz w:val="24"/>
        </w:rPr>
        <w:t>Επίσης η Τουρκία κύρωσε το πρόσθετο πρωτόκολλο της Σύμβασης του Συμβουλίου της Ευρώπης για τη μεταφορά καταδίκων, τα τρία πρωτόκολλα δυνάμει της σύμβασης του Συμβουλίου της Ευρώπης για την έκδοση, και ένα πρωτόκολλο στο πλαίσιο της σύμβασης του Συμβουλίου της Ευρώπης για την αμοιβαία δικαστική συνδρομή σε ποινικές υποθέσεις, στις οποίες δεν ήταν ακόμη συμβαλλόμενο μέρος.</w:t>
      </w:r>
    </w:p>
    <w:p w:rsidR="00891F69" w:rsidRDefault="00891F69" w:rsidP="00891F69">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lastRenderedPageBreak/>
        <w:t>Επιπλέον, η Τουρκία κύρωσε επίσης τη σύμβαση του Συμβουλίου της Ευρώπης για την καταπολέμηση της εμπορίας ανθρώπων και εξέδωσε εσωτερικό κανονισμό σχετικά με την εμπορία ανθρώπων. Επιπλέον, η Τουρκία κύρωσε τη Σύμβαση του Συμβουλίου της Ευρώπης σχετικά με την επεξεργασία δεδομένων προσωπικού χαρακτήρα και το πρωτόκολλό της, και θέσπισε νόμο για την προστασία των δεδομένων προσωπικού χαρακτήρα, ο οποίος, όμως, δεν συνάδει πλήρως με το κεκτημένο της Ένωσης.</w:t>
      </w:r>
      <w:r w:rsidR="001D3521">
        <w:rPr>
          <w:rFonts w:ascii="Times New Roman" w:hAnsi="Times New Roman"/>
          <w:sz w:val="24"/>
        </w:rPr>
        <w:t xml:space="preserve"> </w:t>
      </w:r>
    </w:p>
    <w:p w:rsidR="00461C8A" w:rsidRDefault="00B90731" w:rsidP="00B90731">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Η Τουρκία εξέδωσε ενιαίο πλήρη νόμο που καθορίζει τις διαδικασίες που πρέπει να ακολουθούν όλες οι αρμόδιες τουρκικές αρχές κατά την εφαρμογή των διεθνών δεσμεύσεων της Τουρκίας σχετικά με τη δικαστική συνεργασία σε ποινικές υποθέσεις. Έστω και αν ο νόμος αυτός δεν προβλέπει αυστηρές προθεσμίες για την ολοκλήρωση των διαδικασιών που προβλέπονται από τον νόμο και δεν περιλαμβάνει αντικειμενικά και διαφανή κριτήρια για την αποδοχή ή την απόρριψη της αίτησης συνεργασίας, παρά ταύτα δεν παύει να αντιπροσωπεύει σαφή βελτίωση που αναμένεται να βελτιώσει τη δικαστική συνεργασία σε ποινικές υποθέσεις μεταξύ της Τουρκίας και των κρατών μελών.</w:t>
      </w:r>
    </w:p>
    <w:p w:rsidR="00800B97" w:rsidRPr="009D3EEE" w:rsidRDefault="00461C8A" w:rsidP="009D3EEE">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Η Τουρκία έλαβε επίσης συγκεκριμένα μέτρα για την αναβάθμιση των σχέσεων συνεργασίας με την Eurojust και εξέφρασε επίσημα τη σαφή της πρόθεση να συνάψει συμφωνία συνεργασίας το συντομότερο δυνατόν. Εν αναμονή της σύναψης της εν λόγω συμφωνίας, θα είναι σημαντικό να αρχίσουν οι τούρκοι υπάλληλοι που διορίστηκαν ως αξιωματικοί σύνδεσμοι στον Οργανισμό να ασχολούνται αποτελεσματικά με τις αιτήσεις πληροφοριών και συνεργασίας που λαμβάνουν από τα άλλα συμβαλλόμενα μέρη.</w:t>
      </w:r>
      <w:r w:rsidR="001D3521">
        <w:rPr>
          <w:rFonts w:ascii="Times New Roman" w:hAnsi="Times New Roman"/>
          <w:sz w:val="24"/>
        </w:rPr>
        <w:t xml:space="preserve"> </w:t>
      </w:r>
    </w:p>
    <w:p w:rsidR="00461C8A" w:rsidRDefault="007C599A" w:rsidP="009D3EEE">
      <w:pPr>
        <w:widowControl w:val="0"/>
        <w:autoSpaceDE w:val="0"/>
        <w:autoSpaceDN w:val="0"/>
        <w:spacing w:after="120" w:line="240" w:lineRule="auto"/>
        <w:jc w:val="both"/>
        <w:rPr>
          <w:rFonts w:ascii="Times New Roman" w:eastAsia="Times New Roman" w:hAnsi="Times New Roman" w:cs="Times New Roman"/>
          <w:sz w:val="24"/>
          <w:szCs w:val="24"/>
        </w:rPr>
      </w:pPr>
      <w:r>
        <w:rPr>
          <w:rFonts w:ascii="Times New Roman" w:hAnsi="Times New Roman"/>
          <w:sz w:val="24"/>
        </w:rPr>
        <w:t>Στον τομέα της δικαστικής συνεργασίας σε αστικές υποθέσεις, η Τουρκία επικύρωσε, στις 25 Απριλίου 2016, τη σύμβαση της Χάγης του 1996 σχετικά με τη διεθνή δικαιοδοσία, το εφαρμοστέο δίκαιο, την αναγνώριση, την εκτέλεση και τη συνεργασία σε θέματα γονικής μέριμνας και μέτρων προστασίας των παιδιών, καθώς και τη σύμβαση της Χάγης του 2007 για την είσπραξη, σε διεθνές επίπεδο, απαιτήσεων διατροφής παιδιών και άλλων μορφών οικογενειακής διατροφής.</w:t>
      </w:r>
    </w:p>
    <w:p w:rsidR="00B855F4" w:rsidRDefault="00B855F4" w:rsidP="009D3EEE">
      <w:pPr>
        <w:widowControl w:val="0"/>
        <w:autoSpaceDE w:val="0"/>
        <w:autoSpaceDN w:val="0"/>
        <w:spacing w:after="120" w:line="240" w:lineRule="auto"/>
        <w:jc w:val="both"/>
        <w:rPr>
          <w:rFonts w:ascii="Times New Roman" w:eastAsia="Times New Roman" w:hAnsi="Times New Roman" w:cs="Times New Roman"/>
          <w:sz w:val="24"/>
          <w:szCs w:val="24"/>
        </w:rPr>
      </w:pPr>
      <w:r>
        <w:rPr>
          <w:rFonts w:ascii="Times New Roman" w:hAnsi="Times New Roman"/>
          <w:sz w:val="24"/>
        </w:rPr>
        <w:t xml:space="preserve">Η Τουρκία έχει καταθέσει τις πράξεις κύρωσης όλων των συμβάσεων και πρωτοκόλλων που έχει κυρώσει, με εξαίρεση τις δύο προαναφερθείσες συμβάσεις της Χάγης, καθώς και το πρόσθετο πρωτόκολλο της Σύμβασης του Συμβουλίου της Ευρώπης για την προστασία των δεδομένων προσωπικού χαρακτήρα, για το οποίο η εν λόγω διαδικασία είναι ακόμη σε εξέλιξη και θα ολοκληρωθεί το συντομότερο δυνατό. </w:t>
      </w:r>
    </w:p>
    <w:p w:rsidR="007C599A" w:rsidRPr="009D3EEE" w:rsidRDefault="00E56757" w:rsidP="009D3EEE">
      <w:pPr>
        <w:widowControl w:val="0"/>
        <w:autoSpaceDE w:val="0"/>
        <w:autoSpaceDN w:val="0"/>
        <w:spacing w:after="120" w:line="240" w:lineRule="auto"/>
        <w:jc w:val="both"/>
        <w:rPr>
          <w:rFonts w:ascii="Times New Roman" w:eastAsia="Times New Roman" w:hAnsi="Times New Roman" w:cs="Times New Roman"/>
          <w:sz w:val="24"/>
          <w:szCs w:val="24"/>
        </w:rPr>
      </w:pPr>
      <w:r>
        <w:rPr>
          <w:rFonts w:ascii="Times New Roman" w:hAnsi="Times New Roman"/>
          <w:sz w:val="24"/>
        </w:rPr>
        <w:t>Τέλος, η Τουρκία έλαβε μέτρα για την αντιμετώπιση του προβλήματος των καθυστερήσεων που παρουσιάστηκαν κατά την εφαρμογή της σύμβασης της Χάγης του 1980 για τα αστικά θέματα της διεθνούς απαγωγής παιδιών. Με δεδομένο ότι οι καθυστερήσεις αυτές προκύπτουν κυρίως κατά το στάδιο της προσφυγής και ιδίως από το γεγονός ότι, με το ισχύον σύστημα, όλες οι προσφυγές συγκεντρώνονται στο Ανώτατο Ακυρωτικό Δικαστήριο στην Άγκυρα, το Ανώτατο Συμβούλιο Δικαστών και Εισαγγελέων εξέδωσε, στις 25 Μαρτίου 2016, απόφαση για την ίδρυση περιφερειακών πολιτικών δικαστηρίων στην Άγκυρα, την Αττάλεια, το Ερζερούμ, το Γκαζιαντέπ, την Κωνσταντινούπολη, τη Σμύρνη και τη Σαμψούντα. Τα δικαστήρια θα ασχολούνται με τις υποθέσεις προσφυγών και θα αρχίσουν να λειτουργούν στις 20 Ιουλίου 2016.</w:t>
      </w:r>
      <w:r w:rsidR="001D3521">
        <w:rPr>
          <w:rFonts w:ascii="Times New Roman" w:hAnsi="Times New Roman"/>
          <w:sz w:val="24"/>
        </w:rPr>
        <w:t xml:space="preserve"> </w:t>
      </w:r>
    </w:p>
    <w:p w:rsidR="00506FA1" w:rsidRPr="00506FA1" w:rsidRDefault="001D3636" w:rsidP="00506FA1">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Παρά τις σημαντικές αυτές εξελίξεις, η εφαρμογή των απαιτήσεων της ενότητας 3 εξακολουθεί να βρίσκεται σε λιγότερο προχωρημένο στάδιο σε σχέση με τις ενότητες 1 και 2. Ορισμένες σημαντικές απαιτήσεις της ενότητας 3 παραμένουν ανεκπλήρωτες. Για την αντιμετώπιση των εν λόγω εκκρεμών απαιτήσεων, η Τουρκία καλείται να λάβει τα ακόλουθα μέτρα: </w:t>
      </w:r>
    </w:p>
    <w:p w:rsidR="00B855F4" w:rsidRPr="00E33371" w:rsidRDefault="00BD4266" w:rsidP="00BD4266">
      <w:pPr>
        <w:widowControl w:val="0"/>
        <w:numPr>
          <w:ilvl w:val="0"/>
          <w:numId w:val="6"/>
        </w:numPr>
        <w:autoSpaceDE w:val="0"/>
        <w:autoSpaceDN w:val="0"/>
        <w:spacing w:after="120" w:line="240" w:lineRule="auto"/>
        <w:jc w:val="both"/>
        <w:rPr>
          <w:rFonts w:ascii="Times New Roman" w:eastAsia="Times New Roman" w:hAnsi="Times New Roman" w:cs="Times New Roman"/>
          <w:sz w:val="24"/>
          <w:szCs w:val="24"/>
        </w:rPr>
      </w:pPr>
      <w:r>
        <w:rPr>
          <w:rFonts w:ascii="Times New Roman" w:hAnsi="Times New Roman"/>
          <w:sz w:val="24"/>
        </w:rPr>
        <w:t xml:space="preserve">να τροποποιήσει την πρόσφατα εγκριθείσα νομοθεσία σχετικά με την προστασία των </w:t>
      </w:r>
      <w:r>
        <w:rPr>
          <w:rFonts w:ascii="Times New Roman" w:hAnsi="Times New Roman"/>
          <w:sz w:val="24"/>
        </w:rPr>
        <w:lastRenderedPageBreak/>
        <w:t xml:space="preserve">δεδομένων προσωπικού χαρακτήρα, ώστε να εξασφαλίζεται η ευθυγράμμιση με το κεκτημένο της ΕΕ, </w:t>
      </w:r>
      <w:r>
        <w:rPr>
          <w:rFonts w:ascii="Times New Roman" w:hAnsi="Times New Roman"/>
          <w:color w:val="000000"/>
          <w:sz w:val="24"/>
        </w:rPr>
        <w:t>προκειμένου, ιδίως, να διασφαλίζεται ότι η αρχή προστασίας δεδομένων μπορεί να λειτουργεί ανεξάρτητα και ότι οι δραστηριότητες των υπηρεσιών επιβολής του νόμου εμπίπτουν στο πεδίο εφαρμογής του νόμου</w:t>
      </w:r>
      <w:r>
        <w:rPr>
          <w:rFonts w:ascii="Times New Roman" w:hAnsi="Times New Roman"/>
          <w:sz w:val="24"/>
        </w:rPr>
        <w:t xml:space="preserve">· </w:t>
      </w:r>
    </w:p>
    <w:p w:rsidR="00BD4266" w:rsidRPr="00BD4266" w:rsidRDefault="00B855F4" w:rsidP="00BD4266">
      <w:pPr>
        <w:widowControl w:val="0"/>
        <w:numPr>
          <w:ilvl w:val="0"/>
          <w:numId w:val="6"/>
        </w:numPr>
        <w:autoSpaceDE w:val="0"/>
        <w:autoSpaceDN w:val="0"/>
        <w:spacing w:after="120" w:line="240" w:lineRule="auto"/>
        <w:jc w:val="both"/>
        <w:rPr>
          <w:rFonts w:ascii="Times New Roman" w:eastAsia="Times New Roman" w:hAnsi="Times New Roman" w:cs="Times New Roman"/>
          <w:sz w:val="24"/>
          <w:szCs w:val="24"/>
        </w:rPr>
      </w:pPr>
      <w:r>
        <w:rPr>
          <w:rFonts w:ascii="Times New Roman" w:hAnsi="Times New Roman"/>
          <w:sz w:val="24"/>
        </w:rPr>
        <w:t>με τη σειρά της, η νέα νομοθεσία για την προστασία των δεδομένων προσωπικού χαρακτήρα θα επιτρέψει στην Τουρκία να ολοκληρώσει τις διαπραγματεύσεις για τη σύναψη συμφωνίας επιχειρησιακής συνεργασίας με την Ευρωπόλ·</w:t>
      </w:r>
    </w:p>
    <w:p w:rsidR="000549C1" w:rsidRDefault="000549C1" w:rsidP="00A50DC2">
      <w:pPr>
        <w:widowControl w:val="0"/>
        <w:numPr>
          <w:ilvl w:val="0"/>
          <w:numId w:val="6"/>
        </w:numPr>
        <w:autoSpaceDE w:val="0"/>
        <w:autoSpaceDN w:val="0"/>
        <w:spacing w:after="120" w:line="240" w:lineRule="auto"/>
        <w:jc w:val="both"/>
        <w:rPr>
          <w:rFonts w:ascii="Times New Roman" w:eastAsia="Times New Roman" w:hAnsi="Times New Roman" w:cs="Times New Roman"/>
          <w:sz w:val="24"/>
          <w:szCs w:val="24"/>
        </w:rPr>
      </w:pPr>
      <w:r>
        <w:rPr>
          <w:rFonts w:ascii="Times New Roman" w:hAnsi="Times New Roman"/>
          <w:sz w:val="24"/>
        </w:rPr>
        <w:t>να θεσπίσει νομοθεσία σε πλήρη συμμόρφωση με τις συστάσεις που εξέδωσε η ομάδα κρατών του Συμβουλίου της Ευρώπης κατά της διαφθοράς (GRECO) σε όλα τα στάδια αξιολόγησης, ιδίως νομοθεσία για τη χρηματοδότηση των πολιτικών κομμάτων, τις ασυλίες, τη δωροδοκία, καθώς και για την ανεξαρτησία του δικαστικού σώματος·</w:t>
      </w:r>
    </w:p>
    <w:p w:rsidR="00005BE2" w:rsidRDefault="003A0841" w:rsidP="00F111FB">
      <w:pPr>
        <w:widowControl w:val="0"/>
        <w:numPr>
          <w:ilvl w:val="0"/>
          <w:numId w:val="6"/>
        </w:numPr>
        <w:autoSpaceDE w:val="0"/>
        <w:autoSpaceDN w:val="0"/>
        <w:spacing w:after="120" w:line="240" w:lineRule="auto"/>
        <w:jc w:val="both"/>
        <w:rPr>
          <w:rFonts w:ascii="Times New Roman" w:eastAsia="Times New Roman" w:hAnsi="Times New Roman" w:cs="Times New Roman"/>
          <w:sz w:val="24"/>
          <w:szCs w:val="24"/>
        </w:rPr>
      </w:pPr>
      <w:r>
        <w:rPr>
          <w:rFonts w:ascii="Times New Roman" w:hAnsi="Times New Roman"/>
          <w:sz w:val="24"/>
        </w:rPr>
        <w:t>να μεριμνήσει για την εξασφάλιση της δικαστικής συνεργασίας με όλα τα κράτη μέλη, μεταξύ άλλων με την ανάπτυξη σχέσεων συνεργασίας με τους αξιωματικούς συνδέσμους τους που είναι τοποθετημένοι στην Τουρκία προκειμένου να διευκολυνθεί η αμοιβαία κατανόηση και εφαρμογή των αντίστοιχων διαδικασιών, ή, όταν δεν υπάρχουν αξιωματικοί σύνδεσμοι, μέσω οποιασδήποτε άλλης μορφής επικοινωνίας και συνεργασίας κατάλληλης για αμφότερα τα μέρη.</w:t>
      </w:r>
    </w:p>
    <w:p w:rsidR="00506FA1" w:rsidRPr="00506FA1" w:rsidRDefault="00506FA1" w:rsidP="00506FA1">
      <w:pPr>
        <w:widowControl w:val="0"/>
        <w:autoSpaceDE w:val="0"/>
        <w:autoSpaceDN w:val="0"/>
        <w:spacing w:after="120" w:line="240" w:lineRule="auto"/>
        <w:ind w:left="720"/>
        <w:jc w:val="both"/>
        <w:rPr>
          <w:rFonts w:ascii="Times New Roman" w:eastAsia="Times New Roman" w:hAnsi="Times New Roman" w:cs="Times New Roman"/>
          <w:sz w:val="24"/>
          <w:szCs w:val="24"/>
        </w:rPr>
      </w:pPr>
    </w:p>
    <w:p w:rsidR="00506FA1" w:rsidRPr="00506FA1" w:rsidRDefault="00506FA1" w:rsidP="008C480A">
      <w:pPr>
        <w:keepNext/>
        <w:autoSpaceDE w:val="0"/>
        <w:autoSpaceDN w:val="0"/>
        <w:spacing w:after="120" w:line="240" w:lineRule="auto"/>
        <w:jc w:val="both"/>
        <w:rPr>
          <w:rFonts w:ascii="Times New Roman" w:eastAsia="Times New Roman" w:hAnsi="Times New Roman" w:cs="Times New Roman"/>
          <w:b/>
          <w:sz w:val="24"/>
          <w:szCs w:val="24"/>
        </w:rPr>
      </w:pPr>
      <w:r>
        <w:rPr>
          <w:rFonts w:ascii="Times New Roman" w:hAnsi="Times New Roman"/>
          <w:b/>
          <w:sz w:val="24"/>
          <w:u w:val="single"/>
        </w:rPr>
        <w:t>5. ΕΝΟΤΗΤΑ 4: ΘΕΜΕΛΙΩΔΗ ΔΙΚΑΙΩΜΑΤΑ</w:t>
      </w:r>
    </w:p>
    <w:p w:rsidR="00A41466" w:rsidRDefault="0021586A" w:rsidP="0021586A">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Η αξιολόγηση της κατάστασης στην ενότητα 4 είναι παρόμοια με την αξιολόγηση της κατάστασης στην ενότητα 3: Σημειώθηκε πρόοδος στην εκπλήρωση πολλών απαιτήσεων, ενώ περαιτέρω πρόοδος απαιτείται για ορισμένες εκκρεμείς απαιτήσεις. </w:t>
      </w:r>
    </w:p>
    <w:p w:rsidR="008969D2" w:rsidRDefault="00A41466" w:rsidP="0021586A">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rPr>
        <w:t xml:space="preserve">Ειδικότερα, στις 6 Απριλίου 2016, εγκρίθηκε από το Κοινοβούλιο νόμος για τα ανθρώπινα δικαιώματα και την ισότητα, με σκοπό την αντιμετώπιση, μεταξύ άλλων, των διακρίσεων για εθνοτικούς και φυλετικούς λόγους. </w:t>
      </w:r>
    </w:p>
    <w:p w:rsidR="008969D2" w:rsidRDefault="008969D2" w:rsidP="0021586A">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rPr>
        <w:t>Στις 26 Απριλίου 2016, η κυβέρνηση ενέκρινε την εθνική στρατηγική και σχέδιο δράσης για την αντιμετώπιση των βασικών εμποδίων όσον αφορά την κοινωνική ένταξη του τουρκικού πληθυσμού με καταγωγή Ρομά.</w:t>
      </w:r>
    </w:p>
    <w:p w:rsidR="00A41466" w:rsidRDefault="00E56757" w:rsidP="0021586A">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Οι τουρκικές αρχές κύρωσαν το πρωτόκολλο 7 της Ευρωπαϊκής Σύμβασης για τα ανθρώπινα δικαιώματα, και απέστειλαν στοιχεία που αποδεικνύουν ότι η τουρκική εθνική νομοθεσία περιλαμβάνει ήδη διατάξεις ισοδύναμες με εκείνες που προβλέπονται στο πρωτόκολλο 4, το οποίο υπέγραψαν χωρίς να το έχουν κυρώσει.</w:t>
      </w:r>
      <w:r w:rsidR="001D3521">
        <w:rPr>
          <w:rFonts w:ascii="Times New Roman" w:hAnsi="Times New Roman"/>
          <w:sz w:val="24"/>
        </w:rPr>
        <w:t xml:space="preserve"> </w:t>
      </w:r>
    </w:p>
    <w:p w:rsidR="002115C3" w:rsidRPr="00E33371" w:rsidRDefault="00A41466" w:rsidP="00E61EC9">
      <w:pPr>
        <w:widowControl w:val="0"/>
        <w:autoSpaceDE w:val="0"/>
        <w:autoSpaceDN w:val="0"/>
        <w:spacing w:after="120" w:line="240" w:lineRule="auto"/>
        <w:jc w:val="both"/>
        <w:rPr>
          <w:rFonts w:ascii="Times New Roman" w:eastAsia="Times New Roman" w:hAnsi="Times New Roman" w:cs="Times New Roman"/>
          <w:b/>
          <w:i/>
          <w:sz w:val="24"/>
          <w:szCs w:val="24"/>
        </w:rPr>
      </w:pPr>
      <w:r>
        <w:rPr>
          <w:rFonts w:ascii="Times New Roman" w:hAnsi="Times New Roman"/>
          <w:sz w:val="24"/>
        </w:rPr>
        <w:t>Δεν έχει, ωστόσο, αντιμετωπιστεί ακόμη το σημαντικότερο κριτήριο αξιολόγησης της ενότητας 4, δηλαδή εκείνο που απαιτεί από την Τουρκία να</w:t>
      </w:r>
      <w:r>
        <w:rPr>
          <w:rFonts w:ascii="Times New Roman" w:hAnsi="Times New Roman"/>
          <w:i/>
          <w:sz w:val="24"/>
        </w:rPr>
        <w:t xml:space="preserve"> «αναθεωρήσει — σύμφωνα με την Ευρωπαϊκή Σύμβαση Ανθρωπίνων Δικαιωμάτων (ΕΣΑΔ), τη νομολογία του Ευρωπαϊκού Δικαστηρίου Ανθρωπίνων Δικαιωμάτων (ΕΔΑΔ), το κεκτημένο της ΕΕ και τις πρακτικές των κρατών μελών της ΕΕ - το νομικό πλαίσιο που διέπει το οργανωμένο έγκλημα και την τρομοκρατία, καθώς και τον τρόπο ερμηνείας του από τα δικαστήρια, τις δυνάμεις ασφαλείας και τις αρχές επιβολής του νόμου, ούτως ώστε να διασφαλιστούν στην πράξη το δικαίωμα ελευθερίας και ασφάλειας, το δικαίωμα σε δίκαιη δίκη, η ελευθερία της έκφρασης και το δικαίωμα του συνέρχεσθαι και του συνεταιρίζεσθαι.»</w:t>
      </w:r>
    </w:p>
    <w:p w:rsidR="0056071C" w:rsidRPr="00E61EC9" w:rsidRDefault="005C4246" w:rsidP="00E61EC9">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rPr>
        <w:t xml:space="preserve">Οι τουρκικές αρχές θα πρέπει επειγόντως να ασχοληθούν με το εν λόγω κριτήριο αξιολόγησης. Στο πλαίσιο αυτό, καλούνται </w:t>
      </w:r>
      <w:r>
        <w:rPr>
          <w:rFonts w:ascii="Times New Roman" w:hAnsi="Times New Roman"/>
          <w:color w:val="000000"/>
          <w:sz w:val="24"/>
        </w:rPr>
        <w:t xml:space="preserve">να ευθυγραμμίσουν καλύτερα την τουρκική νομοθεσία για την καταπολέμηση της τρομοκρατίας με τα πρότυπα της ΕΕ, του Συμβουλίου </w:t>
      </w:r>
      <w:r>
        <w:rPr>
          <w:rFonts w:ascii="Times New Roman" w:hAnsi="Times New Roman"/>
          <w:color w:val="000000"/>
          <w:sz w:val="24"/>
        </w:rPr>
        <w:lastRenderedPageBreak/>
        <w:t>της Ευρώπης και του ΕΔΑΔ, εκδίδοντας επίσης κατευθυντήριες γραμμές για να εξασφαλίζουν την ερμηνεία από τα δικαστήρια, τις δυνάμεις ασφαλείας και τις αρχές επιβολής του νόμου σύμφωνα με τα εν λόγω πρότυπα, κυρίως με την καλύτερη εναρμόνιση του ορισμού της τρομοκρατίας με τον ορισμό που περιέχεται στην απόφαση-πλαίσιο 2002/475/ΔΕΥ, όπως τροποποιήθηκε προκειμένου να περιοριστεί το πεδίο εφαρμογής του ορισμού, με την καθιέρωση του κριτηρίου της αναλογικότητας</w:t>
      </w:r>
      <w:r>
        <w:rPr>
          <w:rFonts w:ascii="Times New Roman" w:hAnsi="Times New Roman"/>
          <w:sz w:val="24"/>
        </w:rPr>
        <w:t xml:space="preserve">. </w:t>
      </w:r>
    </w:p>
    <w:p w:rsidR="0056071C" w:rsidRPr="0056071C" w:rsidRDefault="0056071C" w:rsidP="0056071C">
      <w:pPr>
        <w:spacing w:after="120" w:line="240" w:lineRule="auto"/>
        <w:jc w:val="both"/>
        <w:rPr>
          <w:rFonts w:ascii="Times New Roman" w:hAnsi="Times New Roman"/>
          <w:i/>
          <w:color w:val="000000"/>
          <w:sz w:val="24"/>
          <w:szCs w:val="24"/>
        </w:rPr>
      </w:pPr>
    </w:p>
    <w:p w:rsidR="0056071C" w:rsidRPr="0056071C" w:rsidRDefault="0056071C" w:rsidP="008C480A">
      <w:pPr>
        <w:keepNext/>
        <w:autoSpaceDE w:val="0"/>
        <w:autoSpaceDN w:val="0"/>
        <w:spacing w:after="120" w:line="240" w:lineRule="auto"/>
        <w:jc w:val="both"/>
        <w:rPr>
          <w:rFonts w:ascii="Times New Roman" w:eastAsia="Times New Roman" w:hAnsi="Times New Roman"/>
          <w:b/>
          <w:sz w:val="24"/>
          <w:szCs w:val="24"/>
        </w:rPr>
      </w:pPr>
      <w:r>
        <w:rPr>
          <w:rFonts w:ascii="Times New Roman" w:hAnsi="Times New Roman"/>
          <w:b/>
          <w:sz w:val="24"/>
          <w:u w:val="single"/>
        </w:rPr>
        <w:t>6. ΕΝΟΤΗΤΑ 5:</w:t>
      </w:r>
      <w:r w:rsidR="001D3521">
        <w:rPr>
          <w:rFonts w:ascii="Times New Roman" w:hAnsi="Times New Roman"/>
          <w:b/>
          <w:sz w:val="24"/>
          <w:u w:val="single"/>
        </w:rPr>
        <w:t xml:space="preserve"> </w:t>
      </w:r>
      <w:r>
        <w:rPr>
          <w:rFonts w:ascii="Times New Roman" w:hAnsi="Times New Roman"/>
          <w:b/>
          <w:color w:val="000000"/>
          <w:sz w:val="24"/>
          <w:u w:val="single"/>
        </w:rPr>
        <w:t>ΕΠΑΝΕΙΣΔΟΧΗ ΠΑΡΑΤΥΠΩΝ ΜΕΤΑΝΑΣΤΩΝ</w:t>
      </w:r>
      <w:r w:rsidR="001D3521">
        <w:rPr>
          <w:rFonts w:ascii="Times New Roman" w:hAnsi="Times New Roman"/>
          <w:b/>
          <w:color w:val="000000"/>
          <w:sz w:val="24"/>
          <w:u w:val="single"/>
        </w:rPr>
        <w:t xml:space="preserve"> </w:t>
      </w:r>
    </w:p>
    <w:p w:rsidR="00D10EEC" w:rsidRPr="0056071C" w:rsidRDefault="00A76D72" w:rsidP="0056071C">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rPr>
        <w:t xml:space="preserve">Η ενότητα 5 αντιπροσωπεύει έναν τομέα του χάρτη πορείας στον οποίο η Τουρκία έχει σημειώσει σημαντική πρόοδο μετά την υποβολή της δεύτερης έκθεσης. </w:t>
      </w:r>
    </w:p>
    <w:p w:rsidR="002C0A14" w:rsidRDefault="00A76D72" w:rsidP="00506FA1">
      <w:pPr>
        <w:autoSpaceDE w:val="0"/>
        <w:autoSpaceDN w:val="0"/>
        <w:adjustRightInd w:val="0"/>
        <w:spacing w:after="120" w:line="240" w:lineRule="auto"/>
        <w:jc w:val="both"/>
        <w:rPr>
          <w:rFonts w:ascii="Times New Roman" w:eastAsia="Calibri" w:hAnsi="Times New Roman" w:cs="Times New Roman"/>
          <w:bCs/>
          <w:sz w:val="24"/>
          <w:szCs w:val="24"/>
        </w:rPr>
      </w:pPr>
      <w:r>
        <w:rPr>
          <w:rFonts w:ascii="Times New Roman" w:hAnsi="Times New Roman"/>
          <w:sz w:val="24"/>
        </w:rPr>
        <w:t>Τούτο είναι σαφώς αποτέλεσμα της δέσμευσης της Τουρκίας στη σύνοδο κορυφής της 18ης Μαρτίου 2016. Ως εκ τούτου, η Τουρκία δέχεται πλέον την επανεισδοχή όλων των παράτυπων μεταναστών που έφθασαν στα ελληνικά νησιά από την Τουρκία μετά τις 20 Μαρτίου 2016. Η σημασία του μέτρου αυτού δεν πρέπει να υποτιμάται, δεδομένου ότι συνέβαλε σημαντικά στη μείωση των παράτυπων μεταναστευτικών ροών που αναχωρούν από το έδαφος της Τουρκίας προς την ΕΕ.</w:t>
      </w:r>
    </w:p>
    <w:p w:rsidR="0056071C" w:rsidRDefault="00951463" w:rsidP="0056071C">
      <w:pPr>
        <w:autoSpaceDE w:val="0"/>
        <w:autoSpaceDN w:val="0"/>
        <w:adjustRightInd w:val="0"/>
        <w:spacing w:after="120" w:line="240" w:lineRule="auto"/>
        <w:jc w:val="both"/>
        <w:rPr>
          <w:rFonts w:ascii="Times New Roman" w:eastAsia="Calibri" w:hAnsi="Times New Roman" w:cs="Times New Roman"/>
          <w:bCs/>
          <w:sz w:val="24"/>
          <w:szCs w:val="24"/>
        </w:rPr>
      </w:pPr>
      <w:r>
        <w:rPr>
          <w:rFonts w:ascii="Times New Roman" w:hAnsi="Times New Roman"/>
          <w:sz w:val="24"/>
        </w:rPr>
        <w:t xml:space="preserve">Μια άλλη σημαντική εξέλιξη ήταν η απόφαση να τεθούν νωρίτερα, και συγκεκριμένα από 1ης Ιουνίου 2016, σε ισχύ οι σχετικές με την επανεισδοχή υπηκόων τρίτων χωρών διατάξεις της συμφωνίας επανεισδοχής ΕΕ-Τουρκίας, που αρχικά είχε προγραμματιστεί να τεθούν σε ισχύ την 1η Οκτωβρίου 2017. </w:t>
      </w:r>
    </w:p>
    <w:p w:rsidR="0056071C" w:rsidRDefault="002C0A14" w:rsidP="0056071C">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sz w:val="24"/>
        </w:rPr>
        <w:t xml:space="preserve">Η Τουρκία ξεκίνησε προπαρασκευαστικές εργασίες με στόχο τη δημιουργία ενός ηλεκτρονικού συστήματος διαβίβασης και διαχείρισης των αιτήσεων επανεισδοχής με τα κράτη μέλη. Το σύστημα δοκιμάστηκε σε πιλοτικό επίπεδο στις 2 Μαΐου 2016. </w:t>
      </w:r>
    </w:p>
    <w:p w:rsidR="0056071C" w:rsidRDefault="0056071C" w:rsidP="0056071C">
      <w:pPr>
        <w:autoSpaceDE w:val="0"/>
        <w:autoSpaceDN w:val="0"/>
        <w:adjustRightInd w:val="0"/>
        <w:spacing w:after="120" w:line="240" w:lineRule="auto"/>
        <w:jc w:val="both"/>
        <w:rPr>
          <w:rFonts w:ascii="Times New Roman" w:eastAsia="Calibri" w:hAnsi="Times New Roman" w:cs="Times New Roman"/>
          <w:bCs/>
          <w:sz w:val="24"/>
          <w:szCs w:val="24"/>
        </w:rPr>
      </w:pPr>
      <w:r>
        <w:rPr>
          <w:rFonts w:ascii="Times New Roman" w:hAnsi="Times New Roman"/>
          <w:sz w:val="24"/>
        </w:rPr>
        <w:t>Οι τουρκικές αρχές ενέκριναν επίσης έγγραφο για τον καθορισμό των εσωτερικών διαδικασιών που πρέπει να ακολουθούνται μετά την υποβολή αιτήσεων επανεισδοχής, όπως συνιστάται στον χάρτη πορείας.</w:t>
      </w:r>
      <w:r w:rsidR="001D3521">
        <w:rPr>
          <w:rFonts w:ascii="Times New Roman" w:hAnsi="Times New Roman"/>
          <w:sz w:val="24"/>
        </w:rPr>
        <w:t xml:space="preserve"> </w:t>
      </w:r>
    </w:p>
    <w:p w:rsidR="0056071C" w:rsidRPr="0056071C" w:rsidRDefault="005C513C" w:rsidP="0056071C">
      <w:pPr>
        <w:autoSpaceDE w:val="0"/>
        <w:autoSpaceDN w:val="0"/>
        <w:adjustRightInd w:val="0"/>
        <w:spacing w:after="120" w:line="240" w:lineRule="auto"/>
        <w:jc w:val="both"/>
        <w:rPr>
          <w:rFonts w:ascii="Times New Roman" w:eastAsia="Times New Roman" w:hAnsi="Times New Roman"/>
          <w:i/>
          <w:color w:val="000000"/>
          <w:sz w:val="24"/>
          <w:szCs w:val="24"/>
        </w:rPr>
      </w:pPr>
      <w:r>
        <w:rPr>
          <w:rFonts w:ascii="Times New Roman" w:hAnsi="Times New Roman"/>
          <w:sz w:val="24"/>
        </w:rPr>
        <w:t xml:space="preserve">Παρά ταύτα, κατά τη στιγμή έκδοσης της παρούσας τρίτης έκθεσης, δεν έχει ακόμη εκπληρωθεί ένα ουσιαστικό κριτήριο αξιολόγησης στο πλαίσιο της παρούσας τεμαχίου, δηλαδή η υποχρέωση της Τουρκίας να </w:t>
      </w:r>
      <w:r>
        <w:rPr>
          <w:rFonts w:ascii="Times New Roman" w:hAnsi="Times New Roman"/>
          <w:i/>
          <w:color w:val="000000"/>
          <w:sz w:val="24"/>
        </w:rPr>
        <w:t xml:space="preserve">εφαρμόσει πλήρως και αποτελεσματικά το σύνολο των διατάξεων της συμφωνίας επανεισδοχής ΕΕ-Τουρκίας, ώστε να υπάρχουν επαρκή στοιχεία που αποδεικνύουν ότι οι διαδικασίες επανεισδοχής λειτουργούν σωστά σε σχέση με όλα τα κράτη μέλη». </w:t>
      </w:r>
    </w:p>
    <w:p w:rsidR="00FD3A23" w:rsidRDefault="0056071C" w:rsidP="0056071C">
      <w:pPr>
        <w:autoSpaceDE w:val="0"/>
        <w:autoSpaceDN w:val="0"/>
        <w:adjustRightInd w:val="0"/>
        <w:spacing w:after="120" w:line="240" w:lineRule="auto"/>
        <w:jc w:val="both"/>
        <w:rPr>
          <w:rFonts w:ascii="Times New Roman" w:eastAsia="Times New Roman" w:hAnsi="Times New Roman"/>
          <w:color w:val="000000"/>
          <w:sz w:val="24"/>
          <w:szCs w:val="24"/>
        </w:rPr>
      </w:pPr>
      <w:r>
        <w:rPr>
          <w:rFonts w:ascii="Times New Roman" w:hAnsi="Times New Roman"/>
          <w:color w:val="000000"/>
          <w:sz w:val="24"/>
        </w:rPr>
        <w:t xml:space="preserve">Υπάρχουν δύο διαφορετικοί λόγοι για τους οποίους η απαίτηση αυτή δεν έχει ακόμη ικανοποιηθεί. </w:t>
      </w:r>
    </w:p>
    <w:p w:rsidR="0012502A" w:rsidRDefault="00BD488F" w:rsidP="0012502A">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color w:val="000000"/>
          <w:sz w:val="24"/>
        </w:rPr>
        <w:t xml:space="preserve">Όσον αφορά τις </w:t>
      </w:r>
      <w:r>
        <w:rPr>
          <w:rFonts w:ascii="Times New Roman" w:hAnsi="Times New Roman"/>
          <w:sz w:val="24"/>
        </w:rPr>
        <w:t>διατάξεις της συμφωνίας επανεισδοχής ΕΕ-Τουρκίας σχετικά με την επανεισδοχή υπηκόων των δύο πλευρών, και οι οποίες ισχύουν ήδη από την 1η Οκτωβρίου 2014, οι διατάξεις δεν έχουν εφαρμοστεί με συστηματικό και συνεκτικό τρόπο από όλες τις τουρκικές διπλωματικές αποστολές στην ΕΕ</w:t>
      </w:r>
      <w:r>
        <w:t>.</w:t>
      </w:r>
      <w:r>
        <w:rPr>
          <w:rFonts w:ascii="Times New Roman" w:hAnsi="Times New Roman"/>
          <w:sz w:val="24"/>
        </w:rPr>
        <w:t xml:space="preserve"> Στις 27 Απριλίου 2016, οι τουρκικές αρχές εξέδωσαν κατευθυντήριες γραμμές προς τις διπλωματικές αποστολές προκειμένου να διασφαλίσουν ότι οι αιτήσεις επανεισδοχής διεκπεραιώνονται στο εξής σύμφωνα με τις προθεσμίες και τις διαδικασίες που προβλέπονται στη συμφωνία, και ότι υπάρχουν αξιόπιστες στατιστικές των υποθέσεων που διεκπεραιώθηκαν.</w:t>
      </w:r>
    </w:p>
    <w:p w:rsidR="00306DC3" w:rsidRDefault="0012502A" w:rsidP="0012502A">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hAnsi="Times New Roman"/>
          <w:color w:val="000000"/>
          <w:sz w:val="24"/>
        </w:rPr>
        <w:t xml:space="preserve">Από την άλλη πλευρά, όσον αφορά τις διατάξεις της συμφωνίας επανεισδοχής ΕΕ-Τουρκίας που σχετίζονται με την επανεισδοχή υπηκόων τρίτων χωρών, ο λόγος για τον οποίο η Επιτροπή, στην παρούσα έκθεση, δεν μπορεί ακόμη να δηλώσει ότι πληρούται το εν λόγω </w:t>
      </w:r>
      <w:r>
        <w:rPr>
          <w:rFonts w:ascii="Times New Roman" w:hAnsi="Times New Roman"/>
          <w:color w:val="000000"/>
          <w:sz w:val="24"/>
        </w:rPr>
        <w:lastRenderedPageBreak/>
        <w:t xml:space="preserve">κριτήριο είναι απλώς το γεγονός ότι </w:t>
      </w:r>
      <w:r>
        <w:rPr>
          <w:rFonts w:ascii="Times New Roman" w:hAnsi="Times New Roman"/>
          <w:sz w:val="24"/>
        </w:rPr>
        <w:t xml:space="preserve">οι διατάξεις θα αρχίσουν να ισχύουν μόλις την 1η Ιουνίου 2016. </w:t>
      </w:r>
    </w:p>
    <w:p w:rsidR="00306DC3" w:rsidRPr="00506FA1" w:rsidRDefault="00306DC3" w:rsidP="00506FA1">
      <w:pPr>
        <w:autoSpaceDE w:val="0"/>
        <w:autoSpaceDN w:val="0"/>
        <w:adjustRightInd w:val="0"/>
        <w:spacing w:after="120" w:line="240" w:lineRule="auto"/>
        <w:jc w:val="both"/>
        <w:rPr>
          <w:rFonts w:ascii="Times New Roman" w:eastAsia="Calibri" w:hAnsi="Times New Roman" w:cs="Times New Roman"/>
          <w:sz w:val="24"/>
          <w:szCs w:val="24"/>
        </w:rPr>
      </w:pPr>
    </w:p>
    <w:p w:rsidR="00506FA1" w:rsidRPr="00506FA1" w:rsidRDefault="00506FA1" w:rsidP="008C480A">
      <w:pPr>
        <w:keepNext/>
        <w:autoSpaceDE w:val="0"/>
        <w:autoSpaceDN w:val="0"/>
        <w:spacing w:after="120" w:line="240" w:lineRule="auto"/>
        <w:jc w:val="both"/>
        <w:rPr>
          <w:rFonts w:ascii="Times New Roman" w:eastAsia="Calibri" w:hAnsi="Times New Roman" w:cs="Times New Roman"/>
          <w:b/>
          <w:bCs/>
          <w:sz w:val="24"/>
          <w:szCs w:val="24"/>
          <w:u w:val="single"/>
        </w:rPr>
      </w:pPr>
      <w:r>
        <w:rPr>
          <w:rFonts w:ascii="Times New Roman" w:hAnsi="Times New Roman"/>
          <w:b/>
          <w:sz w:val="24"/>
          <w:u w:val="single"/>
        </w:rPr>
        <w:t>7. ΣΥΜΠΕΡΑΣΜΑΤΑ ΚΑΙ ΠΡΟΟΠΤΙΚΕΣ</w:t>
      </w:r>
    </w:p>
    <w:p w:rsidR="00E71C61" w:rsidRDefault="00E71C61" w:rsidP="00E71C61">
      <w:pPr>
        <w:spacing w:after="120" w:line="240" w:lineRule="auto"/>
        <w:jc w:val="both"/>
        <w:rPr>
          <w:rFonts w:ascii="Times New Roman" w:eastAsia="Calibri" w:hAnsi="Times New Roman" w:cs="Times New Roman"/>
          <w:sz w:val="24"/>
          <w:szCs w:val="24"/>
        </w:rPr>
      </w:pPr>
      <w:r>
        <w:rPr>
          <w:rFonts w:ascii="Times New Roman" w:hAnsi="Times New Roman"/>
          <w:sz w:val="24"/>
        </w:rPr>
        <w:t>Μολονότι η διάσκεψη κορυφής ΕΕ-Τουρκίας της 29ης Νοεμβρίου 2015 καθόρισε ήδη ένα φιλόδοξο θεματολόγιο για την ελευθέρωση, από τις τουρκικές αρχές, του καθεστώτος των θεωρήσεων το φθινόπωρο του 2016, η δήλωση ΕΕ-Τουρκίας της 18ης Μαρτίου επιτάχυνε περαιτέρω τη διαδικασία. Στη δήλωση αναφέρεται ότι «</w:t>
      </w:r>
      <w:r>
        <w:rPr>
          <w:rFonts w:ascii="Times New Roman" w:hAnsi="Times New Roman"/>
          <w:i/>
          <w:sz w:val="24"/>
        </w:rPr>
        <w:t>η εφαρμογή του χάρτη πορείας για την ελευθέρωση του καθεστώτος θεωρήσεων θα επισπευσθεί σε όλα τα συμμετέχοντα κράτη μέλη προκειμένου να αρθούν οι υποχρεώσεις θεώρησης για τους τούρκους πολίτες το αργότερο έως τα τέλη Ιουνίου του 2016, με την προϋπόθεση ότι θα έχουν εκπληρωθεί όλα τα κριτήρια. Προς τούτο, η Τουρκία θα προβεί στις αναγκαίες ενέργειες για να ανταποκριθεί στις εναπομένουσες απαιτήσεις ούτως ώστε να μπορέσει η Επιτροπή, μετά την απαιτούμενη αξιολόγηση της συμμόρφωσης προς τα κριτήρια, να υποβάλει κατάλληλη πρόταση έως τα τέλη Απριλίου, βάσει της οποίας θα λάβουν τελική απόφαση το Ευρωπαϊκό Κοινοβούλιο και το Συμβούλιο</w:t>
      </w:r>
      <w:r>
        <w:rPr>
          <w:rFonts w:ascii="Times New Roman" w:hAnsi="Times New Roman"/>
          <w:sz w:val="24"/>
        </w:rPr>
        <w:t xml:space="preserve">». </w:t>
      </w:r>
    </w:p>
    <w:p w:rsidR="000474BA" w:rsidRDefault="00E71C61" w:rsidP="00E71C61">
      <w:pPr>
        <w:spacing w:after="120" w:line="240" w:lineRule="auto"/>
        <w:jc w:val="both"/>
        <w:rPr>
          <w:rFonts w:ascii="Times New Roman" w:eastAsia="Calibri" w:hAnsi="Times New Roman" w:cs="Times New Roman"/>
          <w:sz w:val="24"/>
          <w:szCs w:val="24"/>
        </w:rPr>
      </w:pPr>
      <w:r>
        <w:rPr>
          <w:rFonts w:ascii="Times New Roman" w:hAnsi="Times New Roman"/>
          <w:sz w:val="24"/>
        </w:rPr>
        <w:t>Με βάση το νέο επίπεδο δέσμευσης και αποφασιστικότητας που επέδειξε η Τουρκία μετά τη διάσκεψη κορυφής ΕΕ-Τουρκίας της 29ης Νοεμβρίου 2015, κατά τους τελευταίους μήνες οι τουρκικές αρχές έχουν εντείνει περαιτέρω τις προσπάθειές τους για να ικανοποιήσουν την προϋπόθεση αυτή. Η Επιτροπή αναγνωρίζει την ικανοποιητική πρόοδο που έχουν σημειώσει μέχρι σήμερα οι τουρκικές αρχές, και τις παροτρύνει να εντείνουν επειγόντως αυτές τις προσπάθειές για την εκπλήρωση όλων των απαιτήσεων, ώστε να καταστεί δυνατή η ελευθέρωση του καθεστώτος θεωρήσεων μέχρι το τέλος Ιουνίου.</w:t>
      </w:r>
    </w:p>
    <w:p w:rsidR="000F6276" w:rsidRDefault="000F6276" w:rsidP="00E71C61">
      <w:pPr>
        <w:spacing w:after="120" w:line="240" w:lineRule="auto"/>
        <w:jc w:val="both"/>
        <w:rPr>
          <w:rFonts w:ascii="Times New Roman" w:eastAsia="Calibri" w:hAnsi="Times New Roman" w:cs="Times New Roman"/>
          <w:sz w:val="24"/>
          <w:szCs w:val="24"/>
        </w:rPr>
      </w:pPr>
      <w:r>
        <w:rPr>
          <w:rFonts w:ascii="Times New Roman" w:hAnsi="Times New Roman"/>
          <w:sz w:val="24"/>
        </w:rPr>
        <w:t>Όπως, ωστόσο,</w:t>
      </w:r>
      <w:r w:rsidR="001D3521">
        <w:rPr>
          <w:rFonts w:ascii="Times New Roman" w:hAnsi="Times New Roman"/>
          <w:sz w:val="24"/>
        </w:rPr>
        <w:t xml:space="preserve"> </w:t>
      </w:r>
      <w:r>
        <w:rPr>
          <w:rFonts w:ascii="Times New Roman" w:hAnsi="Times New Roman"/>
          <w:sz w:val="24"/>
        </w:rPr>
        <w:t xml:space="preserve">αναφέρεται στην παρούσα έκθεση, οι τουρκικές αρχές δεν έχουν ακόμη κατορθώσει να επιτύχουν τον φιλόδοξο αυτό στόχο, δεδομένου ότι 7 από τις 72 απαιτήσεις δεν έχουν ακόμη τεθεί σε εφαρμογή. Ορισμένες εξ αυτών έχουν ιδιαίτερη σημασία. </w:t>
      </w:r>
    </w:p>
    <w:p w:rsidR="007F4F24" w:rsidRDefault="007F4F24" w:rsidP="00F978FB">
      <w:pPr>
        <w:spacing w:after="120" w:line="240" w:lineRule="auto"/>
        <w:jc w:val="both"/>
        <w:rPr>
          <w:rFonts w:ascii="Times New Roman" w:hAnsi="Times New Roman" w:cs="Times New Roman"/>
          <w:sz w:val="24"/>
          <w:szCs w:val="24"/>
        </w:rPr>
      </w:pPr>
      <w:r>
        <w:rPr>
          <w:rFonts w:ascii="Times New Roman" w:hAnsi="Times New Roman"/>
          <w:sz w:val="24"/>
        </w:rPr>
        <w:t xml:space="preserve">Για τις δύο από τις επτά αυτές εκκρεμείς απαιτήσεις απαιτείται, για πρακτικούς και διαδικαστικούς λόγους, μεγαλύτερο χρονοδιάγραμμα εφαρμογής, και τούτο κατέστησε αδύνατη την πλήρη υλοποίησή τους έως τον χρόνο δημοσίευσης της παρούσας έκθεσης. Αυτό αφορά τα ακόλουθα δύο κριτήρια αξιολόγησης: </w:t>
      </w:r>
    </w:p>
    <w:p w:rsidR="007F4F24" w:rsidRPr="00CD45AD" w:rsidRDefault="005039A4" w:rsidP="007F4F24">
      <w:pPr>
        <w:pStyle w:val="ListParagraph"/>
        <w:numPr>
          <w:ilvl w:val="0"/>
          <w:numId w:val="37"/>
        </w:numPr>
        <w:spacing w:after="120" w:line="240" w:lineRule="auto"/>
        <w:jc w:val="both"/>
        <w:rPr>
          <w:rFonts w:ascii="Times New Roman" w:hAnsi="Times New Roman"/>
          <w:sz w:val="24"/>
          <w:szCs w:val="24"/>
        </w:rPr>
      </w:pPr>
      <w:r>
        <w:rPr>
          <w:rFonts w:ascii="Times New Roman" w:hAnsi="Times New Roman"/>
          <w:sz w:val="24"/>
        </w:rPr>
        <w:t xml:space="preserve">αναβάθμιση των υφιστάμενων βιομετρικών διαβατηρίων, ώστε να περιλαμβάνουν χαρακτηριστικά ασφαλείας σύμφωνα με τα πλέον πρόσφατα πρότυπα της ΕΕ· </w:t>
      </w:r>
    </w:p>
    <w:p w:rsidR="007F4F24" w:rsidRPr="00E61EC9" w:rsidRDefault="007F4F24" w:rsidP="007F4F24">
      <w:pPr>
        <w:pStyle w:val="ListParagraph"/>
        <w:numPr>
          <w:ilvl w:val="0"/>
          <w:numId w:val="37"/>
        </w:numPr>
        <w:spacing w:after="120" w:line="240" w:lineRule="auto"/>
        <w:jc w:val="both"/>
        <w:rPr>
          <w:rFonts w:ascii="Times New Roman" w:hAnsi="Times New Roman"/>
          <w:sz w:val="24"/>
          <w:szCs w:val="24"/>
        </w:rPr>
      </w:pPr>
      <w:r>
        <w:rPr>
          <w:rFonts w:ascii="Times New Roman" w:hAnsi="Times New Roman"/>
          <w:sz w:val="24"/>
        </w:rPr>
        <w:t>πλήρης εφαρμογή των διατάξεων της συμφωνίας επανεισδοχής ΕΕ-Τουρκίας, συμπεριλαμβανομένων εκείνων που αφορούν την επανεισδοχή υπηκόων τρίτων χωρών.</w:t>
      </w:r>
    </w:p>
    <w:p w:rsidR="007F4F24" w:rsidRDefault="007F4F24" w:rsidP="00F978FB">
      <w:pPr>
        <w:spacing w:after="120" w:line="240" w:lineRule="auto"/>
        <w:jc w:val="both"/>
        <w:rPr>
          <w:rFonts w:ascii="Times New Roman" w:hAnsi="Times New Roman" w:cs="Times New Roman"/>
          <w:sz w:val="24"/>
          <w:szCs w:val="24"/>
        </w:rPr>
      </w:pPr>
      <w:r>
        <w:rPr>
          <w:rFonts w:ascii="Times New Roman" w:hAnsi="Times New Roman"/>
          <w:sz w:val="24"/>
        </w:rPr>
        <w:t xml:space="preserve">Η Επιτροπή και οι τουρκικές αρχές συμφώνησαν σχετικά με πρακτικούς τρόπους εφαρμογής των εν λόγω κριτηρίων πριν από την πλήρη υλοποίησή τους. </w:t>
      </w:r>
    </w:p>
    <w:p w:rsidR="00CD45AD" w:rsidRDefault="005039A4" w:rsidP="00176A4E">
      <w:pPr>
        <w:spacing w:after="120" w:line="240" w:lineRule="auto"/>
        <w:jc w:val="both"/>
        <w:rPr>
          <w:rFonts w:ascii="Times New Roman" w:eastAsia="Calibri" w:hAnsi="Times New Roman" w:cs="Times New Roman"/>
          <w:sz w:val="24"/>
          <w:szCs w:val="24"/>
        </w:rPr>
      </w:pPr>
      <w:r>
        <w:rPr>
          <w:rFonts w:ascii="Times New Roman" w:hAnsi="Times New Roman"/>
          <w:sz w:val="24"/>
        </w:rPr>
        <w:t xml:space="preserve">Η Επιτροπή καλεί τις τουρκικές αρχές, να λάβουν επειγόντως, μετά τη δημοσίευση της παρούσας έκθεσης, τα μέτρα που είναι αναγκαία για την εκπλήρωση των λοιπών εκκρεμών κριτηρίων αξιολόγησης του χάρτη πορείας, και συγκεκριμένα: </w:t>
      </w:r>
    </w:p>
    <w:p w:rsidR="00FA708D" w:rsidRPr="001E6D55" w:rsidRDefault="00FA708D" w:rsidP="001E6D55">
      <w:pPr>
        <w:pStyle w:val="ListParagraph"/>
        <w:numPr>
          <w:ilvl w:val="0"/>
          <w:numId w:val="41"/>
        </w:numPr>
        <w:spacing w:after="120" w:line="240" w:lineRule="auto"/>
        <w:jc w:val="both"/>
        <w:rPr>
          <w:rFonts w:ascii="Times New Roman" w:eastAsia="Times New Roman" w:hAnsi="Times New Roman"/>
          <w:color w:val="000000"/>
          <w:sz w:val="24"/>
          <w:szCs w:val="24"/>
        </w:rPr>
      </w:pPr>
      <w:r>
        <w:rPr>
          <w:rFonts w:ascii="Times New Roman" w:hAnsi="Times New Roman"/>
          <w:color w:val="000000"/>
          <w:sz w:val="24"/>
        </w:rPr>
        <w:t>θέσπιση των μέτρων πρόληψης της διαφθοράς που προβλέπονται στον χάρτη πορείας, δηλαδή διασφάλιση της αποτελεσματικής συμμόρφωσης με τις συστάσεις που εξέδωσε η ομάδα κρατών του Συμβουλίου της Ευρώπης κατά της διαφθοράς (GRECO).</w:t>
      </w:r>
    </w:p>
    <w:p w:rsidR="00FA708D" w:rsidRPr="00EE2784" w:rsidRDefault="00FA708D" w:rsidP="00FA708D">
      <w:pPr>
        <w:pStyle w:val="ListParagraph"/>
        <w:numPr>
          <w:ilvl w:val="0"/>
          <w:numId w:val="41"/>
        </w:numPr>
        <w:spacing w:after="120" w:line="240" w:lineRule="auto"/>
        <w:jc w:val="both"/>
        <w:rPr>
          <w:rFonts w:ascii="Times New Roman" w:hAnsi="Times New Roman"/>
          <w:sz w:val="24"/>
          <w:szCs w:val="24"/>
        </w:rPr>
      </w:pPr>
      <w:r>
        <w:rPr>
          <w:rFonts w:ascii="Times New Roman" w:hAnsi="Times New Roman"/>
          <w:color w:val="000000"/>
          <w:sz w:val="24"/>
        </w:rPr>
        <w:t xml:space="preserve">εναρμόνιση της νομοθεσίας για την προστασία των δεδομένων προσωπικού χαρακτήρα με τα πρότυπα της ΕΕ, ιδίως για να διασφαλίζεται ότι η αρχή προστασίας </w:t>
      </w:r>
      <w:r>
        <w:rPr>
          <w:rFonts w:ascii="Times New Roman" w:hAnsi="Times New Roman"/>
          <w:color w:val="000000"/>
          <w:sz w:val="24"/>
        </w:rPr>
        <w:lastRenderedPageBreak/>
        <w:t>των δεδομένων μπορεί να λειτουργεί ανεξάρτητα και ότι οι δραστηριότητες των υπηρεσιών επιβολής του νόμου εμπίπτουν στο πεδίο εφαρμογής του νόμου</w:t>
      </w:r>
      <w:r>
        <w:rPr>
          <w:rFonts w:ascii="Times New Roman" w:hAnsi="Times New Roman"/>
          <w:sz w:val="24"/>
        </w:rPr>
        <w:t xml:space="preserve">· </w:t>
      </w:r>
    </w:p>
    <w:p w:rsidR="00FA708D" w:rsidRPr="00EE2784" w:rsidRDefault="00FA708D" w:rsidP="00FA708D">
      <w:pPr>
        <w:pStyle w:val="ListParagraph"/>
        <w:numPr>
          <w:ilvl w:val="0"/>
          <w:numId w:val="41"/>
        </w:numPr>
        <w:spacing w:after="120" w:line="240" w:lineRule="auto"/>
        <w:jc w:val="both"/>
        <w:rPr>
          <w:rFonts w:ascii="Times New Roman" w:hAnsi="Times New Roman"/>
          <w:sz w:val="24"/>
          <w:szCs w:val="24"/>
        </w:rPr>
      </w:pPr>
      <w:r>
        <w:rPr>
          <w:rFonts w:ascii="Times New Roman" w:hAnsi="Times New Roman"/>
          <w:sz w:val="24"/>
        </w:rPr>
        <w:t xml:space="preserve">διαπραγματεύσεις για τη σύναψη συμφωνίας επιχειρησιακής συνεργασίας με την Ευρωπόλ. Τούτο εξαρτάται επίσης από τις ανωτέρω αλλαγές στη νομοθεσία περί προστασίας των δεδομένων. </w:t>
      </w:r>
    </w:p>
    <w:p w:rsidR="00FA708D" w:rsidRPr="00EE2784" w:rsidRDefault="00FA708D" w:rsidP="001E6D55">
      <w:pPr>
        <w:pStyle w:val="ListParagraph"/>
        <w:numPr>
          <w:ilvl w:val="0"/>
          <w:numId w:val="41"/>
        </w:numPr>
        <w:spacing w:after="120" w:line="240" w:lineRule="auto"/>
        <w:jc w:val="both"/>
        <w:rPr>
          <w:rFonts w:ascii="Times New Roman" w:hAnsi="Times New Roman"/>
          <w:sz w:val="24"/>
          <w:szCs w:val="24"/>
        </w:rPr>
      </w:pPr>
      <w:r>
        <w:rPr>
          <w:rFonts w:ascii="Times New Roman" w:hAnsi="Times New Roman"/>
          <w:sz w:val="24"/>
        </w:rPr>
        <w:t xml:space="preserve">παροχή αποτελεσματικής δικαστικής συνεργασίας σε ποινικές υποθέσεις σε όλα τα κράτη μέλη της ΕΕ· </w:t>
      </w:r>
    </w:p>
    <w:p w:rsidR="00FA708D" w:rsidRPr="00EE2784" w:rsidRDefault="00FA708D" w:rsidP="00FA708D">
      <w:pPr>
        <w:pStyle w:val="ListParagraph"/>
        <w:numPr>
          <w:ilvl w:val="0"/>
          <w:numId w:val="41"/>
        </w:numPr>
        <w:spacing w:after="120" w:line="240" w:lineRule="auto"/>
        <w:jc w:val="both"/>
        <w:rPr>
          <w:rFonts w:ascii="Times New Roman" w:hAnsi="Times New Roman"/>
          <w:sz w:val="24"/>
          <w:szCs w:val="24"/>
        </w:rPr>
      </w:pPr>
      <w:r>
        <w:rPr>
          <w:rFonts w:ascii="Times New Roman" w:hAnsi="Times New Roman"/>
          <w:sz w:val="24"/>
        </w:rPr>
        <w:t xml:space="preserve">αναθεώρηση της νομοθεσίας και των πρακτικών για την τρομοκρατία σύμφωνα με τα ευρωπαϊκά πρότυπα, </w:t>
      </w:r>
      <w:r>
        <w:rPr>
          <w:rFonts w:ascii="Times New Roman" w:hAnsi="Times New Roman"/>
          <w:color w:val="000000"/>
          <w:sz w:val="24"/>
        </w:rPr>
        <w:t>ιδίως με την καλύτερη εναρμόνιση του ορισμού της τρομοκρατίας με τον ορισμό που περιέχεται στην απόφαση πλαίσιο 2002/475/ΔΕΥ, όπως τροποποιήθηκε προκειμένου να περιοριστεί το πεδίο εφαρμογής του ορισμού και με τη θέσπιση κριτηρίου αναλογικότητας</w:t>
      </w:r>
      <w:r>
        <w:rPr>
          <w:rFonts w:ascii="Times New Roman" w:hAnsi="Times New Roman"/>
          <w:sz w:val="24"/>
        </w:rPr>
        <w:t>.</w:t>
      </w:r>
      <w:r>
        <w:rPr>
          <w:rFonts w:ascii="Times New Roman" w:hAnsi="Times New Roman"/>
          <w:color w:val="000000"/>
          <w:sz w:val="24"/>
        </w:rPr>
        <w:t xml:space="preserve"> </w:t>
      </w:r>
    </w:p>
    <w:p w:rsidR="00CD45AD" w:rsidRPr="001E6D55" w:rsidRDefault="00212B30" w:rsidP="001E6D55">
      <w:pPr>
        <w:pStyle w:val="ListParagraph"/>
        <w:spacing w:after="120" w:line="240" w:lineRule="auto"/>
        <w:jc w:val="both"/>
        <w:rPr>
          <w:rFonts w:ascii="Times New Roman" w:hAnsi="Times New Roman"/>
          <w:sz w:val="24"/>
          <w:szCs w:val="24"/>
          <w:highlight w:val="yellow"/>
        </w:rPr>
      </w:pPr>
      <w:r>
        <w:rPr>
          <w:rFonts w:ascii="Times New Roman" w:hAnsi="Times New Roman"/>
          <w:sz w:val="24"/>
          <w:highlight w:val="yellow"/>
        </w:rPr>
        <w:t xml:space="preserve"> </w:t>
      </w:r>
    </w:p>
    <w:p w:rsidR="00176A4E" w:rsidRDefault="00FA708D" w:rsidP="00176A4E">
      <w:pPr>
        <w:spacing w:after="120" w:line="240" w:lineRule="auto"/>
        <w:jc w:val="both"/>
        <w:rPr>
          <w:rFonts w:ascii="Times New Roman" w:eastAsia="Calibri" w:hAnsi="Times New Roman" w:cs="Times New Roman"/>
          <w:sz w:val="24"/>
          <w:szCs w:val="24"/>
        </w:rPr>
      </w:pPr>
      <w:r>
        <w:rPr>
          <w:rFonts w:ascii="Times New Roman" w:hAnsi="Times New Roman"/>
          <w:sz w:val="24"/>
        </w:rPr>
        <w:t>Με την προϋπόθεση ότι οι τουρκικές αρχές θα εκπληρώσουν επειγόντως, και όπως δεσμεύθηκαν να πράξουν στις 18 Μαρτίου, τα εκκρεμή κριτήρια αξιολόγησης του χάρτη πορείας, η Επιτροπή υποβάλλει μαζί με την παρούσα έκθεση πρόταση τροποποίησης του κανονισμού 539/2001 για την άρση της υποχρέωσης θεώρησης για τους τούρκους πολίτες που κατέχουν βιομετρικό διαβατήριο σύμφωνα με τα πρότυπα της ΕΕ.</w:t>
      </w:r>
      <w:r w:rsidR="001D3521">
        <w:rPr>
          <w:rFonts w:ascii="Times New Roman" w:hAnsi="Times New Roman"/>
          <w:sz w:val="24"/>
        </w:rPr>
        <w:t xml:space="preserve"> </w:t>
      </w:r>
    </w:p>
    <w:p w:rsidR="00671291" w:rsidRDefault="00176A4E" w:rsidP="00306DC3">
      <w:pPr>
        <w:spacing w:after="120" w:line="240" w:lineRule="auto"/>
        <w:jc w:val="both"/>
      </w:pPr>
      <w:r>
        <w:rPr>
          <w:rFonts w:ascii="Times New Roman" w:hAnsi="Times New Roman"/>
          <w:sz w:val="24"/>
        </w:rPr>
        <w:t xml:space="preserve">Προκειμένου να συνδράμει τους συννομοθέτες στις εργασίες τους, η Επιτροπή θα συνεχίσει να παρακολουθεί τα μέτρα που λαμβάνουν οι τουρκικές αρχές για την ικανοποίηση των εκκρεμών απαιτήσεων του χάρτη πορείας. </w:t>
      </w:r>
    </w:p>
    <w:sectPr w:rsidR="00671291" w:rsidSect="0024656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C47" w:rsidRDefault="002E1C47" w:rsidP="00E7381B">
      <w:pPr>
        <w:spacing w:after="0" w:line="240" w:lineRule="auto"/>
      </w:pPr>
      <w:r>
        <w:separator/>
      </w:r>
    </w:p>
  </w:endnote>
  <w:endnote w:type="continuationSeparator" w:id="0">
    <w:p w:rsidR="002E1C47" w:rsidRDefault="002E1C47" w:rsidP="00E73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21" w:rsidRPr="001D3521" w:rsidRDefault="001D3521" w:rsidP="001D3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34" w:rsidRPr="001D3521" w:rsidRDefault="001D3521" w:rsidP="001D3521">
    <w:pPr>
      <w:pStyle w:val="FooterCoverPage"/>
      <w:rPr>
        <w:rFonts w:ascii="Arial" w:hAnsi="Arial" w:cs="Arial"/>
        <w:b/>
        <w:sz w:val="48"/>
      </w:rPr>
    </w:pPr>
    <w:r w:rsidRPr="001D3521">
      <w:rPr>
        <w:rFonts w:ascii="Arial" w:hAnsi="Arial" w:cs="Arial"/>
        <w:b/>
        <w:sz w:val="48"/>
      </w:rPr>
      <w:t>EL</w:t>
    </w:r>
    <w:r w:rsidRPr="001D3521">
      <w:rPr>
        <w:rFonts w:ascii="Arial" w:hAnsi="Arial" w:cs="Arial"/>
        <w:b/>
        <w:sz w:val="48"/>
      </w:rPr>
      <w:tab/>
    </w:r>
    <w:r w:rsidRPr="001D3521">
      <w:rPr>
        <w:rFonts w:ascii="Arial" w:hAnsi="Arial" w:cs="Arial"/>
        <w:b/>
        <w:sz w:val="48"/>
      </w:rPr>
      <w:tab/>
    </w:r>
    <w:fldSimple w:instr=" DOCVARIABLE &quot;LW_Confidence&quot; \* MERGEFORMAT ">
      <w:r>
        <w:t xml:space="preserve"> </w:t>
      </w:r>
    </w:fldSimple>
    <w:r w:rsidRPr="001D3521">
      <w:tab/>
    </w:r>
    <w:r w:rsidRPr="001D3521">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21" w:rsidRPr="001D3521" w:rsidRDefault="001D3521" w:rsidP="001D352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C3" w:rsidRDefault="002115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244702"/>
      <w:docPartObj>
        <w:docPartGallery w:val="Page Numbers (Bottom of Page)"/>
        <w:docPartUnique/>
      </w:docPartObj>
    </w:sdtPr>
    <w:sdtEndPr>
      <w:rPr>
        <w:noProof/>
      </w:rPr>
    </w:sdtEndPr>
    <w:sdtContent>
      <w:p w:rsidR="002115C3" w:rsidRDefault="002115C3">
        <w:pPr>
          <w:pStyle w:val="Footer"/>
          <w:jc w:val="center"/>
        </w:pPr>
        <w:r>
          <w:fldChar w:fldCharType="begin"/>
        </w:r>
        <w:r>
          <w:instrText xml:space="preserve"> PAGE   \* MERGEFORMAT </w:instrText>
        </w:r>
        <w:r>
          <w:fldChar w:fldCharType="separate"/>
        </w:r>
        <w:r w:rsidR="001D3521">
          <w:rPr>
            <w:noProof/>
          </w:rPr>
          <w:t>12</w:t>
        </w:r>
        <w:r>
          <w:rPr>
            <w:noProof/>
          </w:rPr>
          <w:fldChar w:fldCharType="end"/>
        </w:r>
      </w:p>
    </w:sdtContent>
  </w:sdt>
  <w:p w:rsidR="002115C3" w:rsidRDefault="002115C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C3" w:rsidRDefault="00211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C47" w:rsidRDefault="002E1C47" w:rsidP="00E7381B">
      <w:pPr>
        <w:spacing w:after="0" w:line="240" w:lineRule="auto"/>
      </w:pPr>
      <w:r>
        <w:separator/>
      </w:r>
    </w:p>
  </w:footnote>
  <w:footnote w:type="continuationSeparator" w:id="0">
    <w:p w:rsidR="002E1C47" w:rsidRDefault="002E1C47" w:rsidP="00E7381B">
      <w:pPr>
        <w:spacing w:after="0" w:line="240" w:lineRule="auto"/>
      </w:pPr>
      <w:r>
        <w:continuationSeparator/>
      </w:r>
    </w:p>
  </w:footnote>
  <w:footnote w:id="1">
    <w:p w:rsidR="002115C3" w:rsidRPr="0004124F" w:rsidRDefault="002115C3" w:rsidP="00506FA1">
      <w:pPr>
        <w:pStyle w:val="FootnoteText"/>
        <w:jc w:val="both"/>
        <w:rPr>
          <w:rFonts w:ascii="Times New Roman" w:hAnsi="Times New Roman"/>
          <w:lang w:val="en-US"/>
        </w:rPr>
      </w:pPr>
      <w:r>
        <w:rPr>
          <w:rStyle w:val="FootnoteReference"/>
          <w:rFonts w:ascii="Times New Roman" w:hAnsi="Times New Roman"/>
        </w:rPr>
        <w:footnoteRef/>
      </w:r>
      <w:r w:rsidR="001D3521">
        <w:rPr>
          <w:rFonts w:ascii="Times New Roman" w:hAnsi="Times New Roman"/>
        </w:rPr>
        <w:t xml:space="preserve"> </w:t>
      </w:r>
      <w:r>
        <w:rPr>
          <w:rFonts w:ascii="Times New Roman" w:hAnsi="Times New Roman"/>
        </w:rPr>
        <w:t>http://europa.eu/rapid/press-release_IP-13-1259_en.htm.</w:t>
      </w:r>
    </w:p>
  </w:footnote>
  <w:footnote w:id="2">
    <w:p w:rsidR="002115C3" w:rsidRPr="0004124F" w:rsidRDefault="002115C3" w:rsidP="00506FA1">
      <w:pPr>
        <w:autoSpaceDE w:val="0"/>
        <w:autoSpaceDN w:val="0"/>
        <w:adjustRightInd w:val="0"/>
        <w:spacing w:after="0" w:line="240" w:lineRule="auto"/>
        <w:jc w:val="both"/>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COM(2014) 646 final Έκθεση της Επιτροπής προς το Ευρωπαϊκό Κοινοβούλιο και το Συμβούλιο σχετικά με την πρόοδο της Τουρκίας όσον αφορά την εκπλήρωση των κριτηρίων του χάρτη πορείας για την ελευθέρωση του καθεστώτος θεωρήσεων</w:t>
      </w:r>
      <w:r w:rsidR="001D3521">
        <w:rPr>
          <w:rFonts w:ascii="Times New Roman" w:hAnsi="Times New Roman"/>
          <w:sz w:val="20"/>
        </w:rPr>
        <w:t xml:space="preserve"> </w:t>
      </w:r>
      <w:r>
        <w:rPr>
          <w:rFonts w:ascii="Times New Roman" w:hAnsi="Times New Roman"/>
          <w:sz w:val="20"/>
        </w:rPr>
        <w:t>http://europa.eu/rapid/press-release_IP-14-1173_en.htm.</w:t>
      </w:r>
    </w:p>
  </w:footnote>
  <w:footnote w:id="3">
    <w:p w:rsidR="002115C3" w:rsidRPr="0004124F" w:rsidRDefault="002115C3" w:rsidP="00506FA1">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Για το κείμενο της δήλωσης που εγκρίθηκε κατά τη σύνοδο των αρχηγών κρατών και κυβερνήσεων της ΕΕ με την Τουρκία, βλ. http://www.consilium.europa.eu/en/press/press-releases/2015/11/29-eu-turkey-meeting-statement/.</w:t>
      </w:r>
    </w:p>
  </w:footnote>
  <w:footnote w:id="4">
    <w:p w:rsidR="002115C3" w:rsidRPr="0004124F" w:rsidRDefault="002115C3" w:rsidP="0036477A">
      <w:pPr>
        <w:autoSpaceDE w:val="0"/>
        <w:autoSpaceDN w:val="0"/>
        <w:adjustRightInd w:val="0"/>
        <w:spacing w:after="0" w:line="240" w:lineRule="auto"/>
        <w:jc w:val="both"/>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COM(2014) 646 final Έκθεση της Επιτροπής προς το Ευρωπαϊκό Κοινοβούλιο και το Συμβούλιο σχετικά με την πρόοδο της Τουρκίας όσον αφορά την εκπλήρωση των κριτηρίων του χάρτη πορείας για την ελευθέρωση του καθεστώτος θεωρήσεων</w:t>
      </w:r>
      <w:r w:rsidR="001D3521">
        <w:rPr>
          <w:rFonts w:ascii="Times New Roman" w:hAnsi="Times New Roman"/>
          <w:sz w:val="20"/>
        </w:rPr>
        <w:t xml:space="preserve"> </w:t>
      </w:r>
      <w:r>
        <w:rPr>
          <w:rFonts w:ascii="Times New Roman" w:hAnsi="Times New Roman"/>
          <w:sz w:val="20"/>
        </w:rPr>
        <w:t>http://europa.eu/rapid/press-release_IP-14-1173_en.htm.</w:t>
      </w:r>
    </w:p>
  </w:footnote>
  <w:footnote w:id="5">
    <w:p w:rsidR="002115C3" w:rsidRPr="006764A0" w:rsidRDefault="002115C3" w:rsidP="006764A0">
      <w:pPr>
        <w:pStyle w:val="FootnoteText"/>
        <w:jc w:val="both"/>
      </w:pPr>
      <w:r>
        <w:rPr>
          <w:rStyle w:val="FootnoteReference"/>
        </w:rPr>
        <w:footnoteRef/>
      </w:r>
      <w:r>
        <w:t xml:space="preserve"> </w:t>
      </w:r>
      <w:r>
        <w:rPr>
          <w:rFonts w:ascii="Times New Roman" w:hAnsi="Times New Roman"/>
        </w:rPr>
        <w:t xml:space="preserve">Για το πλήρες κείμενο της δήλωσης που εγκρίθηκε κατά τη συνεδρίαση των αρχηγών κρατών και κυβερνήσεων της ΕΕ με την Τουρκία, βλ. http://www.consilium.europa.eu/en/press/press-releases/2016/03/18-eu-turkey-statement/. </w:t>
      </w:r>
    </w:p>
  </w:footnote>
  <w:footnote w:id="6">
    <w:p w:rsidR="002115C3" w:rsidRPr="00873C28" w:rsidRDefault="002115C3" w:rsidP="00873C28">
      <w:pPr>
        <w:pStyle w:val="FootnoteText"/>
        <w:jc w:val="both"/>
        <w:rPr>
          <w:rFonts w:ascii="Times New Roman" w:hAnsi="Times New Roman"/>
          <w:lang w:eastAsia="en-GB"/>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Όπως αναφέρεται στον χάρτη πορείας, μετά τη χορήγησή του, το δικαίωμα απαλλαγής από την υποχρέωση θεώρησης θα ισχύει μόνο για τους τούρκους πολίτες που είναι κάτοχοι βιομετρικών διαβατηρίων σύμφωνα με τα πρότυπα του κανονισμού 2252/2004 του Συμβουλίου. </w:t>
      </w:r>
    </w:p>
    <w:p w:rsidR="002115C3" w:rsidRPr="002A224A" w:rsidRDefault="002115C3" w:rsidP="00EE3A53">
      <w:pPr>
        <w:pStyle w:val="FootnoteText"/>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21" w:rsidRPr="001D3521" w:rsidRDefault="001D3521" w:rsidP="001D3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21" w:rsidRPr="001D3521" w:rsidRDefault="001D3521" w:rsidP="001D352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21" w:rsidRPr="001D3521" w:rsidRDefault="001D3521" w:rsidP="001D352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C3" w:rsidRDefault="002115C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C3" w:rsidRDefault="002115C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C3" w:rsidRDefault="00211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D23"/>
      </v:shape>
    </w:pict>
  </w:numPicBullet>
  <w:abstractNum w:abstractNumId="0">
    <w:nsid w:val="03F5016A"/>
    <w:multiLevelType w:val="hybridMultilevel"/>
    <w:tmpl w:val="D37E01D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432BA1"/>
    <w:multiLevelType w:val="hybridMultilevel"/>
    <w:tmpl w:val="1AA8F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A5400"/>
    <w:multiLevelType w:val="hybridMultilevel"/>
    <w:tmpl w:val="A25E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A5D1C"/>
    <w:multiLevelType w:val="hybridMultilevel"/>
    <w:tmpl w:val="903C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F87A20"/>
    <w:multiLevelType w:val="hybridMultilevel"/>
    <w:tmpl w:val="FE46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DB5288"/>
    <w:multiLevelType w:val="hybridMultilevel"/>
    <w:tmpl w:val="0624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B4034F"/>
    <w:multiLevelType w:val="hybridMultilevel"/>
    <w:tmpl w:val="42CC168A"/>
    <w:lvl w:ilvl="0" w:tplc="8740090A">
      <w:start w:val="65"/>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2A0459"/>
    <w:multiLevelType w:val="hybridMultilevel"/>
    <w:tmpl w:val="E4EC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33506B"/>
    <w:multiLevelType w:val="hybridMultilevel"/>
    <w:tmpl w:val="BF0838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7F749D"/>
    <w:multiLevelType w:val="hybridMultilevel"/>
    <w:tmpl w:val="E5B0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0C756C"/>
    <w:multiLevelType w:val="hybridMultilevel"/>
    <w:tmpl w:val="1D98D1BE"/>
    <w:lvl w:ilvl="0" w:tplc="08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1">
    <w:nsid w:val="25BC69D7"/>
    <w:multiLevelType w:val="hybridMultilevel"/>
    <w:tmpl w:val="7AFC8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C542E"/>
    <w:multiLevelType w:val="hybridMultilevel"/>
    <w:tmpl w:val="6D7E032C"/>
    <w:lvl w:ilvl="0" w:tplc="08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3">
    <w:nsid w:val="2B37057A"/>
    <w:multiLevelType w:val="hybridMultilevel"/>
    <w:tmpl w:val="A9BAEFAA"/>
    <w:lvl w:ilvl="0" w:tplc="08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4">
    <w:nsid w:val="2C3D4AD7"/>
    <w:multiLevelType w:val="hybridMultilevel"/>
    <w:tmpl w:val="A7FC05F0"/>
    <w:lvl w:ilvl="0" w:tplc="08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5">
    <w:nsid w:val="2D17077B"/>
    <w:multiLevelType w:val="hybridMultilevel"/>
    <w:tmpl w:val="5CA8F256"/>
    <w:lvl w:ilvl="0" w:tplc="08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6">
    <w:nsid w:val="341C4AF3"/>
    <w:multiLevelType w:val="hybridMultilevel"/>
    <w:tmpl w:val="0E8A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845B17"/>
    <w:multiLevelType w:val="hybridMultilevel"/>
    <w:tmpl w:val="8668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1698F"/>
    <w:multiLevelType w:val="hybridMultilevel"/>
    <w:tmpl w:val="D090AF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682200"/>
    <w:multiLevelType w:val="hybridMultilevel"/>
    <w:tmpl w:val="0180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444095"/>
    <w:multiLevelType w:val="hybridMultilevel"/>
    <w:tmpl w:val="A17A5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5516E0"/>
    <w:multiLevelType w:val="hybridMultilevel"/>
    <w:tmpl w:val="7EEA3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C1A3A24"/>
    <w:multiLevelType w:val="hybridMultilevel"/>
    <w:tmpl w:val="5DC2373C"/>
    <w:lvl w:ilvl="0" w:tplc="08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3">
    <w:nsid w:val="4C994B9D"/>
    <w:multiLevelType w:val="hybridMultilevel"/>
    <w:tmpl w:val="06A8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F52F82"/>
    <w:multiLevelType w:val="hybridMultilevel"/>
    <w:tmpl w:val="9624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4F0C17"/>
    <w:multiLevelType w:val="hybridMultilevel"/>
    <w:tmpl w:val="1C56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B4076A"/>
    <w:multiLevelType w:val="hybridMultilevel"/>
    <w:tmpl w:val="317A80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74025F"/>
    <w:multiLevelType w:val="hybridMultilevel"/>
    <w:tmpl w:val="3EF6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4600C8"/>
    <w:multiLevelType w:val="hybridMultilevel"/>
    <w:tmpl w:val="6592F01C"/>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47765F"/>
    <w:multiLevelType w:val="hybridMultilevel"/>
    <w:tmpl w:val="C0F4F048"/>
    <w:lvl w:ilvl="0" w:tplc="08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0">
    <w:nsid w:val="6756101A"/>
    <w:multiLevelType w:val="hybridMultilevel"/>
    <w:tmpl w:val="D00878D4"/>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F24F3F"/>
    <w:multiLevelType w:val="hybridMultilevel"/>
    <w:tmpl w:val="F3B85C84"/>
    <w:lvl w:ilvl="0" w:tplc="08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2">
    <w:nsid w:val="697453C7"/>
    <w:multiLevelType w:val="hybridMultilevel"/>
    <w:tmpl w:val="7AA68D92"/>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D563B8"/>
    <w:multiLevelType w:val="hybridMultilevel"/>
    <w:tmpl w:val="88B8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BB5E67"/>
    <w:multiLevelType w:val="hybridMultilevel"/>
    <w:tmpl w:val="A46C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BE6E4F"/>
    <w:multiLevelType w:val="hybridMultilevel"/>
    <w:tmpl w:val="2090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395BE8"/>
    <w:multiLevelType w:val="hybridMultilevel"/>
    <w:tmpl w:val="3A76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A9234E"/>
    <w:multiLevelType w:val="hybridMultilevel"/>
    <w:tmpl w:val="400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D1217B"/>
    <w:multiLevelType w:val="hybridMultilevel"/>
    <w:tmpl w:val="58F4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BD1257"/>
    <w:multiLevelType w:val="hybridMultilevel"/>
    <w:tmpl w:val="9078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0444C8"/>
    <w:multiLevelType w:val="hybridMultilevel"/>
    <w:tmpl w:val="E7CC0F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18"/>
  </w:num>
  <w:num w:numId="3">
    <w:abstractNumId w:val="35"/>
  </w:num>
  <w:num w:numId="4">
    <w:abstractNumId w:val="33"/>
  </w:num>
  <w:num w:numId="5">
    <w:abstractNumId w:val="24"/>
  </w:num>
  <w:num w:numId="6">
    <w:abstractNumId w:val="3"/>
  </w:num>
  <w:num w:numId="7">
    <w:abstractNumId w:val="32"/>
  </w:num>
  <w:num w:numId="8">
    <w:abstractNumId w:val="29"/>
  </w:num>
  <w:num w:numId="9">
    <w:abstractNumId w:val="15"/>
  </w:num>
  <w:num w:numId="10">
    <w:abstractNumId w:val="22"/>
  </w:num>
  <w:num w:numId="11">
    <w:abstractNumId w:val="10"/>
  </w:num>
  <w:num w:numId="12">
    <w:abstractNumId w:val="13"/>
  </w:num>
  <w:num w:numId="13">
    <w:abstractNumId w:val="14"/>
  </w:num>
  <w:num w:numId="14">
    <w:abstractNumId w:val="31"/>
  </w:num>
  <w:num w:numId="15">
    <w:abstractNumId w:val="12"/>
  </w:num>
  <w:num w:numId="16">
    <w:abstractNumId w:val="17"/>
  </w:num>
  <w:num w:numId="17">
    <w:abstractNumId w:val="36"/>
  </w:num>
  <w:num w:numId="18">
    <w:abstractNumId w:val="16"/>
  </w:num>
  <w:num w:numId="19">
    <w:abstractNumId w:val="11"/>
  </w:num>
  <w:num w:numId="20">
    <w:abstractNumId w:val="2"/>
  </w:num>
  <w:num w:numId="21">
    <w:abstractNumId w:val="30"/>
  </w:num>
  <w:num w:numId="22">
    <w:abstractNumId w:val="28"/>
  </w:num>
  <w:num w:numId="23">
    <w:abstractNumId w:val="19"/>
  </w:num>
  <w:num w:numId="24">
    <w:abstractNumId w:val="39"/>
  </w:num>
  <w:num w:numId="25">
    <w:abstractNumId w:val="27"/>
  </w:num>
  <w:num w:numId="26">
    <w:abstractNumId w:val="8"/>
  </w:num>
  <w:num w:numId="27">
    <w:abstractNumId w:val="1"/>
  </w:num>
  <w:num w:numId="28">
    <w:abstractNumId w:val="20"/>
  </w:num>
  <w:num w:numId="29">
    <w:abstractNumId w:val="25"/>
  </w:num>
  <w:num w:numId="30">
    <w:abstractNumId w:val="7"/>
  </w:num>
  <w:num w:numId="31">
    <w:abstractNumId w:val="34"/>
  </w:num>
  <w:num w:numId="32">
    <w:abstractNumId w:val="9"/>
  </w:num>
  <w:num w:numId="33">
    <w:abstractNumId w:val="38"/>
  </w:num>
  <w:num w:numId="34">
    <w:abstractNumId w:val="26"/>
  </w:num>
  <w:num w:numId="35">
    <w:abstractNumId w:val="5"/>
  </w:num>
  <w:num w:numId="36">
    <w:abstractNumId w:val="21"/>
  </w:num>
  <w:num w:numId="37">
    <w:abstractNumId w:val="37"/>
  </w:num>
  <w:num w:numId="38">
    <w:abstractNumId w:val="0"/>
  </w:num>
  <w:num w:numId="39">
    <w:abstractNumId w:val="4"/>
  </w:num>
  <w:num w:numId="40">
    <w:abstractNumId w:val="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40550984D5E46FEBE36ECB0960D41DD"/>
    <w:docVar w:name="LW_CROSSREFERENCE" w:val="{SWD(2016) 161 final}"/>
    <w:docVar w:name="LW_DocType" w:val="NORMAL"/>
    <w:docVar w:name="LW_EMISSION" w:val="4.5.2016"/>
    <w:docVar w:name="LW_EMISSION_ISODATE" w:val="2016-05-04"/>
    <w:docVar w:name="LW_EMISSION_LOCATION" w:val="BRX"/>
    <w:docVar w:name="LW_EMISSION_PREFIX" w:val="\u914?\u961?\u965?\u958?\u941?\u955?\u955?\u949?\u962?, "/>
    <w:docVar w:name="LW_EMISSION_SUFFIX" w:val=" "/>
    <w:docVar w:name="LW_ID_DOCTYPE_NONLW" w:val="CP-006"/>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lt;EMPTY&gt;"/>
    <w:docVar w:name="LW_REF.INST.NEW_TEXT" w:val="(2016) 278 final"/>
    <w:docVar w:name="LW_REF.INTERNE" w:val="&lt;UNUSED&gt;"/>
    <w:docVar w:name="LW_SOUS.TITRE.OBJ" w:val="(Data will be updated Tuesday 03/05 at 12:00)_x000b__x000b_"/>
    <w:docVar w:name="LW_SOUS.TITRE.OBJ.CP" w:val="&lt;UNUSED&gt;"/>
    <w:docVar w:name="LW_SUPERTITRE" w:val="&lt;UNUSED&gt;"/>
    <w:docVar w:name="LW_TITRE.OBJ.CP" w:val="\u932?\u961?\u943?\u964?\u951? \u941?\u954?\u952?\u949?\u963?\u951? \u963?\u967?\u949?\u964?\u953?\u954?\u940? \u956?\u949? \u964?\u951?\u957? \u960?\u961?\u972?\u959?\u948?\u959? \u964?\u951?\u962? \u932?\u959?\u965?\u961?\u954?\u943?\u945?\u962? \u972?\u963?\u959?\u957? \u945?\u966?\u959?\u961?\u940? \u964?\u951?\u957? \u949?\u954?\u960?\u955?\u942?\u961?\u969?\u963?\u951? \u964?\u969?\u957? \u954?\u961?\u953?\u964?\u951?\u961?\u943?\u969?\u957? \u964?\u959?\u965? \u967?\u940?\u961?\u964?\u951? \u960?\u959?\u961?\u949?\u943?\u945?\u962? \u947?\u953?\u945? \u964?\u951?\u957? \u949?\u955?\u949?\u965?\u952?\u941?\u961?\u969?\u963?\u951? \u964?\u959?\u965? \u954?\u945?\u952?\u949?\u963?\u964?\u974?\u964?\u959?\u962? \u952?\u949?\u969?\u961?\u942?\u963?\u949?\u969?\u957?"/>
    <w:docVar w:name="LW_TYPE.DOC.CP" w:val="\u917?\u922?\u920?\u917?\u931?\u919? \u932?\u919?\u931? \u917?\u928?\u921?\u932?\u929?\u927?\u928?\u919?\u931? \u928?\u929?\u927?\u931? \u932?\u927? \u917?\u933?\u929?\u937?\u928?\u913?\u938?\u922?\u927? \u922?\u927?\u921?\u925?\u927?\u914?\u927?\u933?\u923?\u921?\u927? \u922?\u913?\u921? \u932?\u927? \u931?\u933?\u924?\u914?\u927?\u933?\u923?\u921?\u927?"/>
  </w:docVars>
  <w:rsids>
    <w:rsidRoot w:val="00E7381B"/>
    <w:rsid w:val="00001DC4"/>
    <w:rsid w:val="00005BE2"/>
    <w:rsid w:val="00010826"/>
    <w:rsid w:val="00011CF8"/>
    <w:rsid w:val="0001267E"/>
    <w:rsid w:val="00017543"/>
    <w:rsid w:val="000175AB"/>
    <w:rsid w:val="0003106C"/>
    <w:rsid w:val="0003124C"/>
    <w:rsid w:val="00032934"/>
    <w:rsid w:val="00036B39"/>
    <w:rsid w:val="00041D45"/>
    <w:rsid w:val="00042D91"/>
    <w:rsid w:val="000474BA"/>
    <w:rsid w:val="000520D1"/>
    <w:rsid w:val="00053FEF"/>
    <w:rsid w:val="000541AE"/>
    <w:rsid w:val="000549C1"/>
    <w:rsid w:val="00055404"/>
    <w:rsid w:val="00056091"/>
    <w:rsid w:val="00057729"/>
    <w:rsid w:val="00067FD0"/>
    <w:rsid w:val="000722ED"/>
    <w:rsid w:val="000726FC"/>
    <w:rsid w:val="000927D6"/>
    <w:rsid w:val="00096FB5"/>
    <w:rsid w:val="000B58C7"/>
    <w:rsid w:val="000B656E"/>
    <w:rsid w:val="000C079F"/>
    <w:rsid w:val="000C7078"/>
    <w:rsid w:val="000D3854"/>
    <w:rsid w:val="000D4FDB"/>
    <w:rsid w:val="000E07C1"/>
    <w:rsid w:val="000E1743"/>
    <w:rsid w:val="000E380D"/>
    <w:rsid w:val="000E3EBD"/>
    <w:rsid w:val="000E68A2"/>
    <w:rsid w:val="000E7988"/>
    <w:rsid w:val="000F0C18"/>
    <w:rsid w:val="000F237C"/>
    <w:rsid w:val="000F6276"/>
    <w:rsid w:val="00120E53"/>
    <w:rsid w:val="00121B9F"/>
    <w:rsid w:val="001229FC"/>
    <w:rsid w:val="0012502A"/>
    <w:rsid w:val="00125769"/>
    <w:rsid w:val="001352E4"/>
    <w:rsid w:val="001356A3"/>
    <w:rsid w:val="0014247B"/>
    <w:rsid w:val="0015522A"/>
    <w:rsid w:val="001734CC"/>
    <w:rsid w:val="00173900"/>
    <w:rsid w:val="001758C3"/>
    <w:rsid w:val="00175B69"/>
    <w:rsid w:val="00176A4E"/>
    <w:rsid w:val="001838CF"/>
    <w:rsid w:val="001B1420"/>
    <w:rsid w:val="001B169F"/>
    <w:rsid w:val="001B6975"/>
    <w:rsid w:val="001D063F"/>
    <w:rsid w:val="001D3521"/>
    <w:rsid w:val="001D3636"/>
    <w:rsid w:val="001D6419"/>
    <w:rsid w:val="001D72AF"/>
    <w:rsid w:val="001E6D55"/>
    <w:rsid w:val="001F02AF"/>
    <w:rsid w:val="001F3923"/>
    <w:rsid w:val="002011D9"/>
    <w:rsid w:val="0020351E"/>
    <w:rsid w:val="002115C3"/>
    <w:rsid w:val="00212B30"/>
    <w:rsid w:val="002132B6"/>
    <w:rsid w:val="0021586A"/>
    <w:rsid w:val="00221ED3"/>
    <w:rsid w:val="00222975"/>
    <w:rsid w:val="00225795"/>
    <w:rsid w:val="00226A9C"/>
    <w:rsid w:val="00232062"/>
    <w:rsid w:val="002332C6"/>
    <w:rsid w:val="00243878"/>
    <w:rsid w:val="00244825"/>
    <w:rsid w:val="00246565"/>
    <w:rsid w:val="002527FE"/>
    <w:rsid w:val="002528ED"/>
    <w:rsid w:val="00253240"/>
    <w:rsid w:val="00265597"/>
    <w:rsid w:val="00274C77"/>
    <w:rsid w:val="00297D11"/>
    <w:rsid w:val="002A224A"/>
    <w:rsid w:val="002A3CF8"/>
    <w:rsid w:val="002A5B83"/>
    <w:rsid w:val="002B2B4C"/>
    <w:rsid w:val="002B3573"/>
    <w:rsid w:val="002B4C6D"/>
    <w:rsid w:val="002B6874"/>
    <w:rsid w:val="002B70D5"/>
    <w:rsid w:val="002C0A14"/>
    <w:rsid w:val="002D7D17"/>
    <w:rsid w:val="002E1C47"/>
    <w:rsid w:val="002E27C7"/>
    <w:rsid w:val="002E60AF"/>
    <w:rsid w:val="002F2D49"/>
    <w:rsid w:val="00300ADF"/>
    <w:rsid w:val="00302B0E"/>
    <w:rsid w:val="00302CF5"/>
    <w:rsid w:val="00306DC3"/>
    <w:rsid w:val="00306E2B"/>
    <w:rsid w:val="00315FEE"/>
    <w:rsid w:val="0033696E"/>
    <w:rsid w:val="00337859"/>
    <w:rsid w:val="00357045"/>
    <w:rsid w:val="0036477A"/>
    <w:rsid w:val="00366C77"/>
    <w:rsid w:val="003724D9"/>
    <w:rsid w:val="00375B5F"/>
    <w:rsid w:val="00397363"/>
    <w:rsid w:val="00397A95"/>
    <w:rsid w:val="00397B42"/>
    <w:rsid w:val="003A0841"/>
    <w:rsid w:val="003A295E"/>
    <w:rsid w:val="003A5558"/>
    <w:rsid w:val="003A7238"/>
    <w:rsid w:val="003B39D0"/>
    <w:rsid w:val="003C0915"/>
    <w:rsid w:val="003D0226"/>
    <w:rsid w:val="003D3409"/>
    <w:rsid w:val="003D57E4"/>
    <w:rsid w:val="003D5C2B"/>
    <w:rsid w:val="003F3FAD"/>
    <w:rsid w:val="003F412E"/>
    <w:rsid w:val="0040217F"/>
    <w:rsid w:val="004076FC"/>
    <w:rsid w:val="004167A4"/>
    <w:rsid w:val="00423DB6"/>
    <w:rsid w:val="004433ED"/>
    <w:rsid w:val="00447AD3"/>
    <w:rsid w:val="00450D44"/>
    <w:rsid w:val="00450F97"/>
    <w:rsid w:val="004602ED"/>
    <w:rsid w:val="00461C8A"/>
    <w:rsid w:val="004631BB"/>
    <w:rsid w:val="00473C39"/>
    <w:rsid w:val="00483EDC"/>
    <w:rsid w:val="00484178"/>
    <w:rsid w:val="004936D3"/>
    <w:rsid w:val="00494797"/>
    <w:rsid w:val="0049614B"/>
    <w:rsid w:val="004962F7"/>
    <w:rsid w:val="004A27EB"/>
    <w:rsid w:val="004A647E"/>
    <w:rsid w:val="004B400D"/>
    <w:rsid w:val="004B69F6"/>
    <w:rsid w:val="004C6054"/>
    <w:rsid w:val="004D116F"/>
    <w:rsid w:val="004D522C"/>
    <w:rsid w:val="004E55C4"/>
    <w:rsid w:val="004E6ED8"/>
    <w:rsid w:val="004F07E1"/>
    <w:rsid w:val="004F5283"/>
    <w:rsid w:val="005010E2"/>
    <w:rsid w:val="005039A4"/>
    <w:rsid w:val="00506FA1"/>
    <w:rsid w:val="005143ED"/>
    <w:rsid w:val="00514FE6"/>
    <w:rsid w:val="00517B96"/>
    <w:rsid w:val="00521F62"/>
    <w:rsid w:val="005228DC"/>
    <w:rsid w:val="00522CE3"/>
    <w:rsid w:val="00530427"/>
    <w:rsid w:val="00532F57"/>
    <w:rsid w:val="00535A62"/>
    <w:rsid w:val="00537C47"/>
    <w:rsid w:val="00541554"/>
    <w:rsid w:val="00545176"/>
    <w:rsid w:val="00551506"/>
    <w:rsid w:val="0056071C"/>
    <w:rsid w:val="00561502"/>
    <w:rsid w:val="00566C14"/>
    <w:rsid w:val="0057004C"/>
    <w:rsid w:val="00593C0D"/>
    <w:rsid w:val="00594A6B"/>
    <w:rsid w:val="005966E1"/>
    <w:rsid w:val="005B5AA1"/>
    <w:rsid w:val="005B7B54"/>
    <w:rsid w:val="005C4246"/>
    <w:rsid w:val="005C4695"/>
    <w:rsid w:val="005C513C"/>
    <w:rsid w:val="005E3C0C"/>
    <w:rsid w:val="005F0965"/>
    <w:rsid w:val="005F40C2"/>
    <w:rsid w:val="005F5C8C"/>
    <w:rsid w:val="006000DF"/>
    <w:rsid w:val="00604B00"/>
    <w:rsid w:val="0060555C"/>
    <w:rsid w:val="006072F1"/>
    <w:rsid w:val="00613CD1"/>
    <w:rsid w:val="00623B94"/>
    <w:rsid w:val="00631287"/>
    <w:rsid w:val="00633208"/>
    <w:rsid w:val="006467A4"/>
    <w:rsid w:val="00654C8E"/>
    <w:rsid w:val="00660877"/>
    <w:rsid w:val="00666DE2"/>
    <w:rsid w:val="00671291"/>
    <w:rsid w:val="006764A0"/>
    <w:rsid w:val="00680380"/>
    <w:rsid w:val="00692BF1"/>
    <w:rsid w:val="00693590"/>
    <w:rsid w:val="00694273"/>
    <w:rsid w:val="006A22B9"/>
    <w:rsid w:val="006B1BF9"/>
    <w:rsid w:val="006B417C"/>
    <w:rsid w:val="006B7DD9"/>
    <w:rsid w:val="006C0459"/>
    <w:rsid w:val="006C2DBB"/>
    <w:rsid w:val="006E3793"/>
    <w:rsid w:val="006E414F"/>
    <w:rsid w:val="006E7231"/>
    <w:rsid w:val="006F0EBC"/>
    <w:rsid w:val="006F4346"/>
    <w:rsid w:val="006F5E22"/>
    <w:rsid w:val="006F727D"/>
    <w:rsid w:val="007400DE"/>
    <w:rsid w:val="00740F4F"/>
    <w:rsid w:val="00745FDC"/>
    <w:rsid w:val="00751034"/>
    <w:rsid w:val="00751FEA"/>
    <w:rsid w:val="007537CB"/>
    <w:rsid w:val="00753DD4"/>
    <w:rsid w:val="007552DB"/>
    <w:rsid w:val="00756DD7"/>
    <w:rsid w:val="00765823"/>
    <w:rsid w:val="00765990"/>
    <w:rsid w:val="00792A34"/>
    <w:rsid w:val="007B03E1"/>
    <w:rsid w:val="007B4532"/>
    <w:rsid w:val="007C15EC"/>
    <w:rsid w:val="007C1842"/>
    <w:rsid w:val="007C5832"/>
    <w:rsid w:val="007C599A"/>
    <w:rsid w:val="007D1782"/>
    <w:rsid w:val="007E0A24"/>
    <w:rsid w:val="007E4539"/>
    <w:rsid w:val="007E5B93"/>
    <w:rsid w:val="007E6406"/>
    <w:rsid w:val="007E7FE2"/>
    <w:rsid w:val="007F127B"/>
    <w:rsid w:val="007F4F24"/>
    <w:rsid w:val="007F54FF"/>
    <w:rsid w:val="007F5518"/>
    <w:rsid w:val="0080007C"/>
    <w:rsid w:val="00800B97"/>
    <w:rsid w:val="0082053F"/>
    <w:rsid w:val="008227E6"/>
    <w:rsid w:val="00826462"/>
    <w:rsid w:val="00827BAF"/>
    <w:rsid w:val="008450A5"/>
    <w:rsid w:val="00851578"/>
    <w:rsid w:val="0085374D"/>
    <w:rsid w:val="008554C5"/>
    <w:rsid w:val="008637B2"/>
    <w:rsid w:val="00867BE0"/>
    <w:rsid w:val="00867CAF"/>
    <w:rsid w:val="00873C28"/>
    <w:rsid w:val="0088211A"/>
    <w:rsid w:val="00886787"/>
    <w:rsid w:val="00887D78"/>
    <w:rsid w:val="00891F69"/>
    <w:rsid w:val="00892646"/>
    <w:rsid w:val="008934DD"/>
    <w:rsid w:val="008969D2"/>
    <w:rsid w:val="008A774D"/>
    <w:rsid w:val="008B0B69"/>
    <w:rsid w:val="008B1454"/>
    <w:rsid w:val="008B45EC"/>
    <w:rsid w:val="008B7FFC"/>
    <w:rsid w:val="008C480A"/>
    <w:rsid w:val="008D6042"/>
    <w:rsid w:val="008F17E9"/>
    <w:rsid w:val="00902933"/>
    <w:rsid w:val="009078A6"/>
    <w:rsid w:val="00951463"/>
    <w:rsid w:val="009526B5"/>
    <w:rsid w:val="009543D2"/>
    <w:rsid w:val="00963823"/>
    <w:rsid w:val="009665CF"/>
    <w:rsid w:val="00966E60"/>
    <w:rsid w:val="0097491A"/>
    <w:rsid w:val="00976C61"/>
    <w:rsid w:val="009820F9"/>
    <w:rsid w:val="00984F71"/>
    <w:rsid w:val="0099146A"/>
    <w:rsid w:val="009930D6"/>
    <w:rsid w:val="009A1918"/>
    <w:rsid w:val="009A2356"/>
    <w:rsid w:val="009A3CEC"/>
    <w:rsid w:val="009B278D"/>
    <w:rsid w:val="009D3EEE"/>
    <w:rsid w:val="009D54E9"/>
    <w:rsid w:val="009E4143"/>
    <w:rsid w:val="009E4BF2"/>
    <w:rsid w:val="009E685F"/>
    <w:rsid w:val="009F5FB8"/>
    <w:rsid w:val="009F67F7"/>
    <w:rsid w:val="00A01DAD"/>
    <w:rsid w:val="00A01DD2"/>
    <w:rsid w:val="00A1274C"/>
    <w:rsid w:val="00A335F4"/>
    <w:rsid w:val="00A36D02"/>
    <w:rsid w:val="00A41466"/>
    <w:rsid w:val="00A47011"/>
    <w:rsid w:val="00A50DC2"/>
    <w:rsid w:val="00A54C1A"/>
    <w:rsid w:val="00A54E6C"/>
    <w:rsid w:val="00A5655F"/>
    <w:rsid w:val="00A573C8"/>
    <w:rsid w:val="00A76D72"/>
    <w:rsid w:val="00A90A51"/>
    <w:rsid w:val="00A93A10"/>
    <w:rsid w:val="00A9719E"/>
    <w:rsid w:val="00AA1210"/>
    <w:rsid w:val="00AA1F96"/>
    <w:rsid w:val="00AA79CC"/>
    <w:rsid w:val="00AB00A9"/>
    <w:rsid w:val="00AC1C8D"/>
    <w:rsid w:val="00AC1EF0"/>
    <w:rsid w:val="00AC3B62"/>
    <w:rsid w:val="00AD1B52"/>
    <w:rsid w:val="00AD5F98"/>
    <w:rsid w:val="00AE2BFD"/>
    <w:rsid w:val="00AE79BE"/>
    <w:rsid w:val="00AF005C"/>
    <w:rsid w:val="00B00046"/>
    <w:rsid w:val="00B000E8"/>
    <w:rsid w:val="00B05819"/>
    <w:rsid w:val="00B31D09"/>
    <w:rsid w:val="00B36531"/>
    <w:rsid w:val="00B36708"/>
    <w:rsid w:val="00B419E0"/>
    <w:rsid w:val="00B63318"/>
    <w:rsid w:val="00B64EB0"/>
    <w:rsid w:val="00B7285A"/>
    <w:rsid w:val="00B72CC5"/>
    <w:rsid w:val="00B76E5A"/>
    <w:rsid w:val="00B77E2C"/>
    <w:rsid w:val="00B855F4"/>
    <w:rsid w:val="00B878F4"/>
    <w:rsid w:val="00B90731"/>
    <w:rsid w:val="00B9184C"/>
    <w:rsid w:val="00B91C68"/>
    <w:rsid w:val="00B954BD"/>
    <w:rsid w:val="00B95C00"/>
    <w:rsid w:val="00BB3B1E"/>
    <w:rsid w:val="00BB4D75"/>
    <w:rsid w:val="00BD1CC9"/>
    <w:rsid w:val="00BD26D1"/>
    <w:rsid w:val="00BD4266"/>
    <w:rsid w:val="00BD488F"/>
    <w:rsid w:val="00BD54A7"/>
    <w:rsid w:val="00BE0957"/>
    <w:rsid w:val="00BE3A45"/>
    <w:rsid w:val="00BE7BD9"/>
    <w:rsid w:val="00BF6001"/>
    <w:rsid w:val="00BF6718"/>
    <w:rsid w:val="00C012DF"/>
    <w:rsid w:val="00C060F9"/>
    <w:rsid w:val="00C11E3A"/>
    <w:rsid w:val="00C15C32"/>
    <w:rsid w:val="00C17C38"/>
    <w:rsid w:val="00C31871"/>
    <w:rsid w:val="00C34372"/>
    <w:rsid w:val="00C34DE1"/>
    <w:rsid w:val="00C36D22"/>
    <w:rsid w:val="00C36E9E"/>
    <w:rsid w:val="00C462B6"/>
    <w:rsid w:val="00C52522"/>
    <w:rsid w:val="00C53CB8"/>
    <w:rsid w:val="00C662B9"/>
    <w:rsid w:val="00C75EED"/>
    <w:rsid w:val="00C857D6"/>
    <w:rsid w:val="00C9004F"/>
    <w:rsid w:val="00C95FDB"/>
    <w:rsid w:val="00C97E76"/>
    <w:rsid w:val="00CA30D4"/>
    <w:rsid w:val="00CC6143"/>
    <w:rsid w:val="00CC719C"/>
    <w:rsid w:val="00CD45AD"/>
    <w:rsid w:val="00CD4708"/>
    <w:rsid w:val="00CE4D18"/>
    <w:rsid w:val="00CE4D1C"/>
    <w:rsid w:val="00D00303"/>
    <w:rsid w:val="00D048C1"/>
    <w:rsid w:val="00D10EEC"/>
    <w:rsid w:val="00D2277C"/>
    <w:rsid w:val="00D309F2"/>
    <w:rsid w:val="00D332B2"/>
    <w:rsid w:val="00D335D9"/>
    <w:rsid w:val="00D4571A"/>
    <w:rsid w:val="00D45BDA"/>
    <w:rsid w:val="00D91652"/>
    <w:rsid w:val="00DB260A"/>
    <w:rsid w:val="00DC6ED6"/>
    <w:rsid w:val="00DC7DDA"/>
    <w:rsid w:val="00DC7E55"/>
    <w:rsid w:val="00DD0B12"/>
    <w:rsid w:val="00DD3D14"/>
    <w:rsid w:val="00DF151B"/>
    <w:rsid w:val="00DF2C5B"/>
    <w:rsid w:val="00E01A35"/>
    <w:rsid w:val="00E1010A"/>
    <w:rsid w:val="00E144D3"/>
    <w:rsid w:val="00E20076"/>
    <w:rsid w:val="00E23A73"/>
    <w:rsid w:val="00E33371"/>
    <w:rsid w:val="00E364E9"/>
    <w:rsid w:val="00E45D4F"/>
    <w:rsid w:val="00E520A3"/>
    <w:rsid w:val="00E55BA8"/>
    <w:rsid w:val="00E56757"/>
    <w:rsid w:val="00E61EC9"/>
    <w:rsid w:val="00E6221B"/>
    <w:rsid w:val="00E6698F"/>
    <w:rsid w:val="00E66F6B"/>
    <w:rsid w:val="00E71C61"/>
    <w:rsid w:val="00E725FC"/>
    <w:rsid w:val="00E72720"/>
    <w:rsid w:val="00E7381B"/>
    <w:rsid w:val="00E7763D"/>
    <w:rsid w:val="00E902CF"/>
    <w:rsid w:val="00E940CD"/>
    <w:rsid w:val="00E962F1"/>
    <w:rsid w:val="00EA6B38"/>
    <w:rsid w:val="00EB58ED"/>
    <w:rsid w:val="00EC49D4"/>
    <w:rsid w:val="00EC5F16"/>
    <w:rsid w:val="00EE2784"/>
    <w:rsid w:val="00EE3A53"/>
    <w:rsid w:val="00EE4D78"/>
    <w:rsid w:val="00EE553F"/>
    <w:rsid w:val="00F01C36"/>
    <w:rsid w:val="00F037EC"/>
    <w:rsid w:val="00F07ED4"/>
    <w:rsid w:val="00F111FB"/>
    <w:rsid w:val="00F11BE4"/>
    <w:rsid w:val="00F173C7"/>
    <w:rsid w:val="00F21323"/>
    <w:rsid w:val="00F22F0A"/>
    <w:rsid w:val="00F23AB6"/>
    <w:rsid w:val="00F441C8"/>
    <w:rsid w:val="00F47470"/>
    <w:rsid w:val="00F504B2"/>
    <w:rsid w:val="00F507FB"/>
    <w:rsid w:val="00F51956"/>
    <w:rsid w:val="00F61132"/>
    <w:rsid w:val="00F64577"/>
    <w:rsid w:val="00F648C4"/>
    <w:rsid w:val="00F73A0B"/>
    <w:rsid w:val="00F77600"/>
    <w:rsid w:val="00F83CA5"/>
    <w:rsid w:val="00F85187"/>
    <w:rsid w:val="00F862DA"/>
    <w:rsid w:val="00F94170"/>
    <w:rsid w:val="00F978FB"/>
    <w:rsid w:val="00FA7084"/>
    <w:rsid w:val="00FA708D"/>
    <w:rsid w:val="00FB0617"/>
    <w:rsid w:val="00FD3A23"/>
    <w:rsid w:val="00FE6BA1"/>
    <w:rsid w:val="00FF3E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C53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7381B"/>
    <w:rPr>
      <w:color w:val="0000FF"/>
      <w:shd w:val="clear" w:color="auto" w:fill="auto"/>
    </w:rPr>
  </w:style>
  <w:style w:type="paragraph" w:customStyle="1" w:styleId="Pagedecouverture">
    <w:name w:val="Page de couverture"/>
    <w:basedOn w:val="Normal"/>
    <w:next w:val="Normal"/>
    <w:rsid w:val="00E7381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E738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381B"/>
  </w:style>
  <w:style w:type="paragraph" w:styleId="Footer">
    <w:name w:val="footer"/>
    <w:basedOn w:val="Normal"/>
    <w:link w:val="FooterChar"/>
    <w:uiPriority w:val="99"/>
    <w:unhideWhenUsed/>
    <w:rsid w:val="00E738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381B"/>
  </w:style>
  <w:style w:type="paragraph" w:customStyle="1" w:styleId="FooterCoverPage">
    <w:name w:val="Footer Cover Page"/>
    <w:basedOn w:val="Normal"/>
    <w:link w:val="FooterCoverPageChar"/>
    <w:rsid w:val="00E7381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7381B"/>
    <w:rPr>
      <w:rFonts w:ascii="Times New Roman" w:hAnsi="Times New Roman" w:cs="Times New Roman"/>
      <w:sz w:val="24"/>
    </w:rPr>
  </w:style>
  <w:style w:type="paragraph" w:customStyle="1" w:styleId="HeaderCoverPage">
    <w:name w:val="Header Cover Page"/>
    <w:basedOn w:val="Normal"/>
    <w:link w:val="HeaderCoverPageChar"/>
    <w:rsid w:val="00E7381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7381B"/>
    <w:rPr>
      <w:rFonts w:ascii="Times New Roman" w:hAnsi="Times New Roman" w:cs="Times New Roman"/>
      <w:sz w:val="24"/>
    </w:rPr>
  </w:style>
  <w:style w:type="numbering" w:customStyle="1" w:styleId="NoList1">
    <w:name w:val="No List1"/>
    <w:next w:val="NoList"/>
    <w:uiPriority w:val="99"/>
    <w:semiHidden/>
    <w:unhideWhenUsed/>
    <w:rsid w:val="00506FA1"/>
  </w:style>
  <w:style w:type="character" w:customStyle="1" w:styleId="at8">
    <w:name w:val="a__t8"/>
    <w:rsid w:val="00506FA1"/>
  </w:style>
  <w:style w:type="paragraph" w:styleId="FootnoteText">
    <w:name w:val="footnote text"/>
    <w:basedOn w:val="Normal"/>
    <w:link w:val="FootnoteTextChar"/>
    <w:uiPriority w:val="99"/>
    <w:unhideWhenUsed/>
    <w:rsid w:val="00506FA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506FA1"/>
    <w:rPr>
      <w:rFonts w:ascii="Calibri" w:eastAsia="Calibri" w:hAnsi="Calibri" w:cs="Times New Roman"/>
      <w:sz w:val="20"/>
      <w:szCs w:val="20"/>
    </w:rPr>
  </w:style>
  <w:style w:type="character" w:styleId="FootnoteReference">
    <w:name w:val="footnote reference"/>
    <w:basedOn w:val="DefaultParagraphFont"/>
    <w:uiPriority w:val="99"/>
    <w:unhideWhenUsed/>
    <w:rsid w:val="00506FA1"/>
    <w:rPr>
      <w:vertAlign w:val="superscript"/>
    </w:rPr>
  </w:style>
  <w:style w:type="numbering" w:customStyle="1" w:styleId="NoList11">
    <w:name w:val="No List11"/>
    <w:next w:val="NoList"/>
    <w:uiPriority w:val="99"/>
    <w:semiHidden/>
    <w:unhideWhenUsed/>
    <w:rsid w:val="00506FA1"/>
  </w:style>
  <w:style w:type="character" w:styleId="Emphasis">
    <w:name w:val="Emphasis"/>
    <w:uiPriority w:val="20"/>
    <w:qFormat/>
    <w:rsid w:val="00506FA1"/>
    <w:rPr>
      <w:i/>
      <w:iCs/>
    </w:rPr>
  </w:style>
  <w:style w:type="character" w:styleId="Hyperlink">
    <w:name w:val="Hyperlink"/>
    <w:uiPriority w:val="99"/>
    <w:unhideWhenUsed/>
    <w:rsid w:val="00506FA1"/>
    <w:rPr>
      <w:color w:val="0000FF"/>
      <w:u w:val="single"/>
    </w:rPr>
  </w:style>
  <w:style w:type="paragraph" w:customStyle="1" w:styleId="Default">
    <w:name w:val="Default"/>
    <w:uiPriority w:val="99"/>
    <w:rsid w:val="00506F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semiHidden/>
    <w:rsid w:val="00506FA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506FA1"/>
    <w:rPr>
      <w:rFonts w:ascii="Calibri" w:eastAsia="Calibri" w:hAnsi="Calibri" w:cs="Times New Roman"/>
      <w:szCs w:val="21"/>
      <w:lang w:val="el-GR"/>
    </w:rPr>
  </w:style>
  <w:style w:type="paragraph" w:styleId="BalloonText">
    <w:name w:val="Balloon Text"/>
    <w:basedOn w:val="Normal"/>
    <w:link w:val="BalloonTextChar"/>
    <w:uiPriority w:val="99"/>
    <w:semiHidden/>
    <w:unhideWhenUsed/>
    <w:rsid w:val="00506FA1"/>
    <w:pPr>
      <w:spacing w:after="0" w:line="240" w:lineRule="auto"/>
    </w:pPr>
    <w:rPr>
      <w:rFonts w:ascii="Tahoma" w:eastAsia="Calibri" w:hAnsi="Tahoma" w:cs="Tahoma"/>
      <w:sz w:val="20"/>
      <w:szCs w:val="16"/>
    </w:rPr>
  </w:style>
  <w:style w:type="character" w:customStyle="1" w:styleId="BalloonTextChar">
    <w:name w:val="Balloon Text Char"/>
    <w:basedOn w:val="DefaultParagraphFont"/>
    <w:link w:val="BalloonText"/>
    <w:uiPriority w:val="99"/>
    <w:semiHidden/>
    <w:rsid w:val="00506FA1"/>
    <w:rPr>
      <w:rFonts w:ascii="Tahoma" w:eastAsia="Calibri" w:hAnsi="Tahoma" w:cs="Tahoma"/>
      <w:sz w:val="20"/>
      <w:szCs w:val="16"/>
    </w:rPr>
  </w:style>
  <w:style w:type="paragraph" w:customStyle="1" w:styleId="Body">
    <w:name w:val="Body"/>
    <w:rsid w:val="00506FA1"/>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NormalWeb">
    <w:name w:val="Normal (Web)"/>
    <w:basedOn w:val="Normal"/>
    <w:uiPriority w:val="99"/>
    <w:unhideWhenUsed/>
    <w:rsid w:val="00506FA1"/>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uiPriority w:val="99"/>
    <w:semiHidden/>
    <w:unhideWhenUsed/>
    <w:rsid w:val="00506FA1"/>
    <w:rPr>
      <w:sz w:val="16"/>
      <w:szCs w:val="16"/>
    </w:rPr>
  </w:style>
  <w:style w:type="paragraph" w:styleId="CommentText">
    <w:name w:val="annotation text"/>
    <w:basedOn w:val="Normal"/>
    <w:link w:val="CommentTextChar"/>
    <w:uiPriority w:val="99"/>
    <w:semiHidden/>
    <w:unhideWhenUsed/>
    <w:rsid w:val="00506FA1"/>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06FA1"/>
    <w:rPr>
      <w:rFonts w:ascii="Calibri" w:eastAsia="Calibri" w:hAnsi="Calibri" w:cs="Times New Roman"/>
      <w:sz w:val="20"/>
      <w:szCs w:val="20"/>
    </w:rPr>
  </w:style>
  <w:style w:type="paragraph" w:customStyle="1" w:styleId="astandard3520normal">
    <w:name w:val="a_standard__35__20_normal"/>
    <w:basedOn w:val="Normal"/>
    <w:rsid w:val="00506FA1"/>
    <w:pPr>
      <w:spacing w:after="120" w:line="240" w:lineRule="auto"/>
      <w:ind w:right="57"/>
      <w:jc w:val="both"/>
    </w:pPr>
    <w:rPr>
      <w:rFonts w:ascii="Times New Roman" w:eastAsia="Times New Roman" w:hAnsi="Times New Roman" w:cs="Times New Roman"/>
      <w:sz w:val="24"/>
      <w:szCs w:val="24"/>
    </w:rPr>
  </w:style>
  <w:style w:type="character" w:customStyle="1" w:styleId="at71">
    <w:name w:val="a__t71"/>
    <w:rsid w:val="00506FA1"/>
    <w:rPr>
      <w:b/>
      <w:bCs/>
    </w:rPr>
  </w:style>
  <w:style w:type="paragraph" w:styleId="CommentSubject">
    <w:name w:val="annotation subject"/>
    <w:basedOn w:val="CommentText"/>
    <w:next w:val="CommentText"/>
    <w:link w:val="CommentSubjectChar"/>
    <w:uiPriority w:val="99"/>
    <w:semiHidden/>
    <w:unhideWhenUsed/>
    <w:rsid w:val="00506FA1"/>
    <w:rPr>
      <w:b/>
      <w:bCs/>
    </w:rPr>
  </w:style>
  <w:style w:type="character" w:customStyle="1" w:styleId="CommentSubjectChar">
    <w:name w:val="Comment Subject Char"/>
    <w:basedOn w:val="CommentTextChar"/>
    <w:link w:val="CommentSubject"/>
    <w:uiPriority w:val="99"/>
    <w:semiHidden/>
    <w:rsid w:val="00506FA1"/>
    <w:rPr>
      <w:rFonts w:ascii="Calibri" w:eastAsia="Calibri" w:hAnsi="Calibri" w:cs="Times New Roman"/>
      <w:b/>
      <w:bCs/>
      <w:sz w:val="20"/>
      <w:szCs w:val="20"/>
    </w:rPr>
  </w:style>
  <w:style w:type="character" w:customStyle="1" w:styleId="st1">
    <w:name w:val="st1"/>
    <w:rsid w:val="00506FA1"/>
  </w:style>
  <w:style w:type="table" w:styleId="TableGrid">
    <w:name w:val="Table Grid"/>
    <w:basedOn w:val="TableNormal"/>
    <w:uiPriority w:val="39"/>
    <w:rsid w:val="00506F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rsid w:val="00506FA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BodyText">
    <w:name w:val="Body Text"/>
    <w:basedOn w:val="Normal"/>
    <w:link w:val="BodyTextChar"/>
    <w:unhideWhenUsed/>
    <w:rsid w:val="00506FA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06FA1"/>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06FA1"/>
    <w:pPr>
      <w:ind w:left="720"/>
      <w:contextualSpacing/>
    </w:pPr>
    <w:rPr>
      <w:rFonts w:ascii="Calibri" w:eastAsia="Calibri" w:hAnsi="Calibri" w:cs="Times New Roman"/>
    </w:rPr>
  </w:style>
  <w:style w:type="paragraph" w:styleId="Revision">
    <w:name w:val="Revision"/>
    <w:hidden/>
    <w:uiPriority w:val="99"/>
    <w:semiHidden/>
    <w:rsid w:val="00506FA1"/>
    <w:pPr>
      <w:spacing w:after="0" w:line="240" w:lineRule="auto"/>
    </w:pPr>
    <w:rPr>
      <w:rFonts w:ascii="Calibri" w:eastAsia="Calibri" w:hAnsi="Calibri" w:cs="Times New Roman"/>
    </w:rPr>
  </w:style>
  <w:style w:type="character" w:customStyle="1" w:styleId="bumpedfont15">
    <w:name w:val="bumpedfont15"/>
    <w:basedOn w:val="DefaultParagraphFont"/>
    <w:rsid w:val="0085374D"/>
  </w:style>
  <w:style w:type="paragraph" w:customStyle="1" w:styleId="LTTTitle1">
    <w:name w:val="LTT Title 1"/>
    <w:basedOn w:val="Normal"/>
    <w:uiPriority w:val="99"/>
    <w:rsid w:val="00D048C1"/>
    <w:pPr>
      <w:spacing w:before="480" w:after="320" w:line="240" w:lineRule="auto"/>
    </w:pPr>
    <w:rPr>
      <w:rFonts w:ascii="Calibri"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7381B"/>
    <w:rPr>
      <w:color w:val="0000FF"/>
      <w:shd w:val="clear" w:color="auto" w:fill="auto"/>
    </w:rPr>
  </w:style>
  <w:style w:type="paragraph" w:customStyle="1" w:styleId="Pagedecouverture">
    <w:name w:val="Page de couverture"/>
    <w:basedOn w:val="Normal"/>
    <w:next w:val="Normal"/>
    <w:rsid w:val="00E7381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E738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381B"/>
  </w:style>
  <w:style w:type="paragraph" w:styleId="Footer">
    <w:name w:val="footer"/>
    <w:basedOn w:val="Normal"/>
    <w:link w:val="FooterChar"/>
    <w:uiPriority w:val="99"/>
    <w:unhideWhenUsed/>
    <w:rsid w:val="00E738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381B"/>
  </w:style>
  <w:style w:type="paragraph" w:customStyle="1" w:styleId="FooterCoverPage">
    <w:name w:val="Footer Cover Page"/>
    <w:basedOn w:val="Normal"/>
    <w:link w:val="FooterCoverPageChar"/>
    <w:rsid w:val="00E7381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7381B"/>
    <w:rPr>
      <w:rFonts w:ascii="Times New Roman" w:hAnsi="Times New Roman" w:cs="Times New Roman"/>
      <w:sz w:val="24"/>
    </w:rPr>
  </w:style>
  <w:style w:type="paragraph" w:customStyle="1" w:styleId="HeaderCoverPage">
    <w:name w:val="Header Cover Page"/>
    <w:basedOn w:val="Normal"/>
    <w:link w:val="HeaderCoverPageChar"/>
    <w:rsid w:val="00E7381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7381B"/>
    <w:rPr>
      <w:rFonts w:ascii="Times New Roman" w:hAnsi="Times New Roman" w:cs="Times New Roman"/>
      <w:sz w:val="24"/>
    </w:rPr>
  </w:style>
  <w:style w:type="numbering" w:customStyle="1" w:styleId="NoList1">
    <w:name w:val="No List1"/>
    <w:next w:val="NoList"/>
    <w:uiPriority w:val="99"/>
    <w:semiHidden/>
    <w:unhideWhenUsed/>
    <w:rsid w:val="00506FA1"/>
  </w:style>
  <w:style w:type="character" w:customStyle="1" w:styleId="at8">
    <w:name w:val="a__t8"/>
    <w:rsid w:val="00506FA1"/>
  </w:style>
  <w:style w:type="paragraph" w:styleId="FootnoteText">
    <w:name w:val="footnote text"/>
    <w:basedOn w:val="Normal"/>
    <w:link w:val="FootnoteTextChar"/>
    <w:uiPriority w:val="99"/>
    <w:unhideWhenUsed/>
    <w:rsid w:val="00506FA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506FA1"/>
    <w:rPr>
      <w:rFonts w:ascii="Calibri" w:eastAsia="Calibri" w:hAnsi="Calibri" w:cs="Times New Roman"/>
      <w:sz w:val="20"/>
      <w:szCs w:val="20"/>
    </w:rPr>
  </w:style>
  <w:style w:type="character" w:styleId="FootnoteReference">
    <w:name w:val="footnote reference"/>
    <w:basedOn w:val="DefaultParagraphFont"/>
    <w:uiPriority w:val="99"/>
    <w:unhideWhenUsed/>
    <w:rsid w:val="00506FA1"/>
    <w:rPr>
      <w:vertAlign w:val="superscript"/>
    </w:rPr>
  </w:style>
  <w:style w:type="numbering" w:customStyle="1" w:styleId="NoList11">
    <w:name w:val="No List11"/>
    <w:next w:val="NoList"/>
    <w:uiPriority w:val="99"/>
    <w:semiHidden/>
    <w:unhideWhenUsed/>
    <w:rsid w:val="00506FA1"/>
  </w:style>
  <w:style w:type="character" w:styleId="Emphasis">
    <w:name w:val="Emphasis"/>
    <w:uiPriority w:val="20"/>
    <w:qFormat/>
    <w:rsid w:val="00506FA1"/>
    <w:rPr>
      <w:i/>
      <w:iCs/>
    </w:rPr>
  </w:style>
  <w:style w:type="character" w:styleId="Hyperlink">
    <w:name w:val="Hyperlink"/>
    <w:uiPriority w:val="99"/>
    <w:unhideWhenUsed/>
    <w:rsid w:val="00506FA1"/>
    <w:rPr>
      <w:color w:val="0000FF"/>
      <w:u w:val="single"/>
    </w:rPr>
  </w:style>
  <w:style w:type="paragraph" w:customStyle="1" w:styleId="Default">
    <w:name w:val="Default"/>
    <w:uiPriority w:val="99"/>
    <w:rsid w:val="00506F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semiHidden/>
    <w:rsid w:val="00506FA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506FA1"/>
    <w:rPr>
      <w:rFonts w:ascii="Calibri" w:eastAsia="Calibri" w:hAnsi="Calibri" w:cs="Times New Roman"/>
      <w:szCs w:val="21"/>
      <w:lang w:val="el-GR"/>
    </w:rPr>
  </w:style>
  <w:style w:type="paragraph" w:styleId="BalloonText">
    <w:name w:val="Balloon Text"/>
    <w:basedOn w:val="Normal"/>
    <w:link w:val="BalloonTextChar"/>
    <w:uiPriority w:val="99"/>
    <w:semiHidden/>
    <w:unhideWhenUsed/>
    <w:rsid w:val="00506FA1"/>
    <w:pPr>
      <w:spacing w:after="0" w:line="240" w:lineRule="auto"/>
    </w:pPr>
    <w:rPr>
      <w:rFonts w:ascii="Tahoma" w:eastAsia="Calibri" w:hAnsi="Tahoma" w:cs="Tahoma"/>
      <w:sz w:val="20"/>
      <w:szCs w:val="16"/>
    </w:rPr>
  </w:style>
  <w:style w:type="character" w:customStyle="1" w:styleId="BalloonTextChar">
    <w:name w:val="Balloon Text Char"/>
    <w:basedOn w:val="DefaultParagraphFont"/>
    <w:link w:val="BalloonText"/>
    <w:uiPriority w:val="99"/>
    <w:semiHidden/>
    <w:rsid w:val="00506FA1"/>
    <w:rPr>
      <w:rFonts w:ascii="Tahoma" w:eastAsia="Calibri" w:hAnsi="Tahoma" w:cs="Tahoma"/>
      <w:sz w:val="20"/>
      <w:szCs w:val="16"/>
    </w:rPr>
  </w:style>
  <w:style w:type="paragraph" w:customStyle="1" w:styleId="Body">
    <w:name w:val="Body"/>
    <w:rsid w:val="00506FA1"/>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NormalWeb">
    <w:name w:val="Normal (Web)"/>
    <w:basedOn w:val="Normal"/>
    <w:uiPriority w:val="99"/>
    <w:unhideWhenUsed/>
    <w:rsid w:val="00506FA1"/>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uiPriority w:val="99"/>
    <w:semiHidden/>
    <w:unhideWhenUsed/>
    <w:rsid w:val="00506FA1"/>
    <w:rPr>
      <w:sz w:val="16"/>
      <w:szCs w:val="16"/>
    </w:rPr>
  </w:style>
  <w:style w:type="paragraph" w:styleId="CommentText">
    <w:name w:val="annotation text"/>
    <w:basedOn w:val="Normal"/>
    <w:link w:val="CommentTextChar"/>
    <w:uiPriority w:val="99"/>
    <w:semiHidden/>
    <w:unhideWhenUsed/>
    <w:rsid w:val="00506FA1"/>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06FA1"/>
    <w:rPr>
      <w:rFonts w:ascii="Calibri" w:eastAsia="Calibri" w:hAnsi="Calibri" w:cs="Times New Roman"/>
      <w:sz w:val="20"/>
      <w:szCs w:val="20"/>
    </w:rPr>
  </w:style>
  <w:style w:type="paragraph" w:customStyle="1" w:styleId="astandard3520normal">
    <w:name w:val="a_standard__35__20_normal"/>
    <w:basedOn w:val="Normal"/>
    <w:rsid w:val="00506FA1"/>
    <w:pPr>
      <w:spacing w:after="120" w:line="240" w:lineRule="auto"/>
      <w:ind w:right="57"/>
      <w:jc w:val="both"/>
    </w:pPr>
    <w:rPr>
      <w:rFonts w:ascii="Times New Roman" w:eastAsia="Times New Roman" w:hAnsi="Times New Roman" w:cs="Times New Roman"/>
      <w:sz w:val="24"/>
      <w:szCs w:val="24"/>
    </w:rPr>
  </w:style>
  <w:style w:type="character" w:customStyle="1" w:styleId="at71">
    <w:name w:val="a__t71"/>
    <w:rsid w:val="00506FA1"/>
    <w:rPr>
      <w:b/>
      <w:bCs/>
    </w:rPr>
  </w:style>
  <w:style w:type="paragraph" w:styleId="CommentSubject">
    <w:name w:val="annotation subject"/>
    <w:basedOn w:val="CommentText"/>
    <w:next w:val="CommentText"/>
    <w:link w:val="CommentSubjectChar"/>
    <w:uiPriority w:val="99"/>
    <w:semiHidden/>
    <w:unhideWhenUsed/>
    <w:rsid w:val="00506FA1"/>
    <w:rPr>
      <w:b/>
      <w:bCs/>
    </w:rPr>
  </w:style>
  <w:style w:type="character" w:customStyle="1" w:styleId="CommentSubjectChar">
    <w:name w:val="Comment Subject Char"/>
    <w:basedOn w:val="CommentTextChar"/>
    <w:link w:val="CommentSubject"/>
    <w:uiPriority w:val="99"/>
    <w:semiHidden/>
    <w:rsid w:val="00506FA1"/>
    <w:rPr>
      <w:rFonts w:ascii="Calibri" w:eastAsia="Calibri" w:hAnsi="Calibri" w:cs="Times New Roman"/>
      <w:b/>
      <w:bCs/>
      <w:sz w:val="20"/>
      <w:szCs w:val="20"/>
    </w:rPr>
  </w:style>
  <w:style w:type="character" w:customStyle="1" w:styleId="st1">
    <w:name w:val="st1"/>
    <w:rsid w:val="00506FA1"/>
  </w:style>
  <w:style w:type="table" w:styleId="TableGrid">
    <w:name w:val="Table Grid"/>
    <w:basedOn w:val="TableNormal"/>
    <w:uiPriority w:val="39"/>
    <w:rsid w:val="00506F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rsid w:val="00506FA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BodyText">
    <w:name w:val="Body Text"/>
    <w:basedOn w:val="Normal"/>
    <w:link w:val="BodyTextChar"/>
    <w:unhideWhenUsed/>
    <w:rsid w:val="00506FA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06FA1"/>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06FA1"/>
    <w:pPr>
      <w:ind w:left="720"/>
      <w:contextualSpacing/>
    </w:pPr>
    <w:rPr>
      <w:rFonts w:ascii="Calibri" w:eastAsia="Calibri" w:hAnsi="Calibri" w:cs="Times New Roman"/>
    </w:rPr>
  </w:style>
  <w:style w:type="paragraph" w:styleId="Revision">
    <w:name w:val="Revision"/>
    <w:hidden/>
    <w:uiPriority w:val="99"/>
    <w:semiHidden/>
    <w:rsid w:val="00506FA1"/>
    <w:pPr>
      <w:spacing w:after="0" w:line="240" w:lineRule="auto"/>
    </w:pPr>
    <w:rPr>
      <w:rFonts w:ascii="Calibri" w:eastAsia="Calibri" w:hAnsi="Calibri" w:cs="Times New Roman"/>
    </w:rPr>
  </w:style>
  <w:style w:type="character" w:customStyle="1" w:styleId="bumpedfont15">
    <w:name w:val="bumpedfont15"/>
    <w:basedOn w:val="DefaultParagraphFont"/>
    <w:rsid w:val="0085374D"/>
  </w:style>
  <w:style w:type="paragraph" w:customStyle="1" w:styleId="LTTTitle1">
    <w:name w:val="LTT Title 1"/>
    <w:basedOn w:val="Normal"/>
    <w:uiPriority w:val="99"/>
    <w:rsid w:val="00D048C1"/>
    <w:pPr>
      <w:spacing w:before="480" w:after="320" w:line="240" w:lineRule="auto"/>
    </w:pPr>
    <w:rPr>
      <w:rFonts w:ascii="Calibri"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813017">
      <w:bodyDiv w:val="1"/>
      <w:marLeft w:val="0"/>
      <w:marRight w:val="0"/>
      <w:marTop w:val="0"/>
      <w:marBottom w:val="0"/>
      <w:divBdr>
        <w:top w:val="none" w:sz="0" w:space="0" w:color="auto"/>
        <w:left w:val="none" w:sz="0" w:space="0" w:color="auto"/>
        <w:bottom w:val="none" w:sz="0" w:space="0" w:color="auto"/>
        <w:right w:val="none" w:sz="0" w:space="0" w:color="auto"/>
      </w:divBdr>
    </w:div>
    <w:div w:id="1587962209">
      <w:bodyDiv w:val="1"/>
      <w:marLeft w:val="0"/>
      <w:marRight w:val="0"/>
      <w:marTop w:val="0"/>
      <w:marBottom w:val="0"/>
      <w:divBdr>
        <w:top w:val="none" w:sz="0" w:space="0" w:color="auto"/>
        <w:left w:val="none" w:sz="0" w:space="0" w:color="auto"/>
        <w:bottom w:val="none" w:sz="0" w:space="0" w:color="auto"/>
        <w:right w:val="none" w:sz="0" w:space="0" w:color="auto"/>
      </w:divBdr>
    </w:div>
    <w:div w:id="1990087692">
      <w:bodyDiv w:val="1"/>
      <w:marLeft w:val="0"/>
      <w:marRight w:val="0"/>
      <w:marTop w:val="0"/>
      <w:marBottom w:val="0"/>
      <w:divBdr>
        <w:top w:val="none" w:sz="0" w:space="0" w:color="auto"/>
        <w:left w:val="none" w:sz="0" w:space="0" w:color="auto"/>
        <w:bottom w:val="none" w:sz="0" w:space="0" w:color="auto"/>
        <w:right w:val="none" w:sz="0" w:space="0" w:color="auto"/>
      </w:divBdr>
    </w:div>
    <w:div w:id="208918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E066-009C-4D2C-B5C4-B07C54B7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5081</Words>
  <Characters>29676</Characters>
  <Application>Microsoft Office Word</Application>
  <DocSecurity>0</DocSecurity>
  <Lines>471</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DANULESCU Andreea (HOME)</dc:creator>
  <cp:lastModifiedBy>DQC</cp:lastModifiedBy>
  <cp:revision>7</cp:revision>
  <cp:lastPrinted>2016-05-03T18:09:00Z</cp:lastPrinted>
  <dcterms:created xsi:type="dcterms:W3CDTF">2016-05-04T10:20:00Z</dcterms:created>
  <dcterms:modified xsi:type="dcterms:W3CDTF">2016-05-31T14:56:00Z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