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80DCBEF6F3E47D88C98D3C7C83D1044"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u w:color="000000"/>
          <w:bdr w:val="nil"/>
        </w:rPr>
        <w:t>•</w:t>
      </w:r>
      <w:r>
        <w:rPr>
          <w:noProof/>
        </w:rPr>
        <w:tab/>
        <w:t>Motivele și obiectivele propunerii</w:t>
      </w:r>
    </w:p>
    <w:p>
      <w:pPr>
        <w:rPr>
          <w:noProof/>
          <w:szCs w:val="24"/>
        </w:rPr>
      </w:pPr>
      <w:r>
        <w:rPr>
          <w:noProof/>
        </w:rPr>
        <w:t>Regulamentul (UE) 2015/2265 al Consiliului privind deschiderea și modul de gestionare a unor contingente tarifare autonome ale Uniunii pentru anumite produse pescărești pentru perioada 2016-2018 a fost adoptat la 7 decembrie 2015.</w:t>
      </w:r>
    </w:p>
    <w:p>
      <w:pPr>
        <w:pStyle w:val="Default"/>
        <w:jc w:val="both"/>
        <w:rPr>
          <w:rFonts w:ascii="Times New Roman" w:hAnsi="Times New Roman" w:cs="Times New Roman"/>
          <w:noProof/>
          <w:color w:val="auto"/>
        </w:rPr>
      </w:pPr>
      <w:r>
        <w:rPr>
          <w:rFonts w:ascii="Times New Roman" w:hAnsi="Times New Roman"/>
          <w:noProof/>
          <w:color w:val="auto"/>
        </w:rPr>
        <w:t>Obiectivul regulamentului este de a asigura competitivitatea industriei prelucrătoare a Uniunii Europene, prin garantarea unui nivel adecvat al ofertei de produse pescărești pentru industrie, fără a pune în pericol producția de produse pescărești a Uniunii. În acest scop, regulamentul reduce sau suspendă taxele de import pentru anumite produse pescărești, în cadrul unor contingente tarifare cu un volum adecvat. El specifică, de asemenea, operațiunile de prelucrare în cadrul cărora utilizarea contingentelor tarifare este disponibilă („operațiuni care conferă caracterul de produs originar”) și pe cele în cadrul cărora utilizarea acestor contingente nu este disponibilă.</w:t>
      </w:r>
    </w:p>
    <w:p>
      <w:pPr>
        <w:rPr>
          <w:noProof/>
        </w:rPr>
      </w:pPr>
      <w:r>
        <w:rPr>
          <w:noProof/>
        </w:rPr>
        <w:t>De la adoptarea regulamentului, anumiți prelucrători din UE și unele state membre au informat Comisia în legătură cu faptul că sectorul prelucrător al Uniunii nu poate utiliza în mod adecvat contingentul tarifar cu numărul de ordine 09.2760 (merluciu și țipar roz, întregi). Această situație s-ar datora faptului că, în cazul produsului menționat, operațiunile care conferă caracterul de produs originar nu includ „felierea”.</w:t>
      </w:r>
    </w:p>
    <w:p>
      <w:pPr>
        <w:rPr>
          <w:noProof/>
        </w:rPr>
      </w:pPr>
      <w:r>
        <w:rPr>
          <w:noProof/>
        </w:rPr>
        <w:t>Industria prelucrătoare a Uniunii declară că aproximativ 95 % din acest contingent tarifar ar fi utilizate pentru prelucrarea produsului prin feliere. Prin urmare, este necesar ca printre operațiunile care conferă caracterul de produs originar să se introducă felierea, pentru a asigura utilizarea respectivului contingent și competitivitatea sectorului în speță.</w:t>
      </w:r>
    </w:p>
    <w:p>
      <w:pPr>
        <w:pStyle w:val="ManualHeading2"/>
        <w:rPr>
          <w:rFonts w:eastAsia="Arial Unicode MS"/>
          <w:noProof/>
          <w:u w:color="000000"/>
          <w:bdr w:val="nil"/>
        </w:rPr>
      </w:pPr>
      <w:r>
        <w:rPr>
          <w:noProof/>
        </w:rPr>
        <w:t>•</w:t>
      </w:r>
      <w:r>
        <w:rPr>
          <w:noProof/>
        </w:rPr>
        <w:tab/>
        <w:t>Coerența cu dispozițiile existente în domeniul de politică</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rPr>
      </w:pPr>
      <w:r>
        <w:rPr>
          <w:noProof/>
        </w:rPr>
        <w:t>•</w:t>
      </w:r>
      <w:r>
        <w:rPr>
          <w:noProof/>
        </w:rPr>
        <w:tab/>
        <w:t>Coerența cu alte politici ale Uniunii</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rPr>
        <w:t>•</w:t>
      </w:r>
      <w:r>
        <w:rPr>
          <w:noProof/>
        </w:rPr>
        <w:tab/>
        <w:t>Temeiul juridic</w:t>
      </w:r>
    </w:p>
    <w:p>
      <w:pPr>
        <w:pStyle w:val="Text1"/>
        <w:ind w:left="0"/>
        <w:rPr>
          <w:noProof/>
        </w:rPr>
      </w:pPr>
      <w:r>
        <w:rPr>
          <w:noProof/>
        </w:rPr>
        <w:t>Articolul 31 din Tratatul privind funcționarea Uniunii Europene.</w:t>
      </w:r>
    </w:p>
    <w:p>
      <w:pPr>
        <w:pStyle w:val="ManualHeading2"/>
        <w:rPr>
          <w:rFonts w:eastAsia="Arial Unicode MS"/>
          <w:noProof/>
          <w:u w:color="000000"/>
          <w:bdr w:val="nil"/>
        </w:rPr>
      </w:pPr>
      <w:r>
        <w:rPr>
          <w:noProof/>
        </w:rPr>
        <w:t>•</w:t>
      </w:r>
      <w:r>
        <w:rPr>
          <w:noProof/>
        </w:rPr>
        <w:tab/>
        <w:t xml:space="preserve">Subsidiaritate (pentru competență neexclusivă) </w:t>
      </w:r>
    </w:p>
    <w:p>
      <w:pPr>
        <w:autoSpaceDE w:val="0"/>
        <w:autoSpaceDN w:val="0"/>
        <w:adjustRightInd w:val="0"/>
        <w:spacing w:before="0" w:after="0"/>
        <w:rPr>
          <w:noProof/>
        </w:rPr>
      </w:pPr>
      <w:r>
        <w:rPr>
          <w:noProof/>
        </w:rPr>
        <w:t>Taxele din Tariful Vamal Comun intră în sfera competenței exclusive a Uniunii. Prin urmare, principiul subsidiarității nu se aplică în cazul acestor dispoziții.</w:t>
      </w:r>
    </w:p>
    <w:p>
      <w:pPr>
        <w:pStyle w:val="ManualHeading2"/>
        <w:rPr>
          <w:rFonts w:eastAsia="Arial Unicode MS"/>
          <w:noProof/>
          <w:u w:color="000000"/>
          <w:bdr w:val="nil"/>
        </w:rPr>
      </w:pPr>
      <w:r>
        <w:rPr>
          <w:noProof/>
        </w:rPr>
        <w:t>•</w:t>
      </w:r>
      <w:r>
        <w:rPr>
          <w:noProof/>
        </w:rPr>
        <w:tab/>
        <w:t>Proporționalitate</w:t>
      </w:r>
    </w:p>
    <w:p>
      <w:pPr>
        <w:rPr>
          <w:noProof/>
        </w:rPr>
      </w:pPr>
      <w:r>
        <w:rPr>
          <w:noProof/>
        </w:rPr>
        <w:t>Propunerea respectă principiul proporționalității din următorul motiv: uniunea vamală este o politică comună și, prin urmare, ar trebui să fie pusă în aplicare printr-un regulament adoptat de Consiliu.</w:t>
      </w:r>
    </w:p>
    <w:p>
      <w:pPr>
        <w:pStyle w:val="ManualHeading2"/>
        <w:rPr>
          <w:rFonts w:eastAsia="Arial Unicode MS"/>
          <w:noProof/>
          <w:u w:color="000000"/>
          <w:bdr w:val="nil"/>
        </w:rPr>
      </w:pPr>
      <w:r>
        <w:rPr>
          <w:noProof/>
        </w:rPr>
        <w:t>•</w:t>
      </w:r>
      <w:r>
        <w:rPr>
          <w:noProof/>
        </w:rPr>
        <w:tab/>
        <w:t>Alegerea instrumentului</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1"/>
        <w:rPr>
          <w:noProof/>
        </w:rPr>
      </w:pPr>
      <w:r>
        <w:rPr>
          <w:noProof/>
        </w:rPr>
        <w:t>3.</w:t>
      </w:r>
      <w:r>
        <w:rPr>
          <w:noProof/>
        </w:rPr>
        <w:tab/>
        <w:t>REZULTATELE EVALUĂRILOR EX POST, ALE CONSULTĂRILOR CU PĂRȚILE INTERESATE ȘI ALE EVALUĂRILOR IMPACTULUI</w:t>
      </w:r>
    </w:p>
    <w:p>
      <w:pPr>
        <w:pStyle w:val="ManualHeading2"/>
        <w:rPr>
          <w:rFonts w:eastAsia="Arial Unicode MS"/>
          <w:noProof/>
          <w:u w:color="000000"/>
          <w:bdr w:val="nil"/>
        </w:rPr>
      </w:pPr>
      <w:r>
        <w:rPr>
          <w:noProof/>
        </w:rPr>
        <w:t>•</w:t>
      </w:r>
      <w:r>
        <w:rPr>
          <w:noProof/>
        </w:rPr>
        <w:tab/>
        <w:t>Evaluări ex-post/verificări ale adecvării legislației existente</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u w:color="000000"/>
          <w:bdr w:val="nil"/>
        </w:rPr>
      </w:pPr>
      <w:r>
        <w:rPr>
          <w:noProof/>
        </w:rPr>
        <w:t>•</w:t>
      </w:r>
      <w:r>
        <w:rPr>
          <w:noProof/>
        </w:rPr>
        <w:tab/>
        <w:t>Consultări cu părțile interesate</w:t>
      </w:r>
    </w:p>
    <w:p>
      <w:pPr>
        <w:rPr>
          <w:noProof/>
        </w:rPr>
      </w:pPr>
      <w:r>
        <w:rPr>
          <w:noProof/>
        </w:rPr>
        <w:t>De la adoptarea regulamentului, anumiți prelucrători din UE și unele state membre au informat Comisia în legătură cu faptul că sectorul prelucrător al Uniunii nu poate utiliza în mod adecvat contingentul tarifar cu numărul de ordine 09.2760 (merluciu și țipar roz, întregi). Această situație s-ar datora faptului că, în cazul produsului menționat, operațiunile care conferă caracterul de produs originar nu includ „felierea”.</w:t>
      </w:r>
    </w:p>
    <w:p>
      <w:pPr>
        <w:rPr>
          <w:noProof/>
        </w:rPr>
      </w:pPr>
      <w:r>
        <w:rPr>
          <w:noProof/>
        </w:rPr>
        <w:t>Industria prelucrătoare a Uniunii declară că aproximativ 95 % din acest contingent tarifar ar fi utilizate pentru prelucrarea produsului prin feliere. Prin urmare, este necesar ca printre operațiunile care conferă caracterul de produs originar să se introducă felierea, pentru a asigura utilizarea respectivului contingent și competitivitatea sectorului în speță.</w:t>
      </w:r>
    </w:p>
    <w:p>
      <w:pPr>
        <w:pStyle w:val="ManualHeading2"/>
        <w:rPr>
          <w:rFonts w:eastAsia="Arial Unicode MS"/>
          <w:noProof/>
          <w:u w:color="000000"/>
          <w:bdr w:val="nil"/>
        </w:rPr>
      </w:pPr>
      <w:r>
        <w:rPr>
          <w:noProof/>
        </w:rPr>
        <w:t xml:space="preserve"> •</w:t>
      </w:r>
      <w:r>
        <w:rPr>
          <w:noProof/>
        </w:rPr>
        <w:tab/>
        <w:t>Obținerea și utilizarea expertizei</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u w:color="000000"/>
          <w:bdr w:val="nil"/>
        </w:rPr>
      </w:pPr>
      <w:r>
        <w:rPr>
          <w:noProof/>
        </w:rPr>
        <w:t>•</w:t>
      </w:r>
      <w:r>
        <w:rPr>
          <w:noProof/>
        </w:rPr>
        <w:tab/>
        <w:t>Evaluarea impactului</w:t>
      </w:r>
    </w:p>
    <w:p>
      <w:pPr>
        <w:pStyle w:val="Text1"/>
        <w:ind w:left="0"/>
        <w:rPr>
          <w:noProof/>
        </w:rPr>
      </w:pPr>
      <w:r>
        <w:rPr>
          <w:noProof/>
        </w:rPr>
        <w:t>Nu se aplică. Este vorba despre o modificare „tehnică” a Regulamentului 2015/2265 adoptat în decembrie 2015. Pentru Regulamentul 2015/2265 nu a fost necesară nicio evaluare a impactului.</w:t>
      </w:r>
    </w:p>
    <w:p>
      <w:pPr>
        <w:pStyle w:val="ManualHeading2"/>
        <w:rPr>
          <w:rFonts w:eastAsia="Arial Unicode MS"/>
          <w:noProof/>
          <w:u w:color="000000"/>
          <w:bdr w:val="nil"/>
        </w:rPr>
      </w:pPr>
      <w:r>
        <w:rPr>
          <w:noProof/>
        </w:rPr>
        <w:t>•</w:t>
      </w:r>
      <w:r>
        <w:rPr>
          <w:noProof/>
        </w:rPr>
        <w:tab/>
        <w:t>Adecvarea reglementărilor și simplificare</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u w:color="000000"/>
          <w:bdr w:val="nil"/>
        </w:rPr>
      </w:pPr>
      <w:r>
        <w:rPr>
          <w:noProof/>
        </w:rPr>
        <w:t>•</w:t>
      </w:r>
      <w:r>
        <w:rPr>
          <w:noProof/>
        </w:rPr>
        <w:tab/>
        <w:t>Drepturi fundamentale</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1"/>
        <w:rPr>
          <w:noProof/>
        </w:rPr>
      </w:pPr>
      <w:r>
        <w:rPr>
          <w:noProof/>
        </w:rPr>
        <w:t>4.</w:t>
      </w:r>
      <w:r>
        <w:rPr>
          <w:noProof/>
        </w:rPr>
        <w:tab/>
        <w:t>IMPLICAȚII BUGETARE</w:t>
      </w:r>
    </w:p>
    <w:p>
      <w:pPr>
        <w:rPr>
          <w:noProof/>
        </w:rPr>
      </w:pPr>
      <w:r>
        <w:rPr>
          <w:noProof/>
        </w:rPr>
        <w:t>Prezenta propunere nu are un impact bugetar pentru Comisie.</w:t>
      </w:r>
    </w:p>
    <w:p>
      <w:pPr>
        <w:pStyle w:val="ManualHeading1"/>
        <w:rPr>
          <w:noProof/>
        </w:rPr>
      </w:pPr>
      <w:r>
        <w:rPr>
          <w:noProof/>
        </w:rPr>
        <w:t>5.</w:t>
      </w:r>
      <w:r>
        <w:rPr>
          <w:noProof/>
        </w:rPr>
        <w:tab/>
        <w:t>ALTE ELEMENTE</w:t>
      </w:r>
    </w:p>
    <w:p>
      <w:pPr>
        <w:pStyle w:val="ManualHeading2"/>
        <w:rPr>
          <w:rFonts w:eastAsia="Arial Unicode MS"/>
          <w:noProof/>
          <w:u w:color="000000"/>
          <w:bdr w:val="nil"/>
        </w:rPr>
      </w:pPr>
      <w:r>
        <w:rPr>
          <w:noProof/>
        </w:rPr>
        <w:t>•</w:t>
      </w:r>
      <w:r>
        <w:rPr>
          <w:noProof/>
        </w:rPr>
        <w:tab/>
        <w:t>Planuri de punere în aplicare și măsuri de monitorizare, evaluare și raportare</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u w:color="000000"/>
          <w:bdr w:val="nil"/>
        </w:rPr>
      </w:pPr>
      <w:r>
        <w:rPr>
          <w:noProof/>
        </w:rPr>
        <w:t>•</w:t>
      </w:r>
      <w:r>
        <w:rPr>
          <w:noProof/>
        </w:rPr>
        <w:tab/>
        <w:t>Documente explicative (pentru directive)</w:t>
      </w:r>
    </w:p>
    <w:p>
      <w:pPr>
        <w:pBdr>
          <w:top w:val="nil"/>
          <w:left w:val="nil"/>
          <w:bottom w:val="nil"/>
          <w:right w:val="nil"/>
          <w:between w:val="nil"/>
          <w:bar w:val="nil"/>
        </w:pBdr>
        <w:spacing w:before="0" w:after="240"/>
        <w:rPr>
          <w:rFonts w:eastAsia="Arial Unicode MS"/>
          <w:noProof/>
        </w:rPr>
      </w:pPr>
      <w:r>
        <w:rPr>
          <w:noProof/>
        </w:rPr>
        <w:t>Nu se aplică.</w:t>
      </w:r>
    </w:p>
    <w:p>
      <w:pPr>
        <w:pStyle w:val="ManualHeading2"/>
        <w:rPr>
          <w:rFonts w:eastAsia="Arial Unicode MS"/>
          <w:noProof/>
          <w:u w:color="000000"/>
          <w:bdr w:val="nil"/>
        </w:rPr>
      </w:pPr>
      <w:r>
        <w:rPr>
          <w:noProof/>
        </w:rPr>
        <w:t>•</w:t>
      </w:r>
      <w:r>
        <w:rPr>
          <w:noProof/>
        </w:rPr>
        <w:tab/>
        <w:t>Explicarea detaliată a dispozițiilor specifice ale propunerii</w:t>
      </w:r>
    </w:p>
    <w:p>
      <w:pPr>
        <w:rPr>
          <w:noProof/>
          <w:szCs w:val="24"/>
        </w:rPr>
      </w:pPr>
      <w:r>
        <w:rPr>
          <w:noProof/>
        </w:rPr>
        <w:t>Regulamentul (UE) 2015/2265 al Consiliului privind deschiderea și modul de gestionare a unor contingente tarifare autonome ale Uniunii pentru anumite produse pescărești pentru perioada 2016-2018 a fost adoptat la 7 decembrie 2015.</w:t>
      </w:r>
    </w:p>
    <w:p>
      <w:pPr>
        <w:pStyle w:val="Default"/>
        <w:jc w:val="both"/>
        <w:rPr>
          <w:rFonts w:ascii="Times New Roman" w:hAnsi="Times New Roman" w:cs="Times New Roman"/>
          <w:noProof/>
          <w:color w:val="auto"/>
        </w:rPr>
      </w:pPr>
      <w:r>
        <w:rPr>
          <w:rFonts w:ascii="Times New Roman" w:hAnsi="Times New Roman"/>
          <w:noProof/>
          <w:color w:val="auto"/>
        </w:rPr>
        <w:t>Obiectivul regulamentului este de a asigura competitivitatea industriei prelucrătoare a Uniunii Europene, prin garantarea unui nivel adecvat al ofertei de produse pescărești pentru industrie, fără a pune în pericol producția de produse pescărești a Uniunii. În acest scop, regulamentul reduce sau suspendă taxele de import pentru anumite produse pescărești, în cadrul unor contingente tarifare cu un volum adecvat. El specifică, de asemenea, operațiunile de prelucrare în cadrul cărora utilizarea contingentelor tarifare este disponibilă („operațiuni care conferă caracterul de produs originar”) și pe cele în cadrul cărora utilizarea acestor contingente nu este disponibilă.</w:t>
      </w:r>
    </w:p>
    <w:p>
      <w:pPr>
        <w:rPr>
          <w:noProof/>
        </w:rPr>
      </w:pPr>
      <w:r>
        <w:rPr>
          <w:noProof/>
        </w:rPr>
        <w:t>De la adoptarea regulamentului, anumiți prelucrători din UE și unele state membre au informat Comisia în legătură cu faptul că sectorul prelucrător al Uniunii nu poate utiliza în mod adecvat contingentul tarifar cu numărul de ordine 09.2760 (merluciu și țipar roz, întregi). Această situație s-ar datora faptului că, în cazul produsului menționat, operațiunile care conferă caracterul de produs originar nu includ „felierea”.</w:t>
      </w:r>
    </w:p>
    <w:p>
      <w:pPr>
        <w:rPr>
          <w:noProof/>
        </w:rPr>
      </w:pPr>
      <w:r>
        <w:rPr>
          <w:noProof/>
        </w:rPr>
        <w:t>Industria prelucrătoare a Uniunii declară că aproximativ 95 % din acest contingent tarifar ar fi utilizate pentru prelucrarea produsului prin feliere. Prin urmare, este necesar ca printre operațiunile care conferă caracterul de produs originar să se introducă felierea, pentru a se asigura utilizarea respectivului contingent și competitivitatea sectorului în speță.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2016/0158 (NLE)</w:t>
      </w:r>
    </w:p>
    <w:p>
      <w:pPr>
        <w:pStyle w:val="Statut"/>
        <w:rPr>
          <w:noProof/>
        </w:rPr>
      </w:pPr>
      <w:r>
        <w:rPr>
          <w:noProof/>
        </w:rPr>
        <w:t>Propunere de</w:t>
      </w:r>
    </w:p>
    <w:p>
      <w:pPr>
        <w:pStyle w:val="Typedudocument"/>
        <w:rPr>
          <w:noProof/>
        </w:rPr>
      </w:pPr>
      <w:r>
        <w:rPr>
          <w:noProof/>
        </w:rPr>
        <w:t>REGULAMENT AL CONSILIULUI</w:t>
      </w:r>
    </w:p>
    <w:p>
      <w:pPr>
        <w:pStyle w:val="Titreobjet"/>
        <w:rPr>
          <w:noProof/>
        </w:rPr>
      </w:pPr>
      <w:r>
        <w:rPr>
          <w:noProof/>
        </w:rPr>
        <w:t>de modificare a Regulamentului (UE) 2015/2265 al Consiliului privind deschiderea și modul de gestionare a unor contingente tarifare autonome ale Uniunii pentru anumite produse pescărești pentru perioada 2016-2018</w:t>
      </w:r>
    </w:p>
    <w:p>
      <w:pPr>
        <w:pStyle w:val="Institutionquiagit"/>
        <w:rPr>
          <w:noProof/>
        </w:rPr>
      </w:pPr>
      <w:r>
        <w:rPr>
          <w:noProof/>
        </w:rPr>
        <w:t>CONSILIUL UNIUNII EUROPENE,</w:t>
      </w:r>
    </w:p>
    <w:p>
      <w:pPr>
        <w:rPr>
          <w:noProof/>
        </w:rPr>
      </w:pPr>
      <w:r>
        <w:rPr>
          <w:noProof/>
        </w:rPr>
        <w:t>având în vedere Tratatul privind funcționarea Uniunii Europene, în special articolul 31,</w:t>
      </w:r>
    </w:p>
    <w:p>
      <w:pPr>
        <w:rPr>
          <w:noProof/>
        </w:rPr>
      </w:pPr>
      <w:r>
        <w:rPr>
          <w:noProof/>
        </w:rPr>
        <w:t>având în vedere propunerea Comisiei Europene,</w:t>
      </w:r>
    </w:p>
    <w:p>
      <w:pPr>
        <w:rPr>
          <w:noProof/>
        </w:rPr>
      </w:pPr>
      <w:r>
        <w:rPr>
          <w:noProof/>
        </w:rPr>
        <w:t>întrucât:</w:t>
      </w:r>
    </w:p>
    <w:p>
      <w:pPr>
        <w:pStyle w:val="ManualConsidrant"/>
        <w:rPr>
          <w:noProof/>
        </w:rPr>
      </w:pPr>
      <w:r>
        <w:t>(1)</w:t>
      </w:r>
      <w:r>
        <w:tab/>
      </w:r>
      <w:r>
        <w:rPr>
          <w:noProof/>
        </w:rPr>
        <w:t>Regulamentul (UE) 2015/2265 al Consiliului</w:t>
      </w:r>
      <w:r>
        <w:rPr>
          <w:rStyle w:val="FootnoteReference"/>
          <w:noProof/>
        </w:rPr>
        <w:footnoteReference w:id="1"/>
      </w:r>
      <w:r>
        <w:rPr>
          <w:noProof/>
        </w:rPr>
        <w:t xml:space="preserve"> deschide și stabilește modul de gestionare a unor contingente tarifare autonome ale Uniunii pentru anumite produse pescărești pentru perioada 2016-2018. Pentru fiecare contingent tarifar au fost stabilite volume corespunzătoare, pentru a garanta condiții adecvate de aprovizionare a industriei Uniunii în perioada 2016-2018.</w:t>
      </w:r>
    </w:p>
    <w:p>
      <w:pPr>
        <w:pStyle w:val="ManualConsidrant"/>
        <w:rPr>
          <w:rFonts w:ascii="EUAlbertina" w:hAnsi="EUAlbertina" w:cs="EUAlbertina"/>
          <w:noProof/>
          <w:szCs w:val="24"/>
        </w:rPr>
      </w:pPr>
      <w:r>
        <w:t>(2)</w:t>
      </w:r>
      <w:r>
        <w:tab/>
      </w:r>
      <w:r>
        <w:rPr>
          <w:noProof/>
        </w:rPr>
        <w:t>Al treilea paragraf al notei de subsol 2 din anexa la Regulamentul (UE) 2015/2265 descrie operațiunile de prelucrare pentru care pot fi utilizate anumite contingente tarifare. Paragraful respectiv nu include felierea printre operațiunile care conferă caracterul de produs originar în ceea ce privește merluciul și țiparul roz congelați, reglementați de contingentul tarifar care poartă numărul de ordine 09.2760.</w:t>
      </w:r>
    </w:p>
    <w:p>
      <w:pPr>
        <w:pStyle w:val="ManualConsidrant"/>
        <w:rPr>
          <w:noProof/>
        </w:rPr>
      </w:pPr>
      <w:r>
        <w:t>(3)</w:t>
      </w:r>
      <w:r>
        <w:tab/>
      </w:r>
      <w:r>
        <w:rPr>
          <w:noProof/>
        </w:rPr>
        <w:t>Pentru ca acel contingent tarifar să fie utilizat, este oportun ca printre operațiunile care conferă caracterul de produs originar să se includă felierea.</w:t>
      </w:r>
    </w:p>
    <w:p>
      <w:pPr>
        <w:pStyle w:val="ManualConsidrant"/>
        <w:rPr>
          <w:noProof/>
        </w:rPr>
      </w:pPr>
      <w:r>
        <w:t>(4)</w:t>
      </w:r>
      <w:r>
        <w:tab/>
      </w:r>
      <w:r>
        <w:rPr>
          <w:noProof/>
        </w:rPr>
        <w:t>Prin urmare, Regulamentul (UE) 2015/2265 ar trebui modificat în consecință.</w:t>
      </w:r>
    </w:p>
    <w:p>
      <w:pPr>
        <w:pStyle w:val="ManualConsidrant"/>
        <w:rPr>
          <w:noProof/>
        </w:rPr>
      </w:pPr>
      <w:r>
        <w:t>(5)</w:t>
      </w:r>
      <w:r>
        <w:tab/>
      </w:r>
      <w:r>
        <w:rPr>
          <w:noProof/>
        </w:rPr>
        <w:t>Perioada în care contingentele tarifare deschise prin Regulamentul (UE) 2015/2265 se aplică în primul an curge între 1 ianuarie și 31 decembrie 2016. Întrucât este necesar să se asigure egalitatea de tratament între operatorii economici, prezentul regulament ar trebui să se aplice retroactiv, de la 1 ianuarie 2016.</w:t>
      </w:r>
    </w:p>
    <w:p>
      <w:pPr>
        <w:pStyle w:val="Formuledadoption"/>
        <w:rPr>
          <w:noProof/>
        </w:rPr>
      </w:pPr>
      <w:r>
        <w:rPr>
          <w:noProof/>
        </w:rPr>
        <w:t>ADOPTĂ PREZENTUL REGULAMENT:</w:t>
      </w:r>
    </w:p>
    <w:p>
      <w:pPr>
        <w:pStyle w:val="Titrearticle"/>
        <w:rPr>
          <w:noProof/>
        </w:rPr>
      </w:pPr>
      <w:r>
        <w:rPr>
          <w:noProof/>
        </w:rPr>
        <w:t>Articolul 1</w:t>
      </w:r>
    </w:p>
    <w:p>
      <w:pPr>
        <w:spacing w:after="0"/>
        <w:rPr>
          <w:rFonts w:eastAsia="Times New Roman"/>
          <w:noProof/>
          <w:color w:val="000000"/>
          <w:szCs w:val="24"/>
        </w:rPr>
      </w:pPr>
      <w:r>
        <w:rPr>
          <w:noProof/>
          <w:color w:val="000000"/>
        </w:rPr>
        <w:t>La cel de-al treilea paragraf al notei de subsol 2 din anexa la Regulamentul (UE) 2015/2265, se adaugă următoarea liniuță:</w:t>
      </w:r>
    </w:p>
    <w:p>
      <w:pPr>
        <w:rPr>
          <w:noProof/>
        </w:rPr>
      </w:pPr>
      <w:r>
        <w:rPr>
          <w:noProof/>
        </w:rPr>
        <w:t>„— felierea pentru materialele încadrate la codurile NC ex 0303 66 11, 0303 66 12, 0303 66 13, 0303 66 19, 0303 89 70, 0303 89 90”.</w:t>
      </w:r>
    </w:p>
    <w:p>
      <w:pPr>
        <w:pStyle w:val="Titrearticle"/>
        <w:rPr>
          <w:noProof/>
        </w:rPr>
      </w:pPr>
      <w:r>
        <w:rPr>
          <w:noProof/>
        </w:rPr>
        <w:t>Articolul 2</w:t>
      </w:r>
    </w:p>
    <w:p>
      <w:pPr>
        <w:rPr>
          <w:noProof/>
        </w:rPr>
      </w:pPr>
      <w:r>
        <w:rPr>
          <w:noProof/>
        </w:rPr>
        <w:t xml:space="preserve">Prezentul regulament intră în vigoare în a douăzecea zi de la data publicării în </w:t>
      </w:r>
      <w:r>
        <w:rPr>
          <w:i/>
          <w:noProof/>
        </w:rPr>
        <w:t>Jurnalul Oficial al Uniunii Europene</w:t>
      </w:r>
      <w:r>
        <w:rPr>
          <w:noProof/>
        </w:rPr>
        <w:t>.</w:t>
      </w:r>
    </w:p>
    <w:p>
      <w:pPr>
        <w:rPr>
          <w:noProof/>
        </w:rPr>
      </w:pPr>
      <w:r>
        <w:rPr>
          <w:noProof/>
        </w:rPr>
        <w:t>Se aplică de la 1 ianuarie 2016.</w:t>
      </w:r>
    </w:p>
    <w:p>
      <w:pPr>
        <w:pStyle w:val="Applicationdirecte"/>
        <w:rPr>
          <w:noProof/>
        </w:rPr>
      </w:pPr>
      <w:r>
        <w:rPr>
          <w:noProof/>
        </w:rPr>
        <w:t>Prezentul regulament este obligatoriu în toate elementele sale și se aplică direct în toate statele membre.</w:t>
      </w:r>
    </w:p>
    <w:p>
      <w:pPr>
        <w:pStyle w:val="Fait"/>
        <w:rPr>
          <w:noProof/>
        </w:rPr>
      </w:pPr>
      <w:r>
        <w:rPr>
          <w:noProof/>
        </w:rPr>
        <w:t>Adoptat la Bruxelles,</w:t>
      </w:r>
    </w:p>
    <w:p>
      <w:pPr>
        <w:pStyle w:val="Institutionquisigne"/>
        <w:rPr>
          <w:noProof/>
        </w:rPr>
      </w:pPr>
      <w:r>
        <w:rPr>
          <w:noProof/>
        </w:rPr>
        <w:tab/>
        <w:t>Pentru Consiliu</w:t>
      </w:r>
    </w:p>
    <w:p>
      <w:pPr>
        <w:pStyle w:val="Personnequisigne"/>
        <w:rPr>
          <w:noProof/>
        </w:rPr>
      </w:pP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REGULAMENTUL (UE) 2015/2265 AL CONSILIULUI din 7 decembrie 2015 privind deschiderea și modul de gestionare a unor contingente tarifare autonome ale Uniunii pentru anumite produse pescărești pentru perioada 2016-2018, L 322, 8.12.2015,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88C4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4BF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2C2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8A1F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8C68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745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085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4866D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BB6437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2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1 17:14: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080DCBEF6F3E47D88C98D3C7C83D1044"/>
    <w:docVar w:name="LW_CROSSREFERENCE" w:val="&lt;UNUSED&gt;"/>
    <w:docVar w:name="LW_DocType" w:val="COM"/>
    <w:docVar w:name="LW_EMISSION" w:val="1.6.2016"/>
    <w:docVar w:name="LW_EMISSION_ISODATE" w:val="2016-06-01"/>
    <w:docVar w:name="LW_EMISSION_LOCATION" w:val="BRX"/>
    <w:docVar w:name="LW_EMISSION_PREFIX" w:val="Bruxelle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RO"/>
    <w:docVar w:name="LW_MARKING" w:val="&lt;UNUSED&gt;"/>
    <w:docVar w:name="LW_NOM.INST" w:val="COMISIA EUROPEAN\u258?"/>
    <w:docVar w:name="LW_NOM.INST_JOINTDOC" w:val="&lt;EMPTY&gt;"/>
    <w:docVar w:name="LW_PART_NBR" w:val="1"/>
    <w:docVar w:name="LW_PART_NBR_TOTAL" w:val="1"/>
    <w:docVar w:name="LW_REF.II.NEW.CP" w:val="NLE"/>
    <w:docVar w:name="LW_REF.II.NEW.CP_NUMBER" w:val="0158"/>
    <w:docVar w:name="LW_REF.II.NEW.CP_YEAR" w:val="2016"/>
    <w:docVar w:name="LW_REF.INST.NEW" w:val="COM"/>
    <w:docVar w:name="LW_REF.INST.NEW_ADOPTED" w:val="final"/>
    <w:docVar w:name="LW_REF.INST.NEW_TEXT" w:val="(2016) 315"/>
    <w:docVar w:name="LW_REF.INTERNE" w:val="&lt;UNUSED&gt;"/>
    <w:docVar w:name="LW_SOUS.TITRE.OBJ.CP" w:val="&lt;UNUSED&gt;"/>
    <w:docVar w:name="LW_STATUT.CP" w:val="Propunere de"/>
    <w:docVar w:name="LW_SUPERTITRE" w:val="&lt;UNUSED&gt;"/>
    <w:docVar w:name="LW_TITRE.OBJ.CP" w:val="de modificare a Regulamentului (UE) 2015/2265 al Consiliului privind deschiderea \u537?i modul de gestionare a unor contingente tarifare autonome ale Uniunii pentru anumite produse pesc\u259?re\u537?ti pentru perioada 2016-2018"/>
    <w:docVar w:name="LW_TYPE.DOC.CP" w:val="REGULAMENT AL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ro-R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ro-R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ro-R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ro-RO"/>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ro-RO"/>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ro-RO"/>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ro-RO"/>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ro-RO"/>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1161</Words>
  <Characters>7156</Characters>
  <Application>Microsoft Office Word</Application>
  <DocSecurity>0</DocSecurity>
  <Lines>137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2016-05-03T14:56:00Z</cp:lastPrinted>
  <dcterms:created xsi:type="dcterms:W3CDTF">2016-06-01T12:03:00Z</dcterms:created>
  <dcterms:modified xsi:type="dcterms:W3CDTF">2016-06-01T15:14:00Z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