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612ABB57A83F4623BA71B77C6FFCBAC6" style="width:450.45pt;height:442.35pt">
            <v:imagedata r:id="rId9" o:title=""/>
          </v:shape>
        </w:pict>
      </w:r>
    </w:p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spacing w:before="360" w:after="0" w:line="360" w:lineRule="auto"/>
        <w:jc w:val="center"/>
        <w:rPr>
          <w:rFonts w:eastAsia="Times New Roman"/>
          <w:b/>
          <w:noProof/>
          <w:szCs w:val="24"/>
        </w:rPr>
      </w:pPr>
      <w:bookmarkStart w:id="0" w:name="_GoBack"/>
      <w:bookmarkEnd w:id="0"/>
      <w:r>
        <w:rPr>
          <w:b/>
          <w:noProof/>
        </w:rPr>
        <w:lastRenderedPageBreak/>
        <w:t xml:space="preserve">DECISÃO N.º XX/2016 </w:t>
      </w:r>
      <w:r>
        <w:rPr>
          <w:rFonts w:eastAsia="Times New Roman"/>
          <w:b/>
          <w:noProof/>
          <w:szCs w:val="24"/>
        </w:rPr>
        <w:br/>
      </w:r>
      <w:r>
        <w:rPr>
          <w:b/>
          <w:noProof/>
        </w:rPr>
        <w:t>DO CONSELHO DE ASSOCIAÇÃO UE-AMÉRICA CENTRAL</w:t>
      </w:r>
    </w:p>
    <w:p>
      <w:pPr>
        <w:spacing w:before="360" w:after="360" w:line="360" w:lineRule="auto"/>
        <w:jc w:val="center"/>
        <w:rPr>
          <w:rFonts w:eastAsia="Times New Roman"/>
          <w:b/>
          <w:noProof/>
          <w:szCs w:val="24"/>
        </w:rPr>
      </w:pPr>
      <w:r>
        <w:rPr>
          <w:b/>
          <w:noProof/>
        </w:rPr>
        <w:t>que introduz Notas Explicativas do artigo 15.º do anexo II (relativo à definição do conceito de «produtos originários» e aos métodos de cooperação administrativa) do Acordo relativas ao certificado de circulação EUR.1</w:t>
      </w:r>
      <w:r>
        <w:rPr>
          <w:rFonts w:eastAsia="Times New Roman"/>
          <w:b/>
          <w:noProof/>
          <w:szCs w:val="24"/>
        </w:rPr>
        <w:br/>
      </w:r>
    </w:p>
    <w:p>
      <w:pPr>
        <w:keepNext/>
        <w:spacing w:before="600" w:line="360" w:lineRule="auto"/>
        <w:jc w:val="left"/>
        <w:rPr>
          <w:rFonts w:eastAsia="Times New Roman"/>
          <w:noProof/>
          <w:szCs w:val="24"/>
        </w:rPr>
      </w:pPr>
      <w:r>
        <w:rPr>
          <w:noProof/>
        </w:rPr>
        <w:t>O CONSELHO DE ASSOCIAÇÃO UE-AMÉRICA CENTRAL,</w:t>
      </w:r>
    </w:p>
    <w:p>
      <w:pPr>
        <w:spacing w:line="360" w:lineRule="auto"/>
        <w:rPr>
          <w:rFonts w:eastAsia="Times New Roman"/>
          <w:noProof/>
          <w:szCs w:val="24"/>
        </w:rPr>
      </w:pPr>
      <w:r>
        <w:rPr>
          <w:noProof/>
        </w:rPr>
        <w:t xml:space="preserve">Tendo em conta o Acordo que cria uma Associação entre a América Central, por um lado, e a União Europeia e os seus Estados-Membros, por outro («o Acordo»), nomeadamente o artigo 37.º do anexo II; </w:t>
      </w:r>
    </w:p>
    <w:p>
      <w:pPr>
        <w:spacing w:line="360" w:lineRule="auto"/>
        <w:jc w:val="left"/>
        <w:rPr>
          <w:rFonts w:eastAsia="Times New Roman"/>
          <w:noProof/>
          <w:szCs w:val="24"/>
        </w:rPr>
      </w:pPr>
      <w:r>
        <w:rPr>
          <w:noProof/>
        </w:rPr>
        <w:t>Considerando o seguinte:</w:t>
      </w:r>
    </w:p>
    <w:p>
      <w:pPr>
        <w:spacing w:line="360" w:lineRule="auto"/>
        <w:ind w:left="1276" w:hanging="992"/>
        <w:rPr>
          <w:rFonts w:eastAsia="Times New Roman"/>
          <w:noProof/>
          <w:szCs w:val="24"/>
        </w:rPr>
      </w:pPr>
      <w:r>
        <w:rPr>
          <w:noProof/>
        </w:rPr>
        <w:t>(1)</w:t>
      </w:r>
      <w:r>
        <w:rPr>
          <w:noProof/>
        </w:rPr>
        <w:tab/>
        <w:t>O anexo II do Acordo respeita à definição do conceito de «produtos originários» e aos métodos de cooperação administrativa.</w:t>
      </w:r>
    </w:p>
    <w:p>
      <w:pPr>
        <w:spacing w:line="360" w:lineRule="auto"/>
        <w:ind w:left="1276" w:hanging="992"/>
        <w:rPr>
          <w:rFonts w:eastAsia="Times New Roman"/>
          <w:noProof/>
          <w:szCs w:val="24"/>
        </w:rPr>
      </w:pPr>
      <w:r>
        <w:rPr>
          <w:noProof/>
        </w:rPr>
        <w:t>(2)</w:t>
      </w:r>
      <w:r>
        <w:rPr>
          <w:noProof/>
        </w:rPr>
        <w:tab/>
        <w:t>Nos termos do artigo 37.º do anexo II do Acordo, as Partes devem acordar nas «Notas Explicativas» relativas à interpretação, aplicação e administração do anexo II no âmbito do Subcomité das Alfândegas, Facilitação do Comércio e Regras de Origem e recomendar a sua aprovação pelo Conselho de Associação.</w:t>
      </w:r>
    </w:p>
    <w:p>
      <w:pPr>
        <w:spacing w:line="360" w:lineRule="auto"/>
        <w:ind w:left="1276" w:hanging="992"/>
        <w:rPr>
          <w:rFonts w:eastAsia="Times New Roman"/>
          <w:noProof/>
          <w:szCs w:val="24"/>
        </w:rPr>
      </w:pPr>
      <w:r>
        <w:rPr>
          <w:noProof/>
        </w:rPr>
        <w:t>(3)</w:t>
      </w:r>
      <w:r>
        <w:rPr>
          <w:noProof/>
        </w:rPr>
        <w:tab/>
        <w:t xml:space="preserve">Como o certificado de circulação EUR.1 constante do apêndice 3 do anexo II do Acordo é apenas um modelo, podem ocorrer pequenas diferenças nos formulários impressos pelas diferentes autoridades. Deve ficar claro que essas diferenças não devem ter como consequência que os certificados sejam rejeitados. </w:t>
      </w:r>
    </w:p>
    <w:p>
      <w:pPr>
        <w:spacing w:line="360" w:lineRule="auto"/>
        <w:ind w:left="1276" w:hanging="992"/>
        <w:rPr>
          <w:rFonts w:eastAsia="Times New Roman"/>
          <w:noProof/>
          <w:szCs w:val="24"/>
        </w:rPr>
      </w:pPr>
      <w:r>
        <w:rPr>
          <w:noProof/>
        </w:rPr>
        <w:t xml:space="preserve"> (4) </w:t>
      </w:r>
      <w:r>
        <w:rPr>
          <w:noProof/>
        </w:rPr>
        <w:tab/>
        <w:t xml:space="preserve">Além disso, a fim de assegurar que tais pequenas diferenças não criem dificuldades no que diz respeito à aceitação de certificados de circulação EUR.1 e a fim de garantir uma interpretação harmonizada pelas autoridades públicas competentes das Partes, devem ser fornecidas orientações sobre o conteúdo solicitado do certificado de circulação EUR.1. </w:t>
      </w:r>
    </w:p>
    <w:p>
      <w:pPr>
        <w:keepNext/>
        <w:spacing w:line="360" w:lineRule="auto"/>
        <w:jc w:val="left"/>
        <w:rPr>
          <w:rFonts w:eastAsia="Times New Roman"/>
          <w:noProof/>
          <w:szCs w:val="24"/>
        </w:rPr>
      </w:pPr>
      <w:r>
        <w:rPr>
          <w:noProof/>
        </w:rPr>
        <w:lastRenderedPageBreak/>
        <w:t>ADOTOU A PRESENTE DECISÃO:</w:t>
      </w:r>
    </w:p>
    <w:p>
      <w:pPr>
        <w:keepNext/>
        <w:spacing w:before="360" w:line="360" w:lineRule="auto"/>
        <w:jc w:val="center"/>
        <w:rPr>
          <w:rFonts w:eastAsia="Times New Roman"/>
          <w:i/>
          <w:noProof/>
          <w:szCs w:val="24"/>
        </w:rPr>
      </w:pPr>
      <w:r>
        <w:rPr>
          <w:i/>
          <w:noProof/>
        </w:rPr>
        <w:t>Artigo único</w:t>
      </w:r>
    </w:p>
    <w:p>
      <w:pPr>
        <w:spacing w:line="360" w:lineRule="auto"/>
        <w:rPr>
          <w:rFonts w:eastAsia="Times New Roman"/>
          <w:noProof/>
          <w:szCs w:val="24"/>
        </w:rPr>
      </w:pPr>
      <w:r>
        <w:rPr>
          <w:noProof/>
        </w:rPr>
        <w:t>São aprovadas as Notas Explicativas relativas ao certificado de circulação EUR.1 do anexo II (relativo à definição da noção de «produtos originários» e aos métodos de cooperação administrativa) do Acordo constante do anexo à presente decisão.</w:t>
      </w:r>
    </w:p>
    <w:p>
      <w:pPr>
        <w:spacing w:line="360" w:lineRule="auto"/>
        <w:rPr>
          <w:rFonts w:eastAsia="Times New Roman"/>
          <w:noProof/>
          <w:szCs w:val="24"/>
        </w:rPr>
      </w:pPr>
      <w:r>
        <w:rPr>
          <w:noProof/>
        </w:rPr>
        <w:t>A presente decisão entra em vigor no dia seguinte ao da sua adoção.</w:t>
      </w:r>
    </w:p>
    <w:p>
      <w:pPr>
        <w:keepNext/>
        <w:spacing w:after="0" w:line="360" w:lineRule="auto"/>
        <w:jc w:val="left"/>
        <w:rPr>
          <w:rFonts w:eastAsia="Times New Roman"/>
          <w:noProof/>
          <w:szCs w:val="24"/>
        </w:rPr>
      </w:pPr>
      <w:r>
        <w:rPr>
          <w:noProof/>
        </w:rPr>
        <w:t>Feito em …,</w:t>
      </w:r>
    </w:p>
    <w:p>
      <w:pPr>
        <w:keepNext/>
        <w:tabs>
          <w:tab w:val="left" w:pos="5669"/>
        </w:tabs>
        <w:spacing w:before="0" w:after="0"/>
        <w:jc w:val="left"/>
        <w:rPr>
          <w:rFonts w:eastAsia="Times New Roman"/>
          <w:i/>
          <w:noProof/>
          <w:szCs w:val="24"/>
        </w:rPr>
      </w:pPr>
    </w:p>
    <w:p>
      <w:pPr>
        <w:keepNext/>
        <w:tabs>
          <w:tab w:val="left" w:pos="5669"/>
        </w:tabs>
        <w:spacing w:before="0" w:after="0"/>
        <w:jc w:val="left"/>
        <w:rPr>
          <w:rFonts w:eastAsia="Times New Roman"/>
          <w:i/>
          <w:noProof/>
          <w:szCs w:val="24"/>
        </w:rPr>
      </w:pPr>
      <w:r>
        <w:rPr>
          <w:i/>
          <w:noProof/>
        </w:rPr>
        <w:t>Pelo Conselho de Associação,</w:t>
      </w:r>
    </w:p>
    <w:p>
      <w:pPr>
        <w:keepNext/>
        <w:tabs>
          <w:tab w:val="left" w:pos="5669"/>
        </w:tabs>
        <w:spacing w:before="0" w:after="0"/>
        <w:jc w:val="left"/>
        <w:rPr>
          <w:rFonts w:eastAsia="Times New Roman"/>
          <w:i/>
          <w:noProof/>
          <w:szCs w:val="24"/>
        </w:rPr>
      </w:pPr>
    </w:p>
    <w:p>
      <w:pPr>
        <w:tabs>
          <w:tab w:val="left" w:pos="5669"/>
        </w:tabs>
        <w:spacing w:before="0" w:after="0"/>
        <w:jc w:val="left"/>
        <w:rPr>
          <w:rFonts w:eastAsia="Times New Roman"/>
          <w:i/>
          <w:noProof/>
          <w:szCs w:val="24"/>
        </w:rPr>
      </w:pPr>
      <w:r>
        <w:rPr>
          <w:i/>
          <w:noProof/>
        </w:rPr>
        <w:t>Pela Parte CA,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>
        <w:tc>
          <w:tcPr>
            <w:tcW w:w="3285" w:type="dxa"/>
            <w:shd w:val="clear" w:color="auto" w:fill="auto"/>
          </w:tcPr>
          <w:p>
            <w:pPr>
              <w:spacing w:before="0" w:after="0"/>
              <w:jc w:val="center"/>
              <w:rPr>
                <w:rFonts w:eastAsia="Calibri"/>
                <w:b/>
                <w:noProof/>
                <w:szCs w:val="24"/>
              </w:rPr>
            </w:pPr>
          </w:p>
          <w:p>
            <w:pPr>
              <w:spacing w:before="0" w:after="0"/>
              <w:jc w:val="center"/>
              <w:rPr>
                <w:rFonts w:eastAsia="Calibri"/>
                <w:b/>
                <w:noProof/>
                <w:szCs w:val="24"/>
              </w:rPr>
            </w:pPr>
          </w:p>
          <w:p>
            <w:pPr>
              <w:spacing w:before="0" w:after="0"/>
              <w:jc w:val="center"/>
              <w:rPr>
                <w:rFonts w:eastAsia="Calibri"/>
                <w:b/>
                <w:noProof/>
                <w:szCs w:val="24"/>
              </w:rPr>
            </w:pPr>
          </w:p>
          <w:p>
            <w:pPr>
              <w:spacing w:before="0" w:after="0"/>
              <w:jc w:val="center"/>
              <w:rPr>
                <w:rFonts w:eastAsia="Calibri"/>
                <w:b/>
                <w:noProof/>
                <w:szCs w:val="24"/>
              </w:rPr>
            </w:pPr>
          </w:p>
          <w:p>
            <w:pPr>
              <w:spacing w:before="0" w:after="0"/>
              <w:jc w:val="center"/>
              <w:rPr>
                <w:rFonts w:eastAsia="Calibri"/>
                <w:b/>
                <w:noProof/>
                <w:szCs w:val="24"/>
              </w:rPr>
            </w:pPr>
          </w:p>
          <w:p>
            <w:pPr>
              <w:spacing w:before="0" w:after="0"/>
              <w:jc w:val="center"/>
              <w:rPr>
                <w:rFonts w:eastAsia="Calibri"/>
                <w:b/>
                <w:noProof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>
            <w:pPr>
              <w:tabs>
                <w:tab w:val="left" w:pos="5669"/>
              </w:tabs>
              <w:spacing w:before="0" w:after="0"/>
              <w:jc w:val="center"/>
              <w:rPr>
                <w:rFonts w:eastAsia="Calibri"/>
                <w:b/>
                <w:noProof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>
            <w:pPr>
              <w:spacing w:before="0" w:after="0"/>
              <w:jc w:val="center"/>
              <w:rPr>
                <w:rFonts w:eastAsia="Calibri"/>
                <w:b/>
                <w:noProof/>
                <w:szCs w:val="24"/>
              </w:rPr>
            </w:pPr>
          </w:p>
        </w:tc>
      </w:tr>
      <w:tr>
        <w:tc>
          <w:tcPr>
            <w:tcW w:w="3285" w:type="dxa"/>
            <w:shd w:val="clear" w:color="auto" w:fill="auto"/>
          </w:tcPr>
          <w:p>
            <w:pPr>
              <w:spacing w:before="0" w:after="0"/>
              <w:jc w:val="center"/>
              <w:rPr>
                <w:rFonts w:eastAsia="Times New Roman"/>
                <w:i/>
                <w:noProof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>
            <w:pPr>
              <w:keepNext/>
              <w:tabs>
                <w:tab w:val="left" w:pos="5669"/>
              </w:tabs>
              <w:spacing w:before="0" w:after="0"/>
              <w:jc w:val="center"/>
              <w:rPr>
                <w:rFonts w:eastAsia="Times New Roman"/>
                <w:i/>
                <w:noProof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>
            <w:pPr>
              <w:tabs>
                <w:tab w:val="left" w:pos="5669"/>
              </w:tabs>
              <w:spacing w:before="0" w:after="0"/>
              <w:jc w:val="center"/>
              <w:rPr>
                <w:rFonts w:eastAsia="Times New Roman"/>
                <w:i/>
                <w:noProof/>
                <w:szCs w:val="24"/>
              </w:rPr>
            </w:pPr>
          </w:p>
        </w:tc>
      </w:tr>
      <w:tr>
        <w:tc>
          <w:tcPr>
            <w:tcW w:w="3285" w:type="dxa"/>
            <w:shd w:val="clear" w:color="auto" w:fill="auto"/>
          </w:tcPr>
          <w:p>
            <w:pPr>
              <w:spacing w:before="0" w:after="0"/>
              <w:jc w:val="center"/>
              <w:rPr>
                <w:rFonts w:eastAsia="Calibri"/>
                <w:b/>
                <w:i/>
                <w:noProof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>
            <w:pPr>
              <w:keepNext/>
              <w:tabs>
                <w:tab w:val="left" w:pos="5669"/>
              </w:tabs>
              <w:spacing w:before="0" w:after="0"/>
              <w:jc w:val="left"/>
              <w:rPr>
                <w:rFonts w:eastAsia="Calibri"/>
                <w:i/>
                <w:noProof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>
            <w:pPr>
              <w:spacing w:before="0" w:after="0"/>
              <w:jc w:val="center"/>
              <w:rPr>
                <w:rFonts w:eastAsia="Calibri"/>
                <w:b/>
                <w:i/>
                <w:noProof/>
                <w:szCs w:val="24"/>
              </w:rPr>
            </w:pPr>
          </w:p>
        </w:tc>
      </w:tr>
      <w:tr>
        <w:tc>
          <w:tcPr>
            <w:tcW w:w="3285" w:type="dxa"/>
            <w:shd w:val="clear" w:color="auto" w:fill="auto"/>
          </w:tcPr>
          <w:p>
            <w:pPr>
              <w:spacing w:before="0" w:after="0"/>
              <w:jc w:val="center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>
            <w:pPr>
              <w:tabs>
                <w:tab w:val="left" w:pos="5669"/>
              </w:tabs>
              <w:spacing w:before="0" w:after="0"/>
              <w:jc w:val="center"/>
              <w:rPr>
                <w:rFonts w:eastAsia="Times New Roman"/>
                <w:i/>
                <w:noProof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>
            <w:pPr>
              <w:tabs>
                <w:tab w:val="left" w:pos="5669"/>
              </w:tabs>
              <w:spacing w:before="0" w:after="0"/>
              <w:jc w:val="center"/>
              <w:rPr>
                <w:rFonts w:eastAsia="Times New Roman"/>
                <w:i/>
                <w:noProof/>
                <w:szCs w:val="24"/>
              </w:rPr>
            </w:pPr>
          </w:p>
        </w:tc>
      </w:tr>
      <w:tr>
        <w:tc>
          <w:tcPr>
            <w:tcW w:w="3285" w:type="dxa"/>
            <w:shd w:val="clear" w:color="auto" w:fill="auto"/>
          </w:tcPr>
          <w:p>
            <w:pPr>
              <w:spacing w:before="0" w:after="0"/>
              <w:jc w:val="center"/>
              <w:rPr>
                <w:rFonts w:eastAsia="Calibri"/>
                <w:b/>
                <w:noProof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>
            <w:pPr>
              <w:tabs>
                <w:tab w:val="left" w:pos="5669"/>
              </w:tabs>
              <w:spacing w:before="0" w:after="0"/>
              <w:jc w:val="center"/>
              <w:rPr>
                <w:rFonts w:eastAsia="Calibri"/>
                <w:b/>
                <w:noProof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>
            <w:pPr>
              <w:spacing w:before="0" w:after="0"/>
              <w:jc w:val="center"/>
              <w:rPr>
                <w:rFonts w:eastAsia="Calibri"/>
                <w:b/>
                <w:i/>
                <w:noProof/>
                <w:szCs w:val="24"/>
              </w:rPr>
            </w:pPr>
          </w:p>
        </w:tc>
      </w:tr>
    </w:tbl>
    <w:p>
      <w:pPr>
        <w:tabs>
          <w:tab w:val="left" w:pos="5669"/>
        </w:tabs>
        <w:spacing w:before="0" w:after="0"/>
        <w:jc w:val="left"/>
        <w:rPr>
          <w:rFonts w:eastAsia="Times New Roman"/>
          <w:i/>
          <w:noProof/>
          <w:szCs w:val="24"/>
        </w:rPr>
      </w:pPr>
    </w:p>
    <w:p>
      <w:pPr>
        <w:tabs>
          <w:tab w:val="left" w:pos="5669"/>
        </w:tabs>
        <w:spacing w:before="0" w:after="0"/>
        <w:jc w:val="left"/>
        <w:rPr>
          <w:rFonts w:eastAsia="Calibri"/>
          <w:i/>
          <w:noProof/>
          <w:szCs w:val="24"/>
        </w:rPr>
      </w:pPr>
      <w:r>
        <w:rPr>
          <w:i/>
          <w:noProof/>
        </w:rPr>
        <w:t>Pela Parte UE,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3417"/>
      </w:tblGrid>
      <w:tr>
        <w:tc>
          <w:tcPr>
            <w:tcW w:w="3510" w:type="dxa"/>
            <w:shd w:val="clear" w:color="auto" w:fill="auto"/>
          </w:tcPr>
          <w:p>
            <w:pPr>
              <w:tabs>
                <w:tab w:val="left" w:pos="5669"/>
              </w:tabs>
              <w:spacing w:before="0" w:after="0"/>
              <w:jc w:val="center"/>
              <w:rPr>
                <w:rFonts w:eastAsia="Times New Roman"/>
                <w:i/>
                <w:noProof/>
                <w:szCs w:val="24"/>
              </w:rPr>
            </w:pPr>
          </w:p>
          <w:p>
            <w:pPr>
              <w:keepNext/>
              <w:tabs>
                <w:tab w:val="left" w:pos="5669"/>
              </w:tabs>
              <w:spacing w:before="0" w:after="0"/>
              <w:jc w:val="left"/>
              <w:rPr>
                <w:rFonts w:eastAsia="Times New Roman"/>
                <w:i/>
                <w:noProof/>
                <w:szCs w:val="24"/>
              </w:rPr>
            </w:pPr>
          </w:p>
          <w:p>
            <w:pPr>
              <w:tabs>
                <w:tab w:val="left" w:pos="5669"/>
              </w:tabs>
              <w:spacing w:before="0" w:after="0"/>
              <w:jc w:val="left"/>
              <w:rPr>
                <w:rFonts w:eastAsia="Times New Roman"/>
                <w:i/>
                <w:noProof/>
                <w:szCs w:val="24"/>
              </w:rPr>
            </w:pPr>
          </w:p>
          <w:p>
            <w:pPr>
              <w:keepNext/>
              <w:tabs>
                <w:tab w:val="left" w:pos="5669"/>
              </w:tabs>
              <w:spacing w:before="0" w:after="0"/>
              <w:jc w:val="left"/>
              <w:rPr>
                <w:rFonts w:eastAsia="Times New Roman"/>
                <w:i/>
                <w:noProof/>
                <w:szCs w:val="24"/>
              </w:rPr>
            </w:pPr>
          </w:p>
          <w:p>
            <w:pPr>
              <w:tabs>
                <w:tab w:val="left" w:pos="5669"/>
              </w:tabs>
              <w:spacing w:before="0" w:after="0"/>
              <w:jc w:val="left"/>
              <w:rPr>
                <w:rFonts w:eastAsia="Times New Roman"/>
                <w:i/>
                <w:noProof/>
                <w:szCs w:val="24"/>
              </w:rPr>
            </w:pPr>
          </w:p>
          <w:p>
            <w:pPr>
              <w:tabs>
                <w:tab w:val="left" w:pos="5669"/>
              </w:tabs>
              <w:spacing w:before="0" w:after="0"/>
              <w:jc w:val="left"/>
              <w:rPr>
                <w:rFonts w:eastAsia="Times New Roman"/>
                <w:i/>
                <w:noProof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>
            <w:pPr>
              <w:spacing w:before="0" w:after="0"/>
              <w:jc w:val="center"/>
              <w:rPr>
                <w:rFonts w:eastAsia="Calibri"/>
                <w:b/>
                <w:noProof/>
                <w:szCs w:val="24"/>
              </w:rPr>
            </w:pPr>
          </w:p>
        </w:tc>
        <w:tc>
          <w:tcPr>
            <w:tcW w:w="3417" w:type="dxa"/>
            <w:shd w:val="clear" w:color="auto" w:fill="auto"/>
          </w:tcPr>
          <w:p>
            <w:pPr>
              <w:tabs>
                <w:tab w:val="left" w:pos="5669"/>
              </w:tabs>
              <w:spacing w:before="0" w:after="0"/>
              <w:jc w:val="center"/>
              <w:rPr>
                <w:rFonts w:eastAsia="Times New Roman"/>
                <w:i/>
                <w:noProof/>
                <w:szCs w:val="24"/>
              </w:rPr>
            </w:pPr>
          </w:p>
        </w:tc>
      </w:tr>
      <w:tr>
        <w:tc>
          <w:tcPr>
            <w:tcW w:w="3510" w:type="dxa"/>
            <w:shd w:val="clear" w:color="auto" w:fill="auto"/>
          </w:tcPr>
          <w:p>
            <w:pPr>
              <w:spacing w:before="0" w:after="0"/>
              <w:jc w:val="center"/>
              <w:rPr>
                <w:rFonts w:eastAsia="Calibri"/>
                <w:i/>
                <w:noProof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>
            <w:pPr>
              <w:spacing w:before="0" w:after="0"/>
              <w:jc w:val="center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3417" w:type="dxa"/>
            <w:shd w:val="clear" w:color="auto" w:fill="auto"/>
          </w:tcPr>
          <w:p>
            <w:pPr>
              <w:spacing w:before="0" w:after="0"/>
              <w:jc w:val="center"/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 xml:space="preserve"> </w:t>
            </w:r>
          </w:p>
        </w:tc>
      </w:tr>
    </w:tbl>
    <w:p>
      <w:pPr>
        <w:tabs>
          <w:tab w:val="left" w:pos="5669"/>
        </w:tabs>
        <w:spacing w:before="0" w:after="0" w:line="360" w:lineRule="auto"/>
        <w:jc w:val="left"/>
        <w:rPr>
          <w:rFonts w:eastAsia="Times New Roman"/>
          <w:i/>
          <w:noProof/>
          <w:szCs w:val="24"/>
        </w:rPr>
      </w:pPr>
    </w:p>
    <w:p>
      <w:pPr>
        <w:pBdr>
          <w:bottom w:val="single" w:sz="4" w:space="0" w:color="000000"/>
        </w:pBdr>
        <w:spacing w:before="360" w:line="360" w:lineRule="auto"/>
        <w:ind w:left="3400" w:right="3400"/>
        <w:jc w:val="center"/>
        <w:rPr>
          <w:rFonts w:eastAsia="Times New Roman"/>
          <w:b/>
          <w:noProof/>
          <w:szCs w:val="24"/>
        </w:rPr>
      </w:pPr>
    </w:p>
    <w:p>
      <w:pPr>
        <w:spacing w:line="360" w:lineRule="auto"/>
        <w:jc w:val="left"/>
        <w:rPr>
          <w:rFonts w:eastAsia="Times New Roman"/>
          <w:noProof/>
          <w:szCs w:val="24"/>
        </w:rPr>
        <w:sectPr>
          <w:footerReference w:type="default" r:id="rId16"/>
          <w:footerReference w:type="first" r:id="rId17"/>
          <w:footnotePr>
            <w:numRestart w:val="eachPage"/>
          </w:footnotePr>
          <w:pgSz w:w="11907" w:h="16839"/>
          <w:pgMar w:top="1134" w:right="1134" w:bottom="1134" w:left="1134" w:header="567" w:footer="567" w:gutter="0"/>
          <w:cols w:space="720"/>
          <w:docGrid w:linePitch="360"/>
        </w:sectPr>
      </w:pPr>
    </w:p>
    <w:p>
      <w:pPr>
        <w:spacing w:line="360" w:lineRule="auto"/>
        <w:jc w:val="center"/>
        <w:rPr>
          <w:rFonts w:eastAsia="Times New Roman"/>
          <w:noProof/>
          <w:szCs w:val="24"/>
        </w:rPr>
      </w:pPr>
      <w:r>
        <w:rPr>
          <w:noProof/>
        </w:rPr>
        <w:t>ANEXO</w:t>
      </w:r>
    </w:p>
    <w:p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bCs/>
          <w:noProof/>
          <w:sz w:val="23"/>
          <w:szCs w:val="23"/>
        </w:rPr>
      </w:pPr>
      <w:r>
        <w:rPr>
          <w:b/>
          <w:noProof/>
          <w:sz w:val="23"/>
        </w:rPr>
        <w:t>Notas Explicativas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b/>
          <w:bCs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b/>
          <w:bCs/>
          <w:noProof/>
          <w:sz w:val="23"/>
          <w:szCs w:val="23"/>
        </w:rPr>
      </w:pPr>
      <w:r>
        <w:rPr>
          <w:b/>
          <w:noProof/>
          <w:sz w:val="23"/>
        </w:rPr>
        <w:t>Artigo 15.º - Certificado de circulação EUR.1: formulários e instruções de preenchimento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b/>
          <w:bCs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b/>
          <w:bCs/>
          <w:noProof/>
          <w:sz w:val="23"/>
          <w:szCs w:val="23"/>
        </w:rPr>
      </w:pPr>
      <w:r>
        <w:rPr>
          <w:b/>
          <w:noProof/>
          <w:sz w:val="23"/>
        </w:rPr>
        <w:t>Número de série EUR.1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b/>
          <w:bCs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  <w:r>
        <w:rPr>
          <w:noProof/>
          <w:sz w:val="23"/>
        </w:rPr>
        <w:t>O certificado de circulação EUR.l deve ostentar um número de série para facilitar a identificação. O número de série é normalmente composto por letra(s) e números.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b/>
          <w:bCs/>
          <w:noProof/>
          <w:sz w:val="23"/>
          <w:szCs w:val="23"/>
        </w:rPr>
      </w:pPr>
      <w:r>
        <w:rPr>
          <w:b/>
          <w:noProof/>
          <w:sz w:val="23"/>
        </w:rPr>
        <w:t>Formulários do certificado de circulação EUR.1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b/>
          <w:bCs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  <w:r>
        <w:rPr>
          <w:noProof/>
          <w:sz w:val="23"/>
        </w:rPr>
        <w:t>Os certificados de circulação EUR.l que variem na sua redação, em função da autoridade pública competente, no que respeita ao modelo que figura no apêndice 3 (modelos de certificado de circulação EUR.l e pedido de certificado de circulação EUR.l) do anexo II (relativo à definição do conceito de «produtos originários» e aos métodos de cooperação administrativa) do Acordo, podem ser aceites como prova de origem, se: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  <w:r>
        <w:rPr>
          <w:noProof/>
          <w:sz w:val="23"/>
        </w:rPr>
        <w:t>a) as variações não modificarem as informações solicitadas em cada casa; e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  <w:r>
        <w:rPr>
          <w:noProof/>
          <w:sz w:val="23"/>
        </w:rPr>
        <w:t>b) as autoridades públicas competentes das Partes tiverem fornecido mutuamente os diferentes modelos do certificado, através da Comissão Europeia, e notificado os coordenadores da parte IV do presente Acordo.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b/>
          <w:bCs/>
          <w:noProof/>
          <w:sz w:val="23"/>
          <w:szCs w:val="23"/>
        </w:rPr>
      </w:pPr>
      <w:r>
        <w:rPr>
          <w:b/>
          <w:noProof/>
          <w:sz w:val="23"/>
        </w:rPr>
        <w:t>Casa 1: Exportador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b/>
          <w:bCs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  <w:r>
        <w:rPr>
          <w:noProof/>
          <w:sz w:val="23"/>
        </w:rPr>
        <w:t>Devem ser fornecidos os dados completos do exportador das mercadorias (nome, endereço atual completo e país em que a exportação tem origem).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b/>
          <w:bCs/>
          <w:noProof/>
          <w:sz w:val="23"/>
          <w:szCs w:val="23"/>
        </w:rPr>
      </w:pPr>
      <w:r>
        <w:rPr>
          <w:b/>
          <w:noProof/>
          <w:sz w:val="23"/>
        </w:rPr>
        <w:t>Casa 2: Certificado utilizado nas trocas comerciais preferenciais entre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b/>
          <w:bCs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  <w:r>
        <w:rPr>
          <w:noProof/>
          <w:sz w:val="23"/>
        </w:rPr>
        <w:t>Para o efeito, especificar: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  <w:r>
        <w:rPr>
          <w:noProof/>
          <w:sz w:val="23"/>
        </w:rPr>
        <w:t>América Central; União Europeia ou UE</w:t>
      </w:r>
      <w:r>
        <w:rPr>
          <w:rStyle w:val="FootnoteReference"/>
          <w:noProof/>
        </w:rPr>
        <w:footnoteReference w:id="1"/>
      </w:r>
      <w:r>
        <w:rPr>
          <w:noProof/>
          <w:sz w:val="23"/>
        </w:rPr>
        <w:t xml:space="preserve">; Ceuta; Melilha; Andorra ou AD; São Marinho ou SM. 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b/>
          <w:bCs/>
          <w:noProof/>
          <w:sz w:val="23"/>
          <w:szCs w:val="23"/>
        </w:rPr>
      </w:pPr>
      <w:r>
        <w:rPr>
          <w:b/>
          <w:noProof/>
          <w:sz w:val="23"/>
        </w:rPr>
        <w:t>Casa 3: Destinatário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b/>
          <w:bCs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  <w:r>
        <w:rPr>
          <w:noProof/>
          <w:sz w:val="23"/>
        </w:rPr>
        <w:t>O preenchimento desta casa é facultativo. Se preencher esta casa, terá de fornecer os dados do destinatário:  nome, endereço atual completo e país de destino das mercadorias.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b/>
          <w:bCs/>
          <w:noProof/>
          <w:sz w:val="23"/>
          <w:szCs w:val="23"/>
        </w:rPr>
      </w:pPr>
      <w:r>
        <w:rPr>
          <w:b/>
          <w:noProof/>
          <w:sz w:val="23"/>
        </w:rPr>
        <w:t>Casa 4: País, grupo de países ou território dos quais os produtos são considerados originários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b/>
          <w:bCs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  <w:r>
        <w:rPr>
          <w:noProof/>
          <w:sz w:val="23"/>
        </w:rPr>
        <w:t>Especificar o país, grupo de países ou território de origem das mercadorias: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  <w:r>
        <w:rPr>
          <w:noProof/>
          <w:sz w:val="23"/>
        </w:rPr>
        <w:t>América Central; União Europeia ou UE</w:t>
      </w:r>
      <w:r>
        <w:rPr>
          <w:rStyle w:val="FootnoteReference"/>
          <w:noProof/>
        </w:rPr>
        <w:footnoteReference w:id="2"/>
      </w:r>
      <w:r>
        <w:rPr>
          <w:noProof/>
          <w:sz w:val="23"/>
        </w:rPr>
        <w:t>; Ceuta; Melilha; Andorra ou AD; São Marinho ou SM.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b/>
          <w:bCs/>
          <w:noProof/>
          <w:sz w:val="23"/>
          <w:szCs w:val="23"/>
        </w:rPr>
      </w:pPr>
      <w:r>
        <w:rPr>
          <w:b/>
          <w:noProof/>
          <w:sz w:val="23"/>
        </w:rPr>
        <w:t>Casa 5: País, grupo de países ou território de destino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b/>
          <w:bCs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  <w:r>
        <w:rPr>
          <w:noProof/>
          <w:sz w:val="23"/>
        </w:rPr>
        <w:t>Especificar o país, o grupo de países ou o território da Parte que importa a que os produtos se destinam a ser entregues: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  <w:r>
        <w:rPr>
          <w:noProof/>
          <w:sz w:val="23"/>
        </w:rPr>
        <w:t>América Central; União Europeia ou UE</w:t>
      </w:r>
      <w:r>
        <w:rPr>
          <w:rStyle w:val="FootnoteReference"/>
          <w:noProof/>
        </w:rPr>
        <w:footnoteReference w:id="3"/>
      </w:r>
      <w:r>
        <w:rPr>
          <w:noProof/>
          <w:sz w:val="23"/>
        </w:rPr>
        <w:t xml:space="preserve">; Ceuta; Melilha; Andorra ou AD; São Marinho ou SM. 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b/>
          <w:bCs/>
          <w:noProof/>
          <w:sz w:val="23"/>
          <w:szCs w:val="23"/>
        </w:rPr>
      </w:pPr>
      <w:r>
        <w:rPr>
          <w:b/>
          <w:noProof/>
          <w:sz w:val="23"/>
        </w:rPr>
        <w:t>Casa 6: Informações relativas ao transporte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b/>
          <w:bCs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  <w:r>
        <w:rPr>
          <w:noProof/>
          <w:sz w:val="23"/>
        </w:rPr>
        <w:t>O preenchimento desta casa é facultativo. Se preencher esta casa, terá de fornecer os meio de transporte e os números da carta de porte aéreo ou de conhecimento de embarque, com a indicação dos nomes das respetivas companhias de transportes.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b/>
          <w:bCs/>
          <w:noProof/>
          <w:sz w:val="23"/>
          <w:szCs w:val="23"/>
        </w:rPr>
      </w:pPr>
      <w:r>
        <w:rPr>
          <w:b/>
          <w:noProof/>
          <w:sz w:val="23"/>
        </w:rPr>
        <w:t>Casa 7: Observações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b/>
          <w:bCs/>
          <w:noProof/>
          <w:sz w:val="23"/>
          <w:szCs w:val="23"/>
        </w:rPr>
      </w:pPr>
      <w:r>
        <w:rPr>
          <w:b/>
          <w:noProof/>
          <w:sz w:val="23"/>
        </w:rPr>
        <w:t xml:space="preserve"> 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  <w:r>
        <w:rPr>
          <w:noProof/>
          <w:sz w:val="23"/>
        </w:rPr>
        <w:t>Esta casa deve ser preenchida: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  <w:r>
        <w:rPr>
          <w:noProof/>
          <w:sz w:val="23"/>
        </w:rPr>
        <w:t>1. No caso de um certificado emitido após a exportação das mercadorias, em conformidade com o disposto no artigo 16.º do anexo II do Acordo, é indicado, numa das línguas do Acordo, nesta casa: "ISSUED RETROSPECTIVELY". Além disso, no caso previsto no artigo 16.º, n.º 1, alínea b), do anexo II, o número de certificado de circulação EUR.1 que, por razões de ordem técnica, não tiver sido aceite na importação, é indicado nesta casa: "EUR.1 N°…..".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  <w:r>
        <w:rPr>
          <w:noProof/>
          <w:sz w:val="23"/>
        </w:rPr>
        <w:t>2. No caso de uma segunda via do certificado emitida em conformidade com o disposto no artigo 17.º do anexo II, deve indicar-se, numa das línguas do Acordo, nesta casa:  "DUPLICATE" e a data de emissão do certificado de circulação EUR.1 original.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  <w:r>
        <w:rPr>
          <w:noProof/>
          <w:sz w:val="23"/>
        </w:rPr>
        <w:t>3. No caso de acumulação de origem com a Bolívia, a Colômbia, o Equador, o Peru e a Venezuela, é necessário indicar o seguinte na casa: «acumulação com (nome do país)», em conformidade com o artigo 3.º do anexo II.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  <w:r>
        <w:rPr>
          <w:noProof/>
          <w:sz w:val="23"/>
        </w:rPr>
        <w:t>4. No caso de um produto ser abrangido por uma regra de origem que está sujeita a contingentes, é necessário indicar o seguinte nesta casa: «Product originating in accordance with Appendix 2A of Annex II (Concerning the Definition of the Concept of “Originating Products” and Methods of Administrative Co-operation)».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  <w:r>
        <w:rPr>
          <w:noProof/>
          <w:sz w:val="23"/>
        </w:rPr>
        <w:t>5. Noutros casos que possam ser considerados úteis para clarificar as informações do certificado de circulação EUR. 1.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b/>
          <w:bCs/>
          <w:noProof/>
          <w:sz w:val="23"/>
          <w:szCs w:val="23"/>
        </w:rPr>
      </w:pPr>
      <w:r>
        <w:rPr>
          <w:b/>
          <w:noProof/>
          <w:sz w:val="23"/>
        </w:rPr>
        <w:t xml:space="preserve">Casa 8: Número de ordem; marcas e números; quantidade e natureza dos volumes; designação das mercadorias 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b/>
          <w:bCs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  <w:r>
        <w:rPr>
          <w:noProof/>
          <w:sz w:val="23"/>
        </w:rPr>
        <w:t>Fornecer uma designação das mercadorias, em conformidade com a designação constante da fatura (número de ordem; marcas e números; quantidade e natureza dos volumes - paletes, caixas, bolsas, rolos, barris, sacos, etc.) Pode ser fornecida uma designação geral das mercadorias desde que esteja relacionada com a designação específica na fatura e exista uma ligação inequívoca entre o documento de importação e o certificado de circulação EUR.l. Neste caso, o número da fatura deve ser indicado nesta casa. Em qualquer caso, a classificação pautal deve ser indicada, pelo menos, ao nível de uma posição da nomenclatura (código de quatro algarismos) ao abrigo do Sistema Harmonizado.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  <w:r>
        <w:rPr>
          <w:noProof/>
          <w:sz w:val="23"/>
        </w:rPr>
        <w:t>Para as mercadorias não embaladas, indicar o número de objetos ou mencionar «a granel».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  <w:r>
        <w:rPr>
          <w:noProof/>
          <w:sz w:val="23"/>
        </w:rPr>
        <w:t>A designação das mercadorias deve ser precedida de um número de ordem, sem deixar linhas em branco ou espaços e não deve haver espaços em branco entre os produtos especificados no certificado. Se a casa não for completamente utilizada, deve ser traçada uma linha horizontal por baixo da última linha do descritivo dos produtos e barrado o espaço em branco de tal modo que seja impossível qualquer aditamento posterior.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b/>
          <w:bCs/>
          <w:noProof/>
          <w:sz w:val="23"/>
          <w:szCs w:val="23"/>
        </w:rPr>
      </w:pPr>
      <w:r>
        <w:rPr>
          <w:b/>
          <w:noProof/>
          <w:sz w:val="23"/>
        </w:rPr>
        <w:t xml:space="preserve">Casa 9: </w:t>
      </w:r>
      <w:r>
        <w:rPr>
          <w:b/>
          <w:noProof/>
        </w:rPr>
        <w:t>Massa bruta (kg) ou outra medida (litros, m</w:t>
      </w:r>
      <w:r>
        <w:rPr>
          <w:b/>
          <w:noProof/>
          <w:sz w:val="15"/>
        </w:rPr>
        <w:t>3</w:t>
      </w:r>
      <w:r>
        <w:rPr>
          <w:b/>
          <w:noProof/>
        </w:rPr>
        <w:t>, etc.)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b/>
          <w:bCs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  <w:r>
        <w:rPr>
          <w:noProof/>
          <w:sz w:val="23"/>
        </w:rPr>
        <w:t>Indicar a massa bruta (kg) ou outra medida (litros, m3, etc.) de todas as mercadorias indicadas na casa 8 ou separadamente para cada item (posição SH).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b/>
          <w:bCs/>
          <w:noProof/>
          <w:sz w:val="23"/>
          <w:szCs w:val="23"/>
        </w:rPr>
      </w:pPr>
      <w:r>
        <w:rPr>
          <w:b/>
          <w:noProof/>
          <w:sz w:val="23"/>
        </w:rPr>
        <w:t>Casa 10: Faturas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b/>
          <w:bCs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  <w:r>
        <w:rPr>
          <w:noProof/>
          <w:sz w:val="23"/>
        </w:rPr>
        <w:t>O preenchimento desta casa é facultativo. Se esta casa for preenchida, indicar a data e o(s) número(s) da(s) fatura(s).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b/>
          <w:bCs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b/>
          <w:bCs/>
          <w:noProof/>
          <w:sz w:val="23"/>
          <w:szCs w:val="23"/>
        </w:rPr>
      </w:pPr>
      <w:r>
        <w:rPr>
          <w:b/>
          <w:noProof/>
          <w:sz w:val="23"/>
        </w:rPr>
        <w:t>Casa 11: Visto da autoridade pública competente ou aduaneira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b/>
          <w:bCs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  <w:r>
        <w:rPr>
          <w:noProof/>
          <w:sz w:val="23"/>
        </w:rPr>
        <w:t>Esta casa é para uso exclusivo da autoridade pública competente ou aduaneira, consoante adequado a cada país, que emite o certificado.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b/>
          <w:bCs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b/>
          <w:bCs/>
          <w:noProof/>
          <w:sz w:val="23"/>
          <w:szCs w:val="23"/>
        </w:rPr>
      </w:pPr>
      <w:r>
        <w:rPr>
          <w:b/>
          <w:noProof/>
          <w:sz w:val="23"/>
        </w:rPr>
        <w:t xml:space="preserve">Casa 12: Declaração do exportador 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b/>
          <w:bCs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  <w:r>
        <w:rPr>
          <w:noProof/>
          <w:sz w:val="23"/>
        </w:rPr>
        <w:t>Esta casa é para uso exclusivo do exportador ou do seu representante autorizado. Deve registar o local e a data em que o certificado foi emitido e deve ser assinada pelo exportador ou pelo seu representante autorizado.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  <w:r>
        <w:rPr>
          <w:noProof/>
          <w:sz w:val="23"/>
        </w:rPr>
        <w:t>O exportador ou o seu representante autorizado pode assinar fisicamente ou uma Parte pode autorizá-los a assinar digitalmente o certificado EUR.l.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b/>
          <w:bCs/>
          <w:noProof/>
          <w:sz w:val="23"/>
          <w:szCs w:val="23"/>
        </w:rPr>
      </w:pPr>
      <w:r>
        <w:rPr>
          <w:b/>
          <w:noProof/>
          <w:sz w:val="23"/>
        </w:rPr>
        <w:t>Casa 13: Pedido de verificação e Casa 14:</w:t>
      </w:r>
      <w:r>
        <w:rPr>
          <w:b/>
          <w:i/>
          <w:noProof/>
          <w:sz w:val="22"/>
        </w:rPr>
        <w:t xml:space="preserve"> </w:t>
      </w:r>
      <w:r>
        <w:rPr>
          <w:b/>
          <w:noProof/>
          <w:sz w:val="23"/>
        </w:rPr>
        <w:t>Resultado da verificação:</w:t>
      </w:r>
    </w:p>
    <w:p>
      <w:pPr>
        <w:autoSpaceDE w:val="0"/>
        <w:autoSpaceDN w:val="0"/>
        <w:adjustRightInd w:val="0"/>
        <w:spacing w:before="0" w:after="0"/>
        <w:rPr>
          <w:rFonts w:eastAsia="Times New Roman"/>
          <w:b/>
          <w:bCs/>
          <w:noProof/>
          <w:sz w:val="23"/>
          <w:szCs w:val="23"/>
        </w:rPr>
      </w:pPr>
    </w:p>
    <w:p>
      <w:pPr>
        <w:autoSpaceDE w:val="0"/>
        <w:autoSpaceDN w:val="0"/>
        <w:adjustRightInd w:val="0"/>
        <w:spacing w:before="0" w:after="0"/>
        <w:rPr>
          <w:rFonts w:eastAsia="Times New Roman"/>
          <w:noProof/>
          <w:sz w:val="23"/>
          <w:szCs w:val="23"/>
        </w:rPr>
      </w:pPr>
      <w:r>
        <w:rPr>
          <w:noProof/>
          <w:sz w:val="23"/>
        </w:rPr>
        <w:t>Estas casas são para uso exclusivo da autoridade pública competente ou aduaneira em cada país, consoante adequado, para efeitos de verificação.</w:t>
      </w:r>
    </w:p>
    <w:p>
      <w:pPr>
        <w:spacing w:line="360" w:lineRule="auto"/>
        <w:jc w:val="left"/>
        <w:rPr>
          <w:rFonts w:eastAsia="Times New Roman"/>
          <w:noProof/>
          <w:szCs w:val="24"/>
        </w:rPr>
        <w:sectPr>
          <w:footnotePr>
            <w:numRestart w:val="eachPage"/>
          </w:footnotePr>
          <w:pgSz w:w="11907" w:h="16839"/>
          <w:pgMar w:top="1134" w:right="1134" w:bottom="1134" w:left="1134" w:header="567" w:footer="567" w:gutter="0"/>
          <w:cols w:space="720"/>
          <w:docGrid w:linePitch="360"/>
        </w:sectPr>
      </w:pPr>
    </w:p>
    <w:p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bCs/>
          <w:noProof/>
          <w:sz w:val="23"/>
          <w:szCs w:val="23"/>
        </w:rPr>
      </w:pPr>
      <w:r>
        <w:rPr>
          <w:b/>
          <w:noProof/>
          <w:sz w:val="23"/>
        </w:rPr>
        <w:t>Anexo ao certificado de circulação EUR.1 - instruções de preenchimento</w:t>
      </w:r>
    </w:p>
    <w:p>
      <w:pPr>
        <w:spacing w:line="360" w:lineRule="auto"/>
        <w:jc w:val="center"/>
        <w:rPr>
          <w:rFonts w:eastAsia="Times New Roman"/>
          <w:noProof/>
          <w:sz w:val="23"/>
          <w:szCs w:val="23"/>
        </w:rPr>
      </w:pPr>
      <w:r>
        <w:rPr>
          <w:b/>
          <w:noProof/>
          <w:sz w:val="23"/>
        </w:rPr>
        <w:t>Menções que se refiram de forma inequívoca à União</w:t>
      </w:r>
    </w:p>
    <w:tbl>
      <w:tblPr>
        <w:tblW w:w="4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709"/>
        <w:gridCol w:w="2835"/>
      </w:tblGrid>
      <w:tr>
        <w:trPr>
          <w:jc w:val="center"/>
        </w:trPr>
        <w:tc>
          <w:tcPr>
            <w:tcW w:w="130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b/>
                <w:noProof/>
                <w:szCs w:val="24"/>
              </w:rPr>
            </w:pPr>
            <w:r>
              <w:rPr>
                <w:b/>
                <w:noProof/>
              </w:rPr>
              <w:t>Língua</w:t>
            </w:r>
          </w:p>
        </w:tc>
        <w:tc>
          <w:tcPr>
            <w:tcW w:w="709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b/>
                <w:noProof/>
                <w:szCs w:val="24"/>
              </w:rPr>
            </w:pPr>
            <w:r>
              <w:rPr>
                <w:b/>
                <w:noProof/>
              </w:rPr>
              <w:t>UE</w:t>
            </w:r>
          </w:p>
        </w:tc>
        <w:tc>
          <w:tcPr>
            <w:tcW w:w="283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b/>
                <w:noProof/>
                <w:szCs w:val="24"/>
              </w:rPr>
            </w:pPr>
            <w:r>
              <w:rPr>
                <w:b/>
                <w:noProof/>
              </w:rPr>
              <w:t>União Europeia (UE)</w:t>
            </w:r>
          </w:p>
        </w:tc>
      </w:tr>
      <w:tr>
        <w:trPr>
          <w:jc w:val="center"/>
        </w:trPr>
        <w:tc>
          <w:tcPr>
            <w:tcW w:w="130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BG</w:t>
            </w:r>
          </w:p>
        </w:tc>
        <w:tc>
          <w:tcPr>
            <w:tcW w:w="709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EC</w:t>
            </w:r>
          </w:p>
        </w:tc>
        <w:tc>
          <w:tcPr>
            <w:tcW w:w="283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Европейски съюз (ЕС)</w:t>
            </w:r>
          </w:p>
        </w:tc>
      </w:tr>
      <w:tr>
        <w:trPr>
          <w:jc w:val="center"/>
        </w:trPr>
        <w:tc>
          <w:tcPr>
            <w:tcW w:w="130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CS</w:t>
            </w:r>
          </w:p>
        </w:tc>
        <w:tc>
          <w:tcPr>
            <w:tcW w:w="709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EU</w:t>
            </w:r>
          </w:p>
        </w:tc>
        <w:tc>
          <w:tcPr>
            <w:tcW w:w="283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Evropská unie</w:t>
            </w:r>
          </w:p>
        </w:tc>
      </w:tr>
      <w:tr>
        <w:trPr>
          <w:jc w:val="center"/>
        </w:trPr>
        <w:tc>
          <w:tcPr>
            <w:tcW w:w="130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DA</w:t>
            </w:r>
          </w:p>
        </w:tc>
        <w:tc>
          <w:tcPr>
            <w:tcW w:w="709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EU</w:t>
            </w:r>
          </w:p>
        </w:tc>
        <w:tc>
          <w:tcPr>
            <w:tcW w:w="283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Den Europæiske Union</w:t>
            </w:r>
          </w:p>
        </w:tc>
      </w:tr>
      <w:tr>
        <w:trPr>
          <w:jc w:val="center"/>
        </w:trPr>
        <w:tc>
          <w:tcPr>
            <w:tcW w:w="130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DE</w:t>
            </w:r>
          </w:p>
        </w:tc>
        <w:tc>
          <w:tcPr>
            <w:tcW w:w="709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EU</w:t>
            </w:r>
          </w:p>
        </w:tc>
        <w:tc>
          <w:tcPr>
            <w:tcW w:w="283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Europäische Union</w:t>
            </w:r>
          </w:p>
        </w:tc>
      </w:tr>
      <w:tr>
        <w:trPr>
          <w:jc w:val="center"/>
        </w:trPr>
        <w:tc>
          <w:tcPr>
            <w:tcW w:w="130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EL</w:t>
            </w:r>
          </w:p>
        </w:tc>
        <w:tc>
          <w:tcPr>
            <w:tcW w:w="709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EE</w:t>
            </w:r>
          </w:p>
        </w:tc>
        <w:tc>
          <w:tcPr>
            <w:tcW w:w="283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Ευρωπαϊκή Ένωση</w:t>
            </w:r>
          </w:p>
        </w:tc>
      </w:tr>
      <w:tr>
        <w:trPr>
          <w:jc w:val="center"/>
        </w:trPr>
        <w:tc>
          <w:tcPr>
            <w:tcW w:w="130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EN</w:t>
            </w:r>
          </w:p>
        </w:tc>
        <w:tc>
          <w:tcPr>
            <w:tcW w:w="709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EU</w:t>
            </w:r>
          </w:p>
        </w:tc>
        <w:tc>
          <w:tcPr>
            <w:tcW w:w="283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European Union</w:t>
            </w:r>
          </w:p>
        </w:tc>
      </w:tr>
      <w:tr>
        <w:trPr>
          <w:jc w:val="center"/>
        </w:trPr>
        <w:tc>
          <w:tcPr>
            <w:tcW w:w="130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ES</w:t>
            </w:r>
          </w:p>
        </w:tc>
        <w:tc>
          <w:tcPr>
            <w:tcW w:w="709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UE</w:t>
            </w:r>
          </w:p>
        </w:tc>
        <w:tc>
          <w:tcPr>
            <w:tcW w:w="283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 xml:space="preserve">Unión Europea </w:t>
            </w:r>
          </w:p>
        </w:tc>
      </w:tr>
      <w:tr>
        <w:trPr>
          <w:jc w:val="center"/>
        </w:trPr>
        <w:tc>
          <w:tcPr>
            <w:tcW w:w="130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ET</w:t>
            </w:r>
          </w:p>
        </w:tc>
        <w:tc>
          <w:tcPr>
            <w:tcW w:w="709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EL</w:t>
            </w:r>
          </w:p>
        </w:tc>
        <w:tc>
          <w:tcPr>
            <w:tcW w:w="283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Euroopa Liit</w:t>
            </w:r>
          </w:p>
        </w:tc>
      </w:tr>
      <w:tr>
        <w:trPr>
          <w:jc w:val="center"/>
        </w:trPr>
        <w:tc>
          <w:tcPr>
            <w:tcW w:w="130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FI</w:t>
            </w:r>
          </w:p>
        </w:tc>
        <w:tc>
          <w:tcPr>
            <w:tcW w:w="709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EU</w:t>
            </w:r>
          </w:p>
        </w:tc>
        <w:tc>
          <w:tcPr>
            <w:tcW w:w="283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Euroopan unioni</w:t>
            </w:r>
          </w:p>
        </w:tc>
      </w:tr>
      <w:tr>
        <w:trPr>
          <w:jc w:val="center"/>
        </w:trPr>
        <w:tc>
          <w:tcPr>
            <w:tcW w:w="130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FR</w:t>
            </w:r>
          </w:p>
        </w:tc>
        <w:tc>
          <w:tcPr>
            <w:tcW w:w="709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UE</w:t>
            </w:r>
          </w:p>
        </w:tc>
        <w:tc>
          <w:tcPr>
            <w:tcW w:w="283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Union européenne</w:t>
            </w:r>
          </w:p>
        </w:tc>
      </w:tr>
      <w:tr>
        <w:trPr>
          <w:jc w:val="center"/>
        </w:trPr>
        <w:tc>
          <w:tcPr>
            <w:tcW w:w="130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HR</w:t>
            </w:r>
          </w:p>
        </w:tc>
        <w:tc>
          <w:tcPr>
            <w:tcW w:w="709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EU</w:t>
            </w:r>
          </w:p>
        </w:tc>
        <w:tc>
          <w:tcPr>
            <w:tcW w:w="283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Europska unija</w:t>
            </w:r>
          </w:p>
        </w:tc>
      </w:tr>
      <w:tr>
        <w:trPr>
          <w:jc w:val="center"/>
        </w:trPr>
        <w:tc>
          <w:tcPr>
            <w:tcW w:w="130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HU</w:t>
            </w:r>
          </w:p>
        </w:tc>
        <w:tc>
          <w:tcPr>
            <w:tcW w:w="709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EU</w:t>
            </w:r>
          </w:p>
        </w:tc>
        <w:tc>
          <w:tcPr>
            <w:tcW w:w="283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Európai Unió</w:t>
            </w:r>
          </w:p>
        </w:tc>
      </w:tr>
      <w:tr>
        <w:trPr>
          <w:jc w:val="center"/>
        </w:trPr>
        <w:tc>
          <w:tcPr>
            <w:tcW w:w="130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IT</w:t>
            </w:r>
          </w:p>
        </w:tc>
        <w:tc>
          <w:tcPr>
            <w:tcW w:w="709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UE</w:t>
            </w:r>
          </w:p>
        </w:tc>
        <w:tc>
          <w:tcPr>
            <w:tcW w:w="283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Unione europea</w:t>
            </w:r>
          </w:p>
        </w:tc>
      </w:tr>
      <w:tr>
        <w:trPr>
          <w:jc w:val="center"/>
        </w:trPr>
        <w:tc>
          <w:tcPr>
            <w:tcW w:w="130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LT</w:t>
            </w:r>
          </w:p>
        </w:tc>
        <w:tc>
          <w:tcPr>
            <w:tcW w:w="709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ES</w:t>
            </w:r>
          </w:p>
        </w:tc>
        <w:tc>
          <w:tcPr>
            <w:tcW w:w="283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bCs/>
                <w:noProof/>
                <w:kern w:val="36"/>
                <w:szCs w:val="24"/>
              </w:rPr>
            </w:pPr>
            <w:r>
              <w:rPr>
                <w:noProof/>
              </w:rPr>
              <w:t>Europos Sąjunga</w:t>
            </w:r>
          </w:p>
        </w:tc>
      </w:tr>
      <w:tr>
        <w:trPr>
          <w:jc w:val="center"/>
        </w:trPr>
        <w:tc>
          <w:tcPr>
            <w:tcW w:w="130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LV</w:t>
            </w:r>
          </w:p>
        </w:tc>
        <w:tc>
          <w:tcPr>
            <w:tcW w:w="709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ES</w:t>
            </w:r>
          </w:p>
        </w:tc>
        <w:tc>
          <w:tcPr>
            <w:tcW w:w="283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 xml:space="preserve">Eiropas Savienība </w:t>
            </w:r>
          </w:p>
        </w:tc>
      </w:tr>
      <w:tr>
        <w:trPr>
          <w:jc w:val="center"/>
        </w:trPr>
        <w:tc>
          <w:tcPr>
            <w:tcW w:w="130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MT</w:t>
            </w:r>
          </w:p>
        </w:tc>
        <w:tc>
          <w:tcPr>
            <w:tcW w:w="709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UE</w:t>
            </w:r>
          </w:p>
        </w:tc>
        <w:tc>
          <w:tcPr>
            <w:tcW w:w="283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bCs/>
                <w:noProof/>
                <w:kern w:val="36"/>
                <w:szCs w:val="24"/>
              </w:rPr>
            </w:pPr>
            <w:r>
              <w:rPr>
                <w:noProof/>
              </w:rPr>
              <w:t>Unjoni Ewropea</w:t>
            </w:r>
          </w:p>
        </w:tc>
      </w:tr>
      <w:tr>
        <w:trPr>
          <w:jc w:val="center"/>
        </w:trPr>
        <w:tc>
          <w:tcPr>
            <w:tcW w:w="130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NL</w:t>
            </w:r>
          </w:p>
        </w:tc>
        <w:tc>
          <w:tcPr>
            <w:tcW w:w="709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EU</w:t>
            </w:r>
          </w:p>
        </w:tc>
        <w:tc>
          <w:tcPr>
            <w:tcW w:w="283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Europese Unie</w:t>
            </w:r>
          </w:p>
        </w:tc>
      </w:tr>
      <w:tr>
        <w:trPr>
          <w:jc w:val="center"/>
        </w:trPr>
        <w:tc>
          <w:tcPr>
            <w:tcW w:w="130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PL</w:t>
            </w:r>
          </w:p>
        </w:tc>
        <w:tc>
          <w:tcPr>
            <w:tcW w:w="709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UE</w:t>
            </w:r>
          </w:p>
        </w:tc>
        <w:tc>
          <w:tcPr>
            <w:tcW w:w="283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 xml:space="preserve">Unia Europejska </w:t>
            </w:r>
          </w:p>
        </w:tc>
      </w:tr>
      <w:tr>
        <w:trPr>
          <w:jc w:val="center"/>
        </w:trPr>
        <w:tc>
          <w:tcPr>
            <w:tcW w:w="130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PT</w:t>
            </w:r>
          </w:p>
        </w:tc>
        <w:tc>
          <w:tcPr>
            <w:tcW w:w="709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UE</w:t>
            </w:r>
          </w:p>
        </w:tc>
        <w:tc>
          <w:tcPr>
            <w:tcW w:w="283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União Europeia</w:t>
            </w:r>
          </w:p>
        </w:tc>
      </w:tr>
      <w:tr>
        <w:trPr>
          <w:jc w:val="center"/>
        </w:trPr>
        <w:tc>
          <w:tcPr>
            <w:tcW w:w="130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RO</w:t>
            </w:r>
          </w:p>
        </w:tc>
        <w:tc>
          <w:tcPr>
            <w:tcW w:w="709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UE</w:t>
            </w:r>
          </w:p>
        </w:tc>
        <w:tc>
          <w:tcPr>
            <w:tcW w:w="283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hyperlink r:id="rId18" w:tooltip="blocked::http://rmy.wikipedia.org/wiki/Europikano_Ekipen http://rmy.wikipedia.org/wiki/Europikano_Ekipen Europikano Ekipen">
              <w:r>
                <w:rPr>
                  <w:noProof/>
                </w:rPr>
                <w:t>Uniunea</w:t>
              </w:r>
            </w:hyperlink>
            <w:r>
              <w:rPr>
                <w:noProof/>
              </w:rPr>
              <w:t xml:space="preserve"> Europeană</w:t>
            </w:r>
          </w:p>
        </w:tc>
      </w:tr>
      <w:tr>
        <w:trPr>
          <w:jc w:val="center"/>
        </w:trPr>
        <w:tc>
          <w:tcPr>
            <w:tcW w:w="130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SK</w:t>
            </w:r>
          </w:p>
        </w:tc>
        <w:tc>
          <w:tcPr>
            <w:tcW w:w="709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EÚ</w:t>
            </w:r>
          </w:p>
        </w:tc>
        <w:tc>
          <w:tcPr>
            <w:tcW w:w="283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Európska únia</w:t>
            </w:r>
          </w:p>
        </w:tc>
      </w:tr>
      <w:tr>
        <w:trPr>
          <w:jc w:val="center"/>
        </w:trPr>
        <w:tc>
          <w:tcPr>
            <w:tcW w:w="130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SL</w:t>
            </w:r>
          </w:p>
        </w:tc>
        <w:tc>
          <w:tcPr>
            <w:tcW w:w="709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EU</w:t>
            </w:r>
          </w:p>
        </w:tc>
        <w:tc>
          <w:tcPr>
            <w:tcW w:w="283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Evropska unija</w:t>
            </w:r>
          </w:p>
        </w:tc>
      </w:tr>
      <w:tr>
        <w:trPr>
          <w:jc w:val="center"/>
        </w:trPr>
        <w:tc>
          <w:tcPr>
            <w:tcW w:w="130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SV</w:t>
            </w:r>
          </w:p>
        </w:tc>
        <w:tc>
          <w:tcPr>
            <w:tcW w:w="709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EU</w:t>
            </w:r>
          </w:p>
        </w:tc>
        <w:tc>
          <w:tcPr>
            <w:tcW w:w="2835" w:type="dxa"/>
            <w:shd w:val="clear" w:color="auto" w:fill="auto"/>
          </w:tcPr>
          <w:p>
            <w:pPr>
              <w:shd w:val="clear" w:color="auto" w:fill="FFFFFF"/>
              <w:spacing w:before="0" w:after="160" w:line="259" w:lineRule="auto"/>
              <w:jc w:val="left"/>
              <w:rPr>
                <w:rFonts w:eastAsia="Calibri"/>
                <w:noProof/>
                <w:szCs w:val="24"/>
              </w:rPr>
            </w:pPr>
            <w:r>
              <w:rPr>
                <w:noProof/>
              </w:rPr>
              <w:t>Europeiska unionen</w:t>
            </w:r>
          </w:p>
        </w:tc>
      </w:tr>
    </w:tbl>
    <w:p>
      <w:pPr>
        <w:rPr>
          <w:noProof/>
        </w:rPr>
      </w:pPr>
    </w:p>
    <w:sectPr>
      <w:footnotePr>
        <w:numRestart w:val="eachSect"/>
      </w:footnotePr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PT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PT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PT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8</w:t>
    </w:r>
    <w:r>
      <w:fldChar w:fldCharType="end"/>
    </w:r>
    <w: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PT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ab/>
        <w:t>Ver «Anexo ao certificado de circulação EUR.l - instruções de preenchimento».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ab/>
        <w:t>Ver «Anexo ao certificado de circulação EUR.1 - instruções de preenchimento».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ab/>
        <w:t>Ver «Anexo ao certificado de circulação EUR.1 - instruções de preenchimento».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469E73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90A8F13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7D0E16A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39D0693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58F29F5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8286BB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76CA9B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F1ACD8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removePersonalInformation/>
  <w:removeDateAndTime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6-06-07 07:54:33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5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51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da"/>
    <w:docVar w:name="LW_ANNEX_NBR_FIRST" w:val="1"/>
    <w:docVar w:name="LW_ANNEX_NBR_LAST" w:val="1"/>
    <w:docVar w:name="LW_CONFIDENCE" w:val=" "/>
    <w:docVar w:name="LW_CONST_RESTREINT_UE" w:val="RESTREINT UE"/>
    <w:docVar w:name="LW_CORRIGENDUM" w:val="&lt;UNUSED&gt;"/>
    <w:docVar w:name="LW_COVERPAGE_GUID" w:val="612ABB57A83F4623BA71B77C6FFCBAC6"/>
    <w:docVar w:name="LW_CROSSREFERENCE" w:val="&lt;UNUSED&gt;"/>
    <w:docVar w:name="LW_DocType" w:val="ANNEX"/>
    <w:docVar w:name="LW_EMISSION" w:val="17.5.2016"/>
    <w:docVar w:name="LW_EMISSION_ISODATE" w:val="2016-05-17"/>
    <w:docVar w:name="LW_EMISSION_LOCATION" w:val="BRX"/>
    <w:docVar w:name="LW_EMISSION_PREFIX" w:val="Bruxelas, "/>
    <w:docVar w:name="LW_EMISSION_SUFFIX" w:val=" "/>
    <w:docVar w:name="LW_ID_DOCSTRUCTURE" w:val="COM/ANNEX"/>
    <w:docVar w:name="LW_ID_DOCTYPE" w:val="SG-017"/>
    <w:docVar w:name="LW_LANGUE" w:val="PT"/>
    <w:docVar w:name="LW_MARKING" w:val="&lt;UNUSED&gt;"/>
    <w:docVar w:name="LW_NOM.INST" w:val="COMISSÃO EUROPEIA"/>
    <w:docVar w:name="LW_NOM.INST_JOINTDOC" w:val="&lt;EMPTY&gt;"/>
    <w:docVar w:name="LW_OBJETACTEPRINCIPAL.CP" w:val="relativa à posição a adotar, em nome da União Europeia, no âmbito do Conselho de Associação UE-América Central relativamente a Notas Explicativas no âmbito do artigo 15.º do anexo II do Acordo que cria uma Associação entre a União Europeia e os seus Estados-Membros, por um lado, e a América Central, por outro"/>
    <w:docVar w:name="LW_PART_NBR" w:val="1"/>
    <w:docVar w:name="LW_PART_NBR_TOTAL" w:val="1"/>
    <w:docVar w:name="LW_REF.INST.NEW" w:val="COM"/>
    <w:docVar w:name="LW_REF.INST.NEW_ADOPTED" w:val="final"/>
    <w:docVar w:name="LW_REF.INST.NEW_TEXT" w:val="(2016) 262"/>
    <w:docVar w:name="LW_REF.INTERNE" w:val="&lt;UNUSED&gt;"/>
    <w:docVar w:name="LW_SUPERTITRE" w:val="&lt;UNUSED&gt;"/>
    <w:docVar w:name="LW_TITRE.OBJ.CP" w:val="Anexo"/>
    <w:docVar w:name="LW_TYPE.DOC.CP" w:val="ANEXO"/>
    <w:docVar w:name="LW_TYPEACTEPRINCIPAL.CP" w:val="Proposta de Decisão do Conselho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pt-PT" w:bidi="pt-P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5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5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5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5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customStyle="1" w:styleId="FooterCouncil">
    <w:name w:val="Footer Council"/>
    <w:basedOn w:val="Normal"/>
    <w:pPr>
      <w:spacing w:before="0" w:after="0"/>
      <w:jc w:val="left"/>
    </w:pPr>
    <w:rPr>
      <w:rFonts w:eastAsia="Times New Roman"/>
      <w:sz w:val="2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pt-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9"/>
      </w:numPr>
    </w:pPr>
  </w:style>
  <w:style w:type="paragraph" w:customStyle="1" w:styleId="Tiret1">
    <w:name w:val="Tiret 1"/>
    <w:basedOn w:val="Point1"/>
    <w:pPr>
      <w:numPr>
        <w:numId w:val="10"/>
      </w:numPr>
    </w:pPr>
  </w:style>
  <w:style w:type="paragraph" w:customStyle="1" w:styleId="Tiret2">
    <w:name w:val="Tiret 2"/>
    <w:basedOn w:val="Point2"/>
    <w:pPr>
      <w:numPr>
        <w:numId w:val="11"/>
      </w:numPr>
    </w:pPr>
  </w:style>
  <w:style w:type="paragraph" w:customStyle="1" w:styleId="Tiret3">
    <w:name w:val="Tiret 3"/>
    <w:basedOn w:val="Point3"/>
    <w:pPr>
      <w:numPr>
        <w:numId w:val="12"/>
      </w:numPr>
    </w:pPr>
  </w:style>
  <w:style w:type="paragraph" w:customStyle="1" w:styleId="Tiret4">
    <w:name w:val="Tiret 4"/>
    <w:basedOn w:val="Point4"/>
    <w:pPr>
      <w:numPr>
        <w:numId w:val="13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4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4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4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4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6"/>
      </w:numPr>
    </w:pPr>
  </w:style>
  <w:style w:type="paragraph" w:customStyle="1" w:styleId="Point1number">
    <w:name w:val="Point 1 (number)"/>
    <w:basedOn w:val="Normal"/>
    <w:pPr>
      <w:numPr>
        <w:ilvl w:val="2"/>
        <w:numId w:val="16"/>
      </w:numPr>
    </w:pPr>
  </w:style>
  <w:style w:type="paragraph" w:customStyle="1" w:styleId="Point2number">
    <w:name w:val="Point 2 (number)"/>
    <w:basedOn w:val="Normal"/>
    <w:pPr>
      <w:numPr>
        <w:ilvl w:val="4"/>
        <w:numId w:val="16"/>
      </w:numPr>
    </w:pPr>
  </w:style>
  <w:style w:type="paragraph" w:customStyle="1" w:styleId="Point3number">
    <w:name w:val="Point 3 (number)"/>
    <w:basedOn w:val="Normal"/>
    <w:pPr>
      <w:numPr>
        <w:ilvl w:val="6"/>
        <w:numId w:val="16"/>
      </w:numPr>
    </w:pPr>
  </w:style>
  <w:style w:type="paragraph" w:customStyle="1" w:styleId="Point0letter">
    <w:name w:val="Point 0 (letter)"/>
    <w:basedOn w:val="Normal"/>
    <w:pPr>
      <w:numPr>
        <w:ilvl w:val="1"/>
        <w:numId w:val="16"/>
      </w:numPr>
    </w:pPr>
  </w:style>
  <w:style w:type="paragraph" w:customStyle="1" w:styleId="Point1letter">
    <w:name w:val="Point 1 (letter)"/>
    <w:basedOn w:val="Normal"/>
    <w:pPr>
      <w:numPr>
        <w:ilvl w:val="3"/>
        <w:numId w:val="16"/>
      </w:numPr>
    </w:pPr>
  </w:style>
  <w:style w:type="paragraph" w:customStyle="1" w:styleId="Point2letter">
    <w:name w:val="Point 2 (letter)"/>
    <w:basedOn w:val="Normal"/>
    <w:pPr>
      <w:numPr>
        <w:ilvl w:val="5"/>
        <w:numId w:val="16"/>
      </w:numPr>
    </w:pPr>
  </w:style>
  <w:style w:type="paragraph" w:customStyle="1" w:styleId="Point3letter">
    <w:name w:val="Point 3 (letter)"/>
    <w:basedOn w:val="Normal"/>
    <w:pPr>
      <w:numPr>
        <w:ilvl w:val="7"/>
        <w:numId w:val="16"/>
      </w:numPr>
    </w:pPr>
  </w:style>
  <w:style w:type="paragraph" w:customStyle="1" w:styleId="Point4letter">
    <w:name w:val="Point 4 (letter)"/>
    <w:basedOn w:val="Normal"/>
    <w:pPr>
      <w:numPr>
        <w:ilvl w:val="8"/>
        <w:numId w:val="16"/>
      </w:numPr>
    </w:pPr>
  </w:style>
  <w:style w:type="paragraph" w:customStyle="1" w:styleId="Bullet0">
    <w:name w:val="Bullet 0"/>
    <w:basedOn w:val="Normal"/>
    <w:pPr>
      <w:numPr>
        <w:numId w:val="17"/>
      </w:numPr>
    </w:pPr>
  </w:style>
  <w:style w:type="paragraph" w:customStyle="1" w:styleId="Bullet1">
    <w:name w:val="Bullet 1"/>
    <w:basedOn w:val="Normal"/>
    <w:pPr>
      <w:numPr>
        <w:numId w:val="18"/>
      </w:numPr>
    </w:pPr>
  </w:style>
  <w:style w:type="paragraph" w:customStyle="1" w:styleId="Bullet2">
    <w:name w:val="Bullet 2"/>
    <w:basedOn w:val="Normal"/>
    <w:pPr>
      <w:numPr>
        <w:numId w:val="19"/>
      </w:numPr>
    </w:pPr>
  </w:style>
  <w:style w:type="paragraph" w:customStyle="1" w:styleId="Bullet3">
    <w:name w:val="Bullet 3"/>
    <w:basedOn w:val="Normal"/>
    <w:pPr>
      <w:numPr>
        <w:numId w:val="20"/>
      </w:numPr>
    </w:pPr>
  </w:style>
  <w:style w:type="paragraph" w:customStyle="1" w:styleId="Bullet4">
    <w:name w:val="Bullet 4"/>
    <w:basedOn w:val="Normal"/>
    <w:pPr>
      <w:numPr>
        <w:numId w:val="21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2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pt-PT" w:bidi="pt-P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5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5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5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5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customStyle="1" w:styleId="FooterCouncil">
    <w:name w:val="Footer Council"/>
    <w:basedOn w:val="Normal"/>
    <w:pPr>
      <w:spacing w:before="0" w:after="0"/>
      <w:jc w:val="left"/>
    </w:pPr>
    <w:rPr>
      <w:rFonts w:eastAsia="Times New Roman"/>
      <w:sz w:val="2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pt-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9"/>
      </w:numPr>
    </w:pPr>
  </w:style>
  <w:style w:type="paragraph" w:customStyle="1" w:styleId="Tiret1">
    <w:name w:val="Tiret 1"/>
    <w:basedOn w:val="Point1"/>
    <w:pPr>
      <w:numPr>
        <w:numId w:val="10"/>
      </w:numPr>
    </w:pPr>
  </w:style>
  <w:style w:type="paragraph" w:customStyle="1" w:styleId="Tiret2">
    <w:name w:val="Tiret 2"/>
    <w:basedOn w:val="Point2"/>
    <w:pPr>
      <w:numPr>
        <w:numId w:val="11"/>
      </w:numPr>
    </w:pPr>
  </w:style>
  <w:style w:type="paragraph" w:customStyle="1" w:styleId="Tiret3">
    <w:name w:val="Tiret 3"/>
    <w:basedOn w:val="Point3"/>
    <w:pPr>
      <w:numPr>
        <w:numId w:val="12"/>
      </w:numPr>
    </w:pPr>
  </w:style>
  <w:style w:type="paragraph" w:customStyle="1" w:styleId="Tiret4">
    <w:name w:val="Tiret 4"/>
    <w:basedOn w:val="Point4"/>
    <w:pPr>
      <w:numPr>
        <w:numId w:val="13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4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4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4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4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6"/>
      </w:numPr>
    </w:pPr>
  </w:style>
  <w:style w:type="paragraph" w:customStyle="1" w:styleId="Point1number">
    <w:name w:val="Point 1 (number)"/>
    <w:basedOn w:val="Normal"/>
    <w:pPr>
      <w:numPr>
        <w:ilvl w:val="2"/>
        <w:numId w:val="16"/>
      </w:numPr>
    </w:pPr>
  </w:style>
  <w:style w:type="paragraph" w:customStyle="1" w:styleId="Point2number">
    <w:name w:val="Point 2 (number)"/>
    <w:basedOn w:val="Normal"/>
    <w:pPr>
      <w:numPr>
        <w:ilvl w:val="4"/>
        <w:numId w:val="16"/>
      </w:numPr>
    </w:pPr>
  </w:style>
  <w:style w:type="paragraph" w:customStyle="1" w:styleId="Point3number">
    <w:name w:val="Point 3 (number)"/>
    <w:basedOn w:val="Normal"/>
    <w:pPr>
      <w:numPr>
        <w:ilvl w:val="6"/>
        <w:numId w:val="16"/>
      </w:numPr>
    </w:pPr>
  </w:style>
  <w:style w:type="paragraph" w:customStyle="1" w:styleId="Point0letter">
    <w:name w:val="Point 0 (letter)"/>
    <w:basedOn w:val="Normal"/>
    <w:pPr>
      <w:numPr>
        <w:ilvl w:val="1"/>
        <w:numId w:val="16"/>
      </w:numPr>
    </w:pPr>
  </w:style>
  <w:style w:type="paragraph" w:customStyle="1" w:styleId="Point1letter">
    <w:name w:val="Point 1 (letter)"/>
    <w:basedOn w:val="Normal"/>
    <w:pPr>
      <w:numPr>
        <w:ilvl w:val="3"/>
        <w:numId w:val="16"/>
      </w:numPr>
    </w:pPr>
  </w:style>
  <w:style w:type="paragraph" w:customStyle="1" w:styleId="Point2letter">
    <w:name w:val="Point 2 (letter)"/>
    <w:basedOn w:val="Normal"/>
    <w:pPr>
      <w:numPr>
        <w:ilvl w:val="5"/>
        <w:numId w:val="16"/>
      </w:numPr>
    </w:pPr>
  </w:style>
  <w:style w:type="paragraph" w:customStyle="1" w:styleId="Point3letter">
    <w:name w:val="Point 3 (letter)"/>
    <w:basedOn w:val="Normal"/>
    <w:pPr>
      <w:numPr>
        <w:ilvl w:val="7"/>
        <w:numId w:val="16"/>
      </w:numPr>
    </w:pPr>
  </w:style>
  <w:style w:type="paragraph" w:customStyle="1" w:styleId="Point4letter">
    <w:name w:val="Point 4 (letter)"/>
    <w:basedOn w:val="Normal"/>
    <w:pPr>
      <w:numPr>
        <w:ilvl w:val="8"/>
        <w:numId w:val="16"/>
      </w:numPr>
    </w:pPr>
  </w:style>
  <w:style w:type="paragraph" w:customStyle="1" w:styleId="Bullet0">
    <w:name w:val="Bullet 0"/>
    <w:basedOn w:val="Normal"/>
    <w:pPr>
      <w:numPr>
        <w:numId w:val="17"/>
      </w:numPr>
    </w:pPr>
  </w:style>
  <w:style w:type="paragraph" w:customStyle="1" w:styleId="Bullet1">
    <w:name w:val="Bullet 1"/>
    <w:basedOn w:val="Normal"/>
    <w:pPr>
      <w:numPr>
        <w:numId w:val="18"/>
      </w:numPr>
    </w:pPr>
  </w:style>
  <w:style w:type="paragraph" w:customStyle="1" w:styleId="Bullet2">
    <w:name w:val="Bullet 2"/>
    <w:basedOn w:val="Normal"/>
    <w:pPr>
      <w:numPr>
        <w:numId w:val="19"/>
      </w:numPr>
    </w:pPr>
  </w:style>
  <w:style w:type="paragraph" w:customStyle="1" w:styleId="Bullet3">
    <w:name w:val="Bullet 3"/>
    <w:basedOn w:val="Normal"/>
    <w:pPr>
      <w:numPr>
        <w:numId w:val="20"/>
      </w:numPr>
    </w:pPr>
  </w:style>
  <w:style w:type="paragraph" w:customStyle="1" w:styleId="Bullet4">
    <w:name w:val="Bullet 4"/>
    <w:basedOn w:val="Normal"/>
    <w:pPr>
      <w:numPr>
        <w:numId w:val="21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2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rmy.wikipedia.org/wiki/Europikano_Ekipe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8DBEA-7B82-483B-A1A5-C72984ABE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0</TotalTime>
  <Pages>8</Pages>
  <Words>1491</Words>
  <Characters>7818</Characters>
  <Application>Microsoft Office Word</Application>
  <DocSecurity>0</DocSecurity>
  <Lines>300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2016-05-26T12:55:00Z</dcterms:created>
  <dcterms:modified xsi:type="dcterms:W3CDTF">2016-06-07T05:54:00Z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 edited using">
    <vt:lpwstr>LW 5.8.4, Build 20150407</vt:lpwstr>
  </property>
  <property fmtid="{D5CDD505-2E9C-101B-9397-08002B2CF9AE}" pid="3" name="Classification">
    <vt:lpwstr> </vt:lpwstr>
  </property>
  <property fmtid="{D5CDD505-2E9C-101B-9397-08002B2CF9AE}" pid="4" name="Category">
    <vt:lpwstr>COM/ANNEX</vt:lpwstr>
  </property>
  <property fmtid="{D5CDD505-2E9C-101B-9397-08002B2CF9AE}" pid="5" name="First annex">
    <vt:lpwstr>1</vt:lpwstr>
  </property>
  <property fmtid="{D5CDD505-2E9C-101B-9397-08002B2CF9AE}" pid="6" name="Last annex">
    <vt:lpwstr>1</vt:lpwstr>
  </property>
  <property fmtid="{D5CDD505-2E9C-101B-9397-08002B2CF9AE}" pid="7" name="Part">
    <vt:lpwstr>1</vt:lpwstr>
  </property>
  <property fmtid="{D5CDD505-2E9C-101B-9397-08002B2CF9AE}" pid="8" name="Total parts">
    <vt:lpwstr>1</vt:lpwstr>
  </property>
  <property fmtid="{D5CDD505-2E9C-101B-9397-08002B2CF9AE}" pid="9" name="LWTemplateID">
    <vt:lpwstr>SG-017</vt:lpwstr>
  </property>
  <property fmtid="{D5CDD505-2E9C-101B-9397-08002B2CF9AE}" pid="10" name="DQCStatus">
    <vt:lpwstr>Green (DQC version 03)</vt:lpwstr>
  </property>
</Properties>
</file>