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C804FD58D7349AE9BC0A0BD1B346F71" style="width:450.6pt;height:364.0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3"/>
        </w:numPr>
        <w:rPr>
          <w:noProof/>
        </w:rPr>
      </w:pPr>
      <w:bookmarkStart w:id="1" w:name="_Toc353984370"/>
      <w:bookmarkStart w:id="2" w:name="_Toc380416662"/>
      <w:bookmarkStart w:id="3" w:name="_Toc384388441"/>
      <w:bookmarkStart w:id="4" w:name="_Toc435628560"/>
      <w:bookmarkStart w:id="5" w:name="_Toc353984371"/>
      <w:bookmarkStart w:id="6" w:name="_Toc380416663"/>
      <w:bookmarkStart w:id="7" w:name="_GoBack"/>
      <w:bookmarkEnd w:id="7"/>
      <w:r>
        <w:rPr>
          <w:noProof/>
        </w:rPr>
        <w:lastRenderedPageBreak/>
        <w:t>Inledning</w:t>
      </w:r>
      <w:bookmarkEnd w:id="1"/>
      <w:bookmarkEnd w:id="2"/>
      <w:bookmarkEnd w:id="3"/>
      <w:bookmarkEnd w:id="4"/>
    </w:p>
    <w:p>
      <w:pPr>
        <w:pStyle w:val="Text1"/>
        <w:rPr>
          <w:noProof/>
        </w:rPr>
      </w:pPr>
      <w:r>
        <w:rPr>
          <w:noProof/>
        </w:rPr>
        <w:t>Europeiska standarder har visat sig vara ett viktigt politiskt verktyg för europeiskt beslutsfattande. Standarder är politiska instrument som förbättrar den inre marknadens funktion genom att undanröja tekniska hinder som orsakas av motstridiga nationella standarder. De säkerställer driftskompatibilitet mellan olika nät och system, en hög skyddsnivå för konsumenter och för miljön samt stöder och främjar innovation. Standarder gynnar konsumenter, företag och samhället i stort och bidrar till den allmänna tillväxten och konkurrenskraften i EU:s ekonomi.</w:t>
      </w:r>
    </w:p>
    <w:p>
      <w:pPr>
        <w:pStyle w:val="Text1"/>
        <w:rPr>
          <w:noProof/>
        </w:rPr>
      </w:pPr>
      <w:r>
        <w:rPr>
          <w:noProof/>
        </w:rPr>
        <w:t xml:space="preserve">Genom att driva på utvecklingen av europeiska standarder för varor och tjänster inom strategiska prioriterade områden där marknaderna expanderar vill kommissionen skapa konkurrensfördelar för europeiska företag, särskilt för små och medelstora företag. </w:t>
      </w:r>
    </w:p>
    <w:p>
      <w:pPr>
        <w:pStyle w:val="Text1"/>
        <w:rPr>
          <w:noProof/>
        </w:rPr>
      </w:pPr>
      <w:r>
        <w:rPr>
          <w:noProof/>
        </w:rPr>
        <w:t xml:space="preserve">Offentliggörandet av </w:t>
      </w:r>
      <w:r>
        <w:rPr>
          <w:b/>
          <w:noProof/>
        </w:rPr>
        <w:t>Unionens årliga arbetsprogram för europeisk standardisering</w:t>
      </w:r>
      <w:r>
        <w:rPr>
          <w:noProof/>
        </w:rPr>
        <w:t xml:space="preserve"> är ett krav enligt förordning (EU) nr 1025/2012 (nedan kallad </w:t>
      </w:r>
      <w:r>
        <w:rPr>
          <w:i/>
          <w:noProof/>
        </w:rPr>
        <w:t>förordningen</w:t>
      </w:r>
      <w:r>
        <w:rPr>
          <w:noProof/>
        </w:rPr>
        <w:t>) och syftar till att identifiera strategiska prioriteringar för det europeiska standardiseringsarbetet, vilka ska överensstämma med de politiska mål som kommissionen fastställer i sin planering.</w:t>
      </w:r>
    </w:p>
    <w:p>
      <w:pPr>
        <w:pStyle w:val="Text1"/>
        <w:rPr>
          <w:noProof/>
        </w:rPr>
      </w:pPr>
      <w:r>
        <w:rPr>
          <w:noProof/>
        </w:rPr>
        <w:t xml:space="preserve">För att ge ny kraft åt det europeiska standardiseringsarbetet ingår arbetsprogrammet 2017 i ett heltäckande paket om standardisering, som omfattar kommissionens meddelande </w:t>
      </w:r>
      <w:r>
        <w:rPr>
          <w:i/>
          <w:noProof/>
        </w:rPr>
        <w:t>Europeiska standarder för 2000-talet</w:t>
      </w:r>
      <w:r>
        <w:rPr>
          <w:noProof/>
        </w:rPr>
        <w:t>, åtföljt av ett arbetsdokument om standardisering av tjänster, och meddelandet om Artikel 24-rapporten om genomförandet av förordningen. I arbetsprogrammet uppmärksammas särskilt meddelandet om prioriteringsplan för IKT-standarder som antogs den 19 april 2016. Detta arbetsprogram antas även med tanke på diskussionerna inom ramen för det gemensamma initiativet om standardisering, som inleddes av kommissionen efter antagandet av strategin för den inre marknaden</w:t>
      </w:r>
      <w:r>
        <w:rPr>
          <w:rStyle w:val="FootnoteReference"/>
          <w:noProof/>
        </w:rPr>
        <w:footnoteReference w:id="2"/>
      </w:r>
      <w:r>
        <w:rPr>
          <w:noProof/>
        </w:rPr>
        <w:t>.</w:t>
      </w:r>
    </w:p>
    <w:p>
      <w:pPr>
        <w:pStyle w:val="Text1"/>
        <w:rPr>
          <w:noProof/>
        </w:rPr>
      </w:pPr>
      <w:r>
        <w:rPr>
          <w:noProof/>
        </w:rPr>
        <w:t>Initiativet stöder åtgärder inom alla av kommissionens prioriteringar för en sammankopplad digital inre marknad, en motståndskraftig energiunion med en framåtblickande klimatpolitik samt en fördjupad och mer rättvis inre marknad med en stärkt industribas.</w:t>
      </w:r>
    </w:p>
    <w:p>
      <w:pPr>
        <w:pStyle w:val="Text1"/>
        <w:rPr>
          <w:noProof/>
        </w:rPr>
      </w:pPr>
      <w:r>
        <w:rPr>
          <w:noProof/>
        </w:rPr>
        <w:t>Det nuvarande arbetsprogrammet kompletterar åtgärderna i programmet för 2016</w:t>
      </w:r>
      <w:r>
        <w:rPr>
          <w:rStyle w:val="FootnoteReference"/>
          <w:noProof/>
        </w:rPr>
        <w:footnoteReference w:id="3"/>
      </w:r>
      <w:r>
        <w:rPr>
          <w:noProof/>
        </w:rPr>
        <w:t xml:space="preserve">, särskilt initiativet om delaktighet i den mening som avses i förordningen. </w:t>
      </w:r>
    </w:p>
    <w:p>
      <w:pPr>
        <w:pStyle w:val="Text1"/>
        <w:rPr>
          <w:noProof/>
        </w:rPr>
      </w:pPr>
      <w:r>
        <w:rPr>
          <w:noProof/>
        </w:rPr>
        <w:t xml:space="preserve">De riktlinjer som anges i arbetsprogrammet har inga budgetkonsekvenser utöver vad som redan förutsetts i budgetramen för 2017. </w:t>
      </w:r>
      <w:bookmarkStart w:id="8" w:name="_Toc384388442"/>
    </w:p>
    <w:p>
      <w:pPr>
        <w:pStyle w:val="Heading1"/>
        <w:numPr>
          <w:ilvl w:val="0"/>
          <w:numId w:val="3"/>
        </w:numPr>
        <w:tabs>
          <w:tab w:val="clear" w:pos="850"/>
        </w:tabs>
        <w:rPr>
          <w:noProof/>
        </w:rPr>
      </w:pPr>
      <w:bookmarkStart w:id="9" w:name="_Toc415666233"/>
      <w:bookmarkStart w:id="10" w:name="_Toc435628566"/>
      <w:r>
        <w:rPr>
          <w:noProof/>
        </w:rPr>
        <w:t>Strategiska prioriteringar för den europeiska standardiseringen</w:t>
      </w:r>
      <w:bookmarkEnd w:id="9"/>
      <w:bookmarkEnd w:id="10"/>
    </w:p>
    <w:p>
      <w:pPr>
        <w:pStyle w:val="Heading2"/>
        <w:rPr>
          <w:noProof/>
        </w:rPr>
      </w:pPr>
      <w:bookmarkStart w:id="11" w:name="_Toc435628567"/>
      <w:r>
        <w:rPr>
          <w:noProof/>
        </w:rPr>
        <w:t>Standardisering på IKT-området</w:t>
      </w:r>
      <w:bookmarkEnd w:id="11"/>
    </w:p>
    <w:p>
      <w:pPr>
        <w:pStyle w:val="Text1"/>
        <w:rPr>
          <w:noProof/>
        </w:rPr>
      </w:pPr>
      <w:r>
        <w:rPr>
          <w:noProof/>
        </w:rPr>
        <w:t xml:space="preserve">I kommissionens meddelande </w:t>
      </w:r>
      <w:r>
        <w:rPr>
          <w:i/>
          <w:noProof/>
        </w:rPr>
        <w:t>Prioriteringar för informations- och kommunikationsteknisk standardisering på den digitala inre marknaden</w:t>
      </w:r>
      <w:r>
        <w:rPr>
          <w:rStyle w:val="FootnoteReference"/>
          <w:noProof/>
        </w:rPr>
        <w:footnoteReference w:id="4"/>
      </w:r>
      <w:r>
        <w:rPr>
          <w:noProof/>
        </w:rPr>
        <w:t xml:space="preserve"> anges en förteckning över prioriteringar för den digitala inre marknaden, där bättre IKT-standardisering är mest brådskande</w:t>
      </w:r>
      <w:r>
        <w:rPr>
          <w:rStyle w:val="FootnoteReference"/>
          <w:noProof/>
        </w:rPr>
        <w:footnoteReference w:id="5"/>
      </w:r>
      <w:r>
        <w:rPr>
          <w:noProof/>
        </w:rPr>
        <w:t xml:space="preserve">: </w:t>
      </w:r>
      <w:r>
        <w:rPr>
          <w:b/>
          <w:noProof/>
        </w:rPr>
        <w:t xml:space="preserve">5G-kommunikation, molntjänster, sakernas internet, (stor)datateknik och it-säkerhet. </w:t>
      </w:r>
      <w:r>
        <w:rPr>
          <w:noProof/>
        </w:rPr>
        <w:t>Dessa är viktiga byggstenar på områden som e-hälsovård, uppkopplade och automatiserade fordon, smart energi, avancerad tillverkning eller smarta städer.</w:t>
      </w:r>
      <w:r>
        <w:rPr>
          <w:b/>
          <w:noProof/>
        </w:rPr>
        <w:t xml:space="preserve"> </w:t>
      </w:r>
      <w:r>
        <w:rPr>
          <w:noProof/>
        </w:rPr>
        <w:t>I detta skede planerar kommissionen inte att skicka någon begäran om standardisering till de europeiska standardiseringsorganen, men kommer att be om deras deltagande i en rad förberedande insatser för att kartlägga och utveckla lämpliga standarder.</w:t>
      </w:r>
    </w:p>
    <w:p>
      <w:pPr>
        <w:pStyle w:val="Text1"/>
        <w:rPr>
          <w:noProof/>
        </w:rPr>
      </w:pPr>
      <w:r>
        <w:rPr>
          <w:noProof/>
        </w:rPr>
        <w:t xml:space="preserve">På området </w:t>
      </w:r>
      <w:r>
        <w:rPr>
          <w:b/>
          <w:noProof/>
        </w:rPr>
        <w:t>molntjänster</w:t>
      </w:r>
      <w:r>
        <w:rPr>
          <w:noProof/>
        </w:rPr>
        <w:t xml:space="preserve"> kommer kommissionen att uppmana de europeiska standardiseringsorganen att senast i mitten av 2017 och i samarbete med internationella standardiseringsorgan, molnleverantörer och slutanvändare uppdatera kartläggningen av standarder för molntjänster och riktlinjer för slutanvändare (framför allt små och medelstora företag och den offentliga sektorn).</w:t>
      </w:r>
    </w:p>
    <w:p>
      <w:pPr>
        <w:pStyle w:val="Text1"/>
        <w:rPr>
          <w:rFonts w:eastAsia="Times New Roman"/>
          <w:noProof/>
        </w:rPr>
      </w:pPr>
      <w:r>
        <w:rPr>
          <w:noProof/>
        </w:rPr>
        <w:t xml:space="preserve">På området </w:t>
      </w:r>
      <w:r>
        <w:rPr>
          <w:b/>
          <w:noProof/>
        </w:rPr>
        <w:t>sakernas internet</w:t>
      </w:r>
      <w:r>
        <w:rPr>
          <w:noProof/>
        </w:rPr>
        <w:t xml:space="preserve"> kommer kommissionen att främja en driftskompatibel miljö för sakernas internet i samarbete med de europeiska och internationella standardiseringsorganen. Kommissionen kommer att bedöma om det krävs ytterligare åtgärder för att ta itu med konstaterade brister när det gäller driftskompatibilitet och, om det behövs, överväga att utnyttja rättsliga åtgärder för att rekommendera lämpliga standarder.</w:t>
      </w:r>
    </w:p>
    <w:p>
      <w:pPr>
        <w:pStyle w:val="Text1"/>
        <w:rPr>
          <w:rFonts w:eastAsia="Times New Roman"/>
          <w:noProof/>
        </w:rPr>
      </w:pPr>
      <w:r>
        <w:rPr>
          <w:noProof/>
        </w:rPr>
        <w:t>På området it-säkerhet kommer kommissionen att göra följande:</w:t>
      </w:r>
    </w:p>
    <w:p>
      <w:pPr>
        <w:pStyle w:val="Text1"/>
        <w:numPr>
          <w:ilvl w:val="0"/>
          <w:numId w:val="26"/>
        </w:numPr>
        <w:rPr>
          <w:rFonts w:eastAsia="Times New Roman"/>
          <w:noProof/>
        </w:rPr>
      </w:pPr>
      <w:r>
        <w:rPr>
          <w:noProof/>
        </w:rPr>
        <w:t>Uppmana standardiseringsorganen att utarbeta praktiska riktlinjer för sakernas internet, 5G, moln, stordata och smarta fabriker senast i slutet av 2016.</w:t>
      </w:r>
    </w:p>
    <w:p>
      <w:pPr>
        <w:pStyle w:val="Text1"/>
        <w:numPr>
          <w:ilvl w:val="0"/>
          <w:numId w:val="26"/>
        </w:numPr>
        <w:rPr>
          <w:bCs/>
          <w:noProof/>
        </w:rPr>
      </w:pPr>
      <w:r>
        <w:rPr>
          <w:noProof/>
        </w:rPr>
        <w:t>Uppmana de europeiska standardiseringsorganen att utveckla standarder senast i slutet av 2018 som stödjer global driftskompatibilitet samt sömlös och tillförlitlig autentisering mellan föremål, anordningar och fysiska eller juridiska personer på basis av likvärdiga förtroendemodeller.</w:t>
      </w:r>
    </w:p>
    <w:p>
      <w:pPr>
        <w:pStyle w:val="Text1"/>
        <w:numPr>
          <w:ilvl w:val="0"/>
          <w:numId w:val="26"/>
        </w:numPr>
        <w:rPr>
          <w:rFonts w:eastAsia="Times New Roman"/>
          <w:noProof/>
        </w:rPr>
      </w:pPr>
      <w:r>
        <w:rPr>
          <w:noProof/>
        </w:rPr>
        <w:t>Under de kommande tre åren stödja de europeiska standardiseringsorganens utveckling av standardbaserade riktlinjer för riskhantering med avseende på it-säkerhet avsedda för organisationer och av därtill svarande riktlinjer för revision avsedda för tillsyns- eller övervakningsmyndigheter.</w:t>
      </w:r>
    </w:p>
    <w:tbl>
      <w:tblPr>
        <w:tblStyle w:val="TableGrid"/>
        <w:tblW w:w="0" w:type="auto"/>
        <w:tblInd w:w="850" w:type="dxa"/>
        <w:tblLook w:val="04A0" w:firstRow="1" w:lastRow="0" w:firstColumn="1" w:lastColumn="0" w:noHBand="0" w:noVBand="1"/>
      </w:tblPr>
      <w:tblGrid>
        <w:gridCol w:w="8439"/>
      </w:tblGrid>
      <w:tr>
        <w:tc>
          <w:tcPr>
            <w:tcW w:w="9289" w:type="dxa"/>
          </w:tcPr>
          <w:p>
            <w:pPr>
              <w:pStyle w:val="Text1"/>
              <w:ind w:left="0"/>
              <w:rPr>
                <w:rFonts w:eastAsia="Times New Roman"/>
                <w:noProof/>
              </w:rPr>
            </w:pPr>
            <w:r>
              <w:rPr>
                <w:noProof/>
              </w:rPr>
              <w:t>Kommissionen kommer att arbeta tillsammans med de europeiska standardiseringsorganen för att se till att deras strategier och färdplaner tar nya krav från digitaliseringsindustrier, t.ex. fordon, energi, e-hälsa och avancerad tillverkning, med i beräkningen.</w:t>
            </w:r>
          </w:p>
        </w:tc>
      </w:tr>
    </w:tbl>
    <w:p>
      <w:pPr>
        <w:pStyle w:val="Heading2"/>
        <w:rPr>
          <w:noProof/>
        </w:rPr>
      </w:pPr>
      <w:bookmarkStart w:id="12" w:name="_Toc435628568"/>
      <w:r>
        <w:rPr>
          <w:noProof/>
        </w:rPr>
        <w:t>Standardisering av tjänster</w:t>
      </w:r>
      <w:bookmarkEnd w:id="12"/>
    </w:p>
    <w:p>
      <w:pPr>
        <w:pStyle w:val="Text1"/>
        <w:rPr>
          <w:noProof/>
          <w:szCs w:val="24"/>
        </w:rPr>
      </w:pPr>
      <w:r>
        <w:rPr>
          <w:noProof/>
        </w:rPr>
        <w:t>Såsom meddelades i strategin för den inre marknaden</w:t>
      </w:r>
      <w:r>
        <w:rPr>
          <w:rStyle w:val="FootnoteReference"/>
          <w:noProof/>
        </w:rPr>
        <w:footnoteReference w:id="6"/>
      </w:r>
      <w:r>
        <w:rPr>
          <w:noProof/>
        </w:rPr>
        <w:t xml:space="preserve"> antog kommissionen ett dokument om standardisering av tjänster som arbetsdokument knutet till meddelandet </w:t>
      </w:r>
      <w:r>
        <w:rPr>
          <w:i/>
          <w:noProof/>
        </w:rPr>
        <w:t>Europeiska standarder för 2000-talet</w:t>
      </w:r>
      <w:r>
        <w:rPr>
          <w:noProof/>
        </w:rPr>
        <w:t>. I meddelandet klargörs frågor kring tjänstestandarder: täckning, särdrag, fördelar och utmaningar. För att dels uppmuntra till att europeiska standarder utarbetas och används i större utsträckning, dels åtgärda de nationella hinder som är en del av den befintliga rättsliga ramen, i synnerhet tjänstedirektivet, föreslår kommissionen ett kombinerat angreppssätt enligt följande:</w:t>
      </w:r>
    </w:p>
    <w:p>
      <w:pPr>
        <w:pStyle w:val="Text1"/>
        <w:numPr>
          <w:ilvl w:val="0"/>
          <w:numId w:val="40"/>
        </w:numPr>
        <w:rPr>
          <w:noProof/>
        </w:rPr>
      </w:pPr>
      <w:r>
        <w:rPr>
          <w:noProof/>
        </w:rPr>
        <w:t>Förstärkt satsning på europeiska tjänstestandarder baserad på anvisningar för övervakning av nationella och andra tjänstestandarder samt behoven på marknaden, vilka bör göra det möjligt att upptäcka lämpliga områden för EU-standardisering, att prioritera i linje med EU:s prioriteringar och att främja utvecklingen av standarder.</w:t>
      </w:r>
    </w:p>
    <w:p>
      <w:pPr>
        <w:pStyle w:val="Text1"/>
        <w:numPr>
          <w:ilvl w:val="0"/>
          <w:numId w:val="40"/>
        </w:numPr>
        <w:rPr>
          <w:noProof/>
        </w:rPr>
      </w:pPr>
      <w:r>
        <w:rPr>
          <w:noProof/>
        </w:rPr>
        <w:t>Förbättrat ömsesidigt erkännande och avlägsnande av de nationella hindren; inledningsvis en riktad översyn av befintliga regler och praxis för tillstånd rörande standarder och intyg på ett utvalt område liksom för likvärdighetsbedömningar.</w:t>
      </w:r>
    </w:p>
    <w:p>
      <w:pPr>
        <w:pStyle w:val="Text1"/>
        <w:numPr>
          <w:ilvl w:val="0"/>
          <w:numId w:val="40"/>
        </w:numPr>
        <w:rPr>
          <w:noProof/>
          <w:szCs w:val="24"/>
        </w:rPr>
      </w:pPr>
      <w:r>
        <w:rPr>
          <w:noProof/>
        </w:rPr>
        <w:t>Verksammare information till tjänsteleverantörer, däribland förbättrad tillgång till information om standarder och tillhörande krav via den gemensamma digitala ingången.</w:t>
      </w:r>
    </w:p>
    <w:p>
      <w:pPr>
        <w:pStyle w:val="Text1"/>
        <w:rPr>
          <w:noProof/>
          <w:szCs w:val="24"/>
        </w:rPr>
      </w:pPr>
      <w:r>
        <w:rPr>
          <w:noProof/>
        </w:rPr>
        <w:t>Mot bakgrund av ovanstående kommer kommissionen att göra följande:</w:t>
      </w:r>
    </w:p>
    <w:p>
      <w:pPr>
        <w:pStyle w:val="Text1"/>
        <w:numPr>
          <w:ilvl w:val="0"/>
          <w:numId w:val="41"/>
        </w:numPr>
        <w:rPr>
          <w:noProof/>
          <w:szCs w:val="24"/>
        </w:rPr>
      </w:pPr>
      <w:r>
        <w:rPr>
          <w:noProof/>
        </w:rPr>
        <w:t xml:space="preserve">Den kommer att undersöka om nationella tjänstestandarder är motstridiga eller om de överlappar varandra eller om det finns politikområden på kommissionens tio prioriterade insatsområden som inte täcks in. Den kommer att rapportera på årsbasis via rapporten till Europaparlamentet och rådet om EU:s standardiseringspolitik. På grundval av rapporten kommer kommissionen att utfärda mandat eller rekommendera att Europeiska standardiseringskommittén (nedan kallad </w:t>
      </w:r>
      <w:r>
        <w:rPr>
          <w:i/>
          <w:noProof/>
        </w:rPr>
        <w:t>CEN</w:t>
      </w:r>
      <w:r>
        <w:rPr>
          <w:noProof/>
        </w:rPr>
        <w:t>) tar fram standarder eller standardiseringsprodukter.</w:t>
      </w:r>
    </w:p>
    <w:p>
      <w:pPr>
        <w:pStyle w:val="Text1"/>
        <w:numPr>
          <w:ilvl w:val="0"/>
          <w:numId w:val="41"/>
        </w:numPr>
        <w:rPr>
          <w:noProof/>
          <w:szCs w:val="24"/>
        </w:rPr>
      </w:pPr>
      <w:r>
        <w:rPr>
          <w:noProof/>
        </w:rPr>
        <w:t>Senast i slutet av 2016 kommer den att ta kontakt med europeiska och nationella standardiseringsorgan och berörda parter för att komma överens om kriterier för prioritering vid framtagning av europeiska tjänstestandarder.</w:t>
      </w:r>
    </w:p>
    <w:p>
      <w:pPr>
        <w:pStyle w:val="Text1"/>
        <w:numPr>
          <w:ilvl w:val="0"/>
          <w:numId w:val="41"/>
        </w:numPr>
        <w:rPr>
          <w:noProof/>
          <w:szCs w:val="24"/>
        </w:rPr>
      </w:pPr>
      <w:r>
        <w:rPr>
          <w:noProof/>
        </w:rPr>
        <w:t>Kommissionen kommer under 2017 att inleda en riktad översyn av befintliga regler och praxis för tillstånd rörande standarder och intyg, liksom för likvärdighetsbedömningar, i syfte att främja bästa praxis, undanröja hinder och uppmuntra användning av proportionella likvärdighetsbedömningar.</w:t>
      </w:r>
    </w:p>
    <w:p>
      <w:pPr>
        <w:pStyle w:val="Text1"/>
        <w:numPr>
          <w:ilvl w:val="0"/>
          <w:numId w:val="41"/>
        </w:numPr>
        <w:rPr>
          <w:noProof/>
          <w:szCs w:val="24"/>
        </w:rPr>
      </w:pPr>
      <w:r>
        <w:rPr>
          <w:noProof/>
        </w:rPr>
        <w:t>Den kommer att rekommendera att CEN i) slutför arbetet med att kartlägga internationella, europeiska och nationella tjänstestandarder senast i slutet av 2016 och att den därefter håller det på en konstant nivå, ii) upprättar en förteckning varje år över områden där nationella tjänstestandarder eventuellt är motstridiga eller överlappar varandra eller områden där europeiska tjänstestandarder saknas och skulle behövas, och iii) fastställer om det finns områden där avsaknaden av standarder för en kombination av produkt och tjänst är ett problem.</w:t>
      </w:r>
    </w:p>
    <w:p>
      <w:pPr>
        <w:pStyle w:val="Text1"/>
        <w:numPr>
          <w:ilvl w:val="0"/>
          <w:numId w:val="41"/>
        </w:numPr>
        <w:rPr>
          <w:noProof/>
          <w:szCs w:val="24"/>
        </w:rPr>
      </w:pPr>
      <w:r>
        <w:rPr>
          <w:noProof/>
        </w:rPr>
        <w:t>Den kommer vidare att rekommendera att de nationella standardiseringsorganen fattar beslut om att utarbeta en nationell tjänstestandard, att de därvid beaktar den europeiska dimensionen och tar ställning till huruvida det eventuellt vore bättre att utarbeta en europeisk tjänstestandard i stället.</w:t>
      </w:r>
    </w:p>
    <w:p>
      <w:pPr>
        <w:pStyle w:val="Text1"/>
        <w:numPr>
          <w:ilvl w:val="0"/>
          <w:numId w:val="41"/>
        </w:numPr>
        <w:rPr>
          <w:noProof/>
          <w:szCs w:val="24"/>
        </w:rPr>
      </w:pPr>
      <w:r>
        <w:rPr>
          <w:noProof/>
        </w:rPr>
        <w:t>Den kommer vidare att rekommendera medlemsstaterna att utforska möjligheterna med europeiska tjänstestandarder, när de inför eller ser över lagstiftning om villkoren för marknadstillträde i tjänstesektorerna.</w:t>
      </w:r>
    </w:p>
    <w:p>
      <w:pPr>
        <w:pStyle w:val="Text1"/>
        <w:rPr>
          <w:noProof/>
        </w:rPr>
      </w:pPr>
      <w:r>
        <w:rPr>
          <w:noProof/>
        </w:rPr>
        <w:t xml:space="preserve">De föreslagna åtgärderna kompletterar andra insatser på området tjänster och standardisering i strategin för den inre marknaden, liksom det gemensamma initiativet om standardisering. Arbetet bedrivs inom ramen för befintliga strukturer och processer i det europeiska standardiseringssystemet, och i redan inrättade forum och grupper. </w:t>
      </w:r>
    </w:p>
    <w:p>
      <w:pPr>
        <w:pStyle w:val="Text1"/>
        <w:rPr>
          <w:rFonts w:eastAsiaTheme="minorEastAsia"/>
          <w:noProof/>
        </w:rPr>
      </w:pPr>
    </w:p>
    <w:tbl>
      <w:tblPr>
        <w:tblStyle w:val="TableGrid"/>
        <w:tblW w:w="0" w:type="auto"/>
        <w:tblInd w:w="850" w:type="dxa"/>
        <w:tblLook w:val="04A0" w:firstRow="1" w:lastRow="0" w:firstColumn="1" w:lastColumn="0" w:noHBand="0" w:noVBand="1"/>
      </w:tblPr>
      <w:tblGrid>
        <w:gridCol w:w="8439"/>
      </w:tblGrid>
      <w:tr>
        <w:tc>
          <w:tcPr>
            <w:tcW w:w="9289" w:type="dxa"/>
          </w:tcPr>
          <w:p>
            <w:pPr>
              <w:pStyle w:val="Text1"/>
              <w:ind w:left="0"/>
              <w:rPr>
                <w:noProof/>
              </w:rPr>
            </w:pPr>
            <w:r>
              <w:rPr>
                <w:noProof/>
              </w:rPr>
              <w:t>Genomförandet av det föreslagna ramverket påbörjas under 2016, efter det att kommissionens standardiseringspaket har antagits. Under 2017 kommer kommissionen att intensifiera sina ansträngningar och lägga fram konkreta förslag på hur man ska främja arbetet på att ta fram och använda europeiska tjänstestandarder, höja kunskapsnivån och angripa de hinder tjänsteleverantörer i EU konfronteras med.</w:t>
            </w:r>
          </w:p>
        </w:tc>
      </w:tr>
    </w:tbl>
    <w:p>
      <w:pPr>
        <w:pStyle w:val="Text1"/>
        <w:rPr>
          <w:noProof/>
        </w:rPr>
      </w:pPr>
    </w:p>
    <w:p>
      <w:pPr>
        <w:pStyle w:val="Heading2"/>
        <w:rPr>
          <w:noProof/>
        </w:rPr>
      </w:pPr>
      <w:bookmarkStart w:id="13" w:name="_Toc435628569"/>
      <w:r>
        <w:rPr>
          <w:noProof/>
        </w:rPr>
        <w:t>Strategiska prioriterade standardiseringsområden för de europeiska standardiseringsorganen under 2017</w:t>
      </w:r>
      <w:bookmarkEnd w:id="13"/>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Kommissionen har fastställt sina strategiska prioriteringar för europeisk standardisering på de nedan angivna områdena, där man har för avsikt att begära av de europeiska standardiseringsorganen att de utarbetar standarder och standardiseringsprodukter. Områdena har direkt koppling till följande av kommissionens prioriteringar: sammankopplad digital inre marknad, motståndskraftig energiunion med en framåtblickande klimatpolitik samt fördjupad och mer rättvis inre marknad med en stärkt industribas.</w:t>
      </w:r>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När det gäller den sammankopplade digitala inre marknaden syftar de föreslagna åtgärderna till att förbättra e-kompetens och användning av digital teknik enligt följande:</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Utforma och börja genomföra en övergripande europeisk ram för IKT-yrken som kan tjäna som referensram för den kompetens som krävs och används på IKT-arbetsplatser, varvid det behövs ett gemensamt språk för kvalifikationer, färdigheter och kompetensnivåer som kan förstås i hela Europa.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Förbättra och förenkla de rapporteringskrav enligt EU-rätten eller nationell rätt som åligger de fartyg som anlöper eller lämnar hamnar i medlemsstaterna i syfte att minska de administrativa bördorna för rederierna.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Underlätta flöde, tillgång till och användning av transportinformation för att öka effektiviteten och minska kostnaderna för transporter.</w:t>
      </w:r>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När det gäller den motståndskraftiga energiunionen med en framåtblickande klimatpolitik syftar de föreslagna åtgärderna till att kombinera våra infrastrukturer, diversifiera våra energitillgångar, minska energiförbrukningen och främja klimatvänlig teknik enlig följande:</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Möjliggöra harmonisering av tillståndsförfaranden och industristandarder för EU:s kärntekniska infrastruktur under hela dess livscykel (bygge, drift, avveckling och avfallshantering) för att skapa ett gemensams ramverk för energipolitiken och vinna stordriftsfördelar.</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Säkerställa driftskompatibilitet mellan elnäten för större andel förnybar energi i energimixen, dvs. ge den befintliga infrastrukturen bättre kapacitet att integrera gröna energikällor utan kostnadsökningar för användarna.</w:t>
      </w:r>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När det gäller stöd för en fördjupad och mer rättvis inre marknad med stärkt industribas föreslår kommissionen åtgärder inriktade på större krav på säkerhet och driftskompatibilitet, vilka behövs för att fullborda den inre marknaden för produkter och behålla en framgångsrik industribas i Europa, enligt följande:</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 sektorn för byggprodukter kommer följande initiativ att göra det möjligt för industrin att integrera förbättringar från andra sektorer, anpassa befintliga produkter och producera nya innovativa produkter som uppfyller nu gällande krav på säkerhet och kvalitet enlig följande:</w:t>
      </w:r>
    </w:p>
    <w:p>
      <w:pPr>
        <w:pStyle w:val="ListParagraph"/>
        <w:numPr>
          <w:ilvl w:val="0"/>
          <w:numId w:val="2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Bedömningsmetoder för reglerade farliga ämnen och strålning måste färdigställas, och de nya bedömningsmetoderna bör gradvis införas i byggproduktstandarderna. </w:t>
      </w:r>
    </w:p>
    <w:p>
      <w:pPr>
        <w:pStyle w:val="ListParagraph"/>
        <w:numPr>
          <w:ilvl w:val="0"/>
          <w:numId w:val="2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Byggprodukter som kommer i kontakt med vatten för mänsklig förbrukning.</w:t>
      </w:r>
    </w:p>
    <w:p>
      <w:pPr>
        <w:pStyle w:val="ListParagraph"/>
        <w:numPr>
          <w:ilvl w:val="0"/>
          <w:numId w:val="2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Innovativa produkter och bedömning av grundläggande egenskaper för byggprodukters prestanda.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Metoder för riskbedömning när det gäller ej förtecknade ämnen i plastmaterial och plastprodukter avsedda att komma i kontakt med livsmedel för uppdatering av befintliga standarder mot nya faror.</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Biologiskt nedbrytbar plast i förpackningar och förpackningsavfall som ska gå att återvinna.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På området järnvägar kommer följande initiativ att förbättra sammankoppling och driftskompatibilitet mellan de nationella järnvägsnäten:</w:t>
      </w:r>
    </w:p>
    <w:p>
      <w:pPr>
        <w:pStyle w:val="ListParagraph"/>
        <w:numPr>
          <w:ilvl w:val="0"/>
          <w:numId w:val="2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Invändig passiv säkerhet som underlättar driftskompatibiliteten hos järnvägssystemet och höjer säkerhetskraven vid resor med tåg i EU.</w:t>
      </w:r>
    </w:p>
    <w:p>
      <w:pPr>
        <w:pStyle w:val="ListParagraph"/>
        <w:numPr>
          <w:ilvl w:val="0"/>
          <w:numId w:val="2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Förenkling av metoden för beräkning av fri passage för strömavtagare (mekanisk, kinematisk strömavtagarprofil) för enklare godkännande av strömavtagartoppar för kontaktledningar och fortsatt arbete på driftskompatibiliteten hos järnvägssystemet samt utveckling av standarder för spårvägstrafik i städer.</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På grund av många olyckor och tillbud behöver följande produkter/förfaranden standarder:  Väderinformation för piloter, inklusive applikationer i cockpit, baserade på olika uppgiftskällor, Runway Overrun Awareness Alerting-system, Onboard Weight and Balance-system.</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Hållbara kemikalier framställda av returråvaror, vilket kommer att minimera EU:s kostnader och beroende av råvaror.</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Stöd för konkurrenskraft och effektivitet i försvars- och säkerhetssektorn för att vinna skalfördelar och stödja EU i dess roll som stark global aktör.</w:t>
      </w:r>
    </w:p>
    <w:p>
      <w:pPr>
        <w:pStyle w:val="Heading1"/>
        <w:numPr>
          <w:ilvl w:val="0"/>
          <w:numId w:val="3"/>
        </w:numPr>
        <w:tabs>
          <w:tab w:val="clear" w:pos="850"/>
        </w:tabs>
        <w:rPr>
          <w:noProof/>
        </w:rPr>
      </w:pPr>
      <w:bookmarkStart w:id="14" w:name="_Toc415666212"/>
      <w:bookmarkStart w:id="15" w:name="_Toc435628571"/>
      <w:r>
        <w:rPr>
          <w:noProof/>
        </w:rPr>
        <w:t>Internationellt samarbete</w:t>
      </w:r>
      <w:bookmarkEnd w:id="14"/>
      <w:bookmarkEnd w:id="15"/>
      <w:r>
        <w:rPr>
          <w:noProof/>
        </w:rPr>
        <w:t xml:space="preserve"> </w:t>
      </w:r>
    </w:p>
    <w:tbl>
      <w:tblPr>
        <w:tblStyle w:val="TableGrid"/>
        <w:tblW w:w="0" w:type="auto"/>
        <w:tblInd w:w="850" w:type="dxa"/>
        <w:tblLook w:val="04A0" w:firstRow="1" w:lastRow="0" w:firstColumn="1" w:lastColumn="0" w:noHBand="0" w:noVBand="1"/>
      </w:tblPr>
      <w:tblGrid>
        <w:gridCol w:w="8439"/>
      </w:tblGrid>
      <w:tr>
        <w:tc>
          <w:tcPr>
            <w:tcW w:w="9289" w:type="dxa"/>
          </w:tcPr>
          <w:p>
            <w:pPr>
              <w:pStyle w:val="Text1"/>
              <w:ind w:left="0"/>
              <w:rPr>
                <w:noProof/>
              </w:rPr>
            </w:pPr>
            <w:r>
              <w:rPr>
                <w:noProof/>
              </w:rPr>
              <w:t xml:space="preserve">Kommissionen uppmanar de europeiska standardiseringsorganen att fortsätta att gemensamt främja internationella och europeiska standarder i de delar av världen där den europeiska industrin kan gynnas av stärkt stöd från standardiseringsarbetet och enklare marknadstillträde. </w:t>
            </w:r>
          </w:p>
        </w:tc>
      </w:tr>
    </w:tbl>
    <w:p>
      <w:pPr>
        <w:pStyle w:val="Text1"/>
        <w:rPr>
          <w:noProof/>
        </w:rPr>
      </w:pPr>
      <w:r>
        <w:rPr>
          <w:noProof/>
        </w:rPr>
        <w:t xml:space="preserve">En betydande del av de europeiska standarderna härrör direkt från internationell standardisering. </w:t>
      </w:r>
    </w:p>
    <w:p>
      <w:pPr>
        <w:pStyle w:val="Text1"/>
        <w:rPr>
          <w:noProof/>
        </w:rPr>
      </w:pPr>
      <w:r>
        <w:rPr>
          <w:noProof/>
        </w:rPr>
        <w:t xml:space="preserve">För att även åstadkomma ökad acceptans för europeiska initiativ på internationell nivå bör det europeiska standardiseringssystemet agera samstämmigt i lämpliga organ. </w:t>
      </w:r>
    </w:p>
    <w:p>
      <w:pPr>
        <w:pStyle w:val="Text1"/>
        <w:rPr>
          <w:noProof/>
        </w:rPr>
      </w:pPr>
      <w:r>
        <w:rPr>
          <w:noProof/>
        </w:rPr>
        <w:t>Kommissionen förhandlar om TTIP (det transatlantiska partnerskapet för handel och investeringar) med Förenta staterna, och standardisering är en viktig fråga, för det finns två olika system, men det kan innebära stora fördelar om en ömsesidigt gynnsam överenskommelse kan nås.</w:t>
      </w:r>
    </w:p>
    <w:p>
      <w:pPr>
        <w:pStyle w:val="Text1"/>
        <w:rPr>
          <w:noProof/>
        </w:rPr>
      </w:pPr>
      <w:r>
        <w:rPr>
          <w:noProof/>
        </w:rPr>
        <w:t>Kommissionen har också framgångsrikt förhandlat fram det övergripande avtalet om ekonomi och handel med Kanada och ligger i pågående förhandlingar med Japan. I alla dessa handelsavtal är standardisering ett avgörande inslag, eftersom de viktigaste handelshindren mellan parterna är tekniska hinder snarare än tulltariffer.</w:t>
      </w:r>
    </w:p>
    <w:p>
      <w:pPr>
        <w:pStyle w:val="Text1"/>
        <w:rPr>
          <w:noProof/>
        </w:rPr>
      </w:pPr>
      <w:r>
        <w:rPr>
          <w:noProof/>
        </w:rPr>
        <w:t xml:space="preserve">Gentemot tredjeländer kommer kommissionen att fortsätta med de pågående politiska dialogerna och åtgärderna för synliggörande och ökad medvetenhet (utsänd europeisk standardiseringsexpert i Indien, utsänd europeisk standardiseringsexpert i Kina samt plattform för standardiseringsinformation med Kina). Här är de europeiska standardiseringsorganens stöd mycket viktigt (se de årliga administrationsbidragen). </w:t>
      </w:r>
    </w:p>
    <w:p>
      <w:pPr>
        <w:pStyle w:val="Text1"/>
        <w:rPr>
          <w:noProof/>
        </w:rPr>
      </w:pPr>
      <w:r>
        <w:rPr>
          <w:noProof/>
        </w:rPr>
        <w:t xml:space="preserve">Standardiseringssamarbetet med Kina har en dubbel målsättning. Genom att lyfta fram fördelarna med EU:s regleringsmodell (för marknadsföring av produkter), som bygger på standarder, hoppas man på sikt få enklare tillträde till marknaden. Bilateral teknisk harmonisering av standarder är en annan möjlig väg i riktning mot rättvisare spelregler och en uppenbar vinst för den inhemska marknaden och de europeiska företagen. Arbetsgruppen mellan EU och Kina om standardisering fann att cirka 90 europeiska standarder hade antagits som kinesiska standarder, vilket innebär en konkurrensfördel för europeiska företag. Arbetet tillsammans med Indien eftersträvar liknande mål.    </w:t>
      </w:r>
    </w:p>
    <w:p>
      <w:pPr>
        <w:pStyle w:val="Text1"/>
        <w:rPr>
          <w:noProof/>
        </w:rPr>
      </w:pPr>
      <w:bookmarkStart w:id="16" w:name="_Toc415666215"/>
      <w:r>
        <w:rPr>
          <w:noProof/>
        </w:rPr>
        <w:t>Kommissionen bidrar redan tekniskt till en del internationellt standardiseringsarbete och räknar med att bli mer delaktig i europeisk och internationell standardisering för att till fullo kunna utnyttja potentialen i sin nuvarande formella observatörsstatus och bättre kunna fullgöra sitt åtagande när det gäller företräde för internationella standarder</w:t>
      </w:r>
      <w:bookmarkEnd w:id="16"/>
      <w:r>
        <w:rPr>
          <w:noProof/>
        </w:rPr>
        <w:t>.</w:t>
      </w:r>
    </w:p>
    <w:p>
      <w:pPr>
        <w:pStyle w:val="Text1"/>
        <w:ind w:left="0"/>
        <w:rPr>
          <w:noProof/>
        </w:rPr>
      </w:pPr>
    </w:p>
    <w:p>
      <w:pPr>
        <w:pStyle w:val="Heading1"/>
        <w:numPr>
          <w:ilvl w:val="0"/>
          <w:numId w:val="3"/>
        </w:numPr>
        <w:tabs>
          <w:tab w:val="clear" w:pos="850"/>
        </w:tabs>
        <w:rPr>
          <w:noProof/>
        </w:rPr>
      </w:pPr>
      <w:bookmarkStart w:id="17" w:name="_Toc415666231"/>
      <w:bookmarkStart w:id="18" w:name="_Toc435628574"/>
      <w:r>
        <w:rPr>
          <w:noProof/>
        </w:rPr>
        <w:t>Horisont 2020 – forskning</w:t>
      </w:r>
      <w:bookmarkEnd w:id="17"/>
      <w:r>
        <w:rPr>
          <w:noProof/>
        </w:rPr>
        <w:t xml:space="preserve"> och innovation</w:t>
      </w:r>
      <w:bookmarkEnd w:id="18"/>
    </w:p>
    <w:p>
      <w:pPr>
        <w:pStyle w:val="Text1"/>
        <w:rPr>
          <w:noProof/>
        </w:rPr>
      </w:pPr>
      <w:r>
        <w:rPr>
          <w:noProof/>
        </w:rPr>
        <w:t>Utvecklingen och genomförandet av forsknings- och innovationsagendor, bl.a. genom standardisering, är avgörande för EU:s konkurrenskraft. Horisont 2020 kommer att ge ett starkt stöd för marknadsintroduktion av innovationer, i synnerhet genom att stödja standardisering via forskning och genom att föra forskningen närmare standardiseringen. Standardiseringsåtgärder är en mycket viktig kanal för marknadsintroduktion av forskningsresultat och för spridningen av innovationer, inklusive forskningsresultat från den del av Horisont 2020 som avser Euratom.</w:t>
      </w:r>
    </w:p>
    <w:p>
      <w:pPr>
        <w:pStyle w:val="Text1"/>
        <w:rPr>
          <w:noProof/>
        </w:rPr>
      </w:pPr>
      <w:r>
        <w:rPr>
          <w:noProof/>
        </w:rPr>
        <w:t>Horisont 2020 kommer att ge stöd till bättre effektivitet i standardiseringssystemet genom att främja öppna standarder och plattformar och konsekvent tillämpning av standarder och deras införande på marknaden.</w:t>
      </w:r>
    </w:p>
    <w:p>
      <w:pPr>
        <w:pStyle w:val="Text1"/>
        <w:rPr>
          <w:noProof/>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9"/>
      </w:tblGrid>
      <w:tr>
        <w:tc>
          <w:tcPr>
            <w:tcW w:w="9289" w:type="dxa"/>
            <w:shd w:val="clear" w:color="auto" w:fill="auto"/>
          </w:tcPr>
          <w:p>
            <w:pPr>
              <w:pStyle w:val="Text1"/>
              <w:ind w:left="0"/>
              <w:rPr>
                <w:rFonts w:ascii="Calibri" w:eastAsia="SimSun" w:hAnsi="Calibri"/>
                <w:noProof/>
                <w:sz w:val="22"/>
              </w:rPr>
            </w:pPr>
            <w:r>
              <w:rPr>
                <w:noProof/>
              </w:rPr>
              <w:t>De europeiska standardiseringsorganen bör främja och underlätta en lämplig representation på teknisk nivå för juridiska personer i standardiseringsverksamhet, om de deltar i ett projekt som har samband med området och finansieras av unionen inom ett flerårigt arbetsprogram för verksamhet inom forskning, innovation och teknisk utveckling. Standardiseringsorganen bör rapportera till kommissionen om genomförandet av denna åtgärd från 2013 till 2016.</w:t>
            </w:r>
          </w:p>
        </w:tc>
      </w:tr>
    </w:tbl>
    <w:p>
      <w:pPr>
        <w:pStyle w:val="Heading1"/>
        <w:numPr>
          <w:ilvl w:val="0"/>
          <w:numId w:val="3"/>
        </w:numPr>
        <w:tabs>
          <w:tab w:val="clear" w:pos="850"/>
        </w:tabs>
        <w:rPr>
          <w:noProof/>
        </w:rPr>
      </w:pPr>
      <w:r>
        <w:rPr>
          <w:noProof/>
        </w:rPr>
        <w:t>Nästa cykel</w:t>
      </w:r>
    </w:p>
    <w:p>
      <w:pPr>
        <w:pStyle w:val="Text1"/>
        <w:ind w:left="0"/>
        <w:rPr>
          <w:noProof/>
        </w:rPr>
      </w:pPr>
      <w:r>
        <w:rPr>
          <w:noProof/>
        </w:rPr>
        <w:t xml:space="preserve">Som uppföljning på diskussionerna i samband med det gemensamma initiativet om standardisering och för att stärka det faktaunderlag som ligger till grund för den förvaltningscykel på ett år som EU:s standardiseringspolitik följer kommer kommissionen att vidta följande två åtgärder: </w:t>
      </w:r>
    </w:p>
    <w:p>
      <w:pPr>
        <w:pStyle w:val="Text1"/>
        <w:numPr>
          <w:ilvl w:val="0"/>
          <w:numId w:val="33"/>
        </w:numPr>
        <w:ind w:left="1560"/>
        <w:rPr>
          <w:noProof/>
        </w:rPr>
      </w:pPr>
      <w:r>
        <w:rPr>
          <w:noProof/>
        </w:rPr>
        <w:t xml:space="preserve">Lansera en undersökning om de ekonomiska och sociala effekterna av standardisering. </w:t>
      </w:r>
    </w:p>
    <w:p>
      <w:pPr>
        <w:pStyle w:val="Text1"/>
        <w:ind w:left="0"/>
        <w:rPr>
          <w:noProof/>
        </w:rPr>
      </w:pPr>
      <w:r>
        <w:rPr>
          <w:noProof/>
        </w:rPr>
        <w:t>Det är känt att standarder underbygger ekonomisk tillväxt på ett avgörande men ibland osynligt sätt genom att de stimulerar produktivitet, konkurrenskraft och innovation samt välfärden i samhället. Kommissionen kommer därför, i enlighet med uppmaningen från rådet</w:t>
      </w:r>
      <w:r>
        <w:rPr>
          <w:rStyle w:val="FootnoteReference"/>
          <w:noProof/>
        </w:rPr>
        <w:footnoteReference w:id="7"/>
      </w:r>
      <w:r>
        <w:rPr>
          <w:noProof/>
        </w:rPr>
        <w:t xml:space="preserve"> och i linje med det gemensamma initiativet om standardisering, att lansera en undersökning så småningom som ska utforska vilka effekter standarder har på ekonomin och samhället i stort. Undersökningen kommer att bygga på och beakta befintliga nationella studier</w:t>
      </w:r>
      <w:r>
        <w:rPr>
          <w:rStyle w:val="FootnoteReference"/>
          <w:noProof/>
        </w:rPr>
        <w:footnoteReference w:id="8"/>
      </w:r>
      <w:r>
        <w:rPr>
          <w:noProof/>
        </w:rPr>
        <w:t xml:space="preserve"> och de olika modeller som för närvarande används för att finansiera standardiseringen. </w:t>
      </w:r>
    </w:p>
    <w:p>
      <w:pPr>
        <w:pStyle w:val="Text1"/>
        <w:numPr>
          <w:ilvl w:val="0"/>
          <w:numId w:val="33"/>
        </w:numPr>
        <w:ind w:left="1560"/>
        <w:rPr>
          <w:noProof/>
        </w:rPr>
      </w:pPr>
      <w:r>
        <w:rPr>
          <w:noProof/>
        </w:rPr>
        <w:t xml:space="preserve">Inrätta en väl underbyggd dialog mellan institutionerna. </w:t>
      </w:r>
    </w:p>
    <w:p>
      <w:pPr>
        <w:pStyle w:val="Text1"/>
        <w:ind w:left="0"/>
        <w:rPr>
          <w:noProof/>
        </w:rPr>
      </w:pPr>
      <w:r>
        <w:rPr>
          <w:noProof/>
        </w:rPr>
        <w:t>Varje år i cykeln med början 2017 kommer antagandet av Unionens årliga arbetsprogram för europeisk standardisering i juli att föregås av en rapport från kommissionen till rådet och Europaparlamentet om genomförandet av EU:s standardiseringspolitik. På basis av rapporten föreslår kommissionen att man ska inleda en interinstitutionell dialog med Europaparlamentet och rådet under våren.</w:t>
      </w:r>
    </w:p>
    <w:p>
      <w:pPr>
        <w:pStyle w:val="Text1"/>
        <w:ind w:left="0"/>
        <w:rPr>
          <w:noProof/>
        </w:rPr>
      </w:pPr>
      <w:r>
        <w:rPr>
          <w:noProof/>
        </w:rPr>
        <w:t>Rapporten ska bland annat innehålla information om följande:</w:t>
      </w:r>
    </w:p>
    <w:p>
      <w:pPr>
        <w:pStyle w:val="Text1"/>
        <w:numPr>
          <w:ilvl w:val="0"/>
          <w:numId w:val="32"/>
        </w:numPr>
        <w:rPr>
          <w:noProof/>
        </w:rPr>
      </w:pPr>
      <w:r>
        <w:rPr>
          <w:noProof/>
        </w:rPr>
        <w:t>Framstegen i genomförandet av de åtgärder som planeras i arbetsprogrammet, inbegripet arbetet på europeiska tjänstestandarder.</w:t>
      </w:r>
    </w:p>
    <w:p>
      <w:pPr>
        <w:pStyle w:val="Text1"/>
        <w:numPr>
          <w:ilvl w:val="0"/>
          <w:numId w:val="32"/>
        </w:numPr>
        <w:rPr>
          <w:noProof/>
        </w:rPr>
      </w:pPr>
      <w:r>
        <w:rPr>
          <w:noProof/>
        </w:rPr>
        <w:t>Framstegen i genomförandet av de åtgärder som tas upp i meddelandet om IKT-standardiseringens prioriteringar för den digitala inre marknaden.</w:t>
      </w:r>
    </w:p>
    <w:p>
      <w:pPr>
        <w:pStyle w:val="Text1"/>
        <w:numPr>
          <w:ilvl w:val="0"/>
          <w:numId w:val="32"/>
        </w:numPr>
        <w:rPr>
          <w:noProof/>
        </w:rPr>
      </w:pPr>
      <w:r>
        <w:rPr>
          <w:noProof/>
        </w:rPr>
        <w:t>Lägesbeskrivning om standardiseringsarbetet i de europeiska standardiseringsorganen.</w:t>
      </w:r>
    </w:p>
    <w:p>
      <w:pPr>
        <w:pStyle w:val="Text1"/>
        <w:numPr>
          <w:ilvl w:val="0"/>
          <w:numId w:val="32"/>
        </w:numPr>
        <w:rPr>
          <w:noProof/>
        </w:rPr>
      </w:pPr>
      <w:r>
        <w:rPr>
          <w:noProof/>
        </w:rPr>
        <w:t>Antal framtagna standarder från de europeiska standardiseringsorganens arbetsprogram.</w:t>
      </w:r>
    </w:p>
    <w:p>
      <w:pPr>
        <w:pStyle w:val="Text1"/>
        <w:numPr>
          <w:ilvl w:val="0"/>
          <w:numId w:val="32"/>
        </w:numPr>
        <w:rPr>
          <w:noProof/>
        </w:rPr>
      </w:pPr>
      <w:r>
        <w:rPr>
          <w:noProof/>
        </w:rPr>
        <w:t>Bidrag från bilaga III-organisationerna (SBS</w:t>
      </w:r>
      <w:r>
        <w:rPr>
          <w:rStyle w:val="FootnoteReference"/>
          <w:noProof/>
        </w:rPr>
        <w:footnoteReference w:id="9"/>
      </w:r>
      <w:r>
        <w:rPr>
          <w:noProof/>
        </w:rPr>
        <w:t>, Anec</w:t>
      </w:r>
      <w:r>
        <w:rPr>
          <w:rStyle w:val="FootnoteReference"/>
          <w:noProof/>
        </w:rPr>
        <w:footnoteReference w:id="10"/>
      </w:r>
      <w:r>
        <w:rPr>
          <w:noProof/>
        </w:rPr>
        <w:t>, Ecos</w:t>
      </w:r>
      <w:r>
        <w:rPr>
          <w:rStyle w:val="FootnoteReference"/>
          <w:noProof/>
        </w:rPr>
        <w:footnoteReference w:id="11"/>
      </w:r>
      <w:r>
        <w:rPr>
          <w:noProof/>
        </w:rPr>
        <w:t xml:space="preserve"> och EFS</w:t>
      </w:r>
      <w:r>
        <w:rPr>
          <w:rStyle w:val="FootnoteReference"/>
          <w:noProof/>
        </w:rPr>
        <w:footnoteReference w:id="12"/>
      </w:r>
      <w:r>
        <w:rPr>
          <w:noProof/>
        </w:rPr>
        <w:t xml:space="preserve"> som representerar små och medelstora företag, konsumenter, arbetstagare respektive miljöintressen inom standardiseringen) till arbetet med att ta fram standarder (delaktighet).</w:t>
      </w:r>
    </w:p>
    <w:p>
      <w:pPr>
        <w:pStyle w:val="Text1"/>
        <w:numPr>
          <w:ilvl w:val="0"/>
          <w:numId w:val="32"/>
        </w:numPr>
        <w:rPr>
          <w:noProof/>
        </w:rPr>
      </w:pPr>
      <w:r>
        <w:rPr>
          <w:noProof/>
        </w:rPr>
        <w:t>EU:s finansiella bidrag till de europeiska standardiseringsorganen enligt förordningen.</w:t>
      </w:r>
    </w:p>
    <w:p>
      <w:pPr>
        <w:pStyle w:val="Text1"/>
        <w:ind w:left="0"/>
        <w:rPr>
          <w:noProof/>
        </w:rPr>
      </w:pPr>
      <w:r>
        <w:rPr>
          <w:noProof/>
        </w:rPr>
        <w:t>Rapporten och den efterföljande dialogen kommer att tjäna som underlag för arbetsprogrammet för det kommande året.</w:t>
      </w:r>
    </w:p>
    <w:bookmarkEnd w:id="5"/>
    <w:bookmarkEnd w:id="6"/>
    <w:bookmarkEnd w:id="8"/>
    <w:p>
      <w:pPr>
        <w:pStyle w:val="Text1"/>
        <w:ind w:left="0"/>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70021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lang w:val="pt-PT"/>
        </w:rPr>
      </w:pPr>
      <w:r>
        <w:rPr>
          <w:rStyle w:val="FootnoteReference"/>
        </w:rPr>
        <w:footnoteRef/>
      </w:r>
      <w:r>
        <w:rPr>
          <w:lang w:val="pt-PT"/>
        </w:rPr>
        <w:t xml:space="preserve"> COM(2015) 550 final, SWD(2015) 202 final.</w:t>
      </w:r>
    </w:p>
  </w:footnote>
  <w:footnote w:id="3">
    <w:p>
      <w:pPr>
        <w:pStyle w:val="FootnoteText"/>
        <w:rPr>
          <w:lang w:val="pt-PT"/>
        </w:rPr>
      </w:pPr>
      <w:r>
        <w:rPr>
          <w:rStyle w:val="FootnoteReference"/>
        </w:rPr>
        <w:footnoteRef/>
      </w:r>
      <w:r>
        <w:rPr>
          <w:lang w:val="pt-PT"/>
        </w:rPr>
        <w:t xml:space="preserve"> COM(2015) 686.</w:t>
      </w:r>
    </w:p>
  </w:footnote>
  <w:footnote w:id="4">
    <w:p>
      <w:pPr>
        <w:pStyle w:val="FootnoteText"/>
      </w:pPr>
      <w:r>
        <w:rPr>
          <w:rStyle w:val="FootnoteReference"/>
        </w:rPr>
        <w:footnoteRef/>
      </w:r>
      <w:r>
        <w:t xml:space="preserve"> COM(2016) 176.</w:t>
      </w:r>
    </w:p>
  </w:footnote>
  <w:footnote w:id="5">
    <w:p>
      <w:pPr>
        <w:pStyle w:val="FootnoteText"/>
      </w:pPr>
      <w:r>
        <w:rPr>
          <w:rStyle w:val="FootnoteReference"/>
        </w:rPr>
        <w:footnoteRef/>
      </w:r>
      <w:r>
        <w:t xml:space="preserve"> COM(2015) 192.</w:t>
      </w:r>
    </w:p>
  </w:footnote>
  <w:footnote w:id="6">
    <w:p>
      <w:pPr>
        <w:pStyle w:val="FootnoteText"/>
      </w:pPr>
      <w:r>
        <w:rPr>
          <w:rStyle w:val="FootnoteReference"/>
        </w:rPr>
        <w:footnoteRef/>
      </w:r>
      <w:r>
        <w:t xml:space="preserve"> COM(2015) 550.</w:t>
      </w:r>
    </w:p>
  </w:footnote>
  <w:footnote w:id="7">
    <w:p>
      <w:pPr>
        <w:pStyle w:val="FootnoteText"/>
      </w:pPr>
      <w:r>
        <w:rPr>
          <w:rStyle w:val="FootnoteReference"/>
        </w:rPr>
        <w:footnoteRef/>
      </w:r>
      <w:r>
        <w:t xml:space="preserve"> Vid rådets (konkurrenskraft) möte den 2 mars 2015 uppmanades kommissionen att slutföra den oberoende</w:t>
      </w:r>
    </w:p>
    <w:p>
      <w:pPr>
        <w:pStyle w:val="FootnoteText"/>
      </w:pPr>
      <w:r>
        <w:t xml:space="preserve">    översynen och analysera standardiseringens betydelse för ekonomin med beaktande av samtliga parters </w:t>
      </w:r>
    </w:p>
    <w:p>
      <w:pPr>
        <w:pStyle w:val="FootnoteText"/>
        <w:rPr>
          <w:lang w:val="en-GB"/>
        </w:rPr>
      </w:pPr>
      <w:r>
        <w:t xml:space="preserve">    </w:t>
      </w:r>
      <w:r>
        <w:rPr>
          <w:lang w:val="en-GB"/>
        </w:rPr>
        <w:t>intressen.</w:t>
      </w:r>
    </w:p>
  </w:footnote>
  <w:footnote w:id="8">
    <w:p>
      <w:pPr>
        <w:pStyle w:val="FootnoteText"/>
        <w:ind w:left="0" w:firstLine="0"/>
        <w:rPr>
          <w:lang w:val="en-GB"/>
        </w:rPr>
      </w:pPr>
      <w:r>
        <w:rPr>
          <w:rStyle w:val="FootnoteReference"/>
        </w:rPr>
        <w:footnoteRef/>
      </w:r>
      <w:r>
        <w:rPr>
          <w:lang w:val="en-GB"/>
        </w:rPr>
        <w:t xml:space="preserve"> </w:t>
      </w:r>
      <w:r>
        <w:rPr>
          <w:sz w:val="18"/>
          <w:lang w:val="en-GB"/>
        </w:rPr>
        <w:t xml:space="preserve">British Standards Institution (2015): </w:t>
      </w:r>
      <w:r>
        <w:rPr>
          <w:i/>
          <w:sz w:val="18"/>
          <w:lang w:val="en-GB"/>
        </w:rPr>
        <w:t>The Economic Contribution of Standards to the UK Economy</w:t>
      </w:r>
      <w:r>
        <w:rPr>
          <w:sz w:val="18"/>
          <w:lang w:val="en-GB"/>
        </w:rPr>
        <w:t xml:space="preserve">, AFNOR (2016): </w:t>
      </w:r>
      <w:r>
        <w:rPr>
          <w:i/>
          <w:sz w:val="18"/>
          <w:lang w:val="en-GB"/>
        </w:rPr>
        <w:t>Economic impact of standardisation</w:t>
      </w:r>
      <w:r>
        <w:rPr>
          <w:sz w:val="18"/>
          <w:lang w:val="en-GB"/>
        </w:rPr>
        <w:t xml:space="preserve">, AFNOR (2009): </w:t>
      </w:r>
      <w:r>
        <w:rPr>
          <w:i/>
          <w:sz w:val="18"/>
          <w:lang w:val="en-GB"/>
        </w:rPr>
        <w:t>The Economic Impact of Standardisation – Technological Change, Standards and Long-Term Growth in France</w:t>
      </w:r>
      <w:r>
        <w:rPr>
          <w:sz w:val="18"/>
          <w:lang w:val="en-GB"/>
        </w:rPr>
        <w:t xml:space="preserve">, DIN (2000): </w:t>
      </w:r>
      <w:r>
        <w:rPr>
          <w:i/>
          <w:sz w:val="18"/>
          <w:lang w:val="en-GB"/>
        </w:rPr>
        <w:t>Economic Benefits of Standardization</w:t>
      </w:r>
      <w:r>
        <w:rPr>
          <w:sz w:val="18"/>
          <w:lang w:val="en-GB"/>
        </w:rPr>
        <w:t>, tre volymer</w:t>
      </w:r>
      <w:r>
        <w:rPr>
          <w:i/>
          <w:sz w:val="18"/>
          <w:lang w:val="en-GB"/>
        </w:rPr>
        <w:t xml:space="preserve">, </w:t>
      </w:r>
      <w:r>
        <w:rPr>
          <w:sz w:val="18"/>
          <w:lang w:val="en-GB"/>
        </w:rPr>
        <w:t>Berlin:</w:t>
      </w:r>
      <w:r>
        <w:rPr>
          <w:i/>
          <w:sz w:val="18"/>
          <w:lang w:val="en-GB"/>
        </w:rPr>
        <w:t xml:space="preserve"> </w:t>
      </w:r>
      <w:r>
        <w:rPr>
          <w:sz w:val="18"/>
          <w:lang w:val="en-GB"/>
        </w:rPr>
        <w:t>Beuth.</w:t>
      </w:r>
      <w:r>
        <w:rPr>
          <w:i/>
          <w:sz w:val="18"/>
          <w:lang w:val="en-GB"/>
        </w:rPr>
        <w:t xml:space="preserve"> </w:t>
      </w:r>
      <w:r>
        <w:rPr>
          <w:sz w:val="18"/>
          <w:lang w:val="en-GB"/>
        </w:rPr>
        <w:t xml:space="preserve">(Uppdatering 2011), DTI (2005): </w:t>
      </w:r>
      <w:r>
        <w:rPr>
          <w:i/>
          <w:sz w:val="18"/>
          <w:lang w:val="en-GB"/>
        </w:rPr>
        <w:t xml:space="preserve">The Empirical Economics of Standards, </w:t>
      </w:r>
      <w:r>
        <w:rPr>
          <w:sz w:val="18"/>
          <w:lang w:val="en-GB"/>
        </w:rPr>
        <w:t>DTI ECONOMICS PAPER NO.12</w:t>
      </w:r>
      <w:r>
        <w:rPr>
          <w:i/>
          <w:sz w:val="18"/>
          <w:lang w:val="en-GB"/>
        </w:rPr>
        <w:t xml:space="preserve">, </w:t>
      </w:r>
      <w:r>
        <w:rPr>
          <w:sz w:val="18"/>
          <w:lang w:val="en-GB"/>
        </w:rPr>
        <w:t>London.</w:t>
      </w:r>
    </w:p>
  </w:footnote>
  <w:footnote w:id="9">
    <w:p>
      <w:pPr>
        <w:pStyle w:val="FootnoteText"/>
        <w:rPr>
          <w:lang w:val="en-GB"/>
        </w:rPr>
      </w:pPr>
      <w:r>
        <w:rPr>
          <w:rStyle w:val="FootnoteReference"/>
        </w:rPr>
        <w:footnoteRef/>
      </w:r>
      <w:r>
        <w:rPr>
          <w:lang w:val="en-GB"/>
        </w:rPr>
        <w:t xml:space="preserve"> Small Business Standards http://sbs-sme.eu/</w:t>
      </w:r>
    </w:p>
  </w:footnote>
  <w:footnote w:id="10">
    <w:p>
      <w:pPr>
        <w:pStyle w:val="FootnoteText"/>
        <w:rPr>
          <w:lang w:val="en-GB"/>
        </w:rPr>
      </w:pPr>
      <w:r>
        <w:rPr>
          <w:rStyle w:val="FootnoteReference"/>
        </w:rPr>
        <w:footnoteRef/>
      </w:r>
      <w:r>
        <w:rPr>
          <w:lang w:val="en-GB"/>
        </w:rPr>
        <w:t xml:space="preserve"> European consumer voice in standardisation http://www.anec.eu/anec.asp</w:t>
      </w:r>
    </w:p>
  </w:footnote>
  <w:footnote w:id="11">
    <w:p>
      <w:pPr>
        <w:pStyle w:val="FootnoteText"/>
        <w:rPr>
          <w:lang w:val="en-GB"/>
        </w:rPr>
      </w:pPr>
      <w:r>
        <w:rPr>
          <w:rStyle w:val="FootnoteReference"/>
        </w:rPr>
        <w:footnoteRef/>
      </w:r>
      <w:r>
        <w:rPr>
          <w:lang w:val="en-GB"/>
        </w:rPr>
        <w:t xml:space="preserve"> European Environmental Citizens’ Organisation for Standardisation http://ecostandard.org/</w:t>
      </w:r>
    </w:p>
  </w:footnote>
  <w:footnote w:id="12">
    <w:p>
      <w:pPr>
        <w:pStyle w:val="FootnoteText"/>
      </w:pPr>
      <w:r>
        <w:rPr>
          <w:rStyle w:val="FootnoteReference"/>
        </w:rPr>
        <w:footnoteRef/>
      </w:r>
      <w:r>
        <w:t xml:space="preserve"> Europeiska fackliga samorganisationen http://www.etuc.org/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488C"/>
    <w:multiLevelType w:val="hybridMultilevel"/>
    <w:tmpl w:val="EE9C6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2F4B22"/>
    <w:multiLevelType w:val="hybridMultilevel"/>
    <w:tmpl w:val="4BF0C372"/>
    <w:lvl w:ilvl="0" w:tplc="0809000D">
      <w:start w:val="1"/>
      <w:numFmt w:val="bullet"/>
      <w:lvlText w:val=""/>
      <w:lvlJc w:val="left"/>
      <w:pPr>
        <w:ind w:left="3479" w:hanging="360"/>
      </w:pPr>
      <w:rPr>
        <w:rFonts w:ascii="Wingdings" w:hAnsi="Wingdings" w:hint="default"/>
      </w:rPr>
    </w:lvl>
    <w:lvl w:ilvl="1" w:tplc="08090003" w:tentative="1">
      <w:start w:val="1"/>
      <w:numFmt w:val="bullet"/>
      <w:lvlText w:val="o"/>
      <w:lvlJc w:val="left"/>
      <w:pPr>
        <w:ind w:left="4199" w:hanging="360"/>
      </w:pPr>
      <w:rPr>
        <w:rFonts w:ascii="Courier New" w:hAnsi="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2">
    <w:nsid w:val="12CA7799"/>
    <w:multiLevelType w:val="hybridMultilevel"/>
    <w:tmpl w:val="027E0A6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
    <w:nsid w:val="1C3257F8"/>
    <w:multiLevelType w:val="hybridMultilevel"/>
    <w:tmpl w:val="3F72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nsid w:val="269C79B6"/>
    <w:multiLevelType w:val="hybridMultilevel"/>
    <w:tmpl w:val="3052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952D65"/>
    <w:multiLevelType w:val="hybridMultilevel"/>
    <w:tmpl w:val="83C8FE2A"/>
    <w:lvl w:ilvl="0" w:tplc="4B1E25A0">
      <w:start w:val="1"/>
      <w:numFmt w:val="bullet"/>
      <w:lvlText w:val="-"/>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64398B"/>
    <w:multiLevelType w:val="hybridMultilevel"/>
    <w:tmpl w:val="7A72D1C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8">
    <w:nsid w:val="37AB6433"/>
    <w:multiLevelType w:val="hybridMultilevel"/>
    <w:tmpl w:val="9F5AE9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8F5DA0"/>
    <w:multiLevelType w:val="hybridMultilevel"/>
    <w:tmpl w:val="165C3C3E"/>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nsid w:val="4A600493"/>
    <w:multiLevelType w:val="hybridMultilevel"/>
    <w:tmpl w:val="31388C1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1">
    <w:nsid w:val="588E7D1C"/>
    <w:multiLevelType w:val="hybridMultilevel"/>
    <w:tmpl w:val="BBDC6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604A4BE8"/>
    <w:multiLevelType w:val="hybridMultilevel"/>
    <w:tmpl w:val="7482042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nsid w:val="642E0809"/>
    <w:multiLevelType w:val="hybridMultilevel"/>
    <w:tmpl w:val="F224D5BA"/>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127DCA"/>
    <w:multiLevelType w:val="hybridMultilevel"/>
    <w:tmpl w:val="BAA014B6"/>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6B706B5B"/>
    <w:multiLevelType w:val="hybridMultilevel"/>
    <w:tmpl w:val="BAA014B6"/>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6FFE29FC"/>
    <w:multiLevelType w:val="hybridMultilevel"/>
    <w:tmpl w:val="B5E45A86"/>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9">
    <w:nsid w:val="708E4AF8"/>
    <w:multiLevelType w:val="hybridMultilevel"/>
    <w:tmpl w:val="9522CAD0"/>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0">
    <w:nsid w:val="71A775F9"/>
    <w:multiLevelType w:val="hybridMultilevel"/>
    <w:tmpl w:val="4886BD8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1">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AB53B64"/>
    <w:multiLevelType w:val="hybridMultilevel"/>
    <w:tmpl w:val="478A0AF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7BC17E68"/>
    <w:multiLevelType w:val="hybridMultilevel"/>
    <w:tmpl w:val="737A78D6"/>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4">
    <w:nsid w:val="7E1E23A8"/>
    <w:multiLevelType w:val="hybridMultilevel"/>
    <w:tmpl w:val="1CD0A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15"/>
  </w:num>
  <w:num w:numId="3">
    <w:abstractNumId w:val="15"/>
  </w:num>
  <w:num w:numId="4">
    <w:abstractNumId w:val="7"/>
  </w:num>
  <w:num w:numId="5">
    <w:abstractNumId w:val="21"/>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4"/>
  </w:num>
  <w:num w:numId="16">
    <w:abstractNumId w:val="22"/>
  </w:num>
  <w:num w:numId="17">
    <w:abstractNumId w:val="15"/>
  </w:num>
  <w:num w:numId="18">
    <w:abstractNumId w:val="15"/>
  </w:num>
  <w:num w:numId="19">
    <w:abstractNumId w:val="15"/>
  </w:num>
  <w:num w:numId="20">
    <w:abstractNumId w:val="15"/>
  </w:num>
  <w:num w:numId="21">
    <w:abstractNumId w:val="15"/>
  </w:num>
  <w:num w:numId="22">
    <w:abstractNumId w:val="13"/>
  </w:num>
  <w:num w:numId="23">
    <w:abstractNumId w:val="2"/>
  </w:num>
  <w:num w:numId="24">
    <w:abstractNumId w:val="15"/>
  </w:num>
  <w:num w:numId="25">
    <w:abstractNumId w:val="15"/>
  </w:num>
  <w:num w:numId="26">
    <w:abstractNumId w:val="18"/>
  </w:num>
  <w:num w:numId="27">
    <w:abstractNumId w:val="10"/>
  </w:num>
  <w:num w:numId="28">
    <w:abstractNumId w:val="17"/>
  </w:num>
  <w:num w:numId="29">
    <w:abstractNumId w:val="16"/>
  </w:num>
  <w:num w:numId="30">
    <w:abstractNumId w:val="15"/>
  </w:num>
  <w:num w:numId="31">
    <w:abstractNumId w:val="1"/>
  </w:num>
  <w:num w:numId="32">
    <w:abstractNumId w:val="5"/>
  </w:num>
  <w:num w:numId="33">
    <w:abstractNumId w:val="3"/>
  </w:num>
  <w:num w:numId="34">
    <w:abstractNumId w:val="15"/>
  </w:num>
  <w:num w:numId="35">
    <w:abstractNumId w:val="15"/>
  </w:num>
  <w:num w:numId="36">
    <w:abstractNumId w:val="24"/>
  </w:num>
  <w:num w:numId="37">
    <w:abstractNumId w:val="9"/>
  </w:num>
  <w:num w:numId="38">
    <w:abstractNumId w:val="8"/>
  </w:num>
  <w:num w:numId="39">
    <w:abstractNumId w:val="4"/>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C804FD58D7349AE9BC0A0BD1B346F71"/>
    <w:docVar w:name="LW_CROSSREFERENCE" w:val="{SWD(2016) 185 final}"/>
    <w:docVar w:name="LW_DocType" w:val="NORMAL"/>
    <w:docVar w:name="LW_EMISSION" w:val="1.6.2016"/>
    <w:docVar w:name="LW_EMISSION_ISODATE" w:val="2016-06-01"/>
    <w:docVar w:name="LW_EMISSION_LOCATION" w:val="BRX"/>
    <w:docVar w:name="LW_EMISSION_PREFIX" w:val="Bryssel den "/>
    <w:docVar w:name="LW_EMISSION_SUFFIX" w:val=" "/>
    <w:docVar w:name="LW_ID_DOCTYPE_NONLW" w:val="CP-013"/>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357"/>
    <w:docVar w:name="LW_REF.INTERNE" w:val="&lt;UNUSED&gt;"/>
    <w:docVar w:name="LW_SOUS.TITRE.OBJ.CP" w:val="&lt;UNUSED&gt;"/>
    <w:docVar w:name="LW_SUPERTITRE" w:val="Standardiseringspaketet"/>
    <w:docVar w:name="LW_TITRE.OBJ.CP" w:val="Unionens årliga arbetsprogram för europeisk standardisering 2017"/>
    <w:docVar w:name="LW_TYPE.DOC.CP" w:val="MEDDELANDE FRÅN KOMMISSIONEN TILL EUROPAPARLAMENTET, RÅDET OCH EUROPEISKA EKONOMISKA OCH SOCIALA 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SimSun" w:hAnsi="Times New Roman" w:cs="Times New Roman"/>
      <w:b/>
      <w:bCs/>
      <w:smallCaps/>
      <w:sz w:val="24"/>
      <w:szCs w:val="28"/>
    </w:rPr>
  </w:style>
  <w:style w:type="paragraph" w:styleId="Heading2">
    <w:name w:val="heading 2"/>
    <w:basedOn w:val="Normal"/>
    <w:next w:val="Text1"/>
    <w:link w:val="Heading2Char"/>
    <w:uiPriority w:val="9"/>
    <w:qFormat/>
    <w:pPr>
      <w:keepNext/>
      <w:numPr>
        <w:ilvl w:val="1"/>
        <w:numId w:val="2"/>
      </w:numPr>
      <w:spacing w:before="120" w:after="120" w:line="240" w:lineRule="auto"/>
      <w:jc w:val="both"/>
      <w:outlineLvl w:val="1"/>
    </w:pPr>
    <w:rPr>
      <w:rFonts w:ascii="Times New Roman" w:eastAsia="SimSun" w:hAnsi="Times New Roman" w:cs="Times New Roman"/>
      <w:b/>
      <w:bCs/>
      <w:sz w:val="24"/>
      <w:szCs w:val="26"/>
    </w:rPr>
  </w:style>
  <w:style w:type="paragraph" w:styleId="Heading3">
    <w:name w:val="heading 3"/>
    <w:basedOn w:val="Normal"/>
    <w:next w:val="Text1"/>
    <w:link w:val="Heading3Char"/>
    <w:uiPriority w:val="9"/>
    <w:qFormat/>
    <w:pPr>
      <w:keepNext/>
      <w:numPr>
        <w:ilvl w:val="2"/>
        <w:numId w:val="2"/>
      </w:numPr>
      <w:spacing w:before="120" w:after="120" w:line="240" w:lineRule="auto"/>
      <w:jc w:val="both"/>
      <w:outlineLvl w:val="2"/>
    </w:pPr>
    <w:rPr>
      <w:rFonts w:ascii="Times New Roman" w:eastAsia="SimSun" w:hAnsi="Times New Roman" w:cs="Times New Roman"/>
      <w:bCs/>
      <w:i/>
      <w:sz w:val="24"/>
    </w:rPr>
  </w:style>
  <w:style w:type="paragraph" w:styleId="Heading4">
    <w:name w:val="heading 4"/>
    <w:basedOn w:val="Normal"/>
    <w:next w:val="Text1"/>
    <w:link w:val="Heading4Char"/>
    <w:uiPriority w:val="9"/>
    <w:qFormat/>
    <w:pPr>
      <w:keepNext/>
      <w:numPr>
        <w:ilvl w:val="3"/>
        <w:numId w:val="2"/>
      </w:numPr>
      <w:spacing w:before="120" w:after="120" w:line="240" w:lineRule="auto"/>
      <w:jc w:val="both"/>
      <w:outlineLvl w:val="3"/>
    </w:pPr>
    <w:rPr>
      <w:rFonts w:ascii="Times New Roman" w:eastAsia="SimSun" w:hAnsi="Times New Roman" w:cs="Times New Roman"/>
      <w:bCs/>
      <w:iCs/>
      <w:sz w:val="24"/>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SimSu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SimSun" w:hAnsi="Times New Roman" w:cs="Times New Roman"/>
      <w:bCs/>
      <w:i/>
      <w:sz w:val="24"/>
    </w:rPr>
  </w:style>
  <w:style w:type="character" w:customStyle="1" w:styleId="Heading4Char">
    <w:name w:val="Heading 4 Char"/>
    <w:basedOn w:val="DefaultParagraphFont"/>
    <w:link w:val="Heading4"/>
    <w:uiPriority w:val="9"/>
    <w:rPr>
      <w:rFonts w:ascii="Times New Roman" w:eastAsia="SimSun" w:hAnsi="Times New Roman" w:cs="Times New Roman"/>
      <w:bCs/>
      <w:iCs/>
      <w:sz w:val="24"/>
    </w:rPr>
  </w:style>
  <w:style w:type="paragraph" w:customStyle="1" w:styleId="Text1">
    <w:name w:val="Text 1"/>
    <w:basedOn w:val="Normal"/>
    <w:link w:val="Text1Char"/>
    <w:pPr>
      <w:spacing w:before="120" w:after="120" w:line="240" w:lineRule="auto"/>
      <w:ind w:left="850"/>
      <w:jc w:val="both"/>
    </w:pPr>
    <w:rPr>
      <w:rFonts w:ascii="Times New Roman" w:eastAsia="Calibri" w:hAnsi="Times New Roman" w:cs="Times New Roman"/>
      <w:sz w:val="24"/>
    </w:rPr>
  </w:style>
  <w:style w:type="paragraph" w:customStyle="1" w:styleId="Bullet1">
    <w:name w:val="Bullet 1"/>
    <w:basedOn w:val="Normal"/>
    <w:pPr>
      <w:numPr>
        <w:numId w:val="1"/>
      </w:numPr>
      <w:spacing w:before="120" w:after="120" w:line="240" w:lineRule="auto"/>
      <w:jc w:val="both"/>
    </w:pPr>
    <w:rPr>
      <w:rFonts w:ascii="Times New Roman" w:eastAsia="Calibri" w:hAnsi="Times New Roman" w:cs="Times New Roman"/>
      <w:sz w:val="24"/>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rPr>
      <w:rFonts w:ascii="Times New Roman" w:eastAsia="Times New Roman" w:hAnsi="Times New Roman" w:cs="Times New Roman"/>
      <w:sz w:val="20"/>
      <w:szCs w:val="20"/>
      <w:lang w:eastAsia="sv-SE"/>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ootnote s,FR"/>
    <w:link w:val="FootnotesymbolCarZchn"/>
    <w:uiPriority w:val="99"/>
    <w:qFormat/>
    <w:rPr>
      <w:shd w:val="clear" w:color="auto" w:fill="auto"/>
      <w:vertAlign w:val="superscript"/>
    </w:rPr>
  </w:style>
  <w:style w:type="character" w:customStyle="1" w:styleId="Text1Char">
    <w:name w:val="Text 1 Char"/>
    <w:link w:val="Text1"/>
    <w:uiPriority w:val="99"/>
    <w:locked/>
    <w:rPr>
      <w:rFonts w:ascii="Times New Roman" w:eastAsia="Calibri" w:hAnsi="Times New Roman" w:cs="Times New Roman"/>
      <w:sz w:val="24"/>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ListParagraph">
    <w:name w:val="List Paragraph"/>
    <w:basedOn w:val="Normal"/>
    <w:uiPriority w:val="34"/>
    <w:qFormat/>
    <w:pPr>
      <w:ind w:left="720"/>
      <w:contextualSpacing/>
    </w:p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paragraph" w:customStyle="1" w:styleId="ListDash4">
    <w:name w:val="List Dash 4"/>
    <w:basedOn w:val="Normal"/>
    <w:pPr>
      <w:numPr>
        <w:numId w:val="39"/>
      </w:numPr>
      <w:spacing w:after="240" w:line="240" w:lineRule="auto"/>
      <w:jc w:val="both"/>
    </w:pPr>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SimSun" w:hAnsi="Times New Roman" w:cs="Times New Roman"/>
      <w:b/>
      <w:bCs/>
      <w:smallCaps/>
      <w:sz w:val="24"/>
      <w:szCs w:val="28"/>
    </w:rPr>
  </w:style>
  <w:style w:type="paragraph" w:styleId="Heading2">
    <w:name w:val="heading 2"/>
    <w:basedOn w:val="Normal"/>
    <w:next w:val="Text1"/>
    <w:link w:val="Heading2Char"/>
    <w:uiPriority w:val="9"/>
    <w:qFormat/>
    <w:pPr>
      <w:keepNext/>
      <w:numPr>
        <w:ilvl w:val="1"/>
        <w:numId w:val="2"/>
      </w:numPr>
      <w:spacing w:before="120" w:after="120" w:line="240" w:lineRule="auto"/>
      <w:jc w:val="both"/>
      <w:outlineLvl w:val="1"/>
    </w:pPr>
    <w:rPr>
      <w:rFonts w:ascii="Times New Roman" w:eastAsia="SimSun" w:hAnsi="Times New Roman" w:cs="Times New Roman"/>
      <w:b/>
      <w:bCs/>
      <w:sz w:val="24"/>
      <w:szCs w:val="26"/>
    </w:rPr>
  </w:style>
  <w:style w:type="paragraph" w:styleId="Heading3">
    <w:name w:val="heading 3"/>
    <w:basedOn w:val="Normal"/>
    <w:next w:val="Text1"/>
    <w:link w:val="Heading3Char"/>
    <w:uiPriority w:val="9"/>
    <w:qFormat/>
    <w:pPr>
      <w:keepNext/>
      <w:numPr>
        <w:ilvl w:val="2"/>
        <w:numId w:val="2"/>
      </w:numPr>
      <w:spacing w:before="120" w:after="120" w:line="240" w:lineRule="auto"/>
      <w:jc w:val="both"/>
      <w:outlineLvl w:val="2"/>
    </w:pPr>
    <w:rPr>
      <w:rFonts w:ascii="Times New Roman" w:eastAsia="SimSun" w:hAnsi="Times New Roman" w:cs="Times New Roman"/>
      <w:bCs/>
      <w:i/>
      <w:sz w:val="24"/>
    </w:rPr>
  </w:style>
  <w:style w:type="paragraph" w:styleId="Heading4">
    <w:name w:val="heading 4"/>
    <w:basedOn w:val="Normal"/>
    <w:next w:val="Text1"/>
    <w:link w:val="Heading4Char"/>
    <w:uiPriority w:val="9"/>
    <w:qFormat/>
    <w:pPr>
      <w:keepNext/>
      <w:numPr>
        <w:ilvl w:val="3"/>
        <w:numId w:val="2"/>
      </w:numPr>
      <w:spacing w:before="120" w:after="120" w:line="240" w:lineRule="auto"/>
      <w:jc w:val="both"/>
      <w:outlineLvl w:val="3"/>
    </w:pPr>
    <w:rPr>
      <w:rFonts w:ascii="Times New Roman" w:eastAsia="SimSun" w:hAnsi="Times New Roman" w:cs="Times New Roman"/>
      <w:bCs/>
      <w:iCs/>
      <w:sz w:val="24"/>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SimSu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SimSun" w:hAnsi="Times New Roman" w:cs="Times New Roman"/>
      <w:bCs/>
      <w:i/>
      <w:sz w:val="24"/>
    </w:rPr>
  </w:style>
  <w:style w:type="character" w:customStyle="1" w:styleId="Heading4Char">
    <w:name w:val="Heading 4 Char"/>
    <w:basedOn w:val="DefaultParagraphFont"/>
    <w:link w:val="Heading4"/>
    <w:uiPriority w:val="9"/>
    <w:rPr>
      <w:rFonts w:ascii="Times New Roman" w:eastAsia="SimSun" w:hAnsi="Times New Roman" w:cs="Times New Roman"/>
      <w:bCs/>
      <w:iCs/>
      <w:sz w:val="24"/>
    </w:rPr>
  </w:style>
  <w:style w:type="paragraph" w:customStyle="1" w:styleId="Text1">
    <w:name w:val="Text 1"/>
    <w:basedOn w:val="Normal"/>
    <w:link w:val="Text1Char"/>
    <w:pPr>
      <w:spacing w:before="120" w:after="120" w:line="240" w:lineRule="auto"/>
      <w:ind w:left="850"/>
      <w:jc w:val="both"/>
    </w:pPr>
    <w:rPr>
      <w:rFonts w:ascii="Times New Roman" w:eastAsia="Calibri" w:hAnsi="Times New Roman" w:cs="Times New Roman"/>
      <w:sz w:val="24"/>
    </w:rPr>
  </w:style>
  <w:style w:type="paragraph" w:customStyle="1" w:styleId="Bullet1">
    <w:name w:val="Bullet 1"/>
    <w:basedOn w:val="Normal"/>
    <w:pPr>
      <w:numPr>
        <w:numId w:val="1"/>
      </w:numPr>
      <w:spacing w:before="120" w:after="120" w:line="240" w:lineRule="auto"/>
      <w:jc w:val="both"/>
    </w:pPr>
    <w:rPr>
      <w:rFonts w:ascii="Times New Roman" w:eastAsia="Calibri" w:hAnsi="Times New Roman" w:cs="Times New Roman"/>
      <w:sz w:val="24"/>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rPr>
      <w:rFonts w:ascii="Times New Roman" w:eastAsia="Times New Roman" w:hAnsi="Times New Roman" w:cs="Times New Roman"/>
      <w:sz w:val="20"/>
      <w:szCs w:val="20"/>
      <w:lang w:eastAsia="sv-SE"/>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ootnote s,FR"/>
    <w:link w:val="FootnotesymbolCarZchn"/>
    <w:uiPriority w:val="99"/>
    <w:qFormat/>
    <w:rPr>
      <w:shd w:val="clear" w:color="auto" w:fill="auto"/>
      <w:vertAlign w:val="superscript"/>
    </w:rPr>
  </w:style>
  <w:style w:type="character" w:customStyle="1" w:styleId="Text1Char">
    <w:name w:val="Text 1 Char"/>
    <w:link w:val="Text1"/>
    <w:uiPriority w:val="99"/>
    <w:locked/>
    <w:rPr>
      <w:rFonts w:ascii="Times New Roman" w:eastAsia="Calibri" w:hAnsi="Times New Roman" w:cs="Times New Roman"/>
      <w:sz w:val="24"/>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ListParagraph">
    <w:name w:val="List Paragraph"/>
    <w:basedOn w:val="Normal"/>
    <w:uiPriority w:val="34"/>
    <w:qFormat/>
    <w:pPr>
      <w:ind w:left="720"/>
      <w:contextualSpacing/>
    </w:p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paragraph" w:customStyle="1" w:styleId="ListDash4">
    <w:name w:val="List Dash 4"/>
    <w:basedOn w:val="Normal"/>
    <w:pPr>
      <w:numPr>
        <w:numId w:val="39"/>
      </w:numPr>
      <w:spacing w:after="240" w:line="240" w:lineRule="auto"/>
      <w:jc w:val="both"/>
    </w:pPr>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177">
      <w:bodyDiv w:val="1"/>
      <w:marLeft w:val="0"/>
      <w:marRight w:val="0"/>
      <w:marTop w:val="0"/>
      <w:marBottom w:val="0"/>
      <w:divBdr>
        <w:top w:val="none" w:sz="0" w:space="0" w:color="auto"/>
        <w:left w:val="none" w:sz="0" w:space="0" w:color="auto"/>
        <w:bottom w:val="none" w:sz="0" w:space="0" w:color="auto"/>
        <w:right w:val="none" w:sz="0" w:space="0" w:color="auto"/>
      </w:divBdr>
    </w:div>
    <w:div w:id="123276058">
      <w:bodyDiv w:val="1"/>
      <w:marLeft w:val="0"/>
      <w:marRight w:val="0"/>
      <w:marTop w:val="0"/>
      <w:marBottom w:val="0"/>
      <w:divBdr>
        <w:top w:val="none" w:sz="0" w:space="0" w:color="auto"/>
        <w:left w:val="none" w:sz="0" w:space="0" w:color="auto"/>
        <w:bottom w:val="none" w:sz="0" w:space="0" w:color="auto"/>
        <w:right w:val="none" w:sz="0" w:space="0" w:color="auto"/>
      </w:divBdr>
    </w:div>
    <w:div w:id="140125162">
      <w:bodyDiv w:val="1"/>
      <w:marLeft w:val="0"/>
      <w:marRight w:val="0"/>
      <w:marTop w:val="0"/>
      <w:marBottom w:val="0"/>
      <w:divBdr>
        <w:top w:val="none" w:sz="0" w:space="0" w:color="auto"/>
        <w:left w:val="none" w:sz="0" w:space="0" w:color="auto"/>
        <w:bottom w:val="none" w:sz="0" w:space="0" w:color="auto"/>
        <w:right w:val="none" w:sz="0" w:space="0" w:color="auto"/>
      </w:divBdr>
    </w:div>
    <w:div w:id="479006380">
      <w:bodyDiv w:val="1"/>
      <w:marLeft w:val="0"/>
      <w:marRight w:val="0"/>
      <w:marTop w:val="0"/>
      <w:marBottom w:val="0"/>
      <w:divBdr>
        <w:top w:val="none" w:sz="0" w:space="0" w:color="auto"/>
        <w:left w:val="none" w:sz="0" w:space="0" w:color="auto"/>
        <w:bottom w:val="none" w:sz="0" w:space="0" w:color="auto"/>
        <w:right w:val="none" w:sz="0" w:space="0" w:color="auto"/>
      </w:divBdr>
    </w:div>
    <w:div w:id="610862180">
      <w:bodyDiv w:val="1"/>
      <w:marLeft w:val="0"/>
      <w:marRight w:val="0"/>
      <w:marTop w:val="0"/>
      <w:marBottom w:val="0"/>
      <w:divBdr>
        <w:top w:val="none" w:sz="0" w:space="0" w:color="auto"/>
        <w:left w:val="none" w:sz="0" w:space="0" w:color="auto"/>
        <w:bottom w:val="none" w:sz="0" w:space="0" w:color="auto"/>
        <w:right w:val="none" w:sz="0" w:space="0" w:color="auto"/>
      </w:divBdr>
    </w:div>
    <w:div w:id="714819250">
      <w:bodyDiv w:val="1"/>
      <w:marLeft w:val="0"/>
      <w:marRight w:val="0"/>
      <w:marTop w:val="0"/>
      <w:marBottom w:val="0"/>
      <w:divBdr>
        <w:top w:val="none" w:sz="0" w:space="0" w:color="auto"/>
        <w:left w:val="none" w:sz="0" w:space="0" w:color="auto"/>
        <w:bottom w:val="none" w:sz="0" w:space="0" w:color="auto"/>
        <w:right w:val="none" w:sz="0" w:space="0" w:color="auto"/>
      </w:divBdr>
    </w:div>
    <w:div w:id="762989725">
      <w:bodyDiv w:val="1"/>
      <w:marLeft w:val="0"/>
      <w:marRight w:val="0"/>
      <w:marTop w:val="0"/>
      <w:marBottom w:val="0"/>
      <w:divBdr>
        <w:top w:val="none" w:sz="0" w:space="0" w:color="auto"/>
        <w:left w:val="none" w:sz="0" w:space="0" w:color="auto"/>
        <w:bottom w:val="none" w:sz="0" w:space="0" w:color="auto"/>
        <w:right w:val="none" w:sz="0" w:space="0" w:color="auto"/>
      </w:divBdr>
    </w:div>
    <w:div w:id="1306859233">
      <w:bodyDiv w:val="1"/>
      <w:marLeft w:val="0"/>
      <w:marRight w:val="0"/>
      <w:marTop w:val="0"/>
      <w:marBottom w:val="0"/>
      <w:divBdr>
        <w:top w:val="none" w:sz="0" w:space="0" w:color="auto"/>
        <w:left w:val="none" w:sz="0" w:space="0" w:color="auto"/>
        <w:bottom w:val="none" w:sz="0" w:space="0" w:color="auto"/>
        <w:right w:val="none" w:sz="0" w:space="0" w:color="auto"/>
      </w:divBdr>
    </w:div>
    <w:div w:id="1783643171">
      <w:bodyDiv w:val="1"/>
      <w:marLeft w:val="0"/>
      <w:marRight w:val="0"/>
      <w:marTop w:val="0"/>
      <w:marBottom w:val="0"/>
      <w:divBdr>
        <w:top w:val="none" w:sz="0" w:space="0" w:color="auto"/>
        <w:left w:val="none" w:sz="0" w:space="0" w:color="auto"/>
        <w:bottom w:val="none" w:sz="0" w:space="0" w:color="auto"/>
        <w:right w:val="none" w:sz="0" w:space="0" w:color="auto"/>
      </w:divBdr>
    </w:div>
    <w:div w:id="2044480810">
      <w:bodyDiv w:val="1"/>
      <w:marLeft w:val="0"/>
      <w:marRight w:val="0"/>
      <w:marTop w:val="0"/>
      <w:marBottom w:val="0"/>
      <w:divBdr>
        <w:top w:val="none" w:sz="0" w:space="0" w:color="auto"/>
        <w:left w:val="none" w:sz="0" w:space="0" w:color="auto"/>
        <w:bottom w:val="none" w:sz="0" w:space="0" w:color="auto"/>
        <w:right w:val="none" w:sz="0" w:space="0" w:color="auto"/>
      </w:divBdr>
    </w:div>
    <w:div w:id="21295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BCD4-32A9-4165-9BBC-9AACAB24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2567</Words>
  <Characters>17509</Characters>
  <Application>Microsoft Office Word</Application>
  <DocSecurity>0</DocSecurity>
  <Lines>296</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2016-06-08T15:20:00Z</cp:lastPrinted>
  <dcterms:created xsi:type="dcterms:W3CDTF">2016-05-31T09:30:00Z</dcterms:created>
  <dcterms:modified xsi:type="dcterms:W3CDTF">2016-06-10T13:27:00Z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