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176" w:rsidRDefault="00A435F4">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299220D9454495F9ED43989CF4727F1" style="width:450.45pt;height:320.85pt">
            <v:imagedata r:id="rId9" o:title=""/>
          </v:shape>
        </w:pict>
      </w:r>
    </w:p>
    <w:bookmarkEnd w:id="0"/>
    <w:p w:rsidR="006B3176" w:rsidRDefault="006B3176">
      <w:pPr>
        <w:rPr>
          <w:noProof/>
        </w:rPr>
        <w:sectPr w:rsidR="006B3176">
          <w:headerReference w:type="default" r:id="rId10"/>
          <w:footerReference w:type="default" r:id="rId11"/>
          <w:pgSz w:w="11906" w:h="16838"/>
          <w:pgMar w:top="1134" w:right="1417" w:bottom="1134" w:left="1417" w:header="709" w:footer="709" w:gutter="0"/>
          <w:pgNumType w:start="1"/>
          <w:cols w:space="720"/>
          <w:docGrid w:linePitch="360"/>
        </w:sectPr>
      </w:pPr>
    </w:p>
    <w:p w:rsidR="006B3176" w:rsidRDefault="00A435F4">
      <w:pPr>
        <w:pStyle w:val="Typedudocument"/>
        <w:rPr>
          <w:noProof/>
        </w:rPr>
      </w:pPr>
      <w:r>
        <w:rPr>
          <w:noProof/>
        </w:rPr>
        <w:lastRenderedPageBreak/>
        <w:t xml:space="preserve">POROČILO KOMISIJE EVROPSKEMU PARLAMENTU, SVETU, EVROPSKEMU EKONOMSKO-SOCIALNEMU ODBORU IN ODBORU </w:t>
      </w:r>
      <w:r>
        <w:rPr>
          <w:noProof/>
        </w:rPr>
        <w:t>REGIJ</w:t>
      </w:r>
    </w:p>
    <w:p w:rsidR="006B3176" w:rsidRDefault="00A435F4">
      <w:pPr>
        <w:pStyle w:val="Titreobjet"/>
        <w:rPr>
          <w:noProof/>
        </w:rPr>
      </w:pPr>
      <w:r>
        <w:rPr>
          <w:noProof/>
        </w:rPr>
        <w:t>Poročilo o politiki konkurence za leto 2015</w:t>
      </w:r>
    </w:p>
    <w:p w:rsidR="006B3176" w:rsidRDefault="00A435F4">
      <w:pPr>
        <w:numPr>
          <w:ilvl w:val="0"/>
          <w:numId w:val="3"/>
        </w:numPr>
        <w:spacing w:line="240" w:lineRule="auto"/>
        <w:jc w:val="both"/>
        <w:rPr>
          <w:rFonts w:ascii="Times New Roman" w:hAnsi="Times New Roman"/>
          <w:noProof/>
          <w:sz w:val="24"/>
          <w:szCs w:val="24"/>
        </w:rPr>
      </w:pPr>
      <w:r>
        <w:rPr>
          <w:rFonts w:ascii="Times New Roman" w:hAnsi="Times New Roman"/>
          <w:b/>
          <w:noProof/>
          <w:sz w:val="24"/>
        </w:rPr>
        <w:t>Uvod</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Močna in učinkovita politika konkurence EU je že od nekdaj temelj evropskega projekta. Zdaj, ko sta zagotavljanje nadaljnjega okrevanja in spodbujanje gospodarske rasti na vrhu programa EU, je politika</w:t>
      </w:r>
      <w:r>
        <w:rPr>
          <w:rFonts w:ascii="Times New Roman" w:hAnsi="Times New Roman"/>
          <w:noProof/>
          <w:sz w:val="24"/>
        </w:rPr>
        <w:t xml:space="preserve"> konkurence pomembnejša kot kdajkoli prej.</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Politika konkurence ohranja učinkovitost in odprtost trgov. Za evropske potrošnike to pomeni boljše tržne rezultate, kot so nižje cene, kakovostnejši izdelki in storitve ter večja izbira. Poleg tega zdrava konkure</w:t>
      </w:r>
      <w:r>
        <w:rPr>
          <w:rFonts w:ascii="Times New Roman" w:hAnsi="Times New Roman"/>
          <w:noProof/>
          <w:sz w:val="24"/>
        </w:rPr>
        <w:t>nca podjetjem zagotavlja poštene možnosti za poslovanje in doseganje poslovnih ciljev, kar spodbuja rast, ustvarjanje delovnih mest in blaginjo. Kadar lahko podjetja konkurirajo na trgu na podlagi svojih zaslug, imajo podjetja in gospodinjstva na voljo šir</w:t>
      </w:r>
      <w:r>
        <w:rPr>
          <w:rFonts w:ascii="Times New Roman" w:hAnsi="Times New Roman"/>
          <w:noProof/>
          <w:sz w:val="24"/>
        </w:rPr>
        <w:t>oko paleto kakovostnih in inovativnih izdelkov in storitev po konkurenčnih cenah. Poleg tega večja konkurenca spodbuja podjetja, da vlagajo in postanejo učinkovitejša. To povečanje učinkovitosti se nato prenese na širše gospodarstvo. Končni cilj politike k</w:t>
      </w:r>
      <w:r>
        <w:rPr>
          <w:rFonts w:ascii="Times New Roman" w:hAnsi="Times New Roman"/>
          <w:noProof/>
          <w:sz w:val="24"/>
        </w:rPr>
        <w:t>onkurence je izboljšati delovanje trgov – v korist gospodinjstev in podjetij.</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Predsednik Evropske komisije Jean-Claude Juncker je na začetku svojega mandata povedal, da se bo njegova Komisija osredotočila na ključne izzive za evropsko družbo in gospodarstv</w:t>
      </w:r>
      <w:r>
        <w:rPr>
          <w:rFonts w:ascii="Times New Roman" w:hAnsi="Times New Roman"/>
          <w:noProof/>
          <w:sz w:val="24"/>
        </w:rPr>
        <w:t xml:space="preserve">o. Politika konkurence ima pomembno vlogo pri spoprijemanju z navedenimi izzivi. Prizadevanja leta 2015 na področju konkurence so pomembno prispevala k številnim ključnim političnim prednostnim nalogam Komisije, in sicer k spodbujanju ustvarjanja delovnih </w:t>
      </w:r>
      <w:r>
        <w:rPr>
          <w:rFonts w:ascii="Times New Roman" w:hAnsi="Times New Roman"/>
          <w:noProof/>
          <w:sz w:val="24"/>
        </w:rPr>
        <w:t>mest, rasti in naložb ter vzpostavljanju povezanega enotnega digitalnega trga, trdne energetske unije ter bolj poglobljenega in pravičnega enotnega trga.</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zavezana tudi k spodbujanju kulture konkurence – tako v EU kot drugje – s spodbujanjem tes</w:t>
      </w:r>
      <w:r>
        <w:rPr>
          <w:rFonts w:ascii="Times New Roman" w:hAnsi="Times New Roman"/>
          <w:noProof/>
          <w:sz w:val="24"/>
        </w:rPr>
        <w:t>nejšega dialoga z državami članicami</w:t>
      </w:r>
      <w:r>
        <w:rPr>
          <w:rStyle w:val="FootnoteReference"/>
          <w:rFonts w:ascii="Times New Roman" w:hAnsi="Times New Roman"/>
          <w:noProof/>
          <w:sz w:val="24"/>
        </w:rPr>
        <w:footnoteReference w:id="1"/>
      </w:r>
      <w:r>
        <w:rPr>
          <w:rFonts w:ascii="Times New Roman" w:hAnsi="Times New Roman"/>
          <w:noProof/>
          <w:sz w:val="24"/>
        </w:rPr>
        <w:t xml:space="preserve"> in drugimi institucijami EU ter obsežnega mednarodnega sodelovanja.</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Vodilna načela izvrševanja zakonodaje o konkurenci so zagotavljanje nepristranskosti in pravne države ter podpiranje skupnega evropskega interesa. Pol</w:t>
      </w:r>
      <w:r>
        <w:rPr>
          <w:rFonts w:ascii="Times New Roman" w:hAnsi="Times New Roman"/>
          <w:noProof/>
          <w:sz w:val="24"/>
        </w:rPr>
        <w:t>itika konkurence EU se osredotoča tudi na vrednote poštenosti, politične neodvisnosti, preglednosti in dolžnega pravnega postopanja.</w:t>
      </w:r>
    </w:p>
    <w:p w:rsidR="006B3176" w:rsidRDefault="00A435F4">
      <w:pPr>
        <w:numPr>
          <w:ilvl w:val="0"/>
          <w:numId w:val="3"/>
        </w:numPr>
        <w:spacing w:line="240" w:lineRule="auto"/>
        <w:jc w:val="both"/>
        <w:rPr>
          <w:rFonts w:ascii="Times New Roman" w:hAnsi="Times New Roman"/>
          <w:b/>
          <w:noProof/>
          <w:sz w:val="24"/>
          <w:szCs w:val="24"/>
        </w:rPr>
      </w:pPr>
      <w:r>
        <w:rPr>
          <w:rFonts w:ascii="Times New Roman" w:hAnsi="Times New Roman"/>
          <w:b/>
          <w:noProof/>
          <w:sz w:val="24"/>
        </w:rPr>
        <w:t>Politika konkurence spodbuja inovacije in naložbe po vsej EU</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 xml:space="preserve">Evropsko gospodarstvo počasi okreva po nedavni gospodarski in </w:t>
      </w:r>
      <w:r>
        <w:rPr>
          <w:rFonts w:ascii="Times New Roman" w:hAnsi="Times New Roman"/>
          <w:noProof/>
          <w:sz w:val="24"/>
        </w:rPr>
        <w:t>finančni krizi. Da bi EU zgradila trdno podlago za trajnostno rast in ustvarjanje kakovostnih delovnih mest, mora ponovno vzpostaviti ravni naložb, zlasti na strateških področjih, kot so raziskave, razvoj in inovacije. Prihodnost Evrope bi morala temeljiti</w:t>
      </w:r>
      <w:r>
        <w:rPr>
          <w:rFonts w:ascii="Times New Roman" w:hAnsi="Times New Roman"/>
          <w:noProof/>
          <w:sz w:val="24"/>
        </w:rPr>
        <w:t xml:space="preserve"> predvsem na inovacijah. Politika konkurence lahko z ustvarjanjem okolja, ki spodbuja naložbe in inovacije, prispeva k doseganju tega cilja.</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lastRenderedPageBreak/>
        <w:t>Pritisk konkurence podjetja spodbuja, da vlagajo ter s tem postanejo učinkovitejša, razvijajo nove tehnologije in u</w:t>
      </w:r>
      <w:r>
        <w:rPr>
          <w:rFonts w:ascii="Times New Roman" w:hAnsi="Times New Roman"/>
          <w:noProof/>
          <w:sz w:val="24"/>
        </w:rPr>
        <w:t>stvarjajo boljše izdelke. Omogočanje učinkovitejše konkurence prispeva k spodbujanju naložb z ohranjanjem odprtosti trgov in zagotavljanjem, da se sprejmejo ukrepi, če vodilno podjetje na trgu zlorabi svoj položaj, da bi konkurentom preprečilo rast in inov</w:t>
      </w:r>
      <w:r>
        <w:rPr>
          <w:rFonts w:ascii="Times New Roman" w:hAnsi="Times New Roman"/>
          <w:noProof/>
          <w:sz w:val="24"/>
        </w:rPr>
        <w:t>acije. Simulacije na podlagi ekonometričnega modela kažejo, da se zaradi sklepov Komisije o združitvah in kartelih naložbe po petih letih povečajo za 0,7 %</w:t>
      </w:r>
      <w:r>
        <w:rPr>
          <w:rStyle w:val="FootnoteReference"/>
          <w:rFonts w:ascii="Times New Roman" w:hAnsi="Times New Roman"/>
          <w:noProof/>
          <w:sz w:val="24"/>
        </w:rPr>
        <w:footnoteReference w:id="2"/>
      </w:r>
      <w:r>
        <w:rPr>
          <w:noProof/>
        </w:rPr>
        <w:t>.</w:t>
      </w:r>
      <w:r>
        <w:rPr>
          <w:rFonts w:ascii="Times New Roman" w:hAnsi="Times New Roman"/>
          <w:noProof/>
          <w:sz w:val="24"/>
        </w:rPr>
        <w:t xml:space="preserve"> Poleg tega pravila EU o državni pomoči usmerjajo javna sredstva v spodbujanje novih naložb, s čime</w:t>
      </w:r>
      <w:r>
        <w:rPr>
          <w:rFonts w:ascii="Times New Roman" w:hAnsi="Times New Roman"/>
          <w:noProof/>
          <w:sz w:val="24"/>
        </w:rPr>
        <w:t>r zagotavljajo, da javno financiranje spodbuja zasebne naložbe, ki sicer ne bi bile izvedene.</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Naložbeni načrt za Evropo</w:t>
      </w:r>
      <w:r>
        <w:rPr>
          <w:rStyle w:val="FootnoteReference"/>
          <w:rFonts w:ascii="Times New Roman" w:hAnsi="Times New Roman"/>
          <w:noProof/>
          <w:sz w:val="24"/>
        </w:rPr>
        <w:footnoteReference w:id="3"/>
      </w:r>
      <w:r>
        <w:rPr>
          <w:rFonts w:ascii="Times New Roman" w:hAnsi="Times New Roman"/>
          <w:noProof/>
          <w:sz w:val="24"/>
        </w:rPr>
        <w:t xml:space="preserve"> je bil sprejet novembra 2014 z namenom spodbuditi naložbe. Ključni del načrta je Evropski sklad za strateške naložbe</w:t>
      </w:r>
      <w:r>
        <w:rPr>
          <w:rStyle w:val="FootnoteReference"/>
          <w:rFonts w:ascii="Times New Roman" w:hAnsi="Times New Roman"/>
          <w:noProof/>
          <w:sz w:val="24"/>
        </w:rPr>
        <w:footnoteReference w:id="4"/>
      </w:r>
      <w:r>
        <w:rPr>
          <w:rFonts w:ascii="Times New Roman" w:hAnsi="Times New Roman"/>
          <w:noProof/>
          <w:sz w:val="24"/>
        </w:rPr>
        <w:t xml:space="preserve"> (EFSI), ki je zač</w:t>
      </w:r>
      <w:r>
        <w:rPr>
          <w:rFonts w:ascii="Times New Roman" w:hAnsi="Times New Roman"/>
          <w:noProof/>
          <w:sz w:val="24"/>
        </w:rPr>
        <w:t>el delovati konec leta 2015. EFSI s pomočjo Evropske investicijske banke (EIB) zagotavlja financiranje, podprto s proračunskim jamstvom EU, s čimer omogoča strateške naložbe, ki jih trg sam ne bi mogel financirati.</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 xml:space="preserve">Financiranje projektov, ki ga zagotavlja </w:t>
      </w:r>
      <w:r>
        <w:rPr>
          <w:rFonts w:ascii="Times New Roman" w:hAnsi="Times New Roman"/>
          <w:noProof/>
          <w:sz w:val="24"/>
        </w:rPr>
        <w:t>EIB in podpira EFSI, ne spada na področje uporabe pravil o državni pomoči. Vendar lahko projekti prejemajo tudi finančno pomoč („sofinanciranje“) držav članic (vključno z evropskimi strukturnimi in investicijskimi skladi), za katero veljajo pravila o držav</w:t>
      </w:r>
      <w:r>
        <w:rPr>
          <w:rFonts w:ascii="Times New Roman" w:hAnsi="Times New Roman"/>
          <w:noProof/>
          <w:sz w:val="24"/>
        </w:rPr>
        <w:t>ni pomoči. Tako financiranje mora odobriti Komisija, razen če je odobreno pod tržnimi pogoji. Komisija v podporo skladu EFSI prednostno prouči sofinanciranje države članice. Pravila o državni pomoči sledijo cilju naložbenega načrta glede odprave nedelovanj</w:t>
      </w:r>
      <w:r>
        <w:rPr>
          <w:rFonts w:ascii="Times New Roman" w:hAnsi="Times New Roman"/>
          <w:noProof/>
          <w:sz w:val="24"/>
        </w:rPr>
        <w:t>a trga in spodbujanja zasebnih naložb. Nadzor državnih pomoči zagotavlja, da javni naložbeni projekti obravnavajo resnične potrebe, da so njihovi stroški pod nadzorom ter da so za zagon projektov resnično potrebna javna sredstva.</w:t>
      </w:r>
    </w:p>
    <w:p w:rsidR="006B3176" w:rsidRDefault="00A435F4">
      <w:pPr>
        <w:spacing w:line="240" w:lineRule="auto"/>
        <w:jc w:val="both"/>
        <w:rPr>
          <w:rFonts w:ascii="Times New Roman" w:hAnsi="Times New Roman"/>
          <w:i/>
          <w:noProof/>
          <w:sz w:val="24"/>
          <w:szCs w:val="24"/>
        </w:rPr>
      </w:pPr>
      <w:r>
        <w:rPr>
          <w:rFonts w:ascii="Times New Roman" w:hAnsi="Times New Roman"/>
          <w:i/>
          <w:noProof/>
          <w:sz w:val="24"/>
        </w:rPr>
        <w:t xml:space="preserve">Prenovljena pravila o </w:t>
      </w:r>
      <w:r>
        <w:rPr>
          <w:rFonts w:ascii="Times New Roman" w:hAnsi="Times New Roman"/>
          <w:i/>
          <w:noProof/>
          <w:sz w:val="24"/>
        </w:rPr>
        <w:t>državni pomoči za spodbujanje ukrepov pomoči, ki pospešujejo rast</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Pravila o državni pomoči so bila prenovljena v okviru pobude za posodobitev področja državnih pomoči (SAM)</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S pomočjo te pobude lahko države članice ukrepe pomoči bolje usmerjajo v gospodar</w:t>
      </w:r>
      <w:r>
        <w:rPr>
          <w:rFonts w:ascii="Times New Roman" w:hAnsi="Times New Roman"/>
          <w:noProof/>
          <w:sz w:val="24"/>
        </w:rPr>
        <w:t>sko rast, ustvarjanje delovnih mest in socialno kohezijo. Komisija v okviru pobude SAM krepi svoje partnerstvo z državami članicami na področju izvajanja novih pravil, saj imajo države članice zdaj večjo odgovornost za odobritev pomoči brez predhodne prigl</w:t>
      </w:r>
      <w:r>
        <w:rPr>
          <w:rFonts w:ascii="Times New Roman" w:hAnsi="Times New Roman"/>
          <w:noProof/>
          <w:sz w:val="24"/>
        </w:rPr>
        <w:t>asitve Komisiji.</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Ta pristop, ki temelji na okrepljenem partnerstvu, naj bi zagotovil, da je večja prožnost pri odobritvi pomoči držav članic uravnotežena z boljšim sodelovanjem, skrbnim nacionalnim nadzorom in večjo preglednostjo. Komisija bo podpirala str</w:t>
      </w:r>
      <w:r>
        <w:rPr>
          <w:rFonts w:ascii="Times New Roman" w:hAnsi="Times New Roman"/>
          <w:noProof/>
          <w:sz w:val="24"/>
        </w:rPr>
        <w:t>ateške naložbe s sodelovanjem z državami članicami pri iskanju načinov za oblikovanje ukrepov pomoči, ki pospešujejo rast ter spodbujajo močan, povezan in dinamičen enotni trg.</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Novi okvir državne pomoči bo zagotovil, da javno financiranje prispeva k spodbu</w:t>
      </w:r>
      <w:r>
        <w:rPr>
          <w:rFonts w:ascii="Times New Roman" w:hAnsi="Times New Roman"/>
          <w:noProof/>
          <w:sz w:val="24"/>
        </w:rPr>
        <w:t>janju zasebnih naložb, in s tem prispeval k doseganju pomembnih ciljev v splošnem interesu brez izkrivljanja konkurence. V zvezi s tem so – poleg pravil v razširjeni uredbi o splošnih skupinskih izjemah, ki je bila sprejeta leta 2014</w:t>
      </w:r>
      <w:r>
        <w:rPr>
          <w:rStyle w:val="FootnoteReference"/>
          <w:rFonts w:ascii="Times New Roman" w:hAnsi="Times New Roman"/>
          <w:noProof/>
          <w:sz w:val="24"/>
        </w:rPr>
        <w:footnoteReference w:id="6"/>
      </w:r>
      <w:r>
        <w:rPr>
          <w:rFonts w:ascii="Times New Roman" w:hAnsi="Times New Roman"/>
          <w:noProof/>
          <w:sz w:val="24"/>
        </w:rPr>
        <w:t> – tri področja posebe</w:t>
      </w:r>
      <w:r>
        <w:rPr>
          <w:rFonts w:ascii="Times New Roman" w:hAnsi="Times New Roman"/>
          <w:noProof/>
          <w:sz w:val="24"/>
        </w:rPr>
        <w:t>j pomembna za spodbujanje inovacij in naložb po vsej EU. Okvir za raziskave, razvoj in inovacije</w:t>
      </w:r>
      <w:r>
        <w:rPr>
          <w:rStyle w:val="FootnoteReference"/>
          <w:rFonts w:ascii="Times New Roman" w:hAnsi="Times New Roman"/>
          <w:noProof/>
          <w:sz w:val="24"/>
        </w:rPr>
        <w:footnoteReference w:id="7"/>
      </w:r>
      <w:r>
        <w:rPr>
          <w:rFonts w:ascii="Times New Roman" w:hAnsi="Times New Roman"/>
          <w:noProof/>
          <w:sz w:val="24"/>
        </w:rPr>
        <w:t xml:space="preserve"> </w:t>
      </w:r>
      <w:r>
        <w:rPr>
          <w:rStyle w:val="at1"/>
          <w:rFonts w:ascii="Times New Roman" w:hAnsi="Times New Roman"/>
          <w:noProof/>
          <w:sz w:val="24"/>
        </w:rPr>
        <w:t xml:space="preserve">lajša odobritev ukrepov pomoči </w:t>
      </w:r>
      <w:r>
        <w:rPr>
          <w:rStyle w:val="at3"/>
          <w:rFonts w:ascii="Times New Roman" w:hAnsi="Times New Roman"/>
          <w:noProof/>
          <w:sz w:val="24"/>
        </w:rPr>
        <w:t xml:space="preserve">za </w:t>
      </w:r>
      <w:r>
        <w:rPr>
          <w:rStyle w:val="at2"/>
          <w:rFonts w:ascii="Times New Roman" w:hAnsi="Times New Roman"/>
          <w:noProof/>
          <w:sz w:val="24"/>
        </w:rPr>
        <w:t>dejavnosti na področju raziskav, razvoja in inovacij za dopolnitev zasebnega financiranja. Smernice o državni pomoči za tveg</w:t>
      </w:r>
      <w:r>
        <w:rPr>
          <w:rStyle w:val="at2"/>
          <w:rFonts w:ascii="Times New Roman" w:hAnsi="Times New Roman"/>
          <w:noProof/>
          <w:sz w:val="24"/>
        </w:rPr>
        <w:t>ano financiranje</w:t>
      </w:r>
      <w:r>
        <w:rPr>
          <w:rStyle w:val="FootnoteReference"/>
          <w:rFonts w:ascii="Times New Roman" w:hAnsi="Times New Roman"/>
          <w:noProof/>
          <w:sz w:val="24"/>
        </w:rPr>
        <w:footnoteReference w:id="8"/>
      </w:r>
      <w:r>
        <w:rPr>
          <w:rStyle w:val="at2"/>
          <w:rFonts w:ascii="Times New Roman" w:hAnsi="Times New Roman"/>
          <w:noProof/>
          <w:sz w:val="24"/>
        </w:rPr>
        <w:t xml:space="preserve"> omogočajo hitrejše in bolj velikodušno dodeljevanje pomoči za tvegano financiranje </w:t>
      </w:r>
      <w:r>
        <w:rPr>
          <w:rFonts w:ascii="Times New Roman" w:hAnsi="Times New Roman"/>
          <w:noProof/>
          <w:sz w:val="24"/>
        </w:rPr>
        <w:t xml:space="preserve">inovativnim malim in srednjim podjetjem (MSP) ter </w:t>
      </w:r>
      <w:r>
        <w:rPr>
          <w:rStyle w:val="at2"/>
          <w:rFonts w:ascii="Times New Roman" w:hAnsi="Times New Roman"/>
          <w:noProof/>
          <w:sz w:val="24"/>
        </w:rPr>
        <w:t xml:space="preserve">srednje velikim kapitalskim podjetjem, usmerjenim v rast. </w:t>
      </w:r>
      <w:r>
        <w:rPr>
          <w:rFonts w:ascii="Times New Roman" w:hAnsi="Times New Roman"/>
          <w:noProof/>
          <w:sz w:val="24"/>
        </w:rPr>
        <w:t>Smernice o širokopasovnih omrežjih</w:t>
      </w:r>
      <w:r>
        <w:rPr>
          <w:rStyle w:val="FootnoteReference"/>
          <w:rFonts w:ascii="Times New Roman" w:hAnsi="Times New Roman"/>
          <w:noProof/>
          <w:sz w:val="24"/>
        </w:rPr>
        <w:footnoteReference w:id="9"/>
      </w:r>
      <w:r>
        <w:rPr>
          <w:rFonts w:ascii="Times New Roman" w:hAnsi="Times New Roman"/>
          <w:noProof/>
          <w:sz w:val="24"/>
        </w:rPr>
        <w:t xml:space="preserve"> podpirajo d</w:t>
      </w:r>
      <w:r>
        <w:rPr>
          <w:rFonts w:ascii="Times New Roman" w:hAnsi="Times New Roman"/>
          <w:noProof/>
          <w:sz w:val="24"/>
        </w:rPr>
        <w:t>ržave članice pri odpravljanju vrzeli v financiranju in nedelovanja trga v zvezi z zagotavljanjem zadostne pokritosti s širokopasovnim omrežjem, zlasti na podeželju.</w:t>
      </w:r>
    </w:p>
    <w:p w:rsidR="006B3176" w:rsidRDefault="00A435F4">
      <w:pPr>
        <w:pBdr>
          <w:top w:val="single" w:sz="4" w:space="1" w:color="auto"/>
          <w:left w:val="single" w:sz="4" w:space="4" w:color="auto"/>
          <w:bottom w:val="single" w:sz="4" w:space="1" w:color="auto"/>
          <w:right w:val="single" w:sz="4" w:space="4" w:color="auto"/>
        </w:pBdr>
        <w:jc w:val="both"/>
        <w:rPr>
          <w:rFonts w:ascii="Times New Roman" w:hAnsi="Times New Roman"/>
          <w:b/>
          <w:noProof/>
          <w:sz w:val="20"/>
          <w:szCs w:val="20"/>
        </w:rPr>
      </w:pPr>
      <w:r>
        <w:rPr>
          <w:rFonts w:ascii="Times New Roman" w:hAnsi="Times New Roman"/>
          <w:b/>
          <w:noProof/>
          <w:sz w:val="20"/>
        </w:rPr>
        <w:t>Ukrepi pomoči, ki omogočajo revolucionarne raziskave</w:t>
      </w:r>
    </w:p>
    <w:p w:rsidR="006B3176" w:rsidRDefault="00A435F4">
      <w:pPr>
        <w:pBdr>
          <w:top w:val="single" w:sz="4" w:space="1" w:color="auto"/>
          <w:left w:val="single" w:sz="4" w:space="4" w:color="auto"/>
          <w:bottom w:val="single" w:sz="4" w:space="1" w:color="auto"/>
          <w:right w:val="single" w:sz="4" w:space="4" w:color="auto"/>
        </w:pBdr>
        <w:jc w:val="both"/>
        <w:rPr>
          <w:rFonts w:ascii="Times New Roman" w:hAnsi="Times New Roman"/>
          <w:noProof/>
          <w:sz w:val="20"/>
          <w:szCs w:val="20"/>
        </w:rPr>
      </w:pPr>
      <w:r>
        <w:rPr>
          <w:rFonts w:ascii="Times New Roman" w:hAnsi="Times New Roman"/>
          <w:noProof/>
          <w:sz w:val="20"/>
        </w:rPr>
        <w:t>Pravila o državni pomoči podpirajo vr</w:t>
      </w:r>
      <w:r>
        <w:rPr>
          <w:rFonts w:ascii="Times New Roman" w:hAnsi="Times New Roman"/>
          <w:noProof/>
          <w:sz w:val="20"/>
        </w:rPr>
        <w:t>hunske projekte na najnaprednejših tehnoloških področjih ter s tem prispevajo k spodbujanju in širjenju inovacij v EU.</w:t>
      </w:r>
    </w:p>
    <w:p w:rsidR="006B3176" w:rsidRDefault="00A435F4">
      <w:pPr>
        <w:pBdr>
          <w:top w:val="single" w:sz="4" w:space="1" w:color="auto"/>
          <w:left w:val="single" w:sz="4" w:space="4" w:color="auto"/>
          <w:bottom w:val="single" w:sz="4" w:space="1" w:color="auto"/>
          <w:right w:val="single" w:sz="4" w:space="4" w:color="auto"/>
        </w:pBdr>
        <w:jc w:val="both"/>
        <w:rPr>
          <w:rFonts w:ascii="Times New Roman" w:hAnsi="Times New Roman"/>
          <w:noProof/>
          <w:sz w:val="20"/>
          <w:szCs w:val="20"/>
        </w:rPr>
      </w:pPr>
      <w:r>
        <w:rPr>
          <w:rFonts w:ascii="Times New Roman" w:hAnsi="Times New Roman"/>
          <w:noProof/>
          <w:sz w:val="20"/>
        </w:rPr>
        <w:t>Komisija je aprila na primer proučila dodelitev nepovratnih sredstev v višini 50 milijonov GBP (približno 71 milijonov EUR), ki so jih or</w:t>
      </w:r>
      <w:r>
        <w:rPr>
          <w:rFonts w:ascii="Times New Roman" w:hAnsi="Times New Roman"/>
          <w:noProof/>
          <w:sz w:val="20"/>
        </w:rPr>
        <w:t>gani Združenega kraljestva nameravali zagotoviti za zasnovo motorja SABRE za izstrelitev, in ugotovila, da je v skladu s pravili EU o državni pomoči. SABRE je raziskovalno-razvojni projekt britanskega podjetja Reaction Engines Limited, ki si prizadeva razv</w:t>
      </w:r>
      <w:r>
        <w:rPr>
          <w:rFonts w:ascii="Times New Roman" w:hAnsi="Times New Roman"/>
          <w:noProof/>
          <w:sz w:val="20"/>
        </w:rPr>
        <w:t>iti motor, ki bi bistveno zmanjšal stroške izstrelitve satelitov v nizko zemeljsko orbito. Komisija je projekt proučila na podlagi okvira za državno pomoč za raziskave, razvoj in inovacije ter sklenila, da financiranje iz virov zasebnega kapitala ne bi zad</w:t>
      </w:r>
      <w:r>
        <w:rPr>
          <w:rFonts w:ascii="Times New Roman" w:hAnsi="Times New Roman"/>
          <w:noProof/>
          <w:sz w:val="20"/>
        </w:rPr>
        <w:t>ostovalo za dokončanje projekta. Raziskave na tem področju bi lahko zagotovile pomemben tehnološki napredek v korist potrošnikom, ki uporabljajo izdelke in storitve, ki temeljijo na delovanju satelitov v nizki zemeljski orbiti, kot so mobilne komunikacije.</w:t>
      </w:r>
    </w:p>
    <w:p w:rsidR="006B3176" w:rsidRDefault="00A435F4">
      <w:pPr>
        <w:numPr>
          <w:ilvl w:val="0"/>
          <w:numId w:val="3"/>
        </w:numPr>
        <w:spacing w:line="240" w:lineRule="auto"/>
        <w:jc w:val="both"/>
        <w:rPr>
          <w:rFonts w:ascii="Times New Roman" w:hAnsi="Times New Roman"/>
          <w:b/>
          <w:noProof/>
          <w:sz w:val="24"/>
          <w:szCs w:val="24"/>
        </w:rPr>
      </w:pPr>
      <w:r>
        <w:rPr>
          <w:rFonts w:ascii="Times New Roman" w:hAnsi="Times New Roman"/>
          <w:b/>
          <w:noProof/>
          <w:sz w:val="24"/>
        </w:rPr>
        <w:t xml:space="preserve"> Izkoriščanje možnosti, ki jih ponuja enotni digitalni trg</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 xml:space="preserve">Komisija si prizadeva uresničiti enotni digitalni trg, kar je njena prednostna naloga že od začetka njenega mandata. Razširitev digitalnega gospodarstva je eno od glavnih gonil gospodarske rasti, </w:t>
      </w:r>
      <w:r>
        <w:rPr>
          <w:rFonts w:ascii="Times New Roman" w:hAnsi="Times New Roman"/>
          <w:noProof/>
          <w:sz w:val="24"/>
        </w:rPr>
        <w:t>poleg tega pa spreminja naš svet in način življenja. Uspešen enotni digitalni trg bi spodbujal inovacije, ustvarjal nova delovna mesta in omogočal nove možnosti  evropskim zagonskim ter malim in srednjim podjetjem (MSP), da izkoristijo trg z več kot 500 mi</w:t>
      </w:r>
      <w:r>
        <w:rPr>
          <w:rFonts w:ascii="Times New Roman" w:hAnsi="Times New Roman"/>
          <w:noProof/>
          <w:sz w:val="24"/>
        </w:rPr>
        <w:t xml:space="preserve">lijoni ljudi. Komisija je ocenila, da bi lahko vzpostavitev enotnega digitalnega trga EU z odpravo regulativnih ovir in prehodom z 28 nacionalnih trgov na enega gospodarstvu EU zagotovila 415 milijard EUR na leto ter ustvarila več sto tisoč novih delovnih </w:t>
      </w:r>
      <w:r>
        <w:rPr>
          <w:rFonts w:ascii="Times New Roman" w:hAnsi="Times New Roman"/>
          <w:noProof/>
          <w:sz w:val="24"/>
        </w:rPr>
        <w:t>mest</w:t>
      </w:r>
      <w:r>
        <w:rPr>
          <w:rStyle w:val="FootnoteReference"/>
          <w:rFonts w:ascii="Times New Roman" w:hAnsi="Times New Roman"/>
          <w:noProof/>
          <w:sz w:val="24"/>
        </w:rPr>
        <w:footnoteReference w:id="10"/>
      </w:r>
      <w:r>
        <w:rPr>
          <w:rFonts w:ascii="Times New Roman" w:hAnsi="Times New Roman"/>
          <w:noProof/>
          <w:sz w:val="24"/>
        </w:rPr>
        <w:t>.</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maja 2015 sprejela strategijo za enotni digitalni trg</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Strategija vključuje sklop 16 usmerjenih ukrepov, ki temeljijo na </w:t>
      </w:r>
      <w:r>
        <w:rPr>
          <w:rStyle w:val="Strong"/>
          <w:rFonts w:ascii="Times New Roman" w:hAnsi="Times New Roman"/>
          <w:b w:val="0"/>
          <w:noProof/>
          <w:sz w:val="24"/>
        </w:rPr>
        <w:t>naslednjih treh stebrih</w:t>
      </w:r>
      <w:r>
        <w:rPr>
          <w:rFonts w:ascii="Times New Roman" w:hAnsi="Times New Roman"/>
          <w:b/>
          <w:noProof/>
          <w:sz w:val="24"/>
        </w:rPr>
        <w:t>:</w:t>
      </w:r>
      <w:r>
        <w:rPr>
          <w:rFonts w:ascii="Times New Roman" w:hAnsi="Times New Roman"/>
          <w:noProof/>
          <w:sz w:val="24"/>
        </w:rPr>
        <w:t xml:space="preserve"> (1) boljši dostop potrošnikov in podjetij do digitalnega blaga in storitev po vsej Evropi,</w:t>
      </w:r>
      <w:r>
        <w:rPr>
          <w:rFonts w:ascii="Times New Roman" w:hAnsi="Times New Roman"/>
          <w:noProof/>
          <w:sz w:val="24"/>
        </w:rPr>
        <w:t xml:space="preserve"> (2) oblikovanje ustreznega okolja in enakih konkurenčnih pogojev za razcvet digitalnih omrežij in inovativnih storitev ter (3) čim boljše izkoriščanje možnosti za rast digitalnega gospodarstva.</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Digitalni trgi so tudi glavna prednostna naloga na področju p</w:t>
      </w:r>
      <w:r>
        <w:rPr>
          <w:rFonts w:ascii="Times New Roman" w:hAnsi="Times New Roman"/>
          <w:noProof/>
          <w:sz w:val="24"/>
        </w:rPr>
        <w:t>olitike konkurence. Odprti in pošteni digitalni trgi bodo spodbudili inovacije ter prinesli koristi za potrošnike in podjetja. Enotni digitalni trg mora biti prostor, v katerem lahko vsi veliki in majhni subjekti razvijajo inovativne izdelke in konkurirajo</w:t>
      </w:r>
      <w:r>
        <w:rPr>
          <w:rFonts w:ascii="Times New Roman" w:hAnsi="Times New Roman"/>
          <w:noProof/>
          <w:sz w:val="24"/>
        </w:rPr>
        <w:t xml:space="preserve"> na podlagi svojih zaslug. Poleg tega politika konkurence odpravlja obstoječe ovire na spletu, ki omejujejo naložbena obzorja internetnih podjetij in zagonskih internetnih podjetij ter podjetjem, državljanom in vladam preprečujejo, da bi v celoti izkoristi</w:t>
      </w:r>
      <w:r>
        <w:rPr>
          <w:rFonts w:ascii="Times New Roman" w:hAnsi="Times New Roman"/>
          <w:noProof/>
          <w:sz w:val="24"/>
        </w:rPr>
        <w:t>li digitalna orodja.</w:t>
      </w:r>
    </w:p>
    <w:p w:rsidR="006B3176" w:rsidRDefault="00A435F4">
      <w:pPr>
        <w:keepNext/>
        <w:spacing w:line="240" w:lineRule="auto"/>
        <w:jc w:val="both"/>
        <w:rPr>
          <w:rFonts w:ascii="Times New Roman" w:hAnsi="Times New Roman"/>
          <w:noProof/>
          <w:sz w:val="24"/>
          <w:szCs w:val="24"/>
        </w:rPr>
      </w:pPr>
      <w:r>
        <w:rPr>
          <w:rFonts w:ascii="Times New Roman" w:hAnsi="Times New Roman"/>
          <w:i/>
          <w:noProof/>
          <w:sz w:val="24"/>
        </w:rPr>
        <w:t>Zagotavljanje neizkrivljene konkurence na spletu: odpravljanje spletnih ovir za inovacije</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Hitri napredek digitalnega gospodarstva pomeni številne izzive za oblikovalce politik, vendar ne zahteva prenovitve zakonodaje in orodij na podro</w:t>
      </w:r>
      <w:r>
        <w:rPr>
          <w:rFonts w:ascii="Times New Roman" w:hAnsi="Times New Roman"/>
          <w:noProof/>
          <w:sz w:val="24"/>
        </w:rPr>
        <w:t>čju konkurence, saj se instrumenti politike konkurence hitro prilagajajo posebnostim digitalnih trgov</w:t>
      </w:r>
      <w:r>
        <w:rPr>
          <w:rStyle w:val="FootnoteReference"/>
          <w:rFonts w:ascii="Times New Roman" w:hAnsi="Times New Roman"/>
          <w:noProof/>
          <w:sz w:val="24"/>
        </w:rPr>
        <w:footnoteReference w:id="12"/>
      </w:r>
      <w:r>
        <w:rPr>
          <w:noProof/>
        </w:rPr>
        <w:t>.</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rPr>
        <w:t>Preiskava v sektorju e-trgovanja – poglabljanje poznavanja trga za odpravo čezmejnih ovir</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rPr>
        <w:t xml:space="preserve">Komisija je maja 2015 začela protimonopolno preiskavo v </w:t>
      </w:r>
      <w:r>
        <w:rPr>
          <w:rFonts w:ascii="Times New Roman" w:hAnsi="Times New Roman"/>
          <w:noProof/>
          <w:sz w:val="20"/>
        </w:rPr>
        <w:t>sektorju e-trgovanja v EU. Leta 2014 je približno polovica vseh potrošnikov EU kupovala prek spleta, vendar jih je samo približno 15 % prek spleta kupilo blago ali storitve prodajalca s sedežem v drugi državi članici EU. To pomeni, da v EU še vedno obstaja</w:t>
      </w:r>
      <w:r>
        <w:rPr>
          <w:rFonts w:ascii="Times New Roman" w:hAnsi="Times New Roman"/>
          <w:noProof/>
          <w:sz w:val="20"/>
        </w:rPr>
        <w:t>jo znatne ovire pri čezmejnem e-trgovanju. Sektorska preiskava bo osredotočena predvsem na morebitne ovire, ki jih podjetja postavljajo čezmejnemu spletnemu trgovanju z blagom in storitvami v sektorjih, kjer je e-trgovanje najbolj razširjeno, kot so elektr</w:t>
      </w:r>
      <w:r>
        <w:rPr>
          <w:rFonts w:ascii="Times New Roman" w:hAnsi="Times New Roman"/>
          <w:noProof/>
          <w:sz w:val="20"/>
        </w:rPr>
        <w:t>onika, oblačila in obutev ter digitalne vsebine.</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rPr>
        <w:t>Sektorska preiskava bo podprla ukrepe za odpravo omejitev spletne prodaje, ki jih sprejemajo Komisija in nacionalni organi za konkurenco v EU. Ugotovitve preiskave bodo prispevale k boljšemu izvajanju zakono</w:t>
      </w:r>
      <w:r>
        <w:rPr>
          <w:rFonts w:ascii="Times New Roman" w:hAnsi="Times New Roman"/>
          <w:noProof/>
          <w:sz w:val="20"/>
        </w:rPr>
        <w:t>daje o konkurenci na področju e-trgovanja.</w:t>
      </w:r>
    </w:p>
    <w:p w:rsidR="006B3176" w:rsidRDefault="00A435F4">
      <w:pPr>
        <w:spacing w:after="120" w:line="240" w:lineRule="auto"/>
        <w:jc w:val="both"/>
        <w:rPr>
          <w:rFonts w:ascii="Times New Roman" w:hAnsi="Times New Roman"/>
          <w:noProof/>
          <w:sz w:val="24"/>
          <w:szCs w:val="24"/>
        </w:rPr>
      </w:pPr>
      <w:r>
        <w:rPr>
          <w:rFonts w:ascii="Times New Roman" w:hAnsi="Times New Roman"/>
          <w:noProof/>
          <w:sz w:val="24"/>
        </w:rPr>
        <w:t>Eden od glavnih ciljev krepitve konkurence je spodbujati vse udeležence v sektorju k inovacijam, ne glede na to, ali so zagonska podjetja ali podjetja s prevladujočim tržnim deležem. Cilj je zagotoviti, da imajo e</w:t>
      </w:r>
      <w:r>
        <w:rPr>
          <w:rFonts w:ascii="Times New Roman" w:hAnsi="Times New Roman"/>
          <w:noProof/>
          <w:sz w:val="24"/>
        </w:rPr>
        <w:t xml:space="preserve">vropski potrošniki čim večjo izbiro inovativnih izdelkov. Komisija na primer izvaja protimonopolno preiskavo Googlovega ravnanja na trgu spletnega iskanja. </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aprila Googlu poslala obvestilo o nasprotovanju, v katerem ga je obtožila zlorabe prevl</w:t>
      </w:r>
      <w:r>
        <w:rPr>
          <w:rFonts w:ascii="Times New Roman" w:hAnsi="Times New Roman"/>
          <w:noProof/>
          <w:sz w:val="24"/>
        </w:rPr>
        <w:t>adujočega položaja na trgu storitev spletnega iskanja v Evropskem gospodarskem prostoru, ker sistematično daje prednost lastni storitvi za primerjavo cen na straneh z zadetki splošnega iskanja</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Zaskrbljena je, da zadetki iskanja, ki se prikažejo uporabnik</w:t>
      </w:r>
      <w:r>
        <w:rPr>
          <w:rFonts w:ascii="Times New Roman" w:hAnsi="Times New Roman"/>
          <w:noProof/>
          <w:sz w:val="24"/>
        </w:rPr>
        <w:t>om, niso vedno najbolj relevantni za njihovo poizvedbo. Predhodno stališče Komisije je, da Googlovo ravnanje krši protimonopolna pravila EU, ker zatira konkurenco in s tem škoduje potrošnikom.</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v preteklosti izrazila štiri pomisleke glede Googlo</w:t>
      </w:r>
      <w:r>
        <w:rPr>
          <w:rFonts w:ascii="Times New Roman" w:hAnsi="Times New Roman"/>
          <w:noProof/>
          <w:sz w:val="24"/>
        </w:rPr>
        <w:t>vega ravnanja in navedeno obvestilo o nasprotovanju se nanaša na prvega od teh pomislekov (o storitvi za primerjavo cen). Dejavno preiskuje tudi Googlovo ravnanje v zvezi z drugimi tremi pomisleki: kopiranjem spletnih vsebin konkurentov, ekskluzivnostjo og</w:t>
      </w:r>
      <w:r>
        <w:rPr>
          <w:rFonts w:ascii="Times New Roman" w:hAnsi="Times New Roman"/>
          <w:noProof/>
          <w:sz w:val="24"/>
        </w:rPr>
        <w:t>laševanja in neupravičenimi omejitvami za oglaševalce. Obvestilo o nasprotovanju glede storitve za primerjavo cen nikakor ne vpliva na izid preiskave Komisije v zvezi z drugimi tremi pomisleki.</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 xml:space="preserve">Druga preiskava v digitalnem sektorju zadeva Amazon. Komisija </w:t>
      </w:r>
      <w:r>
        <w:rPr>
          <w:rFonts w:ascii="Times New Roman" w:hAnsi="Times New Roman"/>
          <w:noProof/>
          <w:sz w:val="24"/>
        </w:rPr>
        <w:t>je junija začela formalno protimonopolno preiskavo nekaterih Amazonovih poslovnih praks v zvezi z distribucijo e-knjig</w:t>
      </w:r>
      <w:r>
        <w:rPr>
          <w:rStyle w:val="FootnoteReference"/>
          <w:rFonts w:ascii="Times New Roman" w:hAnsi="Times New Roman"/>
          <w:noProof/>
          <w:sz w:val="24"/>
        </w:rPr>
        <w:footnoteReference w:id="14"/>
      </w:r>
      <w:r>
        <w:rPr>
          <w:noProof/>
        </w:rPr>
        <w:t>.</w:t>
      </w:r>
      <w:r>
        <w:rPr>
          <w:rFonts w:ascii="Times New Roman" w:hAnsi="Times New Roman"/>
          <w:noProof/>
          <w:sz w:val="24"/>
        </w:rPr>
        <w:t xml:space="preserve"> Preiskava je osredotočena predvsem na klavzule, ki Amazon očitno ščitijo pred konkurenco drugih distributerjev e-knjig, na primer klavz</w:t>
      </w:r>
      <w:r>
        <w:rPr>
          <w:rFonts w:ascii="Times New Roman" w:hAnsi="Times New Roman"/>
          <w:noProof/>
          <w:sz w:val="24"/>
        </w:rPr>
        <w:t>ule, ki mu dajejo pravico do obveščenosti o ugodnejših ali alternativnih pogojih, ponujenih njegovim konkurentom, in/ali pravico do pogojev, ki so vsaj tako dobri kot pogoji, ponujeni njegovim konkurentom.</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zaskrbljena, da bi lahko take klavzule</w:t>
      </w:r>
      <w:r>
        <w:rPr>
          <w:rFonts w:ascii="Times New Roman" w:hAnsi="Times New Roman"/>
          <w:noProof/>
          <w:sz w:val="24"/>
        </w:rPr>
        <w:t xml:space="preserve"> onemogočile enake konkurenčne pogoje in zmanjšale konkurenco na trgu v škodo potrošnikov, saj bi drugi distributerji e-knjig težje konkurirali Amazonu z razvojem novih in inovativnih izdelkov in storitev. Če bo tako ravnanje potrjeno, bo pomenilo kršitev </w:t>
      </w:r>
      <w:r>
        <w:rPr>
          <w:rFonts w:ascii="Times New Roman" w:hAnsi="Times New Roman"/>
          <w:noProof/>
          <w:sz w:val="24"/>
        </w:rPr>
        <w:t>protimonopolnih pravil EU, ki prepovedujejo zlorabe prevladujočega položaja na trgu in omejevalna poslovna ravnanja. Komisija si prizadeva zagotoviti zdravo konkurenco med platformami, subjektom na trgu pa preprečiti zlorabo položaja za pridobitev pogodben</w:t>
      </w:r>
      <w:r>
        <w:rPr>
          <w:rFonts w:ascii="Times New Roman" w:hAnsi="Times New Roman"/>
          <w:noProof/>
          <w:sz w:val="24"/>
        </w:rPr>
        <w:t>ih pogojev, ki bi lahko ovirali inovacije na trgu.</w:t>
      </w:r>
    </w:p>
    <w:p w:rsidR="006B3176" w:rsidRDefault="00A435F4">
      <w:pPr>
        <w:spacing w:line="240" w:lineRule="auto"/>
        <w:jc w:val="both"/>
        <w:rPr>
          <w:rFonts w:ascii="Times New Roman" w:hAnsi="Times New Roman"/>
          <w:i/>
          <w:noProof/>
          <w:sz w:val="24"/>
          <w:szCs w:val="24"/>
        </w:rPr>
      </w:pPr>
      <w:r>
        <w:rPr>
          <w:rFonts w:ascii="Times New Roman" w:hAnsi="Times New Roman"/>
          <w:i/>
          <w:noProof/>
          <w:sz w:val="24"/>
        </w:rPr>
        <w:t>Spodbujanje večje izbire za državljane EU pri dostopu do medijev</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Odločno in hitro izvrševanja zakonodaje o konkurenci je ključnega pomena za učinkovito obravnavo vprašanj, ki se pojavljajo v novih in hitro</w:t>
      </w:r>
      <w:r>
        <w:rPr>
          <w:rFonts w:ascii="Times New Roman" w:hAnsi="Times New Roman"/>
          <w:noProof/>
          <w:sz w:val="24"/>
        </w:rPr>
        <w:t xml:space="preserve"> razvijajočih se sektorjih digitalnega gospodarstva. Vendar je zagotavljanje živahne konkurence na bolj tradicionalnih trgih, kot je trg za razširjanje televizijskih programov, enako pomembno za evropske državljane. Komisija želi zagotoviti, da lahko potro</w:t>
      </w:r>
      <w:r>
        <w:rPr>
          <w:rFonts w:ascii="Times New Roman" w:hAnsi="Times New Roman"/>
          <w:noProof/>
          <w:sz w:val="24"/>
        </w:rPr>
        <w:t>šniki izbirajo med televizijskimi distributerji, ki konkurirajo pod enakimi in poštenimi pogoji</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rPr>
        <w:t>Zaščita spodbud za inovacije v medijskem sektorju</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rPr>
        <w:t>Komisija je februarja 2015 na podlagi uredbe EU o združitvah odobrila pridobitev deleža v belgijskem medijs</w:t>
      </w:r>
      <w:r>
        <w:rPr>
          <w:rFonts w:ascii="Times New Roman" w:hAnsi="Times New Roman"/>
          <w:noProof/>
          <w:sz w:val="20"/>
        </w:rPr>
        <w:t>kem podjetju De Vijver Media NV (v nadaljnjem besedilu: podjetje De Vijver), ki ga je kupilo podjetje Liberty Global, pri čemer je za pogoj postavila spoštovanje zavez. Sklep Komisije je bil sprejet na podlagi poglobljene preiskave.</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rPr>
        <w:t>Komisijo je skrbelo, da</w:t>
      </w:r>
      <w:r>
        <w:rPr>
          <w:rFonts w:ascii="Times New Roman" w:hAnsi="Times New Roman"/>
          <w:noProof/>
          <w:sz w:val="20"/>
        </w:rPr>
        <w:t xml:space="preserve"> bo podjetje De Vijver po transakciji televizijskim distributerjem, ki konkurirajo kabelskemu operaterju Telenet, ki je pod nadzorom podjetja Liberty Global, zavrnilo izdajo dovoljenj za svoje kanale. Zaveze odpravljajo te pomisleke, saj podjetje De Vijver</w:t>
      </w:r>
      <w:r>
        <w:rPr>
          <w:rFonts w:ascii="Times New Roman" w:hAnsi="Times New Roman"/>
          <w:noProof/>
          <w:sz w:val="20"/>
        </w:rPr>
        <w:t xml:space="preserve"> obvezujejo, da televizijskim distributerjem v Belgiji izdaja dovoljenja za svoje kanale, tj. Vier, Vijf in katere koli druge podobne kanale, ki jih bo morda uvedlo, pod poštenimi, razumnimi in nediskriminatornimi pogoji. Brez teh zavez bi lahko transakcij</w:t>
      </w:r>
      <w:r>
        <w:rPr>
          <w:rFonts w:ascii="Times New Roman" w:hAnsi="Times New Roman"/>
          <w:noProof/>
          <w:sz w:val="20"/>
        </w:rPr>
        <w:t>a zmanjšala konkurenco na trgu televizijske distribucije, kar bi na koncu pomenilo višje cene in manj inovacij za potrošnike.</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rPr>
        <w:t>Poleg tega je Komisija aprila odobrila predlagano pripojitev portugalskega telekomunikacijskega operaterja PT Portugal k večnacion</w:t>
      </w:r>
      <w:r>
        <w:rPr>
          <w:rFonts w:ascii="Times New Roman" w:hAnsi="Times New Roman"/>
          <w:noProof/>
          <w:sz w:val="20"/>
        </w:rPr>
        <w:t>alnemu kabelskemu in telekomunikacijskemu podjetju Altice. Veljavnost sklepa je pogojena s spoštovanjem zaveze podjetja Altice, da bo prodalo svoji hčerinski družbi na Portugalskem.</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rPr>
        <w:t xml:space="preserve">PT Portugal je operater za telekomunikacijo in večpredstavnostne vsebine, </w:t>
      </w:r>
      <w:r>
        <w:rPr>
          <w:rFonts w:ascii="Times New Roman" w:hAnsi="Times New Roman"/>
          <w:noProof/>
          <w:sz w:val="20"/>
        </w:rPr>
        <w:t xml:space="preserve">katerega dejavnosti zajemajo vse telekomunikacijske segmente na Portugalskem. Komisijo je skrbelo, da bi združitev, kot je bila prvotno priglašena, zmanjšala konkurenco na več telekomunikacijskih trgih na Portugalskem. Zaradi združitve bi te trge zapustil </w:t>
      </w:r>
      <w:r>
        <w:rPr>
          <w:rFonts w:ascii="Times New Roman" w:hAnsi="Times New Roman"/>
          <w:noProof/>
          <w:sz w:val="20"/>
        </w:rPr>
        <w:t>močan konkurent, kar bi lahko za portugalske potrošnike pomenilo višje cene in manjšo konkurenco. Da bi podjetje Altice odpravilo te pomisleke, je predlagalo, da bo prodalo svoji portugalski hčerinski družbi Cabovisão in ONI ter s tem odpravilo prekrivanje</w:t>
      </w:r>
      <w:r>
        <w:rPr>
          <w:rFonts w:ascii="Times New Roman" w:hAnsi="Times New Roman"/>
          <w:noProof/>
          <w:sz w:val="20"/>
        </w:rPr>
        <w:t xml:space="preserve"> svojih dejavnosti z dejavnostmi PT Portugal. Komisija je pri proučevanju predlagane transakcije tesno sodelovala s portugalskim organom za konkurenco.</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Druga protimonopolna preiskava zadeva čezmejno zagotavljanje naročniških televizijskih storitev v Združe</w:t>
      </w:r>
      <w:r>
        <w:rPr>
          <w:rFonts w:ascii="Times New Roman" w:hAnsi="Times New Roman"/>
          <w:noProof/>
          <w:sz w:val="24"/>
        </w:rPr>
        <w:t>nem kraljestvu in na Irskem. Komisija je julija poslala obvestilo o nasprotovanju podjetju Sky UK in šestim velikim filmskim studiem v Združenih državah Amerike: Disney, NBC Universal, Paramount Pictures, Sony, Twentieth Century Fox in Warner Bros</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V prei</w:t>
      </w:r>
      <w:r>
        <w:rPr>
          <w:rFonts w:ascii="Times New Roman" w:hAnsi="Times New Roman"/>
          <w:noProof/>
          <w:sz w:val="24"/>
        </w:rPr>
        <w:t>skavi Komisije, ki se je začela januarja 2014, je bilo ugotovljeno, da so v sporazumih o izdaji dovoljenj med šestimi filmskimi studii in Sky UK klavzule, ki od podjetja Sky UK zahtevajo, da potrošnikom zunaj ozemlja, za katerega ima dovoljenja (Združeno k</w:t>
      </w:r>
      <w:r>
        <w:rPr>
          <w:rFonts w:ascii="Times New Roman" w:hAnsi="Times New Roman"/>
          <w:noProof/>
          <w:sz w:val="24"/>
        </w:rPr>
        <w:t>raljestvo in Irska), onemogoči dostop do filmov, ki so na voljo prek njegovih spletnih ali satelitskih naročniških televizijskih storitev. Nekateri sporazumi vsebujejo tudi klavzule, ki od filmskih studiev zahtevajo, da v sporazumih o izdaji dovoljenj z iz</w:t>
      </w:r>
      <w:r>
        <w:rPr>
          <w:rFonts w:ascii="Times New Roman" w:hAnsi="Times New Roman"/>
          <w:noProof/>
          <w:sz w:val="24"/>
        </w:rPr>
        <w:t>dajatelji televizijskih programov, ki niso Sky UK, tem izdajateljem preprečijo zagotavljanje njihovih naročniških televizijskih storitev v Združenem kraljestvu in na Irskem.</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To stanje vpliva na evropske potrošnike, ki želijo gledati naročniške televizijske</w:t>
      </w:r>
      <w:r>
        <w:rPr>
          <w:rFonts w:ascii="Times New Roman" w:hAnsi="Times New Roman"/>
          <w:noProof/>
          <w:sz w:val="24"/>
        </w:rPr>
        <w:t xml:space="preserve"> kanale po svoji izbiri, ne glede na to, kje v EU živijo ali potujejo. Predhodno stališče Komisije je, da bi take klavzule brez prepričljive utemeljitve pomenile kršitev pravil EU, ki prepovedujejo protikonkurenčne sporazume.</w:t>
      </w:r>
    </w:p>
    <w:p w:rsidR="006B3176" w:rsidRDefault="00A435F4">
      <w:pPr>
        <w:spacing w:line="240" w:lineRule="auto"/>
        <w:jc w:val="both"/>
        <w:rPr>
          <w:rFonts w:ascii="Times New Roman" w:hAnsi="Times New Roman"/>
          <w:noProof/>
          <w:sz w:val="24"/>
          <w:szCs w:val="24"/>
        </w:rPr>
      </w:pPr>
      <w:r>
        <w:rPr>
          <w:rFonts w:ascii="Times New Roman" w:hAnsi="Times New Roman"/>
          <w:i/>
          <w:noProof/>
          <w:sz w:val="24"/>
        </w:rPr>
        <w:t>Izboljševanje delovanja inovat</w:t>
      </w:r>
      <w:r>
        <w:rPr>
          <w:rFonts w:ascii="Times New Roman" w:hAnsi="Times New Roman"/>
          <w:i/>
          <w:noProof/>
          <w:sz w:val="24"/>
        </w:rPr>
        <w:t>ivnih trgov – mobilne naprave</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Mobilne naprave, kot so pametni telefoni in tablični računalniki, so danes del vsakdanjega življenja večine evropskih državljanov. Leto 2015 je bilo mejnik za evropske uporabnike mobilnih komunikacijskih omrežij, saj sta Evrop</w:t>
      </w:r>
      <w:r>
        <w:rPr>
          <w:rFonts w:ascii="Times New Roman" w:hAnsi="Times New Roman"/>
          <w:noProof/>
          <w:sz w:val="24"/>
        </w:rPr>
        <w:t>ski parlament in Svet sprejela Uredbo (EU) 2015/2120</w:t>
      </w:r>
      <w:r>
        <w:rPr>
          <w:rStyle w:val="FootnoteReference"/>
          <w:rFonts w:ascii="Times New Roman" w:hAnsi="Times New Roman"/>
          <w:noProof/>
          <w:sz w:val="24"/>
        </w:rPr>
        <w:footnoteReference w:id="17"/>
      </w:r>
      <w:r>
        <w:rPr>
          <w:rFonts w:ascii="Times New Roman" w:hAnsi="Times New Roman"/>
          <w:noProof/>
          <w:sz w:val="24"/>
        </w:rPr>
        <w:t>, ki bo s 15. junijem 2017 odpravila pribitke za gostovanje v EU. Cilj izvrševanja protimonopolnih ukrepov in zakonodaje je zavarovati konkurenco na področju mobilnih naprav, da se zagotovijo nadaljnje i</w:t>
      </w:r>
      <w:r>
        <w:rPr>
          <w:rFonts w:ascii="Times New Roman" w:hAnsi="Times New Roman"/>
          <w:noProof/>
          <w:sz w:val="24"/>
        </w:rPr>
        <w:t xml:space="preserve">novacije v korist evropskih potrošnikov.  </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Po tem, ko je Komisija decembra začela dve ločeni protimonopolni preiskavi, je podjetju Qualcomm, ki je največji svetovni dobavitelj naborov čipov za osnovni pas, ki se uporabljajo v potrošniških elektronskih napr</w:t>
      </w:r>
      <w:r>
        <w:rPr>
          <w:rFonts w:ascii="Times New Roman" w:hAnsi="Times New Roman"/>
          <w:noProof/>
          <w:sz w:val="24"/>
        </w:rPr>
        <w:t>avah, poslala dve obvestili o nasprotovanju. Nabori čipov za osnovni pas obdelujejo komunikacijske funkcije v pametnih telefonih, tabličnih računalnikih in drugih mobilnih širokopasovnih napravah. Uporabljajo se za prenos glasu in podatkov.</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Predhodno stali</w:t>
      </w:r>
      <w:r>
        <w:rPr>
          <w:rFonts w:ascii="Times New Roman" w:hAnsi="Times New Roman"/>
          <w:noProof/>
          <w:sz w:val="24"/>
        </w:rPr>
        <w:t>šče Komisije je, da je podjetje zlorabilo svoj prevladujoči položaj na svetovnih trgih za nabore čipov za osnovni pas 3G (UMTS) in 4G (LTE), s čimer je kršilo protimonopolna pravila EU</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Komisija v prvi preiskavi proučuje, ali je podjetje Qualcomm s ponuja</w:t>
      </w:r>
      <w:r>
        <w:rPr>
          <w:rFonts w:ascii="Times New Roman" w:hAnsi="Times New Roman"/>
          <w:noProof/>
          <w:sz w:val="24"/>
        </w:rPr>
        <w:t>njem finančnih spodbud velikemu proizvajalcu pametnih telefonov in tabličnih računalnikov v zameno za izključno uporabo naborov čipov podjetja Qualcomm v njegovih pametnih telefonih in tabličnih računalnikih zlorabilo svoj prevladujoči položaj na trgu. Tak</w:t>
      </w:r>
      <w:r>
        <w:rPr>
          <w:rFonts w:ascii="Times New Roman" w:hAnsi="Times New Roman"/>
          <w:noProof/>
          <w:sz w:val="24"/>
        </w:rPr>
        <w:t>o ravnanje bi zmanjšalo spodbude za proizvajalca za kupovanje naborov čipov od konkurentov podjetja Qualcomm, s čimer bi škodovalo konkurenci in inovacijam na trgih za nabore čipov za osnovni pas UMTS in LTE. V drugi preiskavi Komisija proučuje, ali je pod</w:t>
      </w:r>
      <w:r>
        <w:rPr>
          <w:rFonts w:ascii="Times New Roman" w:hAnsi="Times New Roman"/>
          <w:noProof/>
          <w:sz w:val="24"/>
        </w:rPr>
        <w:t>jetje Qualcomm določalo plenilske cene z zaračunavanjem cen, nižjih od stroškov, da bi konkurente izrinilo s trga.</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Vendar je trg za dobavo strojne opreme samo ena stran zgodbe – tudi programska oprema na pametnih telefonih in tabličnih računalnikih mora bi</w:t>
      </w:r>
      <w:r>
        <w:rPr>
          <w:rFonts w:ascii="Times New Roman" w:hAnsi="Times New Roman"/>
          <w:noProof/>
          <w:sz w:val="24"/>
        </w:rPr>
        <w:t>ti v skladu z načelom neizkrivljanja konkurence. Mobilne aplikacije in storitve na pametnih telefonih, tabličnih računalnikih in drugih mobilnih napravah temeljijo na operacijskem sistemu naprave. Google Android je postal vodilni operacijski sistem za pame</w:t>
      </w:r>
      <w:r>
        <w:rPr>
          <w:rFonts w:ascii="Times New Roman" w:hAnsi="Times New Roman"/>
          <w:noProof/>
          <w:sz w:val="24"/>
        </w:rPr>
        <w:t>tne mobilne naprave v Evropskem gospodarskem prostoru, saj se danes uporablja na večini pametnih mobilnih naprav v Evropi.</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aprila začela formalni postopek zoper Google, da bi proučila, ali bi lahko podjetje s svojim ravnanjem v zvezi s sistemom</w:t>
      </w:r>
      <w:r>
        <w:rPr>
          <w:rFonts w:ascii="Times New Roman" w:hAnsi="Times New Roman"/>
          <w:noProof/>
          <w:sz w:val="24"/>
        </w:rPr>
        <w:t xml:space="preserve"> Android kršilo protimonopolna pravila EU</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Android je odprtokodni mobilni operacijski sistem, ki ga razvija predvsem Google. Načeloma ga lahko kdor koli prosto uporablja in nadalje razvija. Vendar večina proizvajalcev pametnih telefonov in tabličnih račun</w:t>
      </w:r>
      <w:r>
        <w:rPr>
          <w:rFonts w:ascii="Times New Roman" w:hAnsi="Times New Roman"/>
          <w:noProof/>
          <w:sz w:val="24"/>
        </w:rPr>
        <w:t>alnikov operacijski sistem Android uporablja v kombinaciji z različnimi Googlovimi lastniškimi aplikacijami in storitvami, zato morajo skleniti določene sporazume z Googlom.</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proučuje, ali je Google s sklenitvijo protikonkurenčnih sporazumov in/ali</w:t>
      </w:r>
      <w:r>
        <w:rPr>
          <w:rFonts w:ascii="Times New Roman" w:hAnsi="Times New Roman"/>
          <w:noProof/>
          <w:sz w:val="24"/>
        </w:rPr>
        <w:t xml:space="preserve"> zlorabo morebitnega prevladujočega položaja nezakonito oviral razvoj konkurenčnih mobilnih operacijskih sistemov, mobilnih komunikacijskih aplikacij in storitev v Evropskem gospodarskem prostoru ter oviral njihov dostop na trg. Ta preiskava Komisije je ne</w:t>
      </w:r>
      <w:r>
        <w:rPr>
          <w:rFonts w:ascii="Times New Roman" w:hAnsi="Times New Roman"/>
          <w:noProof/>
          <w:sz w:val="24"/>
        </w:rPr>
        <w:t>odvisna in ločena od njene preiskave Googlovega ravnanja v zvezi z iskanjem po internetu.</w:t>
      </w:r>
    </w:p>
    <w:p w:rsidR="006B3176" w:rsidRDefault="00A435F4">
      <w:pPr>
        <w:spacing w:line="240" w:lineRule="auto"/>
        <w:jc w:val="both"/>
        <w:rPr>
          <w:rFonts w:ascii="Times New Roman" w:hAnsi="Times New Roman"/>
          <w:noProof/>
          <w:sz w:val="24"/>
          <w:szCs w:val="24"/>
        </w:rPr>
      </w:pPr>
      <w:r>
        <w:rPr>
          <w:rFonts w:ascii="Times New Roman" w:hAnsi="Times New Roman"/>
          <w:i/>
          <w:noProof/>
          <w:sz w:val="24"/>
        </w:rPr>
        <w:t>Učinkovit nadzor nad združitvami za zagotovitev naložb v telekomunikacijskem sektorju</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Učinkovita konkurenca v telekomunikacijskem sektorju je ključno gonilo naložb in</w:t>
      </w:r>
      <w:r>
        <w:rPr>
          <w:rFonts w:ascii="Times New Roman" w:hAnsi="Times New Roman"/>
          <w:noProof/>
          <w:sz w:val="24"/>
        </w:rPr>
        <w:t xml:space="preserve"> boljših tržnih rezultatov za potrošnike in podjetja. Konkurenca je gonilna sila, ki bo pritegnila naložbe za razvoj visokohitrostnih širokopasovnih omrežij, ki jih potrebujejo evropski državljani. Potrošniki nimajo koristi od naložb kot takih, ampak od nj</w:t>
      </w:r>
      <w:r>
        <w:rPr>
          <w:rFonts w:ascii="Times New Roman" w:hAnsi="Times New Roman"/>
          <w:noProof/>
          <w:sz w:val="24"/>
        </w:rPr>
        <w:t>ihovega učinka na parametre konkurence, kot so izbira, kakovost in cena.</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Poleg ohranitve odprtosti in konkurenčnosti trga telekomunikacij je izvrševanje zakonodaje o konkurenci še vedno ključnega pomena za odpravljanje razdrobljenosti trga v EU</w:t>
      </w:r>
      <w:r>
        <w:rPr>
          <w:rStyle w:val="FootnoteReference"/>
          <w:rFonts w:ascii="Times New Roman" w:hAnsi="Times New Roman"/>
          <w:noProof/>
          <w:sz w:val="24"/>
        </w:rPr>
        <w:footnoteReference w:id="20"/>
      </w:r>
      <w:r>
        <w:rPr>
          <w:noProof/>
        </w:rPr>
        <w:t>.</w:t>
      </w:r>
      <w:r>
        <w:rPr>
          <w:rStyle w:val="FootnoteReference"/>
          <w:noProof/>
        </w:rPr>
        <w:t xml:space="preserve"> </w:t>
      </w:r>
      <w:r>
        <w:rPr>
          <w:rFonts w:ascii="Times New Roman" w:hAnsi="Times New Roman"/>
          <w:noProof/>
          <w:sz w:val="24"/>
        </w:rPr>
        <w:t xml:space="preserve">Politika </w:t>
      </w:r>
      <w:r>
        <w:rPr>
          <w:rFonts w:ascii="Times New Roman" w:hAnsi="Times New Roman"/>
          <w:noProof/>
          <w:sz w:val="24"/>
        </w:rPr>
        <w:t>konkurence dopolnjuje tudi pregled regulativnega okvira za telekomunikacije, ki je eden od glavnih ukrepov, načrtovanih v okviru strategije za enotni digitalni trg.</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Poleg tega je nadzor nad združitvami na tem področju bistvenega pomena, saj vključuje prouč</w:t>
      </w:r>
      <w:r>
        <w:rPr>
          <w:rFonts w:ascii="Times New Roman" w:hAnsi="Times New Roman"/>
          <w:noProof/>
          <w:sz w:val="24"/>
        </w:rPr>
        <w:t>itev, ali bi predlagana združitev prispevala k povečanju naložb v korist potrošnikov, na primer v obliki povečane omrežne pokritosti.</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maja na podlagi uredbe EU o združitvah odobrila predlagano pripojitev telekomunikacijskega podjetja Jazztel, k</w:t>
      </w:r>
      <w:r>
        <w:rPr>
          <w:rFonts w:ascii="Times New Roman" w:hAnsi="Times New Roman"/>
          <w:noProof/>
          <w:sz w:val="24"/>
        </w:rPr>
        <w:t>i ima sedež v Združenem kraljestvu, vendar deluje predvsem v Španiji, h konkurenčnemu podjetju Orange SA s sedežem v Franciji</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Pogoj za odobritev je popolna izpolnitev več zavez podjetja Orange, ki bodo po prevzemu zagotovile učinkovito konkurenco na trgih storitev dostopa do fiksnega interneta.</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Komisijo je skrbelo, da bi se lahko zaradi prevzema, kot je bil prvotno priglašen, zv</w:t>
      </w:r>
      <w:r>
        <w:rPr>
          <w:rFonts w:ascii="Times New Roman" w:hAnsi="Times New Roman"/>
          <w:noProof/>
          <w:sz w:val="24"/>
        </w:rPr>
        <w:t xml:space="preserve">išale cene storitev dostopa do fiksnega interneta za potrošnike v Španiji. Podjetje Orange je za odpravo teh pomislekov predložilo zaveze za zagotovitev, da bo lahko nov subjekt vstopil na maloprodajni trg storitev dostopa do fiksnega interneta ter postal </w:t>
      </w:r>
      <w:r>
        <w:rPr>
          <w:rFonts w:ascii="Times New Roman" w:hAnsi="Times New Roman"/>
          <w:noProof/>
          <w:sz w:val="24"/>
        </w:rPr>
        <w:t>enako močan konkurent kot Orange in Jazztel. Zaveze odpravljajo prvotne pomisleke Komisije.</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začela tudi dve poglobljeni preiskavi združitev v telekomunikacijskem sektorju. Preiskuje predlagano pripojitev podjetja Telefónica UK k podjetju Hutchi</w:t>
      </w:r>
      <w:r>
        <w:rPr>
          <w:rFonts w:ascii="Times New Roman" w:hAnsi="Times New Roman"/>
          <w:noProof/>
          <w:sz w:val="24"/>
        </w:rPr>
        <w:t>son</w:t>
      </w:r>
      <w:r>
        <w:rPr>
          <w:rStyle w:val="FootnoteReference"/>
          <w:rFonts w:ascii="Times New Roman" w:hAnsi="Times New Roman"/>
          <w:noProof/>
          <w:sz w:val="24"/>
        </w:rPr>
        <w:footnoteReference w:id="22"/>
      </w:r>
      <w:r>
        <w:rPr>
          <w:rFonts w:ascii="Times New Roman" w:hAnsi="Times New Roman"/>
          <w:noProof/>
          <w:sz w:val="24"/>
        </w:rPr>
        <w:t>, da bi ugotovila, ali bi transakcija škodila konkurenci. Skrbi jo, da bi se lahko zaradi transakcije zvišale cene ter zmanjšale izbira in inovacije za stranke mobilnih telekomunikacijskih storitev v Združenem kraljestvu. Komisija je izvedla tudi poglo</w:t>
      </w:r>
      <w:r>
        <w:rPr>
          <w:rFonts w:ascii="Times New Roman" w:hAnsi="Times New Roman"/>
          <w:noProof/>
          <w:sz w:val="24"/>
        </w:rPr>
        <w:t>bljeno preiskavo prevzema podjetja BASE Belgium s strani podjetja Liberty Global</w:t>
      </w:r>
      <w:r>
        <w:rPr>
          <w:rStyle w:val="FootnoteReference"/>
          <w:rFonts w:ascii="Times New Roman" w:hAnsi="Times New Roman"/>
          <w:noProof/>
          <w:sz w:val="24"/>
        </w:rPr>
        <w:footnoteReference w:id="23"/>
      </w:r>
      <w:r>
        <w:rPr>
          <w:rFonts w:ascii="Times New Roman" w:hAnsi="Times New Roman"/>
          <w:noProof/>
          <w:sz w:val="24"/>
        </w:rPr>
        <w:t>, da bi zagotovila, da predlagana transakcija ne bo pomenila višjih cen in manjše izbire za potrošnike v Belgiji.</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 xml:space="preserve">Poleg tega je Komisija proučila predlagano združitev danskih </w:t>
      </w:r>
      <w:r>
        <w:rPr>
          <w:rFonts w:ascii="Times New Roman" w:hAnsi="Times New Roman"/>
          <w:noProof/>
          <w:sz w:val="24"/>
        </w:rPr>
        <w:t>podjetij Telenor in TeliaSonera</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Skrbelo jo je, da bi združitev ustvarila največjega omrežnega operaterja mobilne telefonije na Danskem in močno zgoščeno tržno strukturo, kar bi povzročilo zvišanje cen za stranke in zmanjšanje spodbud za naložbe. Po predl</w:t>
      </w:r>
      <w:r>
        <w:rPr>
          <w:rFonts w:ascii="Times New Roman" w:hAnsi="Times New Roman"/>
          <w:noProof/>
          <w:sz w:val="24"/>
        </w:rPr>
        <w:t>ožitvi dveh naborov popravnih ukrepov, ki so se izkazali za nezadostne za odpravo pomislekov glede konkurence, sta podjetji septembra 2015 opustili transakcijo.</w:t>
      </w:r>
    </w:p>
    <w:p w:rsidR="006B3176" w:rsidRDefault="00A435F4">
      <w:pPr>
        <w:numPr>
          <w:ilvl w:val="0"/>
          <w:numId w:val="3"/>
        </w:numPr>
        <w:spacing w:line="240" w:lineRule="auto"/>
        <w:jc w:val="both"/>
        <w:rPr>
          <w:rFonts w:ascii="Times New Roman" w:hAnsi="Times New Roman"/>
          <w:b/>
          <w:noProof/>
          <w:sz w:val="24"/>
          <w:szCs w:val="24"/>
        </w:rPr>
      </w:pPr>
      <w:r>
        <w:rPr>
          <w:rFonts w:ascii="Times New Roman" w:hAnsi="Times New Roman"/>
          <w:b/>
          <w:noProof/>
          <w:sz w:val="24"/>
        </w:rPr>
        <w:t>Vzpostavitev integrirane in okolju prijazne evropske energetske unije</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Vzpostavitev energetske u</w:t>
      </w:r>
      <w:r>
        <w:rPr>
          <w:rFonts w:ascii="Times New Roman" w:hAnsi="Times New Roman"/>
          <w:noProof/>
          <w:sz w:val="24"/>
        </w:rPr>
        <w:t>nije je velik korak k integriranemu, povezanemu in trdnemu energetskemu trgu, ki bo koristil potrošnikom, podjetjem in okolju. Podjetja in gospodinjstva, ki so v središču energetske unije, bi morala imeti možnost plačevati dostopne in konkurenčne cene. Obe</w:t>
      </w:r>
      <w:r>
        <w:rPr>
          <w:rFonts w:ascii="Times New Roman" w:hAnsi="Times New Roman"/>
          <w:noProof/>
          <w:sz w:val="24"/>
        </w:rPr>
        <w:t>nem energetska politika EU temelji na treh stebrih trajnosti, konkurenčnosti in zanesljivosti oskrbe. Vzpostavitev trdne energetske unije z velikopotezno podnebno politiko bo zahtevala temeljito preoblikovanje evropskega energetskega sistema. Komisija je l</w:t>
      </w:r>
      <w:r>
        <w:rPr>
          <w:rFonts w:ascii="Times New Roman" w:hAnsi="Times New Roman"/>
          <w:noProof/>
          <w:sz w:val="24"/>
        </w:rPr>
        <w:t>eta 2015 začela izpolnjevati to ključno prednostno nalogo.</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februarja predstavila okvirno strategijo za trdno energetsko unijo s podnebno politiko, usmerjeno v prihodnost</w:t>
      </w:r>
      <w:r>
        <w:rPr>
          <w:rStyle w:val="FootnoteReference"/>
          <w:rFonts w:ascii="Times New Roman" w:hAnsi="Times New Roman"/>
          <w:noProof/>
          <w:sz w:val="24"/>
        </w:rPr>
        <w:footnoteReference w:id="25"/>
      </w:r>
      <w:r>
        <w:rPr>
          <w:noProof/>
        </w:rPr>
        <w:t>.</w:t>
      </w:r>
      <w:r>
        <w:rPr>
          <w:rFonts w:ascii="Times New Roman" w:hAnsi="Times New Roman"/>
          <w:noProof/>
          <w:sz w:val="24"/>
        </w:rPr>
        <w:t xml:space="preserve"> Okvirna strategija določa cilje energetske unije, razdeljene v pet medse</w:t>
      </w:r>
      <w:r>
        <w:rPr>
          <w:rFonts w:ascii="Times New Roman" w:hAnsi="Times New Roman"/>
          <w:noProof/>
          <w:sz w:val="24"/>
        </w:rPr>
        <w:t>bojno povezanih političnih razsežnosti („energetska zanesljivost, solidarnost in zaupanje“, „povsem integriran evropski energetski trg“, „energijska učinkovitost, ki prispeva k zmanjšanju povpraševanja“, „razogljičenje gospodarstva“ ter „raziskave, inovaci</w:t>
      </w:r>
      <w:r>
        <w:rPr>
          <w:rFonts w:ascii="Times New Roman" w:hAnsi="Times New Roman"/>
          <w:noProof/>
          <w:sz w:val="24"/>
        </w:rPr>
        <w:t>je in konkurenčnost“), ter ukrepe za njihovo doseganje, ki jih bo sprejela Komisija.</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EU mora opustiti gospodarstvo, ki temelji na fosilnih gorivih ter je odvisno od starih tehnologij in zastarelih poslovnih modelov. Opustiti je treba sedanji razdrobljeni s</w:t>
      </w:r>
      <w:r>
        <w:rPr>
          <w:rFonts w:ascii="Times New Roman" w:hAnsi="Times New Roman"/>
          <w:noProof/>
          <w:sz w:val="24"/>
        </w:rPr>
        <w:t>istem, ki ga zaznamujejo neusklajene nacionalne politike, tržne ovire in območja z izolirano oskrbo z energijo. Izboljšanje položaja potrošnikov z zagotavljanjem informacij in možnosti izbire je prav tako bistvenega pomena.</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Povezovanje energetskih trgov je</w:t>
      </w:r>
      <w:r>
        <w:rPr>
          <w:rFonts w:ascii="Times New Roman" w:hAnsi="Times New Roman"/>
          <w:noProof/>
          <w:sz w:val="24"/>
        </w:rPr>
        <w:t xml:space="preserve"> ključni cilj energetske unije. Prost pretok plina in električne energije po Evropi bi bil gospodarsko trajnostnejši, okolju prijazen in socialno vključujoč.</w:t>
      </w:r>
    </w:p>
    <w:p w:rsidR="006B3176" w:rsidRDefault="00A435F4">
      <w:pPr>
        <w:spacing w:line="240" w:lineRule="auto"/>
        <w:jc w:val="both"/>
        <w:rPr>
          <w:rFonts w:ascii="Times New Roman" w:hAnsi="Times New Roman"/>
          <w:i/>
          <w:noProof/>
          <w:sz w:val="24"/>
          <w:szCs w:val="24"/>
        </w:rPr>
      </w:pPr>
      <w:r>
        <w:rPr>
          <w:rFonts w:ascii="Times New Roman" w:hAnsi="Times New Roman"/>
          <w:i/>
          <w:noProof/>
          <w:sz w:val="24"/>
        </w:rPr>
        <w:t>Izvrševanje protimonopolne zakonodaje za povečanje zanesljivosti, dostopnosti in trajnosti energij</w:t>
      </w:r>
      <w:r>
        <w:rPr>
          <w:rFonts w:ascii="Times New Roman" w:hAnsi="Times New Roman"/>
          <w:i/>
          <w:noProof/>
          <w:sz w:val="24"/>
        </w:rPr>
        <w:t>e</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Izvrševanje protimonopolne zakonodaje igra ključno vlogo pri spodbujanju povezovanja trgov v energetski uniji z odpravljanjem izkrivljanja trga, ki ga povzroča vedenje prevladujočih subjektov na trgu. Protimonopolna preiskava Gazpromovega ravnanja v sred</w:t>
      </w:r>
      <w:r>
        <w:rPr>
          <w:rFonts w:ascii="Times New Roman" w:hAnsi="Times New Roman"/>
          <w:noProof/>
          <w:sz w:val="24"/>
        </w:rPr>
        <w:t>nji in vzhodni Evropi je odličen primer tega</w:t>
      </w:r>
      <w:r>
        <w:rPr>
          <w:rStyle w:val="FootnoteReference"/>
          <w:rFonts w:ascii="Times New Roman" w:hAnsi="Times New Roman"/>
          <w:noProof/>
          <w:sz w:val="24"/>
        </w:rPr>
        <w:footnoteReference w:id="26"/>
      </w:r>
      <w:r>
        <w:rPr>
          <w:noProof/>
        </w:rPr>
        <w:t>.</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rPr>
        <w:t>Zagotavljanje, da prevladujoči dobavitelji plina spoštujejo pravila – preiskava ravnanja podjetja Gazprom</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rPr>
        <w:t>Evropska komisija je aprila podjetju Gazprom poslala obvestilo o nasprotovanju, v katerem je navedla, d</w:t>
      </w:r>
      <w:r>
        <w:rPr>
          <w:rFonts w:ascii="Times New Roman" w:hAnsi="Times New Roman"/>
          <w:noProof/>
          <w:sz w:val="20"/>
        </w:rPr>
        <w:t>a bi to podjetje lahko z nekaterimi poslovnimi praksami na trgih s plinom v srednji in vzhodni Evropi zlorabljalo prevladujoči položaj na trgu ter s tem kršilo protimonopolna pravila EU. Plin je temeljna dobrina v vsakdanjem življenju večine državljanov EU</w:t>
      </w:r>
      <w:r>
        <w:rPr>
          <w:rFonts w:ascii="Times New Roman" w:hAnsi="Times New Roman"/>
          <w:noProof/>
          <w:sz w:val="20"/>
        </w:rPr>
        <w:t xml:space="preserve"> in predhodno stališče Komisije je, da bi lahko podjetje Gazprom oviralo konkurenco na trgih oskrbe s plinom v osmih državah članicah v srednji in vzhodni Evropi (Bolgarija, Češka, Estonija, Madžarska, Latvija, Litva, Poljska in Slovaška). Podjetje Gazprom</w:t>
      </w:r>
      <w:r>
        <w:rPr>
          <w:rFonts w:ascii="Times New Roman" w:hAnsi="Times New Roman"/>
          <w:noProof/>
          <w:sz w:val="20"/>
        </w:rPr>
        <w:t xml:space="preserve"> je prevladujoči dobavitelj zemeljskega plina v navedenih državah, čigar tržni deleži v večini teh držav znatno presegajo 50 %, v nekaterih primerih pa znašajo do 100 %.</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rPr>
        <w:t>Komisija je na podlagi preiskave zavzela predhodno stališče, da bi lahko Gazprom kršil</w:t>
      </w:r>
      <w:r>
        <w:rPr>
          <w:rFonts w:ascii="Times New Roman" w:hAnsi="Times New Roman"/>
          <w:noProof/>
          <w:sz w:val="20"/>
        </w:rPr>
        <w:t xml:space="preserve"> protimonopolna pravila EU, saj si prizadeva za uresničevanje celovite strategije delitve trgov s plinom v srednji in vzhodni Evropi, na primer z zmanjševanjem možnosti svojih strank, da bi plin prodajale čez mejo. To bi lahko podjetju Gazprom omogočilo, d</w:t>
      </w:r>
      <w:r>
        <w:rPr>
          <w:rFonts w:ascii="Times New Roman" w:hAnsi="Times New Roman"/>
          <w:noProof/>
          <w:sz w:val="20"/>
        </w:rPr>
        <w:t>a v nekaterih državah članicah zaračunava nepoštene cene. Prevladujoči položaj na trgu bi lahko zlorabljal tudi s tem, da je dobavo plina pogojeval z nepovezanimi zavezami grosistov v zvezi z infrastrukturo za prenos plina.</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Izvrševanje protimonopolne zakon</w:t>
      </w:r>
      <w:r>
        <w:rPr>
          <w:rFonts w:ascii="Times New Roman" w:hAnsi="Times New Roman"/>
          <w:noProof/>
          <w:sz w:val="24"/>
        </w:rPr>
        <w:t>odaje podpira vzpostavitev enotnega energetskega trga, med drugim z razveljavitvijo protikonkurenčnih sporazumov o razdelitvi trgov</w:t>
      </w:r>
      <w:r>
        <w:rPr>
          <w:rStyle w:val="FootnoteReference"/>
          <w:noProof/>
        </w:rPr>
        <w:footnoteReference w:id="27"/>
      </w:r>
      <w:r>
        <w:rPr>
          <w:rFonts w:ascii="Times New Roman" w:hAnsi="Times New Roman"/>
          <w:noProof/>
          <w:sz w:val="24"/>
        </w:rPr>
        <w:t xml:space="preserve"> in ohranjanjem dostopnosti infrastrukture. Dostop do infrastrukture je pomemben za preprečevanje omejevanja dostopa do trga</w:t>
      </w:r>
      <w:r>
        <w:rPr>
          <w:rFonts w:ascii="Times New Roman" w:hAnsi="Times New Roman"/>
          <w:noProof/>
          <w:sz w:val="24"/>
        </w:rPr>
        <w:t xml:space="preserve"> in ohranjanje spodbud za naložbe. Pomembni ukrepi na tem področju vključujejo obvestilo o nasprotovanju, ki je bilo marca poslano bolgarskemu podjetju Bulgarian Energy Holding (BEH), njegovi hčerinski družbi za oskrbo s plinom Bulgargaz in hčerinski družb</w:t>
      </w:r>
      <w:r>
        <w:rPr>
          <w:rFonts w:ascii="Times New Roman" w:hAnsi="Times New Roman"/>
          <w:noProof/>
          <w:sz w:val="24"/>
        </w:rPr>
        <w:t>i za plinsko infrastrukturo Bulgartransgaz</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BEH je uveljavljeno bolgarsko energetsko podjetje v državni lasti. Je vertikalno integrirano, kar pomeni, da BEH dobavlja plin, njegovi hčerinski družbi pa imata v lasti ali nadzorujeta bolgarsko omrežje za pre</w:t>
      </w:r>
      <w:r>
        <w:rPr>
          <w:rFonts w:ascii="Times New Roman" w:hAnsi="Times New Roman"/>
          <w:noProof/>
          <w:sz w:val="24"/>
        </w:rPr>
        <w:t xml:space="preserve">nos plina, edino skladišče za plin v Bolgariji in zmogljivost glavnega plinovoda za uvoz plina v Bolgarijo. Komisijo skrbi, da bi lahko BEH in njegovi hčerinski družbi zlorabljali svoj prevladujoči položaj na bolgarskem trgu plina s preprečevanjem dostopa </w:t>
      </w:r>
      <w:r>
        <w:rPr>
          <w:rFonts w:ascii="Times New Roman" w:hAnsi="Times New Roman"/>
          <w:noProof/>
          <w:sz w:val="24"/>
        </w:rPr>
        <w:t>konkurentov do infrastrukture, ki jo potrebujejo za uspešno konkuriranje na bolgarskem trgu oskrbe s plinom. Tako ravnanje bi kršilo protimonopolna pravila EU ter povzročilo zmanjšanje konkurence na trgu in poslabšanje tržnih rezultatov za prizadete potroš</w:t>
      </w:r>
      <w:r>
        <w:rPr>
          <w:rFonts w:ascii="Times New Roman" w:hAnsi="Times New Roman"/>
          <w:noProof/>
          <w:sz w:val="24"/>
        </w:rPr>
        <w:t>nike.</w:t>
      </w:r>
    </w:p>
    <w:p w:rsidR="006B3176" w:rsidRDefault="00A435F4">
      <w:pPr>
        <w:spacing w:line="240" w:lineRule="auto"/>
        <w:jc w:val="both"/>
        <w:rPr>
          <w:rFonts w:ascii="Times New Roman" w:hAnsi="Times New Roman"/>
          <w:noProof/>
          <w:color w:val="FF0000"/>
          <w:sz w:val="24"/>
          <w:szCs w:val="24"/>
        </w:rPr>
      </w:pPr>
      <w:r>
        <w:rPr>
          <w:rFonts w:ascii="Times New Roman" w:hAnsi="Times New Roman"/>
          <w:noProof/>
          <w:sz w:val="24"/>
        </w:rPr>
        <w:t>Komisija je zaključila tudi ločeno protimonopolno preiskavo ravnanja BEH na nereguliranem veleprodajnem trgu z električno energijo v Bolgariji</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Skrbelo jo je, da je BEH uvedel umetne ovire med nacionalnimi trgi. Natančneje, BEH je trgovcem prodajal električno energijo na podlagi pogodb, ki so jim prepovedovale nadaljnjo prodajo električne energije zunaj Bolgarije. BEH je za odpravo pomislekov Kom</w:t>
      </w:r>
      <w:r>
        <w:rPr>
          <w:rFonts w:ascii="Times New Roman" w:hAnsi="Times New Roman"/>
          <w:noProof/>
          <w:sz w:val="24"/>
        </w:rPr>
        <w:t>isije predlagal, da bo vzpostavil neodvisno borzo z elektriko v Bolgariji, preko katere bo mogoče anonimno trgovati z elektriko, ne bo pa mogoče ugotoviti, kje se elektrika ponovno proda. Komisija je 10. decembra 2015 zaveze, ki jih je ponudil BEH, potrdil</w:t>
      </w:r>
      <w:r>
        <w:rPr>
          <w:rFonts w:ascii="Times New Roman" w:hAnsi="Times New Roman"/>
          <w:noProof/>
          <w:sz w:val="24"/>
        </w:rPr>
        <w:t>a kot pravno zavezujoče.</w:t>
      </w:r>
    </w:p>
    <w:p w:rsidR="006B3176" w:rsidRDefault="00A435F4">
      <w:pPr>
        <w:keepNext/>
        <w:spacing w:line="240" w:lineRule="auto"/>
        <w:jc w:val="both"/>
        <w:rPr>
          <w:rFonts w:ascii="Times New Roman" w:hAnsi="Times New Roman"/>
          <w:i/>
          <w:noProof/>
          <w:sz w:val="24"/>
          <w:szCs w:val="24"/>
        </w:rPr>
      </w:pPr>
      <w:r>
        <w:rPr>
          <w:rFonts w:ascii="Times New Roman" w:hAnsi="Times New Roman"/>
          <w:i/>
          <w:noProof/>
          <w:sz w:val="24"/>
        </w:rPr>
        <w:t>Nadzor državnih pomoči za zagotovitev okolju prijaznega in trdnega energetskega trga brez neupravičenega izkrivljanja konkurence</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Druga pomembna prednostna naloga politike konkurence, ki spremlja prehod na zeleno gospodarstvo, je za</w:t>
      </w:r>
      <w:r>
        <w:rPr>
          <w:rFonts w:ascii="Times New Roman" w:hAnsi="Times New Roman"/>
          <w:noProof/>
          <w:sz w:val="24"/>
        </w:rPr>
        <w:t>gotoviti, da trgi pravilno delujejo in da državna podpora, vključno s podporo za spodbujanje uporabe obnovljivih virov energije, ne ustvarja neravnovesja.</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s svojimi smernicami o državni pomoči za varstvo okolja in energijo</w:t>
      </w:r>
      <w:r>
        <w:rPr>
          <w:rStyle w:val="FootnoteReference"/>
          <w:rFonts w:ascii="Times New Roman" w:hAnsi="Times New Roman"/>
          <w:noProof/>
          <w:sz w:val="24"/>
        </w:rPr>
        <w:footnoteReference w:id="30"/>
      </w:r>
      <w:r>
        <w:rPr>
          <w:rFonts w:ascii="Times New Roman" w:hAnsi="Times New Roman"/>
          <w:noProof/>
          <w:sz w:val="24"/>
        </w:rPr>
        <w:t xml:space="preserve"> spodbuja vključevanje o</w:t>
      </w:r>
      <w:r>
        <w:rPr>
          <w:rFonts w:ascii="Times New Roman" w:hAnsi="Times New Roman"/>
          <w:noProof/>
          <w:sz w:val="24"/>
        </w:rPr>
        <w:t>bnovljivih virov energije na trg, da bi preprečila izkrivljanje konkurence. Od leta 2016 morajo proizvajalci, ki uporabljajo obnovljive vire, električno energijo prodajati neposredno na trgu. Javna podpora se lahko dodeli samo kot premija, prišteta tržni c</w:t>
      </w:r>
      <w:r>
        <w:rPr>
          <w:rFonts w:ascii="Times New Roman" w:hAnsi="Times New Roman"/>
          <w:noProof/>
          <w:sz w:val="24"/>
        </w:rPr>
        <w:t xml:space="preserve">eni. Poleg tega bodo morale države članice po letu 2017 pomoč za tekoče poslovanje dodeljevati na podlagi konkurenčnega postopka zbiranja ponudb. </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Poleg tega je namen smernic prispevati k uvajanju inovativnih energetskih tehnologij z nizkimi emisijami oglj</w:t>
      </w:r>
      <w:r>
        <w:rPr>
          <w:rFonts w:ascii="Times New Roman" w:hAnsi="Times New Roman"/>
          <w:noProof/>
          <w:sz w:val="24"/>
        </w:rPr>
        <w:t xml:space="preserve">ika na trg, saj omogočajo, da se državna pomoč odobri, če je prisotno nedelovanje trga. Smernice tudi spodbujajo države članice EU, da sodelujejo in upoštevajo oskrbo z električno energijo iz drugih držav članic. </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Poleg tega nadzor državnih pomoči prispeva</w:t>
      </w:r>
      <w:r>
        <w:rPr>
          <w:rFonts w:ascii="Times New Roman" w:hAnsi="Times New Roman"/>
          <w:noProof/>
          <w:sz w:val="24"/>
        </w:rPr>
        <w:t xml:space="preserve"> k vzpostavljanju povezanega, integriranega in zanesljivega energetskega trga v Evropi, saj ocenjuje nacionalne ukrepe za zagotavljanje oskrbe z električno energijo (imenovane „mehanizmi zmogljivosti“).</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rPr>
        <w:t>Sektorska preiskava mehanizmov zmogljivosti – uspešno</w:t>
      </w:r>
      <w:r>
        <w:rPr>
          <w:rFonts w:ascii="Times New Roman" w:hAnsi="Times New Roman"/>
          <w:b/>
          <w:noProof/>
          <w:sz w:val="20"/>
        </w:rPr>
        <w:t xml:space="preserve"> doseganje ciljev energetske unije</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rPr>
        <w:t xml:space="preserve">Komisija je aprila začela preiskavo sektorja za državno pomoč, da bi zbrala informacije o obstoječih ali načrtovanih mehanizmih zmogljivosti, tj. ukrepih držav članic za zagotovitev, da lahko oskrba z električno energijo </w:t>
      </w:r>
      <w:r>
        <w:rPr>
          <w:rFonts w:ascii="Times New Roman" w:hAnsi="Times New Roman"/>
          <w:noProof/>
          <w:sz w:val="20"/>
        </w:rPr>
        <w:t>srednje- in dolgoročno zadosti povpraševanju. Namen sektorske preiskave je predvsem proučiti, ali taki ukrepi zagotavljajo zanesljivo oskrbo z električno energijo, ne da bi pri tem izkrivljali konkurenco med dobavitelji električne energije ali ovirali čezm</w:t>
      </w:r>
      <w:r>
        <w:rPr>
          <w:rFonts w:ascii="Times New Roman" w:hAnsi="Times New Roman"/>
          <w:noProof/>
          <w:sz w:val="20"/>
        </w:rPr>
        <w:t>ejno trgovino.</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rPr>
        <w:t>Ta sektorska preiskava je prva, ki temelji na pravilih EU o državni pomoči in zajema reprezentativni vzorec držav članic, ki imajo vzpostavljene mehanizme zmogljivosti ali proučujejo možnost njihove vzpostavitve, in sicer so te države članic</w:t>
      </w:r>
      <w:r>
        <w:rPr>
          <w:rFonts w:ascii="Times New Roman" w:hAnsi="Times New Roman"/>
          <w:noProof/>
          <w:sz w:val="20"/>
        </w:rPr>
        <w:t xml:space="preserve">e Belgija, Danska, Francija, Hrvaška, Irska, Italija, Nemčija, Poljska, Portugalska, Španija in Švedska. Medtem ko imajo vlade legitimen interes za zagotavljanje zadostne oskrbe z električno energijo, da se preprečijo izpadi, bi morala politika konkurence </w:t>
      </w:r>
      <w:r>
        <w:rPr>
          <w:rFonts w:ascii="Times New Roman" w:hAnsi="Times New Roman"/>
          <w:noProof/>
          <w:sz w:val="20"/>
        </w:rPr>
        <w:t>zagotoviti, da javni ukrepi podpirajo naložbe v oskrbo z električno energijo, so v skladu s političnimi instrumenti, namenjenimi spodbujanju zmanjševanja emisij ogljika, in ne dajejo neupravičene prednosti posameznim proizvajalcem ali tehnologijam.</w:t>
      </w:r>
    </w:p>
    <w:p w:rsidR="006B3176" w:rsidRDefault="00A435F4">
      <w:pPr>
        <w:spacing w:line="240" w:lineRule="auto"/>
        <w:jc w:val="both"/>
        <w:rPr>
          <w:rFonts w:ascii="Times New Roman" w:hAnsi="Times New Roman"/>
          <w:i/>
          <w:iCs/>
          <w:noProof/>
          <w:sz w:val="24"/>
          <w:szCs w:val="24"/>
        </w:rPr>
      </w:pPr>
      <w:r>
        <w:rPr>
          <w:rFonts w:ascii="Times New Roman" w:hAnsi="Times New Roman"/>
          <w:i/>
          <w:noProof/>
          <w:sz w:val="24"/>
        </w:rPr>
        <w:t>Ohranjanje privlačnosti Evrope za naložbe – nadzor nad združitvami v energetskem sektorju</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 xml:space="preserve">V mrežnih gospodarskih panogah, kot je energetski sektor, je bistvenega pomena preprečiti nastajanje tržnih struktur, ki bi lahko ovirale učinkovito konkurenco ter s </w:t>
      </w:r>
      <w:r>
        <w:rPr>
          <w:rFonts w:ascii="Times New Roman" w:hAnsi="Times New Roman"/>
          <w:noProof/>
          <w:sz w:val="24"/>
        </w:rPr>
        <w:t>tem zmanjšale spodbude za naložbe in inovacije. Nadzor EU nad združitvami je bil še naprej učinkovito orodje za ohranjanje odprtosti energetskega trga EU in zagotavljanje, da naložbe prinesejo boljše tržne rezultate za podjetja in gospodinjstva v EU.</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w:t>
      </w:r>
      <w:r>
        <w:rPr>
          <w:rFonts w:ascii="Times New Roman" w:hAnsi="Times New Roman"/>
          <w:noProof/>
          <w:sz w:val="24"/>
        </w:rPr>
        <w:t>ija je na podlagi uredbe EU o združitvah po poglobljenem pregledu in zelo tesnem sodelovanju z oddelkom za boj proti monopolom ameriškega ministrstva za pravosodje odobrila predlagano pripojitev francoskih energetskih podjetij Alstom k podjetju General Ele</w:t>
      </w:r>
      <w:r>
        <w:rPr>
          <w:rFonts w:ascii="Times New Roman" w:hAnsi="Times New Roman"/>
          <w:noProof/>
          <w:sz w:val="24"/>
        </w:rPr>
        <w:t>ctric (GE) s sedežem v Združenih državah Amerike</w:t>
      </w:r>
      <w:r>
        <w:rPr>
          <w:rStyle w:val="FootnoteReference"/>
          <w:rFonts w:ascii="Times New Roman" w:hAnsi="Times New Roman"/>
          <w:noProof/>
          <w:sz w:val="24"/>
        </w:rPr>
        <w:footnoteReference w:id="31"/>
      </w:r>
      <w:r>
        <w:rPr>
          <w:noProof/>
        </w:rPr>
        <w:t>.</w:t>
      </w:r>
      <w:r>
        <w:rPr>
          <w:rFonts w:ascii="Times New Roman" w:hAnsi="Times New Roman"/>
          <w:noProof/>
          <w:sz w:val="24"/>
        </w:rPr>
        <w:t xml:space="preserve"> Ta transakcija je dober primer tega, kako lahko tehnologija v EU uspeva in privablja tuje naložbe.</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Pogoj za odobritev je prodaja osrednjih delov segmenta podjetja Alstom za težke plinske turbine, ki se upo</w:t>
      </w:r>
      <w:r>
        <w:rPr>
          <w:rFonts w:ascii="Times New Roman" w:hAnsi="Times New Roman"/>
          <w:noProof/>
          <w:sz w:val="24"/>
        </w:rPr>
        <w:t>rabljajo predvsem v plinskih elektrarnah, italijanskemu podjetju Ansaldo. Komisijo je skrbelo, da bi zaradi transakcije propadel eden od glavnih svetovnih konkurentov podjetja GE na trgu za težke plinske turbine, na katerem je GE največji svetovni proizvaj</w:t>
      </w:r>
      <w:r>
        <w:rPr>
          <w:rFonts w:ascii="Times New Roman" w:hAnsi="Times New Roman"/>
          <w:noProof/>
          <w:sz w:val="24"/>
        </w:rPr>
        <w:t>alec, Alstom pa eden od najpomembnejših svetovnih akterjev. To bi pomenilo manj inovacij in višje cene. Zaveze, ki jih je ponudilo podjetje GE, odpravljajo te pomisleke. Poleg tega je napredna tehnologija težkih plinskih turbin še posebno pomembna za doseg</w:t>
      </w:r>
      <w:r>
        <w:rPr>
          <w:rFonts w:ascii="Times New Roman" w:hAnsi="Times New Roman"/>
          <w:noProof/>
          <w:sz w:val="24"/>
        </w:rPr>
        <w:t>anje ciljev na področju podnebnih sprememb in za posodobitev oskrbe z električno energijo v EU.</w:t>
      </w:r>
    </w:p>
    <w:p w:rsidR="006B3176" w:rsidRDefault="00A435F4">
      <w:pPr>
        <w:numPr>
          <w:ilvl w:val="0"/>
          <w:numId w:val="3"/>
        </w:numPr>
        <w:spacing w:line="240" w:lineRule="auto"/>
        <w:jc w:val="both"/>
        <w:rPr>
          <w:rFonts w:ascii="Times New Roman" w:hAnsi="Times New Roman"/>
          <w:b/>
          <w:noProof/>
          <w:sz w:val="24"/>
          <w:szCs w:val="24"/>
        </w:rPr>
      </w:pPr>
      <w:r>
        <w:rPr>
          <w:rFonts w:ascii="Times New Roman" w:hAnsi="Times New Roman"/>
          <w:b/>
          <w:noProof/>
          <w:sz w:val="24"/>
        </w:rPr>
        <w:t>Za poglobljen in pravičnejši enotni trg EU</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V času vse močnejše globalizacije je poglobljen in pravičnejši enotni trg osrednje sredstvo za izgradnjo močnejšega g</w:t>
      </w:r>
      <w:r>
        <w:rPr>
          <w:rFonts w:ascii="Times New Roman" w:hAnsi="Times New Roman"/>
          <w:noProof/>
          <w:sz w:val="24"/>
        </w:rPr>
        <w:t xml:space="preserve">ospodarstva EU, ki spodbuja ustvarjanje delovnih mest in rast. Zato pospeševanje integracije enotnega trga ostaja na vrhu programa Komisije. Cilj Komisije je še bolj sprostiti gibanje ljudi, blaga, storitev in kapitala znotraj meja enotnega trga ter s tem </w:t>
      </w:r>
      <w:r>
        <w:rPr>
          <w:rFonts w:ascii="Times New Roman" w:hAnsi="Times New Roman"/>
          <w:noProof/>
          <w:sz w:val="24"/>
        </w:rPr>
        <w:t>zagotoviti nove priložnosti za državljane in podjetja.</w:t>
      </w:r>
    </w:p>
    <w:p w:rsidR="006B3176" w:rsidRDefault="00A435F4">
      <w:pPr>
        <w:spacing w:line="240" w:lineRule="auto"/>
        <w:jc w:val="both"/>
        <w:rPr>
          <w:rFonts w:ascii="Times New Roman" w:hAnsi="Times New Roman"/>
          <w:i/>
          <w:noProof/>
          <w:sz w:val="24"/>
          <w:szCs w:val="24"/>
        </w:rPr>
      </w:pPr>
      <w:r>
        <w:rPr>
          <w:rFonts w:ascii="Times New Roman" w:hAnsi="Times New Roman"/>
          <w:i/>
          <w:noProof/>
          <w:sz w:val="24"/>
        </w:rPr>
        <w:t>Povečanje davčne preglednosti in zagotavljanje pravične davčne obremenitve za vse</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V celoti delujoč enotni trg zahteva, da vsi subjekti na trgu – ne glede na to, ali so veliki ali majhni, lokalni ali sv</w:t>
      </w:r>
      <w:r>
        <w:rPr>
          <w:rFonts w:ascii="Times New Roman" w:hAnsi="Times New Roman"/>
          <w:noProof/>
          <w:sz w:val="24"/>
        </w:rPr>
        <w:t>etovni – plačajo pravični delež davkov. Zato je boj proti utajam davkov in davčnim goljufijam ena od glavnih prednostnih nalog Junckerjeve Komisije in ena od najpomembnejših pobud za pospeševanje dokončne vzpostavitve enotnega trga EU.</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marca pr</w:t>
      </w:r>
      <w:r>
        <w:rPr>
          <w:rFonts w:ascii="Times New Roman" w:hAnsi="Times New Roman"/>
          <w:noProof/>
          <w:sz w:val="24"/>
        </w:rPr>
        <w:t>edstavila sveženj za davčno preglednost</w:t>
      </w:r>
      <w:r>
        <w:rPr>
          <w:rStyle w:val="FootnoteReference"/>
          <w:rFonts w:ascii="Times New Roman" w:hAnsi="Times New Roman"/>
          <w:noProof/>
          <w:sz w:val="24"/>
        </w:rPr>
        <w:footnoteReference w:id="32"/>
      </w:r>
      <w:r>
        <w:rPr>
          <w:rFonts w:ascii="Times New Roman" w:hAnsi="Times New Roman"/>
          <w:noProof/>
          <w:sz w:val="24"/>
        </w:rPr>
        <w:t>, katerega namen je zagotoviti, da imajo države članice na voljo podatke, ki jih potrebujejo za zaščito svojih davčnih osnov in učinkovito odkrivanje podjetij, ki se poskušajo izogniti plačilu pravičnega deleža davko</w:t>
      </w:r>
      <w:r>
        <w:rPr>
          <w:rFonts w:ascii="Times New Roman" w:hAnsi="Times New Roman"/>
          <w:noProof/>
          <w:sz w:val="24"/>
        </w:rPr>
        <w:t>v. Junija je svežnju sledil akcijski načrt Komisije za pravičnejše in učinkovitejše obdavčenje</w:t>
      </w:r>
      <w:r>
        <w:rPr>
          <w:rStyle w:val="FootnoteReference"/>
          <w:rFonts w:ascii="Times New Roman" w:hAnsi="Times New Roman"/>
          <w:noProof/>
          <w:sz w:val="24"/>
        </w:rPr>
        <w:footnoteReference w:id="33"/>
      </w:r>
      <w:r>
        <w:rPr>
          <w:noProof/>
        </w:rPr>
        <w:t>.</w:t>
      </w:r>
      <w:r>
        <w:rPr>
          <w:rFonts w:ascii="Times New Roman" w:hAnsi="Times New Roman"/>
          <w:noProof/>
          <w:sz w:val="24"/>
        </w:rPr>
        <w:t xml:space="preserve"> Akcijski načrt določa sklop pobud za reševanje problema izogibanja davkom, zagotovitev trajnostnih dohodkov in okrepitev enotnega trga za podjetja. Skupaj bodo</w:t>
      </w:r>
      <w:r>
        <w:rPr>
          <w:rFonts w:ascii="Times New Roman" w:hAnsi="Times New Roman"/>
          <w:noProof/>
          <w:sz w:val="24"/>
        </w:rPr>
        <w:t xml:space="preserve"> ti ukrepi precej izboljšali okolje za obdavčevanje dohodkov podjetij v EU, s čimer bo to postalo bolj pravično, učinkovito in rasti prijazno.</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Politika konkurence je pri soočanju s tem izzivom bistvenega pomena. Komisija je na podlagi poglobljenih preiskav</w:t>
      </w:r>
      <w:r>
        <w:rPr>
          <w:rFonts w:ascii="Times New Roman" w:hAnsi="Times New Roman"/>
          <w:noProof/>
          <w:sz w:val="24"/>
        </w:rPr>
        <w:t>, ki jih je začela junija 2014, sklenila, da sta Luksemburg in Nizozemska podjetjema Fiat Finance and Trade</w:t>
      </w:r>
      <w:r>
        <w:rPr>
          <w:rStyle w:val="FootnoteReference"/>
          <w:rFonts w:ascii="Times New Roman" w:hAnsi="Times New Roman"/>
          <w:noProof/>
          <w:sz w:val="24"/>
        </w:rPr>
        <w:footnoteReference w:id="34"/>
      </w:r>
      <w:r>
        <w:rPr>
          <w:rFonts w:ascii="Times New Roman" w:hAnsi="Times New Roman"/>
          <w:noProof/>
          <w:sz w:val="24"/>
        </w:rPr>
        <w:t xml:space="preserve"> in Starbucks</w:t>
      </w:r>
      <w:r>
        <w:rPr>
          <w:rStyle w:val="FootnoteReference"/>
          <w:rFonts w:ascii="Times New Roman" w:hAnsi="Times New Roman"/>
          <w:noProof/>
          <w:sz w:val="24"/>
        </w:rPr>
        <w:footnoteReference w:id="35"/>
      </w:r>
      <w:r>
        <w:rPr>
          <w:rFonts w:ascii="Times New Roman" w:hAnsi="Times New Roman"/>
          <w:noProof/>
          <w:sz w:val="24"/>
        </w:rPr>
        <w:t xml:space="preserve"> odobrila selektivne davčne ugodnosti (ki jih pravila EU o državni pomoči določajo za nezakonite)</w:t>
      </w:r>
      <w:r>
        <w:rPr>
          <w:noProof/>
        </w:rPr>
        <w:t>.</w:t>
      </w:r>
      <w:r>
        <w:rPr>
          <w:rFonts w:ascii="Times New Roman" w:hAnsi="Times New Roman"/>
          <w:noProof/>
          <w:sz w:val="24"/>
        </w:rPr>
        <w:t xml:space="preserve"> Za vsakega od teh podjetij je davčn</w:t>
      </w:r>
      <w:r>
        <w:rPr>
          <w:rFonts w:ascii="Times New Roman" w:hAnsi="Times New Roman"/>
          <w:noProof/>
          <w:sz w:val="24"/>
        </w:rPr>
        <w:t>o stališče, ki ga je izdal nacionalni davčni organ, umetno znižalo davek, ki ga je plačalo podjetje</w:t>
      </w:r>
      <w:r>
        <w:rPr>
          <w:rStyle w:val="FootnoteReference"/>
          <w:rFonts w:ascii="Times New Roman" w:hAnsi="Times New Roman"/>
          <w:noProof/>
          <w:sz w:val="24"/>
        </w:rPr>
        <w:footnoteReference w:id="36"/>
      </w:r>
      <w:r>
        <w:rPr>
          <w:noProof/>
        </w:rPr>
        <w:t xml:space="preserve">. </w:t>
      </w:r>
      <w:r>
        <w:rPr>
          <w:rFonts w:ascii="Times New Roman" w:hAnsi="Times New Roman"/>
          <w:noProof/>
          <w:sz w:val="24"/>
        </w:rPr>
        <w:t>V skladu s pravili EU o državni pomoči davčna stališča ne morejo na podlagi metod, četudi so te zelo zapletene, določati transfernih cen brez kakršne koli</w:t>
      </w:r>
      <w:r>
        <w:rPr>
          <w:rFonts w:ascii="Times New Roman" w:hAnsi="Times New Roman"/>
          <w:noProof/>
          <w:sz w:val="24"/>
        </w:rPr>
        <w:t xml:space="preserve"> gospodarske utemeljitve, poleg tega pa take metode neupravičeno preusmerjajo dobiček, da bi se zmanjšali davki, ki jih plačuje podjetje. Tako ravnanje bi zadevnemu podjetju prineslo neupravičeno konkurenčno prednost v primerjavi z drugimi podjetji, predvs</w:t>
      </w:r>
      <w:r>
        <w:rPr>
          <w:rFonts w:ascii="Times New Roman" w:hAnsi="Times New Roman"/>
          <w:noProof/>
          <w:sz w:val="24"/>
        </w:rPr>
        <w:t>em MSP, ki so obdavčena na podlagi njihovih dejanskih dobičkov, ker za blago in storitve, ki jih uporabljajo, plačujejo tržne cene.</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rPr>
      </w:pPr>
      <w:r>
        <w:rPr>
          <w:rFonts w:ascii="Times New Roman" w:hAnsi="Times New Roman"/>
          <w:b/>
          <w:noProof/>
          <w:sz w:val="20"/>
        </w:rPr>
        <w:t>Odpravljanje neupravičenih davčnih ugodnosti – sklepa o podjetjih Starbucks in Fiat Finance &amp; Trade</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rPr>
        <w:t xml:space="preserve">Sama davčna stališča so </w:t>
      </w:r>
      <w:r>
        <w:rPr>
          <w:rFonts w:ascii="Times New Roman" w:hAnsi="Times New Roman"/>
          <w:noProof/>
          <w:sz w:val="20"/>
        </w:rPr>
        <w:t>povsem zakonita. Vendar sta preiskovani davčni stališči v zadevah Starbucks in Fiat Finance &amp; Trade podprli umetne in zapletene metode za določitev obdavčljivega dobička podjetij. Na podlagi teh metod so se za blago in storitve, ki so se prodajali med podj</w:t>
      </w:r>
      <w:r>
        <w:rPr>
          <w:rFonts w:ascii="Times New Roman" w:hAnsi="Times New Roman"/>
          <w:noProof/>
          <w:sz w:val="20"/>
        </w:rPr>
        <w:t>etji v skupinah Fiat in Starbucks, določile cene (tako imenovane „transferne cene“), ki niso ustrezale tržnim razmeram in zato niso izražale gospodarske realnosti.</w:t>
      </w:r>
    </w:p>
    <w:p w:rsidR="006B3176" w:rsidRDefault="00A435F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4"/>
          <w:szCs w:val="24"/>
        </w:rPr>
      </w:pPr>
      <w:r>
        <w:rPr>
          <w:rFonts w:ascii="Times New Roman" w:hAnsi="Times New Roman"/>
          <w:noProof/>
          <w:sz w:val="20"/>
        </w:rPr>
        <w:t xml:space="preserve">Pravila EU o državni pomoči zahtevajo, da se nezdružljiva državna pomoč vrne in se s tem </w:t>
      </w:r>
      <w:r>
        <w:rPr>
          <w:rFonts w:ascii="Times New Roman" w:hAnsi="Times New Roman"/>
          <w:noProof/>
          <w:sz w:val="20"/>
        </w:rPr>
        <w:t>zmanjša izkrivljanje konkurence, ki ga je povzročila pomoč. Komisija je v svojih dveh sklepih določila metodologijo za izračun vrednosti neupravičene konkurenčne prednosti v korist podjetij Fiat in Starbucks, pri čemer je izračunala razliko med zneskom, ki</w:t>
      </w:r>
      <w:r>
        <w:rPr>
          <w:rFonts w:ascii="Times New Roman" w:hAnsi="Times New Roman"/>
          <w:noProof/>
          <w:sz w:val="20"/>
        </w:rPr>
        <w:t xml:space="preserve"> ga je podjetje plačalo, in zneskom, ki bi ga plačalo brez davčnega stališča. Ta znesek znaša od približno 20 do 30 milijonov EUR za vsako od podjetij, tj. Fiat in Starbucks, vendar bodo natančen znesek davka, ki ga je treba izterjati, določili luksemburšk</w:t>
      </w:r>
      <w:r>
        <w:rPr>
          <w:rFonts w:ascii="Times New Roman" w:hAnsi="Times New Roman"/>
          <w:noProof/>
          <w:sz w:val="20"/>
        </w:rPr>
        <w:t>i in nizozemski davčni organi na podlagi metodologije, določene v sklepih Komisije. Poleg tega podjetji ne bosta več uživali ugodne davčne obravnave, ki sta jo zagotovili navedeni davčni stališči.</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decembra začela formalno preiskavo davčne obrav</w:t>
      </w:r>
      <w:r>
        <w:rPr>
          <w:rFonts w:ascii="Times New Roman" w:hAnsi="Times New Roman"/>
          <w:noProof/>
          <w:sz w:val="24"/>
        </w:rPr>
        <w:t>nave podjetja McDonald’s v Luksemburgu</w:t>
      </w:r>
      <w:r>
        <w:rPr>
          <w:rStyle w:val="FootnoteReference"/>
          <w:rFonts w:ascii="Times New Roman" w:hAnsi="Times New Roman"/>
          <w:noProof/>
          <w:sz w:val="24"/>
        </w:rPr>
        <w:footnoteReference w:id="37"/>
      </w:r>
      <w:r>
        <w:rPr>
          <w:noProof/>
        </w:rPr>
        <w:t>.</w:t>
      </w:r>
      <w:r>
        <w:rPr>
          <w:rFonts w:ascii="Times New Roman" w:hAnsi="Times New Roman"/>
          <w:noProof/>
          <w:sz w:val="24"/>
        </w:rPr>
        <w:t xml:space="preserve"> Njeno predhodno stališče je, da je Luksemburg z davčnim stališčem morda selektivno odstopal od določb nacionalne davčne zakonodaje in sporazuma o izogibanju dvojnemu obdavčevanju med Luksemburgom in ZDA, s čimer je </w:t>
      </w:r>
      <w:r>
        <w:rPr>
          <w:rFonts w:ascii="Times New Roman" w:hAnsi="Times New Roman"/>
          <w:noProof/>
          <w:sz w:val="24"/>
        </w:rPr>
        <w:t>podjetju McDonald's dal prednost, ki drugim podjetjem v primerljivem dejanskem in pravnem položaju ni na voljo.</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izrazila tudi pomisleke, da bi lahko davčna stališča vzbujala vprašanja glede državne pomoči v zvezi s podjetjema Apple na Irskem</w:t>
      </w:r>
      <w:r>
        <w:rPr>
          <w:rStyle w:val="FootnoteReference"/>
          <w:rFonts w:ascii="Times New Roman" w:hAnsi="Times New Roman"/>
          <w:noProof/>
          <w:sz w:val="24"/>
        </w:rPr>
        <w:footnoteReference w:id="38"/>
      </w:r>
      <w:r>
        <w:rPr>
          <w:rFonts w:ascii="Times New Roman" w:hAnsi="Times New Roman"/>
          <w:noProof/>
          <w:sz w:val="24"/>
        </w:rPr>
        <w:t xml:space="preserve"> i</w:t>
      </w:r>
      <w:r>
        <w:rPr>
          <w:rFonts w:ascii="Times New Roman" w:hAnsi="Times New Roman"/>
          <w:noProof/>
          <w:sz w:val="24"/>
        </w:rPr>
        <w:t>n Amazon v Luksemburgu</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Februarja 2015 se je začela dodatna poglobljena preiskava belgijskega sistema stališč o „presežnem dobičku“</w:t>
      </w:r>
      <w:r>
        <w:rPr>
          <w:rStyle w:val="FootnoteReference"/>
          <w:rFonts w:ascii="Times New Roman" w:hAnsi="Times New Roman"/>
          <w:noProof/>
          <w:sz w:val="24"/>
        </w:rPr>
        <w:footnoteReference w:id="40"/>
      </w:r>
      <w:r>
        <w:rPr>
          <w:noProof/>
        </w:rPr>
        <w:t>.</w:t>
      </w:r>
      <w:r>
        <w:rPr>
          <w:rFonts w:ascii="Times New Roman" w:hAnsi="Times New Roman"/>
          <w:noProof/>
          <w:sz w:val="24"/>
        </w:rPr>
        <w:t xml:space="preserve"> Komisija je 11. januarja 2016 izdala negativen sklep z nalogom za vračilo, v katerem je sklenila, da so selektivne davčne</w:t>
      </w:r>
      <w:r>
        <w:rPr>
          <w:rFonts w:ascii="Times New Roman" w:hAnsi="Times New Roman"/>
          <w:noProof/>
          <w:sz w:val="24"/>
        </w:rPr>
        <w:t xml:space="preserve"> ugodnosti, ki jih je Belgija dodelila v okviru svoje davčne sheme za „presežne dobičke“, nezakonite v skladu s pravili EU o državni pomoči, in odredila vračilo pomoči</w:t>
      </w:r>
      <w:r>
        <w:rPr>
          <w:rStyle w:val="FootnoteReference"/>
          <w:rFonts w:ascii="Times New Roman" w:hAnsi="Times New Roman"/>
          <w:noProof/>
          <w:sz w:val="24"/>
        </w:rPr>
        <w:footnoteReference w:id="41"/>
      </w:r>
      <w:r>
        <w:rPr>
          <w:noProof/>
        </w:rPr>
        <w:t>.</w:t>
      </w:r>
      <w:r>
        <w:rPr>
          <w:rFonts w:ascii="Times New Roman" w:hAnsi="Times New Roman"/>
          <w:noProof/>
          <w:sz w:val="24"/>
        </w:rPr>
        <w:t xml:space="preserve"> Hkrati Komisija še naprej preiskuje prakse izdajanja davčnih stališč v vseh državah čl</w:t>
      </w:r>
      <w:r>
        <w:rPr>
          <w:rFonts w:ascii="Times New Roman" w:hAnsi="Times New Roman"/>
          <w:noProof/>
          <w:sz w:val="24"/>
        </w:rPr>
        <w:t>anicah EU</w:t>
      </w:r>
      <w:r>
        <w:rPr>
          <w:rStyle w:val="FootnoteReference"/>
          <w:rFonts w:ascii="Times New Roman" w:hAnsi="Times New Roman"/>
          <w:noProof/>
          <w:sz w:val="24"/>
        </w:rPr>
        <w:footnoteReference w:id="42"/>
      </w:r>
      <w:r>
        <w:rPr>
          <w:noProof/>
        </w:rPr>
        <w:t>.</w:t>
      </w:r>
      <w:r>
        <w:rPr>
          <w:rFonts w:ascii="Times New Roman" w:hAnsi="Times New Roman"/>
          <w:noProof/>
          <w:sz w:val="24"/>
        </w:rPr>
        <w:t xml:space="preserve"> </w:t>
      </w:r>
    </w:p>
    <w:p w:rsidR="006B3176" w:rsidRDefault="00A435F4">
      <w:pPr>
        <w:spacing w:line="240" w:lineRule="auto"/>
        <w:jc w:val="both"/>
        <w:rPr>
          <w:rFonts w:ascii="Times New Roman" w:hAnsi="Times New Roman"/>
          <w:i/>
          <w:noProof/>
          <w:sz w:val="24"/>
          <w:szCs w:val="24"/>
        </w:rPr>
      </w:pPr>
      <w:r>
        <w:rPr>
          <w:rFonts w:ascii="Times New Roman" w:hAnsi="Times New Roman"/>
          <w:i/>
          <w:noProof/>
          <w:sz w:val="24"/>
        </w:rPr>
        <w:t>Povečanje učinkovitosti nacionalnih organov EU za konkurenco v vlogi izvršilnih organov</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Drug pomemben vidik vzpostavitve resnično enakih konkurenčnih pogojev za podjetja na enotnem trgu je zagotovitev, da se lahko podjetja zanesejo na dosledno</w:t>
      </w:r>
      <w:r>
        <w:rPr>
          <w:rFonts w:ascii="Times New Roman" w:hAnsi="Times New Roman"/>
          <w:noProof/>
          <w:sz w:val="24"/>
        </w:rPr>
        <w:t xml:space="preserve"> uporabo pravil EU o konkurenci ne glede na to, v kateri državi članici delujejo. Nacionalni organi za konkurenco imajo pri tem ključno vlogo. Začetek veljavnosti Uredbe 1/2003</w:t>
      </w:r>
      <w:r>
        <w:rPr>
          <w:rStyle w:val="FootnoteReference"/>
          <w:rFonts w:ascii="Times New Roman" w:hAnsi="Times New Roman"/>
          <w:noProof/>
          <w:sz w:val="24"/>
        </w:rPr>
        <w:footnoteReference w:id="43"/>
      </w:r>
      <w:r>
        <w:rPr>
          <w:rFonts w:ascii="Times New Roman" w:hAnsi="Times New Roman"/>
          <w:noProof/>
          <w:sz w:val="24"/>
        </w:rPr>
        <w:t xml:space="preserve"> leta 2004 je spremenil strukturo izvrševanja zakonodaje o konkurenci, saj je n</w:t>
      </w:r>
      <w:r>
        <w:rPr>
          <w:rFonts w:ascii="Times New Roman" w:hAnsi="Times New Roman"/>
          <w:noProof/>
          <w:sz w:val="24"/>
        </w:rPr>
        <w:t>acionalnim organom za konkurenco in nacionalnim sodiščem dodelil ključno vlogo pri izvrševanju protimonopolnih pravil EU v sodelovanju s Komisijo. Pravila EU o konkurenci se zdaj izvajajo v obsegu, ki ga Komisija sama ne bi mogla doseči, ter na temeljitejš</w:t>
      </w:r>
      <w:r>
        <w:rPr>
          <w:rFonts w:ascii="Times New Roman" w:hAnsi="Times New Roman"/>
          <w:noProof/>
          <w:sz w:val="24"/>
        </w:rPr>
        <w:t>i in učinkovitejši način, kot bi bilo sicer mogoče.</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v sporočilu iz leta 2014 o desetih letih izvajanja Uredbe št. 1/2003</w:t>
      </w:r>
      <w:r>
        <w:rPr>
          <w:rStyle w:val="FootnoteReference"/>
          <w:rFonts w:ascii="Times New Roman" w:hAnsi="Times New Roman"/>
          <w:noProof/>
          <w:sz w:val="24"/>
        </w:rPr>
        <w:footnoteReference w:id="44"/>
      </w:r>
      <w:r>
        <w:rPr>
          <w:rFonts w:ascii="Times New Roman" w:hAnsi="Times New Roman"/>
          <w:noProof/>
          <w:sz w:val="24"/>
        </w:rPr>
        <w:t xml:space="preserve"> opredelila več konkretnih področij ukrepanja za okrepitev izvršilnih pooblastil nacionalnih organov za konkurenco in pospe</w:t>
      </w:r>
      <w:r>
        <w:rPr>
          <w:rFonts w:ascii="Times New Roman" w:hAnsi="Times New Roman"/>
          <w:noProof/>
          <w:sz w:val="24"/>
        </w:rPr>
        <w:t>šitev zbliževanja nacionalnih sistemov. Zdaj proučuje, ali bi bilo mogoče orodja, ki so na voljo nacionalnim organom za konkurenco, še izboljšati. Komisija je novembra 2015 začela posebno javno posvetovanje ter širšo javnost in deležnike povabila, naj deli</w:t>
      </w:r>
      <w:r>
        <w:rPr>
          <w:rFonts w:ascii="Times New Roman" w:hAnsi="Times New Roman"/>
          <w:noProof/>
          <w:sz w:val="24"/>
        </w:rPr>
        <w:t>jo svoje izkušnje in zagotovijo povratne informacije o morebitnih zakonodajnih ukrepih EU za nadaljnjo krepitev orodij nacionalnih organov za konkurenco za izvrševanje in nalaganje sankcij.</w:t>
      </w:r>
    </w:p>
    <w:p w:rsidR="006B3176" w:rsidRDefault="00A435F4">
      <w:pPr>
        <w:spacing w:line="240" w:lineRule="auto"/>
        <w:jc w:val="both"/>
        <w:rPr>
          <w:rFonts w:ascii="Times New Roman" w:hAnsi="Times New Roman"/>
          <w:i/>
          <w:noProof/>
          <w:sz w:val="24"/>
          <w:szCs w:val="24"/>
        </w:rPr>
      </w:pPr>
      <w:r>
        <w:rPr>
          <w:rFonts w:ascii="Times New Roman" w:hAnsi="Times New Roman"/>
          <w:i/>
          <w:noProof/>
          <w:sz w:val="24"/>
        </w:rPr>
        <w:t>Izboljšanje položaja potrošnikov EU z odpravljanjem kartelov</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Ohran</w:t>
      </w:r>
      <w:r>
        <w:rPr>
          <w:rFonts w:ascii="Times New Roman" w:hAnsi="Times New Roman"/>
          <w:noProof/>
          <w:sz w:val="24"/>
        </w:rPr>
        <w:t>itev pravičnosti, preglednosti in odprtosti enotnega trga je koristna za podjetja v EU in gospodarstva držav članic, v prvi vrsti pa je pomembna za evropske državljane. Jasen primer je delo Komisije v zvezi z izvajanjem protikartelnih ukrepov. Na dobro del</w:t>
      </w:r>
      <w:r>
        <w:rPr>
          <w:rFonts w:ascii="Times New Roman" w:hAnsi="Times New Roman"/>
          <w:noProof/>
          <w:sz w:val="24"/>
        </w:rPr>
        <w:t>ujočem enotnem trgu se podjetja spodbuja, naj bodo učinkovitejša in bolj iznajdljiva kot njihovi konkurenti, kar na koncu koristi potrošnikom EU zaradi boljših izdelkov in nižjih cen. Karteli škodijo potrošnikom in celotnemu gospodarstvu, kadar podjetja do</w:t>
      </w:r>
      <w:r>
        <w:rPr>
          <w:rFonts w:ascii="Times New Roman" w:hAnsi="Times New Roman"/>
          <w:noProof/>
          <w:sz w:val="24"/>
        </w:rPr>
        <w:t>ločajo cene namesto trga.</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junija naložila globe osmim proizvajalcem in dvema distributerjema živilskih embalaž oziroma pladnjev za prodajo na drobno zaradi sodelovanja v vsaj enem od petih ločenih kartelov, pri čemer je skupna vsota glob znašal</w:t>
      </w:r>
      <w:r>
        <w:rPr>
          <w:rFonts w:ascii="Times New Roman" w:hAnsi="Times New Roman"/>
          <w:noProof/>
          <w:sz w:val="24"/>
        </w:rPr>
        <w:t>a več kot 115 milijonov EUR</w:t>
      </w:r>
      <w:r>
        <w:rPr>
          <w:rStyle w:val="FootnoteReference"/>
          <w:rFonts w:ascii="Times New Roman" w:hAnsi="Times New Roman"/>
          <w:noProof/>
          <w:sz w:val="24"/>
        </w:rPr>
        <w:footnoteReference w:id="45"/>
      </w:r>
      <w:r>
        <w:rPr>
          <w:noProof/>
        </w:rPr>
        <w:t>.</w:t>
      </w:r>
      <w:r>
        <w:rPr>
          <w:rFonts w:ascii="Times New Roman" w:hAnsi="Times New Roman"/>
          <w:noProof/>
          <w:sz w:val="24"/>
        </w:rPr>
        <w:t xml:space="preserve"> Ti proizvajalci so bili Huhtamäki iz Finske, Nespak in Vitembal iz Francije, Silver Plastics iz Nemčije, Coopbox, Magic Pack in Sirap-Gema iz Italije ter Linpac iz Združenega kraljestva. Zadevna distributerja sta bila Ovarpack</w:t>
      </w:r>
      <w:r>
        <w:rPr>
          <w:rFonts w:ascii="Times New Roman" w:hAnsi="Times New Roman"/>
          <w:noProof/>
          <w:sz w:val="24"/>
        </w:rPr>
        <w:t xml:space="preserve"> iz Portugalske in Propack iz Združenega kraljestva.</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Namesto da bi navedena podjetja tekmovala na podlagi svojih zaslug, so določala cene in si dodeljevala kupce pladnjev iz stiropora ali trdnih pladnjev iz polipropilena, s čimer so kršila protimonopolna p</w:t>
      </w:r>
      <w:r>
        <w:rPr>
          <w:rFonts w:ascii="Times New Roman" w:hAnsi="Times New Roman"/>
          <w:noProof/>
          <w:sz w:val="24"/>
        </w:rPr>
        <w:t>ravila EU in prizadela milijone potrošnikov, ki kupujejo živila. Pladnji iz stiropora in trdni pladnji iz polipropilena se uporabljajo kot embalaža za živila, kot so sir, meso, ribe ali slaščice, za prodajo v trgovinah ali supermarketih.</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oglobi</w:t>
      </w:r>
      <w:r>
        <w:rPr>
          <w:rFonts w:ascii="Times New Roman" w:hAnsi="Times New Roman"/>
          <w:noProof/>
          <w:sz w:val="24"/>
        </w:rPr>
        <w:t>la tudi osem dobaviteljev optičnih pogonov, ki so morali plačati globe v skupni višini 116 milijonov EUR zaradi dogovarjanja glede razpisov za oddajo naročil, ki sta ju organizirala proizvajalca računalnikov Dell in Hewlett Packard</w:t>
      </w:r>
      <w:r>
        <w:rPr>
          <w:rStyle w:val="FootnoteReference"/>
          <w:rFonts w:ascii="Times New Roman" w:hAnsi="Times New Roman"/>
          <w:noProof/>
          <w:sz w:val="24"/>
        </w:rPr>
        <w:footnoteReference w:id="46"/>
      </w:r>
      <w:r>
        <w:rPr>
          <w:noProof/>
        </w:rPr>
        <w:t>.</w:t>
      </w:r>
      <w:r>
        <w:rPr>
          <w:rFonts w:ascii="Times New Roman" w:hAnsi="Times New Roman"/>
          <w:noProof/>
          <w:sz w:val="24"/>
        </w:rPr>
        <w:t xml:space="preserve"> Oglobljeni dobavitelji</w:t>
      </w:r>
      <w:r>
        <w:rPr>
          <w:rFonts w:ascii="Times New Roman" w:hAnsi="Times New Roman"/>
          <w:noProof/>
          <w:sz w:val="24"/>
        </w:rPr>
        <w:t xml:space="preserve"> so bili Philips, Lite-On, njuno skupno podjetje Philips &amp; Lite-On Digital Solutions, Hitachi</w:t>
      </w:r>
      <w:r>
        <w:rPr>
          <w:noProof/>
        </w:rPr>
        <w:noBreakHyphen/>
      </w:r>
      <w:r>
        <w:rPr>
          <w:rFonts w:ascii="Times New Roman" w:hAnsi="Times New Roman"/>
          <w:noProof/>
          <w:sz w:val="24"/>
        </w:rPr>
        <w:t xml:space="preserve">LG Data Storage, Toshiba Samsung Storage Technology, Sony, Sony Optiarc in Quanta Storage. Čeprav so se kartelni dogovori sklepali zunaj Evropskega gospodarskega </w:t>
      </w:r>
      <w:r>
        <w:rPr>
          <w:rFonts w:ascii="Times New Roman" w:hAnsi="Times New Roman"/>
          <w:noProof/>
          <w:sz w:val="24"/>
        </w:rPr>
        <w:t>prostora (EGP), so se izvajali na svetovni ravni, tudi v EGP.</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Optični pogoni berejo ali zapisujejo podatke, shranjene na optičnih diskih, kot so zgoščenke, DVD-ji ali diski Blu-ray, ter se uporabljajo na primer v osebnih računalnikih, predvajalnikih zgošče</w:t>
      </w:r>
      <w:r>
        <w:rPr>
          <w:rFonts w:ascii="Times New Roman" w:hAnsi="Times New Roman"/>
          <w:noProof/>
          <w:sz w:val="24"/>
        </w:rPr>
        <w:t>nk ali DVD-jev in konzolah za video igre. Kartel je zadeval optične pogone za namizne in prenosne računalnike. Ohranjanje konkurenčnosti takih trgov je še posebno pomembno za zagotavljanje poštenih cen za današnje potrošnike in inovativnih izdelkov za prih</w:t>
      </w:r>
      <w:r>
        <w:rPr>
          <w:rFonts w:ascii="Times New Roman" w:hAnsi="Times New Roman"/>
          <w:noProof/>
          <w:sz w:val="24"/>
        </w:rPr>
        <w:t>odnje potrošnike.</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Odpravljanje kartelov je kot odpravljanje skritega davka, ki so ga morali plačevati milijoni nič hudega slutečih potrošnikov v Evropi. Poleg tega karteli odpravljajo spodbude za inovacije podjetij, s čimer močno ovirajo dinamičnost in pri</w:t>
      </w:r>
      <w:r>
        <w:rPr>
          <w:rFonts w:ascii="Times New Roman" w:hAnsi="Times New Roman"/>
          <w:noProof/>
          <w:sz w:val="24"/>
        </w:rPr>
        <w:t>hodnjo rast v EU.</w:t>
      </w:r>
    </w:p>
    <w:p w:rsidR="006B3176" w:rsidRDefault="00A435F4">
      <w:pPr>
        <w:spacing w:line="240" w:lineRule="auto"/>
        <w:jc w:val="both"/>
        <w:rPr>
          <w:rFonts w:ascii="Times New Roman" w:hAnsi="Times New Roman"/>
          <w:i/>
          <w:noProof/>
          <w:sz w:val="24"/>
          <w:szCs w:val="24"/>
        </w:rPr>
      </w:pPr>
      <w:r>
        <w:rPr>
          <w:rFonts w:ascii="Times New Roman" w:hAnsi="Times New Roman"/>
          <w:i/>
          <w:noProof/>
          <w:sz w:val="24"/>
        </w:rPr>
        <w:t>Izboljšanje delovanja trgov finančnih storitev – dosežki politike konkurence v finančnem in plačilnem sektorju</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sprejela tudi sklep o kartelih v finančnem sektorju, ki je eno izmed njenih prednostnih področij za uresničevanje p</w:t>
      </w:r>
      <w:r>
        <w:rPr>
          <w:rFonts w:ascii="Times New Roman" w:hAnsi="Times New Roman"/>
          <w:noProof/>
          <w:sz w:val="24"/>
        </w:rPr>
        <w:t>ravičnejšega in bolj integriranega enotnega trga. Februarja je posredniški družbi ICAP s sedežem v Združenem kraljestvu naložila globo v višini približno 15 milijonov EUR, ki naj bi spodbujala več kartelov v sektorju obrestnih izvedenih finančnih instrumen</w:t>
      </w:r>
      <w:r>
        <w:rPr>
          <w:rFonts w:ascii="Times New Roman" w:hAnsi="Times New Roman"/>
          <w:noProof/>
          <w:sz w:val="24"/>
        </w:rPr>
        <w:t>tov v jenih in s tem kršila protimonopolna pravila EU</w:t>
      </w:r>
      <w:r>
        <w:rPr>
          <w:rStyle w:val="FootnoteReference"/>
          <w:rFonts w:ascii="Times New Roman" w:hAnsi="Times New Roman"/>
          <w:noProof/>
          <w:sz w:val="24"/>
        </w:rPr>
        <w:footnoteReference w:id="47"/>
      </w:r>
      <w:r>
        <w:rPr>
          <w:noProof/>
        </w:rPr>
        <w:t>.</w:t>
      </w:r>
      <w:r>
        <w:rPr>
          <w:rFonts w:ascii="Times New Roman" w:hAnsi="Times New Roman"/>
          <w:noProof/>
          <w:sz w:val="24"/>
        </w:rPr>
        <w:t xml:space="preserve"> V zvezi s tem je Komisija decembra 2013 na podlagi sklepa o poravnavi oglobila več velikih bank.</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 xml:space="preserve">Preiskava obrestnih izvedenih finančnih instrumentov v jenih je le en primer prizadevanj Komisije v </w:t>
      </w:r>
      <w:r>
        <w:rPr>
          <w:rFonts w:ascii="Times New Roman" w:hAnsi="Times New Roman"/>
          <w:noProof/>
          <w:sz w:val="24"/>
        </w:rPr>
        <w:t>boju proti protikonkurenčnim ravnanjem na finančnih trgih. V plačilnem sektorju je mogoče izpostaviti še en pomemben primer. Komisija je julija 2015 poslala obvestilo o nasprotovanju podjetju MasterCard, ker je domnevno zvišalo stroške plačil s kartico v š</w:t>
      </w:r>
      <w:r>
        <w:rPr>
          <w:rFonts w:ascii="Times New Roman" w:hAnsi="Times New Roman"/>
          <w:noProof/>
          <w:sz w:val="24"/>
        </w:rPr>
        <w:t>kodo potrošnikov in trgovcev na drobno v EU</w:t>
      </w:r>
      <w:r>
        <w:rPr>
          <w:rStyle w:val="FootnoteReference"/>
          <w:rFonts w:ascii="Times New Roman" w:hAnsi="Times New Roman"/>
          <w:noProof/>
          <w:sz w:val="24"/>
        </w:rPr>
        <w:footnoteReference w:id="48"/>
      </w:r>
      <w:r>
        <w:rPr>
          <w:noProof/>
        </w:rPr>
        <w:t>.</w:t>
      </w:r>
      <w:r>
        <w:rPr>
          <w:rFonts w:ascii="Times New Roman" w:hAnsi="Times New Roman"/>
          <w:noProof/>
          <w:sz w:val="24"/>
        </w:rPr>
        <w:t xml:space="preserve"> Kartično plačevanje ima ključno vlogo na enotnem trgu, tako pri domačih nakupih kot pri nakupovanju v tujini, vključno z nakupovanjem prek spleta. Evropski potrošniki in podjetja letno opravijo več kot 40 % neg</w:t>
      </w:r>
      <w:r>
        <w:rPr>
          <w:rFonts w:ascii="Times New Roman" w:hAnsi="Times New Roman"/>
          <w:noProof/>
          <w:sz w:val="24"/>
        </w:rPr>
        <w:t>otovinskih plačil s plačilnimi karticami.</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V obvestilu o nasprotovanju Komisija pojasnjuje svoje predhodno stališče, da MasterCardova pravila bankam preprečujejo, da bi ponudile nižje medbančne provizije trgovcem na drobno s sedežem v drugi državi v Evropsk</w:t>
      </w:r>
      <w:r>
        <w:rPr>
          <w:rFonts w:ascii="Times New Roman" w:hAnsi="Times New Roman"/>
          <w:noProof/>
          <w:sz w:val="24"/>
        </w:rPr>
        <w:t>em gospodarskem prostoru, v kateri so medbančne provizije morda višje. Zato trgovci na drobno ne morejo uživati ugodnosti nižjih provizij drugje, poleg tega pa je lahko ovirana čezmejna konkurenca med bankami, kar pomeni kršitev evropskih protimonopolnih p</w:t>
      </w:r>
      <w:r>
        <w:rPr>
          <w:rFonts w:ascii="Times New Roman" w:hAnsi="Times New Roman"/>
          <w:noProof/>
          <w:sz w:val="24"/>
        </w:rPr>
        <w:t>ravil. Komisija v obvestilu o nasprotovanju trdi tudi, da MasterCardove medbančne provizije za transakcije v EU z MasterCardovimi karticami, izdanimi v drugih svetovnih regijah, kršijo evropska protimonopolna pravila, saj MasterCard umetno določa visoko mi</w:t>
      </w:r>
      <w:r>
        <w:rPr>
          <w:rFonts w:ascii="Times New Roman" w:hAnsi="Times New Roman"/>
          <w:noProof/>
          <w:sz w:val="24"/>
        </w:rPr>
        <w:t>nimalno ceno za izvedbo teh transakcij.</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Eno od dveh vprašanj v sedanji preiskavi se nanaša na medregionalne transakcije, ki ne spadajo na področje uporabe uredbe o medbančnih provizijah</w:t>
      </w:r>
      <w:r>
        <w:rPr>
          <w:rStyle w:val="FootnoteReference"/>
          <w:rFonts w:ascii="Times New Roman" w:hAnsi="Times New Roman"/>
          <w:noProof/>
          <w:sz w:val="24"/>
        </w:rPr>
        <w:footnoteReference w:id="49"/>
      </w:r>
      <w:r>
        <w:rPr>
          <w:rFonts w:ascii="Times New Roman" w:hAnsi="Times New Roman"/>
          <w:noProof/>
          <w:sz w:val="24"/>
        </w:rPr>
        <w:t>, ki je bila sprejeta aprila 2015. Uredba je na podlagi skoraj desetle</w:t>
      </w:r>
      <w:r>
        <w:rPr>
          <w:rFonts w:ascii="Times New Roman" w:hAnsi="Times New Roman"/>
          <w:noProof/>
          <w:sz w:val="24"/>
        </w:rPr>
        <w:t>tne protimonopolne sodne prakse v plačilnem sektorju omejila medbančne provizije za kartice, ki so izdane v EU in se tam uporabljajo, s čimer je prinesla koristi za potrošnike in podjetja ter spodbudila rast in inovacije. Ker so kartice najbolj uporabljani</w:t>
      </w:r>
      <w:r>
        <w:rPr>
          <w:rFonts w:ascii="Times New Roman" w:hAnsi="Times New Roman"/>
          <w:noProof/>
          <w:sz w:val="24"/>
        </w:rPr>
        <w:t xml:space="preserve"> način plačevanja prek spleta, je uredba poleg tega pomemben temelj za dokončno vzpostavitev enotnega digitalnega trga.</w:t>
      </w:r>
    </w:p>
    <w:p w:rsidR="006B3176" w:rsidRDefault="00A435F4">
      <w:pPr>
        <w:spacing w:line="240" w:lineRule="auto"/>
        <w:jc w:val="both"/>
        <w:rPr>
          <w:rFonts w:ascii="Times New Roman" w:hAnsi="Times New Roman"/>
          <w:i/>
          <w:noProof/>
          <w:sz w:val="24"/>
          <w:szCs w:val="24"/>
        </w:rPr>
      </w:pPr>
      <w:r>
        <w:rPr>
          <w:rFonts w:ascii="Times New Roman" w:hAnsi="Times New Roman"/>
          <w:i/>
          <w:noProof/>
          <w:sz w:val="24"/>
        </w:rPr>
        <w:t>Pravila o državni pomoči v bančnem sektorju – podpora gospodarski oživitvi in zmanjševanje izkrivljanja konkurence</w:t>
      </w:r>
    </w:p>
    <w:p w:rsidR="006B3176" w:rsidRDefault="00A435F4">
      <w:pPr>
        <w:pStyle w:val="NormalWeb"/>
        <w:jc w:val="both"/>
        <w:rPr>
          <w:rStyle w:val="Emphasis"/>
          <w:i w:val="0"/>
          <w:noProof/>
        </w:rPr>
      </w:pPr>
      <w:r>
        <w:rPr>
          <w:noProof/>
        </w:rPr>
        <w:t>Nadzor državnih pomoč</w:t>
      </w:r>
      <w:r>
        <w:rPr>
          <w:noProof/>
        </w:rPr>
        <w:t>i v bančnem sektorju je še naprej omejeval izkrivljanje konkurence in zagotavljal enake konkurenčne pogoje, hkrati pa je zmanjšal uporabo denarja davkoplačevalcev na najmanjši potrebni znesek. Poleg tega je januarja 2015 začela veljati direktiva o sanaciji</w:t>
      </w:r>
      <w:r>
        <w:rPr>
          <w:noProof/>
        </w:rPr>
        <w:t xml:space="preserve"> in reševanju bank (DSRB)</w:t>
      </w:r>
      <w:r>
        <w:rPr>
          <w:rStyle w:val="FootnoteReference"/>
          <w:noProof/>
        </w:rPr>
        <w:footnoteReference w:id="50"/>
      </w:r>
      <w:r>
        <w:rPr>
          <w:noProof/>
        </w:rPr>
        <w:t>, ki določa pravila za reševanje bank in velikih investicijskih podjetij v vseh državah članicah. Državna pomoč propadajočim bankam, priglašena Komisiji po 1. januarju 2015, se lahko odobri le, če se je začel postopek reševanja ba</w:t>
      </w:r>
      <w:r>
        <w:rPr>
          <w:noProof/>
        </w:rPr>
        <w:t>nke v skladu z določbami DSRB in pravili EU o državni pomoči.</w:t>
      </w:r>
    </w:p>
    <w:p w:rsidR="006B3176" w:rsidRDefault="00A435F4">
      <w:pPr>
        <w:pStyle w:val="NormalWeb"/>
        <w:jc w:val="both"/>
        <w:rPr>
          <w:rFonts w:eastAsia="Calibri"/>
          <w:noProof/>
        </w:rPr>
      </w:pPr>
      <w:r>
        <w:rPr>
          <w:noProof/>
        </w:rPr>
        <w:t>Komisija je novembra ugotovila, da so načrti za reševanje bank Banca delle Marche, Banca Popolare dell’Etruria e del Lazio, Cassa di Risparmio di Ferrara in Cassa di Risparmio della Provincia di</w:t>
      </w:r>
      <w:r>
        <w:rPr>
          <w:noProof/>
        </w:rPr>
        <w:t xml:space="preserve"> Chieti (ki imajo skupaj približno 1-odstotni tržni delež v Italiji) v skladu s pravili EU o državni pomoči</w:t>
      </w:r>
      <w:r>
        <w:rPr>
          <w:rStyle w:val="FootnoteReference"/>
          <w:noProof/>
        </w:rPr>
        <w:footnoteReference w:id="51"/>
      </w:r>
      <w:r>
        <w:rPr>
          <w:noProof/>
        </w:rPr>
        <w:t>. Banka Italije je v skladu z DSRB začela reševanje navedenih bank, ki so bile vse že v postopku posebnega upravljanja. Komisija je ugotovila, da so</w:t>
      </w:r>
      <w:r>
        <w:rPr>
          <w:noProof/>
        </w:rPr>
        <w:t xml:space="preserve"> načrti Italije glede uporabe nacionalnega sklada za reševanje zmanjšali uporabo javnih sredstev in morebitno izkrivljanje konkurence zaradi ukrepov, hkrati pa so ohranili finančno stabilnost.</w:t>
      </w:r>
    </w:p>
    <w:p w:rsidR="006B3176" w:rsidRDefault="00A435F4">
      <w:pPr>
        <w:pStyle w:val="NormalWeb"/>
        <w:jc w:val="both"/>
        <w:rPr>
          <w:rFonts w:eastAsia="Calibri"/>
          <w:noProof/>
        </w:rPr>
      </w:pPr>
      <w:r>
        <w:rPr>
          <w:noProof/>
        </w:rPr>
        <w:t>Poleg tega so pravila o državni pomoči igrala ključno vlogo pri</w:t>
      </w:r>
      <w:r>
        <w:rPr>
          <w:noProof/>
        </w:rPr>
        <w:t xml:space="preserve"> podpori prizadevanjem štirih največjih grških bank za odpravo primanjkljajev kapitala, ki jih je ugotovil evropski bančni nadzornik</w:t>
      </w:r>
      <w:r>
        <w:rPr>
          <w:rStyle w:val="FootnoteReference"/>
          <w:noProof/>
        </w:rPr>
        <w:footnoteReference w:id="52"/>
      </w:r>
      <w:r>
        <w:rPr>
          <w:noProof/>
        </w:rPr>
        <w:t>. Komisija je novembra in decembra odobrila ukrepe državne pomoči za dokapitalizacijo banke Piraeus Bank</w:t>
      </w:r>
      <w:r>
        <w:rPr>
          <w:rStyle w:val="FootnoteReference"/>
          <w:noProof/>
        </w:rPr>
        <w:footnoteReference w:id="53"/>
      </w:r>
      <w:r>
        <w:rPr>
          <w:noProof/>
        </w:rPr>
        <w:t xml:space="preserve"> in nacionalne ban</w:t>
      </w:r>
      <w:r>
        <w:rPr>
          <w:noProof/>
        </w:rPr>
        <w:t>ke Grčije</w:t>
      </w:r>
      <w:r>
        <w:rPr>
          <w:rStyle w:val="FootnoteReference"/>
          <w:noProof/>
        </w:rPr>
        <w:footnoteReference w:id="54"/>
      </w:r>
      <w:r>
        <w:rPr>
          <w:noProof/>
        </w:rPr>
        <w:t xml:space="preserve">. </w:t>
      </w:r>
      <w:r>
        <w:rPr>
          <w:rStyle w:val="Emphasis"/>
          <w:i w:val="0"/>
          <w:noProof/>
        </w:rPr>
        <w:t>Banki sta predložili načrt prestrukturiranja za zagotovitev dolgoročnega uspešnega poslovanja, ki bi jima omogočilo, da se osredotočita na zagotavljanje posojil grškim podjetjem in podporo oživitve grškega gospodarstva.</w:t>
      </w:r>
    </w:p>
    <w:p w:rsidR="006B3176" w:rsidRDefault="00A435F4">
      <w:pPr>
        <w:pStyle w:val="NormalWeb"/>
        <w:jc w:val="both"/>
        <w:rPr>
          <w:noProof/>
        </w:rPr>
      </w:pPr>
      <w:r>
        <w:rPr>
          <w:noProof/>
        </w:rPr>
        <w:t>Komisija zagotavlja tudi</w:t>
      </w:r>
      <w:r>
        <w:rPr>
          <w:noProof/>
        </w:rPr>
        <w:t xml:space="preserve"> dosledno uporabo pravil o državni pomoči za bančni sektor v okviru programa ekonomskega prilagajanja na Cipru. Decembra 2015 je ugotovila, da je kapitalska injekcija v višini 175 milijonov EUR v korist banke Cypriot Cooperative Central Bank Ltd in njenih </w:t>
      </w:r>
      <w:r>
        <w:rPr>
          <w:noProof/>
        </w:rPr>
        <w:t>hčerinskih družb v skladu s pravili EU o državni pomoči</w:t>
      </w:r>
      <w:r>
        <w:rPr>
          <w:rStyle w:val="FootnoteReference"/>
          <w:noProof/>
        </w:rPr>
        <w:footnoteReference w:id="55"/>
      </w:r>
      <w:r>
        <w:rPr>
          <w:noProof/>
        </w:rPr>
        <w:t>. Sklenila je, da bi izvedba ukrepov za prestrukturiranje, h katerim se je zavezala banka, zmanjšala izkrivljanje konkurence in hkrati zagotovila dolgoročno uspešno poslovanje banke.</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Po koncu programa</w:t>
      </w:r>
      <w:r>
        <w:rPr>
          <w:rFonts w:ascii="Times New Roman" w:hAnsi="Times New Roman"/>
          <w:noProof/>
          <w:sz w:val="24"/>
        </w:rPr>
        <w:t xml:space="preserve"> na Portugalskem</w:t>
      </w:r>
      <w:r>
        <w:rPr>
          <w:rStyle w:val="FootnoteReference"/>
          <w:rFonts w:ascii="Times New Roman" w:hAnsi="Times New Roman"/>
          <w:noProof/>
          <w:sz w:val="24"/>
        </w:rPr>
        <w:footnoteReference w:id="56"/>
      </w:r>
      <w:r>
        <w:rPr>
          <w:rFonts w:ascii="Times New Roman" w:hAnsi="Times New Roman"/>
          <w:noProof/>
          <w:sz w:val="24"/>
        </w:rPr>
        <w:t xml:space="preserve"> je Komisija na podlagi pravil EU o državni pomoči odobrila podaljšanje portugalskih državnih jamstev za obveznice, ki jih je izdala banka Novo Banco</w:t>
      </w:r>
      <w:r>
        <w:rPr>
          <w:rStyle w:val="FootnoteReference"/>
          <w:rFonts w:ascii="Times New Roman" w:hAnsi="Times New Roman"/>
          <w:noProof/>
          <w:sz w:val="24"/>
        </w:rPr>
        <w:footnoteReference w:id="57"/>
      </w:r>
      <w:r>
        <w:rPr>
          <w:rFonts w:ascii="Times New Roman" w:hAnsi="Times New Roman"/>
          <w:noProof/>
          <w:sz w:val="24"/>
        </w:rPr>
        <w:t>, in ukrepe državne pomoči za zapolnitev vrzeli v financiranju reševanja banke Banif</w:t>
      </w:r>
      <w:r>
        <w:rPr>
          <w:rStyle w:val="FootnoteReference"/>
          <w:rFonts w:ascii="Times New Roman" w:hAnsi="Times New Roman"/>
          <w:noProof/>
          <w:sz w:val="24"/>
        </w:rPr>
        <w:footnoteReference w:id="58"/>
      </w:r>
      <w:r>
        <w:rPr>
          <w:noProof/>
        </w:rPr>
        <w:t>.</w:t>
      </w:r>
      <w:r>
        <w:rPr>
          <w:rFonts w:ascii="Times New Roman" w:hAnsi="Times New Roman"/>
          <w:noProof/>
          <w:sz w:val="24"/>
        </w:rPr>
        <w:t xml:space="preserve"> Na</w:t>
      </w:r>
      <w:r>
        <w:rPr>
          <w:rFonts w:ascii="Times New Roman" w:hAnsi="Times New Roman"/>
          <w:noProof/>
          <w:sz w:val="24"/>
        </w:rPr>
        <w:t>men predlaganih ukrepov je bil ohraniti ustrezno likvidnost banke Novo Banco in omogočiti</w:t>
      </w:r>
      <w:r>
        <w:rPr>
          <w:noProof/>
        </w:rPr>
        <w:t xml:space="preserve"> </w:t>
      </w:r>
      <w:r>
        <w:rPr>
          <w:rFonts w:ascii="Times New Roman" w:hAnsi="Times New Roman"/>
          <w:noProof/>
          <w:sz w:val="24"/>
        </w:rPr>
        <w:t>urejen izstop banke Banif s trga, s čimer bi se podprla finančna stabilnost portugalskega bančnega sektorja.</w:t>
      </w:r>
    </w:p>
    <w:p w:rsidR="006B3176" w:rsidRDefault="00A435F4">
      <w:pPr>
        <w:numPr>
          <w:ilvl w:val="0"/>
          <w:numId w:val="3"/>
        </w:numPr>
        <w:spacing w:line="240" w:lineRule="auto"/>
        <w:jc w:val="both"/>
        <w:rPr>
          <w:rFonts w:ascii="Times New Roman" w:hAnsi="Times New Roman"/>
          <w:b/>
          <w:noProof/>
          <w:sz w:val="24"/>
          <w:szCs w:val="24"/>
        </w:rPr>
      </w:pPr>
      <w:r>
        <w:rPr>
          <w:rFonts w:ascii="Times New Roman" w:hAnsi="Times New Roman"/>
          <w:b/>
          <w:noProof/>
          <w:sz w:val="24"/>
        </w:rPr>
        <w:t>Spodbujanje plodnega mednarodnega sodelovanja in konstruk</w:t>
      </w:r>
      <w:r>
        <w:rPr>
          <w:rFonts w:ascii="Times New Roman" w:hAnsi="Times New Roman"/>
          <w:b/>
          <w:noProof/>
          <w:sz w:val="24"/>
        </w:rPr>
        <w:t>tivnega medinstitucionalnega dialoga na področju konkurence</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 xml:space="preserve">Komisija, zlasti komisarka za konkurenco Margrethe Vestager, se v celoti zavzema za odprto in konstruktivno izmenjavo informacij in mnenj o vprašanjih v zvezi s konkurenco po vsem svetu in z </w:t>
      </w:r>
      <w:r>
        <w:rPr>
          <w:rFonts w:ascii="Times New Roman" w:hAnsi="Times New Roman"/>
          <w:noProof/>
          <w:sz w:val="24"/>
        </w:rPr>
        <w:t>drugimi institucijami EU.</w:t>
      </w:r>
    </w:p>
    <w:p w:rsidR="006B3176" w:rsidRDefault="00A435F4">
      <w:pPr>
        <w:spacing w:line="240" w:lineRule="auto"/>
        <w:jc w:val="both"/>
        <w:rPr>
          <w:rFonts w:ascii="Times New Roman" w:hAnsi="Times New Roman"/>
          <w:i/>
          <w:noProof/>
          <w:sz w:val="24"/>
          <w:szCs w:val="24"/>
        </w:rPr>
      </w:pPr>
      <w:r>
        <w:rPr>
          <w:rFonts w:ascii="Times New Roman" w:hAnsi="Times New Roman"/>
          <w:i/>
          <w:noProof/>
          <w:sz w:val="24"/>
        </w:rPr>
        <w:t>Krepitev mednarodnega sodelovanja s tradicionalnimi gospodarskimi akterji in gospodarskimi akterji v vzponu</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 xml:space="preserve">Postopno povezovanje svetovnih gospodarstev ima pomembne posledice za delo izvršilnih organov, pristojnih za konkurenco – </w:t>
      </w:r>
      <w:r>
        <w:rPr>
          <w:rFonts w:ascii="Times New Roman" w:hAnsi="Times New Roman"/>
          <w:noProof/>
          <w:sz w:val="24"/>
        </w:rPr>
        <w:t>pri globalizaciji gre predvsem za soodvisnost. V zadnjih 25 letih se je število ureditev na področju konkurence po vsem svetu močno povečalo, in sicer s približno 20 na začetku devetdesetih let na približno 130 leta 2015, ko so zajemale 85 % svetovnega pre</w:t>
      </w:r>
      <w:r>
        <w:rPr>
          <w:rFonts w:ascii="Times New Roman" w:hAnsi="Times New Roman"/>
          <w:noProof/>
          <w:sz w:val="24"/>
        </w:rPr>
        <w:t>bivalstva. Medtem ko povečanje števila agencij za boj proti monopolom kaže, da se razvoj kulture konkurence nadaljuje po vsem svetu, so prizadevanja Komisije usmerjena tudi v reševanje izzivov, ki spremljajo ta razvoj.</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Zato se Komisija dejavno udeležuje dv</w:t>
      </w:r>
      <w:r>
        <w:rPr>
          <w:rFonts w:ascii="Times New Roman" w:hAnsi="Times New Roman"/>
          <w:noProof/>
          <w:sz w:val="24"/>
        </w:rPr>
        <w:t>o- in večstranskega mednarodnega sodelovanja na področju konkurence v forumih za konkurenco, kot so Odbor OECD za konkurenco, Konferenca Združenih narodov za trgovino in razvoj (UNCTAD) ter Mednarodna mreža za konkurenco (ICN).</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kot sopredsedujo</w:t>
      </w:r>
      <w:r>
        <w:rPr>
          <w:rFonts w:ascii="Times New Roman" w:hAnsi="Times New Roman"/>
          <w:noProof/>
          <w:sz w:val="24"/>
        </w:rPr>
        <w:t>ča delovni skupini ICN za združitve prispevala k pripravi praktičnega vodnika po mednarodnem sodelovanju pri izvrševanju zakonodaje na področju združitev (Practical Guide to International Enforcement Cooperation in Mergers), ki je bil sprejet leta 2015. Pr</w:t>
      </w:r>
      <w:r>
        <w:rPr>
          <w:rFonts w:ascii="Times New Roman" w:hAnsi="Times New Roman"/>
          <w:noProof/>
          <w:sz w:val="24"/>
        </w:rPr>
        <w:t>aktični vodnik zagotavlja neposredne in na primerih temelječe smernice za člane ICN o tem, kako lahko agencije uskladijo časovne razporede, sodelujejo in si izmenjujejo informacije, tako o vsebinah kot o popravnih ukrepih za preprečevanje neskladnosti.</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Usp</w:t>
      </w:r>
      <w:r>
        <w:rPr>
          <w:rFonts w:ascii="Times New Roman" w:hAnsi="Times New Roman"/>
          <w:noProof/>
          <w:sz w:val="24"/>
        </w:rPr>
        <w:t>ešno sodelovanje pri nadzoru nad združitvami je leta 2015 vključevalo tudi dvostranske odnose. Komisija in ministrstvo za trgovino Ljudske republike Kitajske (MOFCOM) sta oktobra podpisala praktični vodnik</w:t>
      </w:r>
      <w:r>
        <w:rPr>
          <w:noProof/>
        </w:rPr>
        <w:t xml:space="preserve"> </w:t>
      </w:r>
      <w:r>
        <w:rPr>
          <w:rFonts w:ascii="Times New Roman" w:hAnsi="Times New Roman"/>
          <w:noProof/>
          <w:sz w:val="24"/>
        </w:rPr>
        <w:t>za sodelovanje pri pregledovanju združitev (Practi</w:t>
      </w:r>
      <w:r>
        <w:rPr>
          <w:rFonts w:ascii="Times New Roman" w:hAnsi="Times New Roman"/>
          <w:noProof/>
          <w:sz w:val="24"/>
        </w:rPr>
        <w:t xml:space="preserve">cal Guidance for Cooperation on Reviewing Merger Cases). Praktični vodnik bo omogočil večjo preglednost glede časa in vsebine razprav med Komisijo in ministrstvom MOFCOM, kar bo prispevalo k učinkovitejšim in doslednejšim pregledom, ki si ne nasprotujejo, </w:t>
      </w:r>
      <w:r>
        <w:rPr>
          <w:rFonts w:ascii="Times New Roman" w:hAnsi="Times New Roman"/>
          <w:noProof/>
          <w:sz w:val="24"/>
        </w:rPr>
        <w:t>v primerih, ko morata združitev proučiti oba navedena organa. Predstavlja dodatni element sodelovanja med EU in Kitajsko poleg dejavnosti tehničnega sodelovanja, ki se trenutno razvijajo v okviru posebnega programa sodelovanja (EUCTP II</w:t>
      </w:r>
      <w:r>
        <w:rPr>
          <w:rStyle w:val="FootnoteReference"/>
          <w:rFonts w:ascii="Times New Roman" w:hAnsi="Times New Roman"/>
          <w:noProof/>
          <w:sz w:val="24"/>
        </w:rPr>
        <w:footnoteReference w:id="59"/>
      </w:r>
      <w:r>
        <w:rPr>
          <w:rFonts w:ascii="Times New Roman" w:hAnsi="Times New Roman"/>
          <w:noProof/>
          <w:sz w:val="24"/>
        </w:rPr>
        <w:t>).</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nadalju</w:t>
      </w:r>
      <w:r>
        <w:rPr>
          <w:rFonts w:ascii="Times New Roman" w:hAnsi="Times New Roman"/>
          <w:noProof/>
          <w:sz w:val="24"/>
        </w:rPr>
        <w:t>je svoje delo za vključitev določb o konkurenci in državni pomoči v pogajanja o sporazumih o prosti trgovini. Leta 2015 je bil dosežen pomemben napredek v zvezi z določbami o konkurenci v sporazumih o prosti trgovini z Japonsko in Vietnamom. Komisija je do</w:t>
      </w:r>
      <w:r>
        <w:rPr>
          <w:rFonts w:ascii="Times New Roman" w:hAnsi="Times New Roman"/>
          <w:noProof/>
          <w:sz w:val="24"/>
        </w:rPr>
        <w:t xml:space="preserve">segla napredek tudi v pogajanjih z ZDA o čezatlantskem sporazumu o partnerstvu za trgovino in naložbe (TTIP), ki bo vključeval poglavje o konkurenci. </w:t>
      </w:r>
    </w:p>
    <w:p w:rsidR="006B3176" w:rsidRDefault="00A435F4">
      <w:pPr>
        <w:spacing w:line="240" w:lineRule="auto"/>
        <w:jc w:val="both"/>
        <w:rPr>
          <w:rFonts w:ascii="Times New Roman" w:hAnsi="Times New Roman"/>
          <w:i/>
          <w:noProof/>
          <w:sz w:val="24"/>
          <w:szCs w:val="24"/>
        </w:rPr>
      </w:pPr>
      <w:r>
        <w:rPr>
          <w:rFonts w:ascii="Times New Roman" w:hAnsi="Times New Roman"/>
          <w:i/>
          <w:noProof/>
          <w:sz w:val="24"/>
        </w:rPr>
        <w:t>Strukturirani dialog z Evropskim parlamentom</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leta 2015 še naprej uspešno sodelovala z Evropsk</w:t>
      </w:r>
      <w:r>
        <w:rPr>
          <w:rFonts w:ascii="Times New Roman" w:hAnsi="Times New Roman"/>
          <w:noProof/>
          <w:sz w:val="24"/>
        </w:rPr>
        <w:t>im parlamentom, zlasti Odborom za ekonomske in monetarne zadeve (ECON).</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 xml:space="preserve">Komisarka Vestager je julija in novembra v okviru svojega strukturiranega dialoga s Parlamentom obiskala odbor ECON. Pozdravila je priložnost za udeležbo na seji odbora in sodelovanje </w:t>
      </w:r>
      <w:r>
        <w:rPr>
          <w:rFonts w:ascii="Times New Roman" w:hAnsi="Times New Roman"/>
          <w:noProof/>
          <w:sz w:val="24"/>
        </w:rPr>
        <w:t xml:space="preserve">v konstruktivni razpravi o politiki konkurence s poslanci Parlamenta.  </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Komisarka se je aprila udeležila tudi sestanka delovne skupine odbora ECON za konkurenco, maja in septembra pa seje Posebnega odbora za davčna stališča in druge ukrepe podobne narave a</w:t>
      </w:r>
      <w:r>
        <w:rPr>
          <w:rFonts w:ascii="Times New Roman" w:hAnsi="Times New Roman"/>
          <w:noProof/>
          <w:sz w:val="24"/>
        </w:rPr>
        <w:t>li s podobnim učinkom (TAXE). Junija se je udeležila seje Odbora za kmetijstvo in razvoj podeželja (AGRI), da bi sodelovala v razpravi o osnutku smernic za skupno prodajo v sektorjih govejega in telečjega mesa, oljčnega olja ter poljščin.</w:t>
      </w:r>
    </w:p>
    <w:p w:rsidR="006B3176" w:rsidRDefault="00A435F4">
      <w:pPr>
        <w:pBdr>
          <w:top w:val="single" w:sz="4" w:space="1" w:color="auto"/>
          <w:left w:val="single" w:sz="4" w:space="4" w:color="auto"/>
          <w:bottom w:val="single" w:sz="4" w:space="1" w:color="auto"/>
          <w:right w:val="single" w:sz="4" w:space="4" w:color="auto"/>
        </w:pBdr>
        <w:jc w:val="both"/>
        <w:rPr>
          <w:rFonts w:ascii="Times New Roman" w:hAnsi="Times New Roman"/>
          <w:b/>
          <w:noProof/>
          <w:sz w:val="20"/>
          <w:szCs w:val="20"/>
        </w:rPr>
      </w:pPr>
      <w:r>
        <w:rPr>
          <w:rFonts w:ascii="Times New Roman" w:hAnsi="Times New Roman"/>
          <w:b/>
          <w:noProof/>
          <w:sz w:val="20"/>
        </w:rPr>
        <w:t>Povečanje sodelov</w:t>
      </w:r>
      <w:r>
        <w:rPr>
          <w:rFonts w:ascii="Times New Roman" w:hAnsi="Times New Roman"/>
          <w:b/>
          <w:noProof/>
          <w:sz w:val="20"/>
        </w:rPr>
        <w:t>anja Parlamenta v pobudah politike konkurence</w:t>
      </w:r>
    </w:p>
    <w:p w:rsidR="006B3176" w:rsidRDefault="00A435F4">
      <w:pPr>
        <w:pBdr>
          <w:top w:val="single" w:sz="4" w:space="1" w:color="auto"/>
          <w:left w:val="single" w:sz="4" w:space="4" w:color="auto"/>
          <w:bottom w:val="single" w:sz="4" w:space="1" w:color="auto"/>
          <w:right w:val="single" w:sz="4" w:space="4" w:color="auto"/>
        </w:pBdr>
        <w:jc w:val="both"/>
        <w:rPr>
          <w:rFonts w:ascii="Times New Roman" w:hAnsi="Times New Roman"/>
          <w:noProof/>
          <w:sz w:val="20"/>
          <w:szCs w:val="20"/>
        </w:rPr>
      </w:pPr>
      <w:r>
        <w:rPr>
          <w:rFonts w:ascii="Times New Roman" w:hAnsi="Times New Roman"/>
          <w:noProof/>
          <w:sz w:val="20"/>
        </w:rPr>
        <w:t>Komisija po izdaji sporočila z naslovom „Deset let izvrševanja protimonopolnega prava v okviru Uredbe št. 1/2003“ proučuje, kako okrepiti pooblastila nacionalnih organov za konkurenco, da bi ti postali učinkovi</w:t>
      </w:r>
      <w:r>
        <w:rPr>
          <w:rFonts w:ascii="Times New Roman" w:hAnsi="Times New Roman"/>
          <w:noProof/>
          <w:sz w:val="20"/>
        </w:rPr>
        <w:t>tejši izvrševalci protimonopolnih pravil EU. Odbor ECON je bil obveščen o javnem posvetovanju, ki se je začelo novembra 2015, da bi se pridobile povratne informacije od različnih deležnikov. Poleg tega se je komisarka Vestager zavezala, da bo spodbujala de</w:t>
      </w:r>
      <w:r>
        <w:rPr>
          <w:rFonts w:ascii="Times New Roman" w:hAnsi="Times New Roman"/>
          <w:noProof/>
          <w:sz w:val="20"/>
        </w:rPr>
        <w:t>javno sodelovanje Parlamenta v tej pobudi, če bo dejanska vsebina predloga to dopuščala.</w:t>
      </w:r>
    </w:p>
    <w:p w:rsidR="006B3176" w:rsidRDefault="00A435F4">
      <w:pPr>
        <w:spacing w:line="240" w:lineRule="auto"/>
        <w:jc w:val="both"/>
        <w:rPr>
          <w:rFonts w:ascii="Times New Roman" w:hAnsi="Times New Roman"/>
          <w:i/>
          <w:noProof/>
          <w:sz w:val="24"/>
          <w:szCs w:val="24"/>
        </w:rPr>
      </w:pPr>
      <w:r>
        <w:rPr>
          <w:rFonts w:ascii="Times New Roman" w:hAnsi="Times New Roman"/>
          <w:i/>
          <w:noProof/>
          <w:sz w:val="24"/>
        </w:rPr>
        <w:t>Nadaljnje izboljševanje komuniciranja GD za konkurenco z Evropskim parlamentom</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Julija 2015 je potekal redni informativni seminar GD za konkurenco za asistente in polit</w:t>
      </w:r>
      <w:r>
        <w:rPr>
          <w:rFonts w:ascii="Times New Roman" w:hAnsi="Times New Roman"/>
          <w:noProof/>
          <w:sz w:val="24"/>
        </w:rPr>
        <w:t xml:space="preserve">ične svetovalce odbora ECON, ki je zajemal glavne teme iz poročila o politiki konkurence za leto 2014. GD za konkurenco je zagotovil tudi podrobnejše poročanje o politiki in postopkih na področju državnih pomoči za člane odbora TAXE in povezano osebje. </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GD</w:t>
      </w:r>
      <w:r>
        <w:rPr>
          <w:rFonts w:ascii="Times New Roman" w:hAnsi="Times New Roman"/>
          <w:noProof/>
          <w:sz w:val="24"/>
        </w:rPr>
        <w:t xml:space="preserve"> za konkurenco je v sodelovanju z delovno skupino za konkurenco pripravil delavnico o mednarodnem sodelovanju pri izvrševanju zakonodaje o konkurenci ter odnosih med EU in ZDA na tem področju, ki je bila maja 2015. Poleg tega je novo imenovani generalni di</w:t>
      </w:r>
      <w:r>
        <w:rPr>
          <w:rFonts w:ascii="Times New Roman" w:hAnsi="Times New Roman"/>
          <w:noProof/>
          <w:sz w:val="24"/>
        </w:rPr>
        <w:t>rektor GD za konkurenco Johannes Laitenberger postal prvi generalni direktor, ki se je decembra 2015 udeležil sestanka delovne skupine Parlamenta za politiko konkurence.</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GD za konkurenco je bil pristojni GD za 331 pisnih parlamentarnih vprašanj in 7 petici</w:t>
      </w:r>
      <w:r>
        <w:rPr>
          <w:rFonts w:ascii="Times New Roman" w:hAnsi="Times New Roman"/>
          <w:noProof/>
          <w:sz w:val="24"/>
        </w:rPr>
        <w:t>j, ki so jih pripravile službe Komisije.</w:t>
      </w:r>
    </w:p>
    <w:p w:rsidR="006B3176" w:rsidRDefault="00A435F4">
      <w:pPr>
        <w:keepNext/>
        <w:spacing w:line="240" w:lineRule="auto"/>
        <w:jc w:val="both"/>
        <w:rPr>
          <w:rFonts w:ascii="Times New Roman" w:hAnsi="Times New Roman"/>
          <w:i/>
          <w:noProof/>
          <w:sz w:val="24"/>
          <w:szCs w:val="24"/>
        </w:rPr>
      </w:pPr>
      <w:r>
        <w:rPr>
          <w:rFonts w:ascii="Times New Roman" w:hAnsi="Times New Roman"/>
          <w:i/>
          <w:noProof/>
          <w:sz w:val="24"/>
        </w:rPr>
        <w:t>Sodelovanje GD za konkurenco z Evropskim ekonomsko-socialnim odborom (EESO) in Odborom regij (OR)</w:t>
      </w:r>
    </w:p>
    <w:p w:rsidR="006B3176" w:rsidRDefault="00A435F4">
      <w:pPr>
        <w:spacing w:line="240" w:lineRule="auto"/>
        <w:jc w:val="both"/>
        <w:rPr>
          <w:rFonts w:ascii="Times New Roman" w:hAnsi="Times New Roman"/>
          <w:noProof/>
          <w:sz w:val="24"/>
          <w:szCs w:val="24"/>
        </w:rPr>
      </w:pPr>
      <w:r>
        <w:rPr>
          <w:rFonts w:ascii="Times New Roman" w:hAnsi="Times New Roman"/>
          <w:noProof/>
          <w:sz w:val="24"/>
        </w:rPr>
        <w:t>Komisija je EESO in OR obveščala o pomembnih političnih pobudah ter sodelovala v študijskih skupinah in na sejah stro</w:t>
      </w:r>
      <w:r>
        <w:rPr>
          <w:rFonts w:ascii="Times New Roman" w:hAnsi="Times New Roman"/>
          <w:noProof/>
          <w:sz w:val="24"/>
        </w:rPr>
        <w:t>kovnih skupin. V skladu s tem se je nekdanji generalni direktor GD za konkurenco Alexander Italianer 14. julija udeležil sestanka Strokovne skupine EESO za enotni trg, proizvodnjo in potrošnjo. EESO je 16. septembra izdal mnenje o učinkovitosti in uspešnos</w:t>
      </w:r>
      <w:r>
        <w:rPr>
          <w:rFonts w:ascii="Times New Roman" w:hAnsi="Times New Roman"/>
          <w:noProof/>
          <w:sz w:val="24"/>
        </w:rPr>
        <w:t>ti državne pomoči podjetjem („State aid to firms: is it effective and efficient“) (mnenje na lastno pobudo), 9. decembra pa mnenje o poročilu o politiki konkurence za leto 2014. Odbor regij je 14. oktobra izdal mnenje o finančnih instrumentih za podporo oz</w:t>
      </w:r>
      <w:r>
        <w:rPr>
          <w:rFonts w:ascii="Times New Roman" w:hAnsi="Times New Roman"/>
          <w:noProof/>
          <w:sz w:val="24"/>
        </w:rPr>
        <w:t>emeljskemu razvoju.</w:t>
      </w:r>
    </w:p>
    <w:sectPr w:rsidR="006B317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176" w:rsidRDefault="00A435F4">
      <w:pPr>
        <w:spacing w:after="0" w:line="240" w:lineRule="auto"/>
      </w:pPr>
      <w:r>
        <w:separator/>
      </w:r>
    </w:p>
  </w:endnote>
  <w:endnote w:type="continuationSeparator" w:id="0">
    <w:p w:rsidR="006B3176" w:rsidRDefault="00A4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76" w:rsidRDefault="00A435F4">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SL</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76" w:rsidRDefault="006B31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76" w:rsidRDefault="00A435F4">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20</w:t>
    </w:r>
    <w:r>
      <w:rPr>
        <w:rFonts w:ascii="Times New Roman" w:hAnsi="Times New Roman"/>
      </w:rPr>
      <w:fldChar w:fldCharType="end"/>
    </w:r>
  </w:p>
  <w:p w:rsidR="006B3176" w:rsidRDefault="006B317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76" w:rsidRDefault="006B3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176" w:rsidRDefault="00A435F4">
      <w:pPr>
        <w:spacing w:after="0" w:line="240" w:lineRule="auto"/>
      </w:pPr>
      <w:r>
        <w:separator/>
      </w:r>
    </w:p>
  </w:footnote>
  <w:footnote w:type="continuationSeparator" w:id="0">
    <w:p w:rsidR="006B3176" w:rsidRDefault="00A435F4">
      <w:pPr>
        <w:spacing w:after="0" w:line="240" w:lineRule="auto"/>
      </w:pPr>
      <w:r>
        <w:continuationSeparator/>
      </w:r>
    </w:p>
  </w:footnote>
  <w:footnote w:id="1">
    <w:p w:rsidR="006B3176" w:rsidRDefault="00A435F4">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Glej na primer </w:t>
      </w:r>
      <w:proofErr w:type="spellStart"/>
      <w:r>
        <w:rPr>
          <w:rFonts w:ascii="Times New Roman" w:hAnsi="Times New Roman"/>
        </w:rPr>
        <w:t>Competition</w:t>
      </w:r>
      <w:proofErr w:type="spellEnd"/>
      <w:r>
        <w:rPr>
          <w:rFonts w:ascii="Times New Roman" w:hAnsi="Times New Roman"/>
        </w:rPr>
        <w:t xml:space="preserve"> </w:t>
      </w:r>
      <w:proofErr w:type="spellStart"/>
      <w:r>
        <w:rPr>
          <w:rFonts w:ascii="Times New Roman" w:hAnsi="Times New Roman"/>
        </w:rPr>
        <w:t>Policy</w:t>
      </w:r>
      <w:proofErr w:type="spellEnd"/>
      <w:r>
        <w:rPr>
          <w:rFonts w:ascii="Times New Roman" w:hAnsi="Times New Roman"/>
        </w:rPr>
        <w:t xml:space="preserve"> </w:t>
      </w:r>
      <w:proofErr w:type="spellStart"/>
      <w:r>
        <w:rPr>
          <w:rFonts w:ascii="Times New Roman" w:hAnsi="Times New Roman"/>
        </w:rPr>
        <w:t>Brief</w:t>
      </w:r>
      <w:proofErr w:type="spellEnd"/>
      <w:r>
        <w:rPr>
          <w:rFonts w:ascii="Times New Roman" w:hAnsi="Times New Roman"/>
        </w:rPr>
        <w:t xml:space="preserve"> </w:t>
      </w:r>
      <w:proofErr w:type="spellStart"/>
      <w:r>
        <w:rPr>
          <w:rFonts w:ascii="Times New Roman" w:hAnsi="Times New Roman"/>
        </w:rPr>
        <w:t>Issue</w:t>
      </w:r>
      <w:proofErr w:type="spellEnd"/>
      <w:r>
        <w:rPr>
          <w:rFonts w:ascii="Times New Roman" w:hAnsi="Times New Roman"/>
        </w:rPr>
        <w:t xml:space="preserve"> 2015-05, </w:t>
      </w:r>
      <w:proofErr w:type="spellStart"/>
      <w:r>
        <w:rPr>
          <w:rFonts w:ascii="Times New Roman" w:hAnsi="Times New Roman"/>
          <w:i/>
        </w:rPr>
        <w:t>Improving</w:t>
      </w:r>
      <w:proofErr w:type="spellEnd"/>
      <w:r>
        <w:rPr>
          <w:rFonts w:ascii="Times New Roman" w:hAnsi="Times New Roman"/>
          <w:i/>
        </w:rPr>
        <w:t xml:space="preserve"> </w:t>
      </w:r>
      <w:proofErr w:type="spellStart"/>
      <w:r>
        <w:rPr>
          <w:rFonts w:ascii="Times New Roman" w:hAnsi="Times New Roman"/>
          <w:i/>
        </w:rPr>
        <w:t>competition</w:t>
      </w:r>
      <w:proofErr w:type="spellEnd"/>
      <w:r>
        <w:rPr>
          <w:rFonts w:ascii="Times New Roman" w:hAnsi="Times New Roman"/>
          <w:i/>
        </w:rPr>
        <w:t xml:space="preserve"> in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Member</w:t>
      </w:r>
      <w:proofErr w:type="spellEnd"/>
      <w:r>
        <w:rPr>
          <w:rFonts w:ascii="Times New Roman" w:hAnsi="Times New Roman"/>
          <w:i/>
        </w:rPr>
        <w:t xml:space="preserve"> </w:t>
      </w:r>
      <w:proofErr w:type="spellStart"/>
      <w:r>
        <w:rPr>
          <w:rFonts w:ascii="Times New Roman" w:hAnsi="Times New Roman"/>
          <w:i/>
        </w:rPr>
        <w:t>States</w:t>
      </w:r>
      <w:proofErr w:type="spellEnd"/>
      <w:r>
        <w:rPr>
          <w:rFonts w:ascii="Times New Roman" w:hAnsi="Times New Roman"/>
          <w:i/>
        </w:rPr>
        <w:t xml:space="preserve"> to </w:t>
      </w:r>
      <w:proofErr w:type="spellStart"/>
      <w:r>
        <w:rPr>
          <w:rFonts w:ascii="Times New Roman" w:hAnsi="Times New Roman"/>
          <w:i/>
        </w:rPr>
        <w:t>boost</w:t>
      </w:r>
      <w:proofErr w:type="spellEnd"/>
      <w:r>
        <w:rPr>
          <w:rFonts w:ascii="Times New Roman" w:hAnsi="Times New Roman"/>
          <w:i/>
        </w:rPr>
        <w:t xml:space="preserve"> </w:t>
      </w:r>
      <w:proofErr w:type="spellStart"/>
      <w:r>
        <w:rPr>
          <w:rFonts w:ascii="Times New Roman" w:hAnsi="Times New Roman"/>
          <w:i/>
        </w:rPr>
        <w:t>growth</w:t>
      </w:r>
      <w:proofErr w:type="spellEnd"/>
      <w:r>
        <w:rPr>
          <w:rFonts w:ascii="Times New Roman" w:hAnsi="Times New Roman"/>
        </w:rPr>
        <w:t xml:space="preserve"> (Poročilo o politiki konkurence, izdaja 2015-05, Izboljševanje konkurence v državah članicah za spodbujanje rasti).</w:t>
      </w:r>
    </w:p>
  </w:footnote>
  <w:footnote w:id="2">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Dierx</w:t>
      </w:r>
      <w:proofErr w:type="spellEnd"/>
      <w:r>
        <w:rPr>
          <w:rFonts w:ascii="Times New Roman" w:hAnsi="Times New Roman"/>
        </w:rPr>
        <w:t xml:space="preserve"> A., </w:t>
      </w:r>
      <w:proofErr w:type="spellStart"/>
      <w:r>
        <w:rPr>
          <w:rFonts w:ascii="Times New Roman" w:hAnsi="Times New Roman"/>
        </w:rPr>
        <w:t>Ilzkovitz</w:t>
      </w:r>
      <w:proofErr w:type="spellEnd"/>
      <w:r>
        <w:rPr>
          <w:rFonts w:ascii="Times New Roman" w:hAnsi="Times New Roman"/>
        </w:rPr>
        <w:t xml:space="preserve"> F., </w:t>
      </w:r>
      <w:proofErr w:type="spellStart"/>
      <w:r>
        <w:rPr>
          <w:rFonts w:ascii="Times New Roman" w:hAnsi="Times New Roman"/>
        </w:rPr>
        <w:t>Pataracchia</w:t>
      </w:r>
      <w:proofErr w:type="spellEnd"/>
      <w:r>
        <w:rPr>
          <w:rFonts w:ascii="Times New Roman" w:hAnsi="Times New Roman"/>
        </w:rPr>
        <w:t xml:space="preserve"> B., </w:t>
      </w:r>
      <w:proofErr w:type="spellStart"/>
      <w:r>
        <w:rPr>
          <w:rFonts w:ascii="Times New Roman" w:hAnsi="Times New Roman"/>
        </w:rPr>
        <w:t>Ratto</w:t>
      </w:r>
      <w:proofErr w:type="spellEnd"/>
      <w:r>
        <w:rPr>
          <w:rFonts w:ascii="Times New Roman" w:hAnsi="Times New Roman"/>
        </w:rPr>
        <w:t xml:space="preserve"> M., </w:t>
      </w:r>
      <w:proofErr w:type="spellStart"/>
      <w:r>
        <w:rPr>
          <w:rFonts w:ascii="Times New Roman" w:hAnsi="Times New Roman"/>
        </w:rPr>
        <w:t>Thum</w:t>
      </w:r>
      <w:proofErr w:type="spellEnd"/>
      <w:r>
        <w:rPr>
          <w:rFonts w:ascii="Times New Roman" w:hAnsi="Times New Roman"/>
        </w:rPr>
        <w:t>-</w:t>
      </w:r>
      <w:proofErr w:type="spellStart"/>
      <w:r>
        <w:rPr>
          <w:rFonts w:ascii="Times New Roman" w:hAnsi="Times New Roman"/>
        </w:rPr>
        <w:t>Thysen</w:t>
      </w:r>
      <w:proofErr w:type="spellEnd"/>
      <w:r>
        <w:rPr>
          <w:rFonts w:ascii="Times New Roman" w:hAnsi="Times New Roman"/>
        </w:rPr>
        <w:t xml:space="preserve"> A.,Varga J., „</w:t>
      </w:r>
      <w:proofErr w:type="spellStart"/>
      <w:r>
        <w:rPr>
          <w:rFonts w:ascii="Times New Roman" w:hAnsi="Times New Roman"/>
        </w:rPr>
        <w:t>Distributional</w:t>
      </w:r>
      <w:proofErr w:type="spellEnd"/>
      <w:r>
        <w:rPr>
          <w:rFonts w:ascii="Times New Roman" w:hAnsi="Times New Roman"/>
        </w:rPr>
        <w:t xml:space="preserve"> </w:t>
      </w:r>
      <w:proofErr w:type="spellStart"/>
      <w:r>
        <w:rPr>
          <w:rFonts w:ascii="Times New Roman" w:hAnsi="Times New Roman"/>
        </w:rPr>
        <w:t>macroeconomic</w:t>
      </w:r>
      <w:proofErr w:type="spellEnd"/>
      <w:r>
        <w:rPr>
          <w:rFonts w:ascii="Times New Roman" w:hAnsi="Times New Roman"/>
        </w:rPr>
        <w:t xml:space="preserve"> </w:t>
      </w:r>
      <w:proofErr w:type="spellStart"/>
      <w:r>
        <w:rPr>
          <w:rFonts w:ascii="Times New Roman" w:hAnsi="Times New Roman"/>
        </w:rPr>
        <w:t>effects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EU </w:t>
      </w:r>
      <w:proofErr w:type="spellStart"/>
      <w:r>
        <w:rPr>
          <w:rFonts w:ascii="Times New Roman" w:hAnsi="Times New Roman"/>
        </w:rPr>
        <w:t>competition</w:t>
      </w:r>
      <w:proofErr w:type="spellEnd"/>
      <w:r>
        <w:rPr>
          <w:rFonts w:ascii="Times New Roman" w:hAnsi="Times New Roman"/>
        </w:rPr>
        <w:t xml:space="preserve"> </w:t>
      </w:r>
      <w:proofErr w:type="spellStart"/>
      <w:r>
        <w:rPr>
          <w:rFonts w:ascii="Times New Roman" w:hAnsi="Times New Roman"/>
        </w:rPr>
        <w:t>policy</w:t>
      </w:r>
      <w:proofErr w:type="spellEnd"/>
      <w:r>
        <w:rPr>
          <w:rFonts w:ascii="Times New Roman" w:hAnsi="Times New Roman"/>
        </w:rPr>
        <w:t xml:space="preserve"> – a general </w:t>
      </w:r>
      <w:proofErr w:type="spellStart"/>
      <w:r>
        <w:rPr>
          <w:rFonts w:ascii="Times New Roman" w:hAnsi="Times New Roman"/>
        </w:rPr>
        <w:t>equilibrium</w:t>
      </w:r>
      <w:proofErr w:type="spellEnd"/>
      <w:r>
        <w:rPr>
          <w:rFonts w:ascii="Times New Roman" w:hAnsi="Times New Roman"/>
        </w:rPr>
        <w:t xml:space="preserve"> </w:t>
      </w:r>
      <w:proofErr w:type="spellStart"/>
      <w:r>
        <w:rPr>
          <w:rFonts w:ascii="Times New Roman" w:hAnsi="Times New Roman"/>
        </w:rPr>
        <w:t>analysis</w:t>
      </w:r>
      <w:proofErr w:type="spellEnd"/>
      <w:r>
        <w:rPr>
          <w:rFonts w:ascii="Times New Roman" w:hAnsi="Times New Roman"/>
        </w:rPr>
        <w:t xml:space="preserve">“ (Distribucijski makroekonomski učinki politike konkurence EU – analiza splošnega ravnovesja), </w:t>
      </w:r>
      <w:proofErr w:type="spellStart"/>
      <w:r>
        <w:rPr>
          <w:rFonts w:ascii="Times New Roman" w:hAnsi="Times New Roman"/>
          <w:i/>
        </w:rPr>
        <w:t>Competition</w:t>
      </w:r>
      <w:proofErr w:type="spellEnd"/>
      <w:r>
        <w:rPr>
          <w:rFonts w:ascii="Times New Roman" w:hAnsi="Times New Roman"/>
          <w:i/>
        </w:rPr>
        <w:t xml:space="preserve"> </w:t>
      </w:r>
      <w:proofErr w:type="spellStart"/>
      <w:r>
        <w:rPr>
          <w:rFonts w:ascii="Times New Roman" w:hAnsi="Times New Roman"/>
          <w:i/>
        </w:rPr>
        <w:t>Policy</w:t>
      </w:r>
      <w:proofErr w:type="spellEnd"/>
      <w:r>
        <w:rPr>
          <w:rFonts w:ascii="Times New Roman" w:hAnsi="Times New Roman"/>
          <w:i/>
        </w:rPr>
        <w:t xml:space="preserve"> </w:t>
      </w:r>
      <w:proofErr w:type="spellStart"/>
      <w:r>
        <w:rPr>
          <w:rFonts w:ascii="Times New Roman" w:hAnsi="Times New Roman"/>
          <w:i/>
        </w:rPr>
        <w:t>and</w:t>
      </w:r>
      <w:proofErr w:type="spellEnd"/>
      <w:r>
        <w:rPr>
          <w:rFonts w:ascii="Times New Roman" w:hAnsi="Times New Roman"/>
          <w:i/>
        </w:rPr>
        <w:t xml:space="preserve"> </w:t>
      </w:r>
      <w:proofErr w:type="spellStart"/>
      <w:r>
        <w:rPr>
          <w:rFonts w:ascii="Times New Roman" w:hAnsi="Times New Roman"/>
          <w:i/>
        </w:rPr>
        <w:t>Shared</w:t>
      </w:r>
      <w:proofErr w:type="spellEnd"/>
      <w:r>
        <w:rPr>
          <w:rFonts w:ascii="Times New Roman" w:hAnsi="Times New Roman"/>
          <w:i/>
        </w:rPr>
        <w:t xml:space="preserve"> </w:t>
      </w:r>
      <w:proofErr w:type="spellStart"/>
      <w:r>
        <w:rPr>
          <w:rFonts w:ascii="Times New Roman" w:hAnsi="Times New Roman"/>
          <w:i/>
        </w:rPr>
        <w:t>Prosperity</w:t>
      </w:r>
      <w:proofErr w:type="spellEnd"/>
      <w:r>
        <w:rPr>
          <w:rFonts w:ascii="Times New Roman" w:hAnsi="Times New Roman"/>
        </w:rPr>
        <w:t xml:space="preserve"> (še ni objavljeno), </w:t>
      </w:r>
      <w:proofErr w:type="spellStart"/>
      <w:r>
        <w:rPr>
          <w:rFonts w:ascii="Times New Roman" w:hAnsi="Times New Roman"/>
        </w:rPr>
        <w:t>World</w:t>
      </w:r>
      <w:proofErr w:type="spellEnd"/>
      <w:r>
        <w:rPr>
          <w:rFonts w:ascii="Times New Roman" w:hAnsi="Times New Roman"/>
        </w:rPr>
        <w:t xml:space="preserve"> Bank.</w:t>
      </w:r>
    </w:p>
  </w:footnote>
  <w:footnote w:id="3">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Glej </w:t>
      </w:r>
      <w:hyperlink r:id="rId1">
        <w:r>
          <w:rPr>
            <w:rStyle w:val="Hyperlink"/>
            <w:rFonts w:ascii="Times New Roman" w:hAnsi="Times New Roman"/>
          </w:rPr>
          <w:t>http://ec.europa.eu/priorities/jobs-growth-investment/plan/index_sl.htm</w:t>
        </w:r>
      </w:hyperlink>
      <w:r>
        <w:rPr>
          <w:rFonts w:ascii="Times New Roman" w:hAnsi="Times New Roman"/>
        </w:rPr>
        <w:t xml:space="preserve">. </w:t>
      </w:r>
    </w:p>
  </w:footnote>
  <w:footnote w:id="4">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Glej </w:t>
      </w:r>
      <w:hyperlink r:id="rId2">
        <w:r>
          <w:rPr>
            <w:rStyle w:val="Hyperlink"/>
            <w:rFonts w:ascii="Times New Roman" w:hAnsi="Times New Roman"/>
          </w:rPr>
          <w:t>http://ec.europa.eu/priorities/jobs</w:t>
        </w:r>
        <w:r>
          <w:rPr>
            <w:rStyle w:val="Hyperlink"/>
            <w:rFonts w:ascii="Times New Roman" w:hAnsi="Times New Roman"/>
          </w:rPr>
          <w:t>-growth-investment/plan/efsi/index_en.htm</w:t>
        </w:r>
      </w:hyperlink>
      <w:r>
        <w:rPr>
          <w:rFonts w:ascii="Times New Roman" w:hAnsi="Times New Roman"/>
        </w:rPr>
        <w:t xml:space="preserve">. </w:t>
      </w:r>
    </w:p>
  </w:footnote>
  <w:footnote w:id="5">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Glej </w:t>
      </w:r>
      <w:hyperlink r:id="rId3">
        <w:r>
          <w:rPr>
            <w:rStyle w:val="Hyperlink"/>
            <w:rFonts w:ascii="Times New Roman" w:hAnsi="Times New Roman"/>
          </w:rPr>
          <w:t>http://ec.europa.eu/competition/state_aid/modernisation/index_en.html</w:t>
        </w:r>
      </w:hyperlink>
      <w:r>
        <w:rPr>
          <w:rFonts w:ascii="Times New Roman" w:hAnsi="Times New Roman"/>
        </w:rPr>
        <w:t xml:space="preserve">. </w:t>
      </w:r>
    </w:p>
  </w:footnote>
  <w:footnote w:id="6">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Uredba Komisije (EU) št. 651/2014 z dne 17</w:t>
      </w:r>
      <w:r>
        <w:rPr>
          <w:rFonts w:ascii="Times New Roman" w:hAnsi="Times New Roman"/>
        </w:rPr>
        <w:t xml:space="preserve">. junija 2014 o razglasitvi nekaterih vrst pomoči za združljive z notranjim trgom pri uporabi členov 107 in 108 Pogodbe, UL L 187, 26.6.2014, na voljo na povezavi: </w:t>
      </w:r>
      <w:hyperlink r:id="rId4">
        <w:r>
          <w:rPr>
            <w:rStyle w:val="Hyperlink"/>
            <w:rFonts w:ascii="Times New Roman" w:hAnsi="Times New Roman"/>
          </w:rPr>
          <w:t>http:</w:t>
        </w:r>
        <w:r>
          <w:rPr>
            <w:rStyle w:val="Hyperlink"/>
            <w:rFonts w:ascii="Times New Roman" w:hAnsi="Times New Roman"/>
          </w:rPr>
          <w:t>//eur-lex.europa.eu/legal-content/SL/TXT/?uri=CELEX:32014R0651</w:t>
        </w:r>
      </w:hyperlink>
      <w:r>
        <w:t>.</w:t>
      </w:r>
      <w:r>
        <w:rPr>
          <w:rFonts w:ascii="Times New Roman" w:hAnsi="Times New Roman"/>
        </w:rPr>
        <w:t xml:space="preserve"> </w:t>
      </w:r>
    </w:p>
  </w:footnote>
  <w:footnote w:id="7">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Sporočilo Komisije –</w:t>
      </w:r>
      <w:r>
        <w:rPr>
          <w:rFonts w:ascii="Times New Roman" w:hAnsi="Times New Roman"/>
          <w:i/>
        </w:rPr>
        <w:t xml:space="preserve"> </w:t>
      </w:r>
      <w:r>
        <w:rPr>
          <w:rFonts w:ascii="Times New Roman" w:hAnsi="Times New Roman"/>
        </w:rPr>
        <w:t xml:space="preserve">Okvir za državno pomoč za raziskave in razvoj ter inovacije, UL C 198, 27.6.2014, na voljo na povezavi: </w:t>
      </w:r>
      <w:hyperlink r:id="rId5">
        <w:r>
          <w:rPr>
            <w:rStyle w:val="Hyperlink"/>
            <w:rFonts w:ascii="Times New Roman" w:hAnsi="Times New Roman"/>
          </w:rPr>
          <w:t>http://eur-lex.europa.eu/legal-content/SL/TXT/?uri=CELEX:</w:t>
        </w:r>
        <w:r>
          <w:rPr>
            <w:rStyle w:val="Hyperlink"/>
            <w:rFonts w:ascii="Times New Roman" w:hAnsi="Times New Roman"/>
          </w:rPr>
          <w:br/>
          <w:t>52014XC0627(01).</w:t>
        </w:r>
      </w:hyperlink>
    </w:p>
  </w:footnote>
  <w:footnote w:id="8">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Sporočilo Komisije –</w:t>
      </w:r>
      <w:r>
        <w:rPr>
          <w:rFonts w:ascii="Times New Roman" w:hAnsi="Times New Roman"/>
          <w:i/>
        </w:rPr>
        <w:t xml:space="preserve"> </w:t>
      </w:r>
      <w:r>
        <w:rPr>
          <w:rFonts w:ascii="Times New Roman" w:hAnsi="Times New Roman"/>
        </w:rPr>
        <w:t xml:space="preserve">Smernice o državni pomoči za spodbujanje naložb tveganega financiranja, UL C 19, 22.1.2014, na voljo na povezavi: </w:t>
      </w:r>
      <w:hyperlink r:id="rId6">
        <w:r>
          <w:rPr>
            <w:rStyle w:val="Hyperlink"/>
            <w:rFonts w:ascii="Times New Roman" w:hAnsi="Times New Roman"/>
          </w:rPr>
          <w:t>http://eur-lex.europa.eu/legal-content/SL/TXT/?uri=CELEX:52014XC0122(04)</w:t>
        </w:r>
      </w:hyperlink>
      <w:r>
        <w:t>.</w:t>
      </w:r>
    </w:p>
  </w:footnote>
  <w:footnote w:id="9">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Sporočilo Komisije –</w:t>
      </w:r>
      <w:r>
        <w:rPr>
          <w:rFonts w:ascii="Times New Roman" w:hAnsi="Times New Roman"/>
          <w:i/>
        </w:rPr>
        <w:t xml:space="preserve"> </w:t>
      </w:r>
      <w:r>
        <w:rPr>
          <w:rFonts w:ascii="Times New Roman" w:hAnsi="Times New Roman"/>
        </w:rPr>
        <w:t>Smernice Evropske unije za uporabo pravil o državni pomoči v zvezi s hitro postavit</w:t>
      </w:r>
      <w:r>
        <w:rPr>
          <w:rFonts w:ascii="Times New Roman" w:hAnsi="Times New Roman"/>
        </w:rPr>
        <w:t xml:space="preserve">vijo širokopasovnih omrežij, UL 2013 C 25, 26.1.2013, na voljo na povezavi: </w:t>
      </w:r>
      <w:hyperlink r:id="rId7">
        <w:r>
          <w:rPr>
            <w:rStyle w:val="Hyperlink"/>
            <w:rFonts w:ascii="Times New Roman" w:hAnsi="Times New Roman"/>
          </w:rPr>
          <w:t>http://eur-lex.europa.eu/LexUriServ/LexUriServ.do?uri=OJ:C:2013:025:0001:0026:sl:PDF</w:t>
        </w:r>
      </w:hyperlink>
      <w:r>
        <w:t>.</w:t>
      </w:r>
      <w:hyperlink r:id="rId8">
        <w:r>
          <w:rPr>
            <w:rStyle w:val="Hyperlink"/>
            <w:rFonts w:ascii="Times New Roman" w:hAnsi="Times New Roman"/>
          </w:rPr>
          <w:br/>
        </w:r>
      </w:hyperlink>
    </w:p>
  </w:footnote>
  <w:footnote w:id="10">
    <w:p w:rsidR="006B3176" w:rsidRDefault="00A435F4">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Glej </w:t>
      </w:r>
      <w:hyperlink r:id="rId9">
        <w:r>
          <w:rPr>
            <w:rStyle w:val="Hyperlink"/>
            <w:rFonts w:ascii="Times New Roman" w:hAnsi="Times New Roman"/>
          </w:rPr>
          <w:t>http://ec.europa.eu/priorities/digital-single-market_sl</w:t>
        </w:r>
      </w:hyperlink>
      <w:r>
        <w:rPr>
          <w:rFonts w:ascii="Times New Roman" w:hAnsi="Times New Roman"/>
        </w:rPr>
        <w:t xml:space="preserve">. </w:t>
      </w:r>
    </w:p>
  </w:footnote>
  <w:footnote w:id="11">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Sporočilo Komisije Evropskemu parlamentu, Svetu, Evropskemu ekonomsko-socialnemu odboru in Odboru regij z dne 6. maja 2015 – Strategija za enotni digitalni trg za Evropo, COM(2015</w:t>
      </w:r>
      <w:r>
        <w:rPr>
          <w:rFonts w:ascii="Times New Roman" w:hAnsi="Times New Roman"/>
        </w:rPr>
        <w:t xml:space="preserve">) 192 </w:t>
      </w:r>
      <w:proofErr w:type="spellStart"/>
      <w:r>
        <w:rPr>
          <w:rFonts w:ascii="Times New Roman" w:hAnsi="Times New Roman"/>
        </w:rPr>
        <w:t>final</w:t>
      </w:r>
      <w:proofErr w:type="spellEnd"/>
      <w:r>
        <w:rPr>
          <w:rFonts w:ascii="Times New Roman" w:hAnsi="Times New Roman"/>
        </w:rPr>
        <w:t xml:space="preserve">, na voljo na povezavi: </w:t>
      </w:r>
      <w:hyperlink r:id="rId10">
        <w:r>
          <w:rPr>
            <w:rStyle w:val="Hyperlink"/>
            <w:rFonts w:ascii="Times New Roman" w:hAnsi="Times New Roman"/>
          </w:rPr>
          <w:t>http://eur-lex.europa.eu/legal-content/SL/TXT/?uri=celex%3A52015DC0192</w:t>
        </w:r>
      </w:hyperlink>
      <w:r>
        <w:rPr>
          <w:rFonts w:ascii="Times New Roman" w:hAnsi="Times New Roman"/>
        </w:rPr>
        <w:t>. .</w:t>
      </w:r>
    </w:p>
  </w:footnote>
  <w:footnote w:id="12">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Glej nedavno študijo Evropskega parlamenta na povezavi: </w:t>
      </w:r>
      <w:hyperlink r:id="rId11">
        <w:r>
          <w:rPr>
            <w:rStyle w:val="Hyperlink"/>
            <w:rFonts w:ascii="Times New Roman" w:hAnsi="Times New Roman"/>
          </w:rPr>
          <w:t>http://www.europarl.europa.eu/RegData/etudes/STUD/2015/542235/IPOL_STU%282015%29542235_EN.pdf</w:t>
        </w:r>
      </w:hyperlink>
      <w:r>
        <w:rPr>
          <w:rFonts w:ascii="Times New Roman" w:hAnsi="Times New Roman"/>
        </w:rPr>
        <w:t xml:space="preserve"> </w:t>
      </w:r>
    </w:p>
  </w:footnote>
  <w:footnote w:id="13">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AT.39740</w:t>
      </w:r>
      <w:proofErr w:type="spellEnd"/>
      <w:r>
        <w:rPr>
          <w:rFonts w:ascii="Times New Roman" w:hAnsi="Times New Roman"/>
        </w:rPr>
        <w:t> – Googlov</w:t>
      </w:r>
      <w:r>
        <w:rPr>
          <w:rFonts w:ascii="Times New Roman" w:hAnsi="Times New Roman"/>
          <w:i/>
        </w:rPr>
        <w:t xml:space="preserve"> </w:t>
      </w:r>
      <w:r>
        <w:rPr>
          <w:rFonts w:ascii="Times New Roman" w:hAnsi="Times New Roman"/>
        </w:rPr>
        <w:t>iskalnik, glej IP/15/4780</w:t>
      </w:r>
      <w:r>
        <w:rPr>
          <w:rFonts w:ascii="Times New Roman" w:hAnsi="Times New Roman"/>
        </w:rPr>
        <w:t xml:space="preserve"> z dne 15. aprila 2015, na voljo na povezavi: </w:t>
      </w:r>
      <w:hyperlink r:id="rId12">
        <w:r>
          <w:rPr>
            <w:rStyle w:val="Hyperlink"/>
            <w:rFonts w:ascii="Times New Roman" w:hAnsi="Times New Roman"/>
          </w:rPr>
          <w:t>http://europa.eu/rapid/press-release_IP-15-4780_sl.htm</w:t>
        </w:r>
      </w:hyperlink>
      <w:r>
        <w:rPr>
          <w:rFonts w:ascii="Times New Roman" w:hAnsi="Times New Roman"/>
        </w:rPr>
        <w:t xml:space="preserve">.  </w:t>
      </w:r>
    </w:p>
  </w:footnote>
  <w:footnote w:id="14">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AT.40153</w:t>
      </w:r>
      <w:proofErr w:type="spellEnd"/>
      <w:r>
        <w:rPr>
          <w:rFonts w:ascii="Times New Roman" w:hAnsi="Times New Roman"/>
        </w:rPr>
        <w:t> – Klavzule o priznavanju največjih ugodnosti v zvezi z e-knj</w:t>
      </w:r>
      <w:r>
        <w:rPr>
          <w:rFonts w:ascii="Times New Roman" w:hAnsi="Times New Roman"/>
        </w:rPr>
        <w:t>igami in povezane zadeve (E-</w:t>
      </w:r>
      <w:proofErr w:type="spellStart"/>
      <w:r>
        <w:rPr>
          <w:rFonts w:ascii="Times New Roman" w:hAnsi="Times New Roman"/>
        </w:rPr>
        <w:t>book</w:t>
      </w:r>
      <w:proofErr w:type="spellEnd"/>
      <w:r>
        <w:rPr>
          <w:rFonts w:ascii="Times New Roman" w:hAnsi="Times New Roman"/>
        </w:rPr>
        <w:t xml:space="preserve"> </w:t>
      </w:r>
      <w:proofErr w:type="spellStart"/>
      <w:r>
        <w:rPr>
          <w:rFonts w:ascii="Times New Roman" w:hAnsi="Times New Roman"/>
        </w:rPr>
        <w:t>MFNs</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related</w:t>
      </w:r>
      <w:proofErr w:type="spellEnd"/>
      <w:r>
        <w:rPr>
          <w:rFonts w:ascii="Times New Roman" w:hAnsi="Times New Roman"/>
        </w:rPr>
        <w:t xml:space="preserve"> </w:t>
      </w:r>
      <w:proofErr w:type="spellStart"/>
      <w:r>
        <w:rPr>
          <w:rFonts w:ascii="Times New Roman" w:hAnsi="Times New Roman"/>
        </w:rPr>
        <w:t>matters</w:t>
      </w:r>
      <w:proofErr w:type="spellEnd"/>
      <w:r>
        <w:rPr>
          <w:rFonts w:ascii="Times New Roman" w:hAnsi="Times New Roman"/>
        </w:rPr>
        <w:t>),</w:t>
      </w:r>
      <w:r>
        <w:rPr>
          <w:rFonts w:ascii="Times New Roman" w:hAnsi="Times New Roman"/>
          <w:i/>
        </w:rPr>
        <w:t xml:space="preserve"> </w:t>
      </w:r>
      <w:r>
        <w:rPr>
          <w:rFonts w:ascii="Times New Roman" w:hAnsi="Times New Roman"/>
        </w:rPr>
        <w:t xml:space="preserve">glej IP/15/5166 z dne 11. junija 2015, na voljo na povezavi: </w:t>
      </w:r>
      <w:hyperlink r:id="rId13">
        <w:r>
          <w:rPr>
            <w:rStyle w:val="Hyperlink"/>
            <w:rFonts w:ascii="Times New Roman" w:hAnsi="Times New Roman"/>
          </w:rPr>
          <w:t>http://europa.eu/rapid/press-release_IP-15-5166_en.htm</w:t>
        </w:r>
      </w:hyperlink>
      <w:r>
        <w:rPr>
          <w:rFonts w:ascii="Times New Roman" w:hAnsi="Times New Roman"/>
        </w:rPr>
        <w:t xml:space="preserve">. </w:t>
      </w:r>
    </w:p>
  </w:footnote>
  <w:footnote w:id="15">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Gl</w:t>
      </w:r>
      <w:r>
        <w:rPr>
          <w:rFonts w:ascii="Times New Roman" w:hAnsi="Times New Roman"/>
        </w:rPr>
        <w:t xml:space="preserve">ej zadevo </w:t>
      </w:r>
      <w:proofErr w:type="spellStart"/>
      <w:r>
        <w:rPr>
          <w:rFonts w:ascii="Times New Roman" w:hAnsi="Times New Roman"/>
        </w:rPr>
        <w:t>M.7194</w:t>
      </w:r>
      <w:proofErr w:type="spellEnd"/>
      <w:r>
        <w:rPr>
          <w:rFonts w:ascii="Times New Roman" w:hAnsi="Times New Roman"/>
        </w:rPr>
        <w:t> –</w:t>
      </w:r>
      <w:r>
        <w:rPr>
          <w:rFonts w:ascii="Times New Roman" w:hAnsi="Times New Roman"/>
          <w:i/>
        </w:rPr>
        <w:t xml:space="preserve"> </w:t>
      </w:r>
      <w:proofErr w:type="spellStart"/>
      <w:r>
        <w:rPr>
          <w:rFonts w:ascii="Times New Roman" w:hAnsi="Times New Roman"/>
        </w:rPr>
        <w:t>Liberty</w:t>
      </w:r>
      <w:proofErr w:type="spellEnd"/>
      <w:r>
        <w:rPr>
          <w:rFonts w:ascii="Times New Roman" w:hAnsi="Times New Roman"/>
        </w:rPr>
        <w:t xml:space="preserve"> </w:t>
      </w:r>
      <w:proofErr w:type="spellStart"/>
      <w:r>
        <w:rPr>
          <w:rFonts w:ascii="Times New Roman" w:hAnsi="Times New Roman"/>
        </w:rPr>
        <w:t>Global</w:t>
      </w:r>
      <w:proofErr w:type="spellEnd"/>
      <w:r>
        <w:rPr>
          <w:rFonts w:ascii="Times New Roman" w:hAnsi="Times New Roman"/>
        </w:rPr>
        <w:t xml:space="preserve"> / </w:t>
      </w:r>
      <w:proofErr w:type="spellStart"/>
      <w:r>
        <w:rPr>
          <w:rFonts w:ascii="Times New Roman" w:hAnsi="Times New Roman"/>
        </w:rPr>
        <w:t>Corelio</w:t>
      </w:r>
      <w:proofErr w:type="spellEnd"/>
      <w:r>
        <w:rPr>
          <w:rFonts w:ascii="Times New Roman" w:hAnsi="Times New Roman"/>
        </w:rPr>
        <w:t xml:space="preserve"> / W&amp;W / De </w:t>
      </w:r>
      <w:proofErr w:type="spellStart"/>
      <w:r>
        <w:rPr>
          <w:rFonts w:ascii="Times New Roman" w:hAnsi="Times New Roman"/>
        </w:rPr>
        <w:t>Vijver</w:t>
      </w:r>
      <w:proofErr w:type="spellEnd"/>
      <w:r>
        <w:rPr>
          <w:rFonts w:ascii="Times New Roman" w:hAnsi="Times New Roman"/>
        </w:rPr>
        <w:t xml:space="preserve"> </w:t>
      </w:r>
      <w:proofErr w:type="spellStart"/>
      <w:r>
        <w:rPr>
          <w:rFonts w:ascii="Times New Roman" w:hAnsi="Times New Roman"/>
        </w:rPr>
        <w:t>Media</w:t>
      </w:r>
      <w:proofErr w:type="spellEnd"/>
      <w:r>
        <w:rPr>
          <w:rFonts w:ascii="Times New Roman" w:hAnsi="Times New Roman"/>
        </w:rPr>
        <w:t xml:space="preserve">, Sklep Komisije z dne 24. februarja 2015, na voljo na povezavi </w:t>
      </w:r>
      <w:hyperlink r:id="rId14">
        <w:r>
          <w:rPr>
            <w:rStyle w:val="Hyperlink"/>
            <w:rFonts w:ascii="Times New Roman" w:hAnsi="Times New Roman"/>
          </w:rPr>
          <w:t>http://ec.europa.eu/compe</w:t>
        </w:r>
        <w:r>
          <w:rPr>
            <w:rStyle w:val="Hyperlink"/>
            <w:rFonts w:ascii="Times New Roman" w:hAnsi="Times New Roman"/>
          </w:rPr>
          <w:t>tition/elojade/isef/case_details.cfm?proc_code=2_M_7194</w:t>
        </w:r>
      </w:hyperlink>
      <w:r>
        <w:rPr>
          <w:rFonts w:ascii="Times New Roman" w:hAnsi="Times New Roman"/>
        </w:rPr>
        <w:t xml:space="preserve">, in zadevo </w:t>
      </w:r>
      <w:proofErr w:type="spellStart"/>
      <w:r>
        <w:rPr>
          <w:rFonts w:ascii="Times New Roman" w:hAnsi="Times New Roman"/>
        </w:rPr>
        <w:t>M.7499</w:t>
      </w:r>
      <w:proofErr w:type="spellEnd"/>
      <w:r>
        <w:rPr>
          <w:rFonts w:ascii="Times New Roman" w:hAnsi="Times New Roman"/>
        </w:rPr>
        <w:t xml:space="preserve"> – </w:t>
      </w:r>
      <w:proofErr w:type="spellStart"/>
      <w:r>
        <w:rPr>
          <w:rFonts w:ascii="Times New Roman" w:hAnsi="Times New Roman"/>
        </w:rPr>
        <w:t>Altice</w:t>
      </w:r>
      <w:proofErr w:type="spellEnd"/>
      <w:r>
        <w:rPr>
          <w:rFonts w:ascii="Times New Roman" w:hAnsi="Times New Roman"/>
        </w:rPr>
        <w:t xml:space="preserve"> / PT </w:t>
      </w:r>
      <w:proofErr w:type="spellStart"/>
      <w:r>
        <w:rPr>
          <w:rFonts w:ascii="Times New Roman" w:hAnsi="Times New Roman"/>
        </w:rPr>
        <w:t>Portugal</w:t>
      </w:r>
      <w:proofErr w:type="spellEnd"/>
      <w:r>
        <w:rPr>
          <w:rFonts w:ascii="Times New Roman" w:hAnsi="Times New Roman"/>
        </w:rPr>
        <w:t>,</w:t>
      </w:r>
      <w:r>
        <w:rPr>
          <w:rFonts w:ascii="Times New Roman" w:hAnsi="Times New Roman"/>
          <w:i/>
        </w:rPr>
        <w:t xml:space="preserve"> </w:t>
      </w:r>
      <w:r>
        <w:rPr>
          <w:rFonts w:ascii="Times New Roman" w:hAnsi="Times New Roman"/>
        </w:rPr>
        <w:t xml:space="preserve">odločitev Komisije z dne 20. aprila 2015, na voljo na povezavi </w:t>
      </w:r>
      <w:hyperlink r:id="rId15">
        <w:r>
          <w:rPr>
            <w:rStyle w:val="Hyperlink"/>
            <w:rFonts w:ascii="Times New Roman" w:hAnsi="Times New Roman"/>
          </w:rPr>
          <w:t>http://ec.europa.eu/competition/elojade/isef/case_details.cfm?proc_code=2_M_7499</w:t>
        </w:r>
      </w:hyperlink>
      <w:r>
        <w:rPr>
          <w:rFonts w:ascii="Times New Roman" w:hAnsi="Times New Roman"/>
        </w:rPr>
        <w:t>. .</w:t>
      </w:r>
    </w:p>
  </w:footnote>
  <w:footnote w:id="16">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Zadeva </w:t>
      </w:r>
      <w:proofErr w:type="spellStart"/>
      <w:r>
        <w:rPr>
          <w:rFonts w:ascii="Times New Roman" w:hAnsi="Times New Roman"/>
        </w:rPr>
        <w:t>AT.40023</w:t>
      </w:r>
      <w:proofErr w:type="spellEnd"/>
      <w:r>
        <w:rPr>
          <w:rFonts w:ascii="Times New Roman" w:hAnsi="Times New Roman"/>
        </w:rPr>
        <w:t> –</w:t>
      </w:r>
      <w:r>
        <w:rPr>
          <w:rFonts w:ascii="Times New Roman" w:hAnsi="Times New Roman"/>
          <w:i/>
        </w:rPr>
        <w:t xml:space="preserve"> </w:t>
      </w:r>
      <w:r>
        <w:rPr>
          <w:rFonts w:ascii="Times New Roman" w:hAnsi="Times New Roman"/>
        </w:rPr>
        <w:t>Čezmejni dostop do naročniških vsebin (</w:t>
      </w:r>
      <w:proofErr w:type="spellStart"/>
      <w:r>
        <w:rPr>
          <w:rFonts w:ascii="Times New Roman" w:hAnsi="Times New Roman"/>
        </w:rPr>
        <w:t>Cross</w:t>
      </w:r>
      <w:proofErr w:type="spellEnd"/>
      <w:r>
        <w:rPr>
          <w:rFonts w:ascii="Times New Roman" w:hAnsi="Times New Roman"/>
        </w:rPr>
        <w:t>-</w:t>
      </w:r>
      <w:proofErr w:type="spellStart"/>
      <w:r>
        <w:rPr>
          <w:rFonts w:ascii="Times New Roman" w:hAnsi="Times New Roman"/>
        </w:rPr>
        <w:t>border</w:t>
      </w:r>
      <w:proofErr w:type="spellEnd"/>
      <w:r>
        <w:rPr>
          <w:rFonts w:ascii="Times New Roman" w:hAnsi="Times New Roman"/>
        </w:rPr>
        <w:t xml:space="preserve"> </w:t>
      </w:r>
      <w:proofErr w:type="spellStart"/>
      <w:r>
        <w:rPr>
          <w:rFonts w:ascii="Times New Roman" w:hAnsi="Times New Roman"/>
        </w:rPr>
        <w:t>access</w:t>
      </w:r>
      <w:proofErr w:type="spellEnd"/>
      <w:r>
        <w:rPr>
          <w:rFonts w:ascii="Times New Roman" w:hAnsi="Times New Roman"/>
        </w:rPr>
        <w:t xml:space="preserve"> to </w:t>
      </w:r>
      <w:proofErr w:type="spellStart"/>
      <w:r>
        <w:rPr>
          <w:rFonts w:ascii="Times New Roman" w:hAnsi="Times New Roman"/>
        </w:rPr>
        <w:t>pay</w:t>
      </w:r>
      <w:proofErr w:type="spellEnd"/>
      <w:r>
        <w:rPr>
          <w:rFonts w:ascii="Times New Roman" w:hAnsi="Times New Roman"/>
        </w:rPr>
        <w:t xml:space="preserve">-TV </w:t>
      </w:r>
      <w:proofErr w:type="spellStart"/>
      <w:r>
        <w:rPr>
          <w:rFonts w:ascii="Times New Roman" w:hAnsi="Times New Roman"/>
        </w:rPr>
        <w:t>content</w:t>
      </w:r>
      <w:proofErr w:type="spellEnd"/>
      <w:r>
        <w:rPr>
          <w:rFonts w:ascii="Times New Roman" w:hAnsi="Times New Roman"/>
        </w:rPr>
        <w:t xml:space="preserve">), glej IP/15/5432 z dne 23. julija 2015, na voljo na povezavi: </w:t>
      </w:r>
      <w:hyperlink r:id="rId16">
        <w:r>
          <w:rPr>
            <w:rStyle w:val="Hyperlink"/>
            <w:rFonts w:ascii="Times New Roman" w:hAnsi="Times New Roman"/>
          </w:rPr>
          <w:t>http://europa.eu/rapid/press-release_IP-15-5432_en.htm</w:t>
        </w:r>
      </w:hyperlink>
      <w:r>
        <w:rPr>
          <w:rFonts w:ascii="Times New Roman" w:hAnsi="Times New Roman"/>
        </w:rPr>
        <w:t>. .</w:t>
      </w:r>
    </w:p>
  </w:footnote>
  <w:footnote w:id="17">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Uredba (EU) 2015/2120 Evropskega parlamenta in Sveta z dne 25. novembra 2015 o določitvi ukrepov v zvezi z dostopom do odprtega i</w:t>
      </w:r>
      <w:r>
        <w:rPr>
          <w:rFonts w:ascii="Times New Roman" w:hAnsi="Times New Roman"/>
        </w:rPr>
        <w:t>nterneta in spremembi Direktive 2002/22/ES o univerzalni storitvi in pravicah uporabnikov v zvezi z elektronskimi komunikacijskimi omrežji in storitvami ter Uredbe (EU) št. 531/2012 o gostovanju v javnih mobilnih komunikacijskih omrežjih v Uniji, UL L 310,</w:t>
      </w:r>
      <w:r>
        <w:rPr>
          <w:rFonts w:ascii="Times New Roman" w:hAnsi="Times New Roman"/>
        </w:rPr>
        <w:t xml:space="preserve"> 26.11.2015, str. 1–18, na voljo na povezavi: </w:t>
      </w:r>
      <w:hyperlink r:id="rId17">
        <w:r>
          <w:rPr>
            <w:rStyle w:val="Hyperlink"/>
            <w:rFonts w:ascii="Times New Roman" w:hAnsi="Times New Roman"/>
          </w:rPr>
          <w:t>http://eur-lex.europa.eu/legal-content/SL/TXT/?uri=CELEX%3A32015R2120</w:t>
        </w:r>
      </w:hyperlink>
      <w:r>
        <w:rPr>
          <w:rFonts w:ascii="Times New Roman" w:hAnsi="Times New Roman"/>
        </w:rPr>
        <w:t xml:space="preserve">. </w:t>
      </w:r>
    </w:p>
  </w:footnote>
  <w:footnote w:id="18">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Zadevi </w:t>
      </w:r>
      <w:proofErr w:type="spellStart"/>
      <w:r>
        <w:rPr>
          <w:rFonts w:ascii="Times New Roman" w:hAnsi="Times New Roman"/>
        </w:rPr>
        <w:t>AT.40220</w:t>
      </w:r>
      <w:proofErr w:type="spellEnd"/>
      <w:r>
        <w:rPr>
          <w:rFonts w:ascii="Times New Roman" w:hAnsi="Times New Roman"/>
        </w:rPr>
        <w:t> –</w:t>
      </w:r>
      <w:r>
        <w:rPr>
          <w:rFonts w:ascii="Times New Roman" w:hAnsi="Times New Roman"/>
          <w:i/>
        </w:rPr>
        <w:t xml:space="preserve"> </w:t>
      </w:r>
      <w:proofErr w:type="spellStart"/>
      <w:r>
        <w:rPr>
          <w:rFonts w:ascii="Times New Roman" w:hAnsi="Times New Roman"/>
        </w:rPr>
        <w:t>Qualcomm</w:t>
      </w:r>
      <w:proofErr w:type="spellEnd"/>
      <w:r>
        <w:rPr>
          <w:rFonts w:ascii="Times New Roman" w:hAnsi="Times New Roman"/>
        </w:rPr>
        <w:t xml:space="preserve"> (plačila za </w:t>
      </w:r>
      <w:r>
        <w:rPr>
          <w:rFonts w:ascii="Times New Roman" w:hAnsi="Times New Roman"/>
        </w:rPr>
        <w:t xml:space="preserve">ekskluzivnost) in </w:t>
      </w:r>
      <w:proofErr w:type="spellStart"/>
      <w:r>
        <w:rPr>
          <w:rFonts w:ascii="Times New Roman" w:hAnsi="Times New Roman"/>
        </w:rPr>
        <w:t>AT.39711</w:t>
      </w:r>
      <w:proofErr w:type="spellEnd"/>
      <w:r>
        <w:rPr>
          <w:rFonts w:ascii="Times New Roman" w:hAnsi="Times New Roman"/>
        </w:rPr>
        <w:t> –</w:t>
      </w:r>
      <w:r>
        <w:rPr>
          <w:rFonts w:ascii="Times New Roman" w:hAnsi="Times New Roman"/>
          <w:i/>
        </w:rPr>
        <w:t xml:space="preserve"> </w:t>
      </w:r>
      <w:proofErr w:type="spellStart"/>
      <w:r>
        <w:rPr>
          <w:rFonts w:ascii="Times New Roman" w:hAnsi="Times New Roman"/>
        </w:rPr>
        <w:t>Qualcomm</w:t>
      </w:r>
      <w:proofErr w:type="spellEnd"/>
      <w:r>
        <w:rPr>
          <w:rFonts w:ascii="Times New Roman" w:hAnsi="Times New Roman"/>
        </w:rPr>
        <w:t xml:space="preserve"> (plenilske cene), glej IP/15/6271 z dne 8. decembra 2015, na voljo na povezavi: </w:t>
      </w:r>
      <w:hyperlink r:id="rId18">
        <w:r>
          <w:rPr>
            <w:rStyle w:val="Hyperlink"/>
            <w:rFonts w:ascii="Times New Roman" w:hAnsi="Times New Roman"/>
          </w:rPr>
          <w:t>http://europa.eu/rapid/press-release_IP-15-6271_en.htm</w:t>
        </w:r>
      </w:hyperlink>
      <w:r>
        <w:rPr>
          <w:rFonts w:ascii="Times New Roman" w:hAnsi="Times New Roman"/>
        </w:rPr>
        <w:t xml:space="preserve">.  </w:t>
      </w:r>
    </w:p>
  </w:footnote>
  <w:footnote w:id="19">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Zade</w:t>
      </w:r>
      <w:r>
        <w:rPr>
          <w:rFonts w:ascii="Times New Roman" w:hAnsi="Times New Roman"/>
        </w:rPr>
        <w:t xml:space="preserve">va </w:t>
      </w:r>
      <w:proofErr w:type="spellStart"/>
      <w:r>
        <w:rPr>
          <w:rFonts w:ascii="Times New Roman" w:hAnsi="Times New Roman"/>
        </w:rPr>
        <w:t>AT.40099</w:t>
      </w:r>
      <w:proofErr w:type="spellEnd"/>
      <w:r>
        <w:rPr>
          <w:rFonts w:ascii="Times New Roman" w:hAnsi="Times New Roman"/>
        </w:rPr>
        <w:t> – Google Android,</w:t>
      </w:r>
      <w:r>
        <w:rPr>
          <w:rFonts w:ascii="Times New Roman" w:hAnsi="Times New Roman"/>
          <w:i/>
        </w:rPr>
        <w:t xml:space="preserve"> </w:t>
      </w:r>
      <w:r>
        <w:rPr>
          <w:rFonts w:ascii="Times New Roman" w:hAnsi="Times New Roman"/>
        </w:rPr>
        <w:t xml:space="preserve">glej MEMO/15/4782 z dne 15. aprila 2015, na voljo na povezavi: </w:t>
      </w:r>
      <w:hyperlink r:id="rId19">
        <w:r>
          <w:rPr>
            <w:rStyle w:val="Hyperlink"/>
            <w:rFonts w:ascii="Times New Roman" w:hAnsi="Times New Roman"/>
          </w:rPr>
          <w:t>http://europa.eu/rapid/press-release_MEMO-15-4782_en.htm</w:t>
        </w:r>
      </w:hyperlink>
      <w:r>
        <w:rPr>
          <w:rFonts w:ascii="Times New Roman" w:hAnsi="Times New Roman"/>
        </w:rPr>
        <w:t>.  .</w:t>
      </w:r>
    </w:p>
  </w:footnote>
  <w:footnote w:id="20">
    <w:p w:rsidR="006B3176" w:rsidRDefault="00A435F4">
      <w:pPr>
        <w:pStyle w:val="FootnoteText"/>
        <w:spacing w:after="0" w:line="240" w:lineRule="auto"/>
        <w:rPr>
          <w:rFonts w:ascii="Times New Roman" w:hAnsi="Times New Roman"/>
        </w:rPr>
      </w:pPr>
      <w:r>
        <w:rPr>
          <w:rFonts w:ascii="Times New Roman" w:hAnsi="Times New Roman"/>
          <w:vertAlign w:val="superscript"/>
        </w:rPr>
        <w:footnoteRef/>
      </w:r>
      <w:r>
        <w:rPr>
          <w:rFonts w:ascii="Times New Roman" w:hAnsi="Times New Roman"/>
        </w:rPr>
        <w:t xml:space="preserve"> Glej na primer sklep v z</w:t>
      </w:r>
      <w:r>
        <w:rPr>
          <w:rFonts w:ascii="Times New Roman" w:hAnsi="Times New Roman"/>
        </w:rPr>
        <w:t xml:space="preserve">adevi Slovak </w:t>
      </w:r>
      <w:proofErr w:type="spellStart"/>
      <w:r>
        <w:rPr>
          <w:rFonts w:ascii="Times New Roman" w:hAnsi="Times New Roman"/>
        </w:rPr>
        <w:t>Telecom</w:t>
      </w:r>
      <w:proofErr w:type="spellEnd"/>
      <w:r>
        <w:rPr>
          <w:rFonts w:ascii="Times New Roman" w:hAnsi="Times New Roman"/>
        </w:rPr>
        <w:t xml:space="preserve"> (</w:t>
      </w:r>
      <w:proofErr w:type="spellStart"/>
      <w:r>
        <w:rPr>
          <w:rFonts w:ascii="Times New Roman" w:hAnsi="Times New Roman"/>
        </w:rPr>
        <w:t>AT.39523</w:t>
      </w:r>
      <w:proofErr w:type="spellEnd"/>
      <w:r>
        <w:rPr>
          <w:rFonts w:ascii="Times New Roman" w:hAnsi="Times New Roman"/>
        </w:rPr>
        <w:t xml:space="preserve">) z dne 15. oktobra 2014, na voljo na povezavi: </w:t>
      </w:r>
      <w:hyperlink r:id="rId20">
        <w:r>
          <w:rPr>
            <w:rStyle w:val="Hyperlink"/>
            <w:rFonts w:ascii="Times New Roman" w:hAnsi="Times New Roman"/>
          </w:rPr>
          <w:t>http://ec.europa.eu/competition/elojade/isef/case_details.cfm?proc_code=1_39523</w:t>
        </w:r>
      </w:hyperlink>
      <w:r>
        <w:rPr>
          <w:rFonts w:ascii="Times New Roman" w:hAnsi="Times New Roman"/>
        </w:rPr>
        <w:t>. .</w:t>
      </w:r>
    </w:p>
  </w:footnote>
  <w:footnote w:id="21">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Zadeva </w:t>
      </w:r>
      <w:proofErr w:type="spellStart"/>
      <w:r>
        <w:rPr>
          <w:rFonts w:ascii="Times New Roman" w:hAnsi="Times New Roman"/>
        </w:rPr>
        <w:t>M.7421</w:t>
      </w:r>
      <w:proofErr w:type="spellEnd"/>
      <w:r>
        <w:rPr>
          <w:rFonts w:ascii="Times New Roman" w:hAnsi="Times New Roman"/>
        </w:rPr>
        <w:t> –</w:t>
      </w:r>
      <w:r>
        <w:rPr>
          <w:rFonts w:ascii="Times New Roman" w:hAnsi="Times New Roman"/>
          <w:i/>
        </w:rPr>
        <w:t xml:space="preserve"> </w:t>
      </w:r>
      <w:proofErr w:type="spellStart"/>
      <w:r>
        <w:rPr>
          <w:rFonts w:ascii="Times New Roman" w:hAnsi="Times New Roman"/>
        </w:rPr>
        <w:t>Orange</w:t>
      </w:r>
      <w:proofErr w:type="spellEnd"/>
      <w:r>
        <w:rPr>
          <w:rFonts w:ascii="Times New Roman" w:hAnsi="Times New Roman"/>
        </w:rPr>
        <w:t>/</w:t>
      </w:r>
      <w:proofErr w:type="spellStart"/>
      <w:r>
        <w:rPr>
          <w:rFonts w:ascii="Times New Roman" w:hAnsi="Times New Roman"/>
        </w:rPr>
        <w:t>Jazztel</w:t>
      </w:r>
      <w:proofErr w:type="spellEnd"/>
      <w:r>
        <w:rPr>
          <w:rFonts w:ascii="Times New Roman" w:hAnsi="Times New Roman"/>
        </w:rPr>
        <w:t xml:space="preserve">, Sklep Komisije z dne 19. maja 2015, na voljo na povezavi: </w:t>
      </w:r>
      <w:hyperlink r:id="rId21">
        <w:r>
          <w:rPr>
            <w:rStyle w:val="Hyperlink"/>
            <w:rFonts w:ascii="Times New Roman" w:hAnsi="Times New Roman"/>
          </w:rPr>
          <w:t>http://ec.europa.eu/competition/elojade/isef/case_details.cf</w:t>
        </w:r>
        <w:r>
          <w:rPr>
            <w:rStyle w:val="Hyperlink"/>
            <w:rFonts w:ascii="Times New Roman" w:hAnsi="Times New Roman"/>
          </w:rPr>
          <w:t>m?proc_code=2_M_7421</w:t>
        </w:r>
      </w:hyperlink>
      <w:r>
        <w:rPr>
          <w:rFonts w:ascii="Times New Roman" w:hAnsi="Times New Roman"/>
        </w:rPr>
        <w:t>. .</w:t>
      </w:r>
    </w:p>
  </w:footnote>
  <w:footnote w:id="22">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Zadeva </w:t>
      </w:r>
      <w:proofErr w:type="spellStart"/>
      <w:r>
        <w:rPr>
          <w:rFonts w:ascii="Times New Roman" w:hAnsi="Times New Roman"/>
        </w:rPr>
        <w:t>M.7612</w:t>
      </w:r>
      <w:proofErr w:type="spellEnd"/>
      <w:r>
        <w:rPr>
          <w:rFonts w:ascii="Times New Roman" w:hAnsi="Times New Roman"/>
        </w:rPr>
        <w:t> –</w:t>
      </w:r>
      <w:r>
        <w:rPr>
          <w:rFonts w:ascii="Times New Roman" w:hAnsi="Times New Roman"/>
          <w:i/>
        </w:rPr>
        <w:t xml:space="preserve"> </w:t>
      </w:r>
      <w:proofErr w:type="spellStart"/>
      <w:r>
        <w:rPr>
          <w:rFonts w:ascii="Times New Roman" w:hAnsi="Times New Roman"/>
        </w:rPr>
        <w:t>Hutchison</w:t>
      </w:r>
      <w:proofErr w:type="spellEnd"/>
      <w:r>
        <w:rPr>
          <w:rFonts w:ascii="Times New Roman" w:hAnsi="Times New Roman"/>
        </w:rPr>
        <w:t xml:space="preserve"> 3G UK / </w:t>
      </w:r>
      <w:proofErr w:type="spellStart"/>
      <w:r>
        <w:rPr>
          <w:rFonts w:ascii="Times New Roman" w:hAnsi="Times New Roman"/>
        </w:rPr>
        <w:t>Telefónica</w:t>
      </w:r>
      <w:proofErr w:type="spellEnd"/>
      <w:r>
        <w:rPr>
          <w:rFonts w:ascii="Times New Roman" w:hAnsi="Times New Roman"/>
        </w:rPr>
        <w:t xml:space="preserve"> UK, na voljo na povezavi: </w:t>
      </w:r>
      <w:hyperlink r:id="rId22">
        <w:r>
          <w:rPr>
            <w:rStyle w:val="Hyperlink"/>
            <w:rFonts w:ascii="Times New Roman" w:hAnsi="Times New Roman"/>
          </w:rPr>
          <w:t>http://ec.europa.eu/competition/elojade/isef/case_details.c</w:t>
        </w:r>
        <w:r>
          <w:rPr>
            <w:rStyle w:val="Hyperlink"/>
            <w:rFonts w:ascii="Times New Roman" w:hAnsi="Times New Roman"/>
          </w:rPr>
          <w:t>fm?proc_code=2_M_7612</w:t>
        </w:r>
      </w:hyperlink>
      <w:r>
        <w:rPr>
          <w:rFonts w:ascii="Times New Roman" w:hAnsi="Times New Roman"/>
        </w:rPr>
        <w:t>.</w:t>
      </w:r>
    </w:p>
  </w:footnote>
  <w:footnote w:id="23">
    <w:p w:rsidR="006B3176" w:rsidRDefault="00A435F4">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M.7637</w:t>
      </w:r>
      <w:proofErr w:type="spellEnd"/>
      <w:r>
        <w:rPr>
          <w:rFonts w:ascii="Times New Roman" w:hAnsi="Times New Roman"/>
        </w:rPr>
        <w:t> –</w:t>
      </w:r>
      <w:r>
        <w:rPr>
          <w:rFonts w:ascii="Times New Roman" w:hAnsi="Times New Roman"/>
          <w:i/>
        </w:rPr>
        <w:t xml:space="preserve"> </w:t>
      </w:r>
      <w:proofErr w:type="spellStart"/>
      <w:r>
        <w:rPr>
          <w:rFonts w:ascii="Times New Roman" w:hAnsi="Times New Roman"/>
        </w:rPr>
        <w:t>Liberty</w:t>
      </w:r>
      <w:proofErr w:type="spellEnd"/>
      <w:r>
        <w:rPr>
          <w:rFonts w:ascii="Times New Roman" w:hAnsi="Times New Roman"/>
        </w:rPr>
        <w:t xml:space="preserve"> </w:t>
      </w:r>
      <w:proofErr w:type="spellStart"/>
      <w:r>
        <w:rPr>
          <w:rFonts w:ascii="Times New Roman" w:hAnsi="Times New Roman"/>
        </w:rPr>
        <w:t>Global</w:t>
      </w:r>
      <w:proofErr w:type="spellEnd"/>
      <w:r>
        <w:rPr>
          <w:rFonts w:ascii="Times New Roman" w:hAnsi="Times New Roman"/>
        </w:rPr>
        <w:t xml:space="preserve"> / BASE </w:t>
      </w:r>
      <w:proofErr w:type="spellStart"/>
      <w:r>
        <w:rPr>
          <w:rFonts w:ascii="Times New Roman" w:hAnsi="Times New Roman"/>
        </w:rPr>
        <w:t>Belgium</w:t>
      </w:r>
      <w:proofErr w:type="spellEnd"/>
      <w:r>
        <w:rPr>
          <w:rFonts w:ascii="Times New Roman" w:hAnsi="Times New Roman"/>
        </w:rPr>
        <w:t xml:space="preserve">, na voljo na povezavi: </w:t>
      </w:r>
      <w:hyperlink r:id="rId23">
        <w:r>
          <w:rPr>
            <w:rStyle w:val="Hyperlink"/>
            <w:rFonts w:ascii="Times New Roman" w:hAnsi="Times New Roman"/>
          </w:rPr>
          <w:t>http://ec.europa.eu/competition/elojade/isef/case_details.cfm?</w:t>
        </w:r>
        <w:r>
          <w:rPr>
            <w:rStyle w:val="Hyperlink"/>
            <w:rFonts w:ascii="Times New Roman" w:hAnsi="Times New Roman"/>
          </w:rPr>
          <w:t>proc_code=2_M_7637</w:t>
        </w:r>
      </w:hyperlink>
      <w:r>
        <w:rPr>
          <w:rFonts w:ascii="Times New Roman" w:hAnsi="Times New Roman"/>
        </w:rPr>
        <w:t>.</w:t>
      </w:r>
    </w:p>
  </w:footnote>
  <w:footnote w:id="24">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M.7419</w:t>
      </w:r>
      <w:proofErr w:type="spellEnd"/>
      <w:r>
        <w:rPr>
          <w:rFonts w:ascii="Times New Roman" w:hAnsi="Times New Roman"/>
        </w:rPr>
        <w:t> –</w:t>
      </w:r>
      <w:r>
        <w:rPr>
          <w:rFonts w:ascii="Times New Roman" w:hAnsi="Times New Roman"/>
          <w:i/>
        </w:rPr>
        <w:t xml:space="preserve"> </w:t>
      </w:r>
      <w:proofErr w:type="spellStart"/>
      <w:r>
        <w:rPr>
          <w:rFonts w:ascii="Times New Roman" w:hAnsi="Times New Roman"/>
        </w:rPr>
        <w:t>TeliaSonera</w:t>
      </w:r>
      <w:proofErr w:type="spellEnd"/>
      <w:r>
        <w:rPr>
          <w:rFonts w:ascii="Times New Roman" w:hAnsi="Times New Roman"/>
        </w:rPr>
        <w:t>/</w:t>
      </w:r>
      <w:proofErr w:type="spellStart"/>
      <w:r>
        <w:rPr>
          <w:rFonts w:ascii="Times New Roman" w:hAnsi="Times New Roman"/>
        </w:rPr>
        <w:t>Telenor</w:t>
      </w:r>
      <w:proofErr w:type="spellEnd"/>
      <w:r>
        <w:rPr>
          <w:rFonts w:ascii="Times New Roman" w:hAnsi="Times New Roman"/>
        </w:rPr>
        <w:t xml:space="preserve">/JV, na voljo na povezavi: </w:t>
      </w:r>
      <w:hyperlink r:id="rId24">
        <w:r>
          <w:rPr>
            <w:rStyle w:val="Hyperlink"/>
            <w:rFonts w:ascii="Times New Roman" w:hAnsi="Times New Roman"/>
          </w:rPr>
          <w:t>http://ec.europa.eu/competition/elojade/isef/case_details.cfm?proc_code=</w:t>
        </w:r>
        <w:r>
          <w:rPr>
            <w:rStyle w:val="Hyperlink"/>
            <w:rFonts w:ascii="Times New Roman" w:hAnsi="Times New Roman"/>
          </w:rPr>
          <w:t>2_M_7419</w:t>
        </w:r>
      </w:hyperlink>
      <w:r>
        <w:rPr>
          <w:rFonts w:ascii="Times New Roman" w:hAnsi="Times New Roman"/>
        </w:rPr>
        <w:t>. .</w:t>
      </w:r>
    </w:p>
  </w:footnote>
  <w:footnote w:id="25">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Sporočilo Komisije Evropskemu parlamentu, Svetu, Evropskemu ekonomsko-socialnemu odboru, Odboru regij in Evropski investicijski banki z dne 25. februarja 2015 – </w:t>
      </w:r>
      <w:r>
        <w:rPr>
          <w:rFonts w:ascii="Times New Roman" w:hAnsi="Times New Roman"/>
          <w:i/>
        </w:rPr>
        <w:t>Okvirna strategija za trdno energetsko unijo s podnebno politiko, usmerjeno v pri</w:t>
      </w:r>
      <w:r>
        <w:rPr>
          <w:rFonts w:ascii="Times New Roman" w:hAnsi="Times New Roman"/>
          <w:i/>
        </w:rPr>
        <w:t>hodnost</w:t>
      </w:r>
      <w:r>
        <w:rPr>
          <w:rFonts w:ascii="Times New Roman" w:hAnsi="Times New Roman"/>
        </w:rPr>
        <w:t xml:space="preserve">, COM(2015) 080 </w:t>
      </w:r>
      <w:proofErr w:type="spellStart"/>
      <w:r>
        <w:rPr>
          <w:rFonts w:ascii="Times New Roman" w:hAnsi="Times New Roman"/>
        </w:rPr>
        <w:t>final</w:t>
      </w:r>
      <w:proofErr w:type="spellEnd"/>
      <w:r>
        <w:rPr>
          <w:rFonts w:ascii="Times New Roman" w:hAnsi="Times New Roman"/>
        </w:rPr>
        <w:t xml:space="preserve">, na voljo na povezavi: </w:t>
      </w:r>
      <w:hyperlink r:id="rId25">
        <w:r>
          <w:rPr>
            <w:rStyle w:val="Hyperlink"/>
            <w:rFonts w:ascii="Times New Roman" w:hAnsi="Times New Roman"/>
          </w:rPr>
          <w:t>http://eur-lex.europa.eu/legal-content/SL/TXT/?uri=COM%3A2015%3A80%3AFIN</w:t>
        </w:r>
      </w:hyperlink>
      <w:r>
        <w:rPr>
          <w:rFonts w:ascii="Times New Roman" w:hAnsi="Times New Roman"/>
        </w:rPr>
        <w:t>. .</w:t>
      </w:r>
    </w:p>
  </w:footnote>
  <w:footnote w:id="26">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Zadeva </w:t>
      </w:r>
      <w:proofErr w:type="spellStart"/>
      <w:r>
        <w:rPr>
          <w:rFonts w:ascii="Times New Roman" w:hAnsi="Times New Roman"/>
        </w:rPr>
        <w:t>AT.39816</w:t>
      </w:r>
      <w:proofErr w:type="spellEnd"/>
      <w:r>
        <w:rPr>
          <w:rFonts w:ascii="Times New Roman" w:hAnsi="Times New Roman"/>
          <w:i/>
        </w:rPr>
        <w:t> </w:t>
      </w:r>
      <w:r>
        <w:rPr>
          <w:rFonts w:ascii="Times New Roman" w:hAnsi="Times New Roman"/>
        </w:rPr>
        <w:t>– Dobava plina strankam v srednji in vzhodni Evropi (</w:t>
      </w:r>
      <w:proofErr w:type="spellStart"/>
      <w:r>
        <w:rPr>
          <w:rFonts w:ascii="Times New Roman" w:hAnsi="Times New Roman"/>
        </w:rPr>
        <w:t>Upstream</w:t>
      </w:r>
      <w:proofErr w:type="spellEnd"/>
      <w:r>
        <w:rPr>
          <w:rFonts w:ascii="Times New Roman" w:hAnsi="Times New Roman"/>
        </w:rPr>
        <w:t xml:space="preserve"> </w:t>
      </w:r>
      <w:proofErr w:type="spellStart"/>
      <w:r>
        <w:rPr>
          <w:rFonts w:ascii="Times New Roman" w:hAnsi="Times New Roman"/>
        </w:rPr>
        <w:t>Gas</w:t>
      </w:r>
      <w:proofErr w:type="spellEnd"/>
      <w:r>
        <w:rPr>
          <w:rFonts w:ascii="Times New Roman" w:hAnsi="Times New Roman"/>
        </w:rPr>
        <w:t xml:space="preserve"> </w:t>
      </w:r>
      <w:proofErr w:type="spellStart"/>
      <w:r>
        <w:rPr>
          <w:rFonts w:ascii="Times New Roman" w:hAnsi="Times New Roman"/>
        </w:rPr>
        <w:t>Supplies</w:t>
      </w:r>
      <w:proofErr w:type="spellEnd"/>
      <w:r>
        <w:rPr>
          <w:rFonts w:ascii="Times New Roman" w:hAnsi="Times New Roman"/>
        </w:rPr>
        <w:t xml:space="preserve"> in Central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Eastern</w:t>
      </w:r>
      <w:proofErr w:type="spellEnd"/>
      <w:r>
        <w:rPr>
          <w:rFonts w:ascii="Times New Roman" w:hAnsi="Times New Roman"/>
        </w:rPr>
        <w:t xml:space="preserve"> </w:t>
      </w:r>
      <w:proofErr w:type="spellStart"/>
      <w:r>
        <w:rPr>
          <w:rFonts w:ascii="Times New Roman" w:hAnsi="Times New Roman"/>
        </w:rPr>
        <w:t>Europe</w:t>
      </w:r>
      <w:proofErr w:type="spellEnd"/>
      <w:r>
        <w:rPr>
          <w:rFonts w:ascii="Times New Roman" w:hAnsi="Times New Roman"/>
        </w:rPr>
        <w:t xml:space="preserve">), glej IP/15/4828 z dne 22. aprila 2015, na voljo na povezavi: </w:t>
      </w:r>
      <w:hyperlink r:id="rId26">
        <w:r>
          <w:rPr>
            <w:rStyle w:val="Hyperlink"/>
            <w:rFonts w:ascii="Times New Roman" w:hAnsi="Times New Roman"/>
          </w:rPr>
          <w:t>http://europa.</w:t>
        </w:r>
        <w:r>
          <w:rPr>
            <w:rStyle w:val="Hyperlink"/>
            <w:rFonts w:ascii="Times New Roman" w:hAnsi="Times New Roman"/>
          </w:rPr>
          <w:t>eu/rapid/press-release_IP-15-4828_sl.htm</w:t>
        </w:r>
      </w:hyperlink>
      <w:r>
        <w:rPr>
          <w:rFonts w:ascii="Times New Roman" w:hAnsi="Times New Roman"/>
        </w:rPr>
        <w:t xml:space="preserve">. </w:t>
      </w:r>
    </w:p>
  </w:footnote>
  <w:footnote w:id="27">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Glej na primer zadevo </w:t>
      </w:r>
      <w:proofErr w:type="spellStart"/>
      <w:r>
        <w:rPr>
          <w:rFonts w:ascii="Times New Roman" w:hAnsi="Times New Roman"/>
        </w:rPr>
        <w:t>AT.39952</w:t>
      </w:r>
      <w:proofErr w:type="spellEnd"/>
      <w:r>
        <w:rPr>
          <w:rFonts w:ascii="Times New Roman" w:hAnsi="Times New Roman"/>
        </w:rPr>
        <w:t> –</w:t>
      </w:r>
      <w:r>
        <w:rPr>
          <w:rFonts w:ascii="Times New Roman" w:hAnsi="Times New Roman"/>
          <w:i/>
        </w:rPr>
        <w:t xml:space="preserve"> </w:t>
      </w:r>
      <w:r>
        <w:rPr>
          <w:rFonts w:ascii="Times New Roman" w:hAnsi="Times New Roman"/>
        </w:rPr>
        <w:t>Elektroenergetske borze (</w:t>
      </w:r>
      <w:proofErr w:type="spellStart"/>
      <w:r>
        <w:rPr>
          <w:rFonts w:ascii="Times New Roman" w:hAnsi="Times New Roman"/>
        </w:rPr>
        <w:t>Power</w:t>
      </w:r>
      <w:proofErr w:type="spellEnd"/>
      <w:r>
        <w:rPr>
          <w:rFonts w:ascii="Times New Roman" w:hAnsi="Times New Roman"/>
        </w:rPr>
        <w:t xml:space="preserve"> </w:t>
      </w:r>
      <w:proofErr w:type="spellStart"/>
      <w:r>
        <w:rPr>
          <w:rFonts w:ascii="Times New Roman" w:hAnsi="Times New Roman"/>
        </w:rPr>
        <w:t>Exchanges</w:t>
      </w:r>
      <w:proofErr w:type="spellEnd"/>
      <w:r>
        <w:rPr>
          <w:rFonts w:ascii="Times New Roman" w:hAnsi="Times New Roman"/>
        </w:rPr>
        <w:t xml:space="preserve">), Sklep Komisije z dne 5. marca 2014, glej IP/14/215, na voljo na povezavi: </w:t>
      </w:r>
      <w:hyperlink r:id="rId27">
        <w:r>
          <w:rPr>
            <w:rStyle w:val="Hyperlink"/>
            <w:rFonts w:ascii="Times New Roman" w:hAnsi="Times New Roman"/>
          </w:rPr>
          <w:t>http://europa.eu/rapid/press-release_IP-14-215_en.htm</w:t>
        </w:r>
      </w:hyperlink>
      <w:r>
        <w:t>.</w:t>
      </w:r>
      <w:r>
        <w:rPr>
          <w:rFonts w:ascii="Times New Roman" w:hAnsi="Times New Roman"/>
        </w:rPr>
        <w:t xml:space="preserve"> </w:t>
      </w:r>
    </w:p>
  </w:footnote>
  <w:footnote w:id="28">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AT.39849</w:t>
      </w:r>
      <w:proofErr w:type="spellEnd"/>
      <w:r>
        <w:rPr>
          <w:rFonts w:ascii="Times New Roman" w:hAnsi="Times New Roman"/>
        </w:rPr>
        <w:t> –</w:t>
      </w:r>
      <w:r>
        <w:rPr>
          <w:rFonts w:ascii="Times New Roman" w:hAnsi="Times New Roman"/>
          <w:i/>
        </w:rPr>
        <w:t xml:space="preserve"> </w:t>
      </w:r>
      <w:r>
        <w:rPr>
          <w:rFonts w:ascii="Times New Roman" w:hAnsi="Times New Roman"/>
        </w:rPr>
        <w:t xml:space="preserve">BEH plin (BEH </w:t>
      </w:r>
      <w:proofErr w:type="spellStart"/>
      <w:r>
        <w:rPr>
          <w:rFonts w:ascii="Times New Roman" w:hAnsi="Times New Roman"/>
        </w:rPr>
        <w:t>Gas</w:t>
      </w:r>
      <w:proofErr w:type="spellEnd"/>
      <w:r>
        <w:rPr>
          <w:rFonts w:ascii="Times New Roman" w:hAnsi="Times New Roman"/>
        </w:rPr>
        <w:t xml:space="preserve">), glej IP/15/4651, na voljo na povezavi: </w:t>
      </w:r>
      <w:hyperlink r:id="rId28">
        <w:r>
          <w:rPr>
            <w:rStyle w:val="Hyperlink"/>
            <w:rFonts w:ascii="Times New Roman" w:hAnsi="Times New Roman"/>
          </w:rPr>
          <w:t>http://europa.eu/rapid/press-releas</w:t>
        </w:r>
        <w:r>
          <w:rPr>
            <w:rStyle w:val="Hyperlink"/>
            <w:rFonts w:ascii="Times New Roman" w:hAnsi="Times New Roman"/>
          </w:rPr>
          <w:t>e_IP-15-4651_en.htm</w:t>
        </w:r>
      </w:hyperlink>
      <w:r>
        <w:rPr>
          <w:rFonts w:ascii="Times New Roman" w:hAnsi="Times New Roman"/>
        </w:rPr>
        <w:t xml:space="preserve">. </w:t>
      </w:r>
      <w:r>
        <w:rPr>
          <w:rFonts w:ascii="Times New Roman" w:hAnsi="Times New Roman"/>
          <w:i/>
        </w:rPr>
        <w:t xml:space="preserve"> </w:t>
      </w:r>
    </w:p>
  </w:footnote>
  <w:footnote w:id="29">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AT.39767</w:t>
      </w:r>
      <w:proofErr w:type="spellEnd"/>
      <w:r>
        <w:rPr>
          <w:rFonts w:ascii="Times New Roman" w:hAnsi="Times New Roman"/>
        </w:rPr>
        <w:t> –</w:t>
      </w:r>
      <w:r>
        <w:rPr>
          <w:rFonts w:ascii="Times New Roman" w:hAnsi="Times New Roman"/>
          <w:i/>
        </w:rPr>
        <w:t xml:space="preserve"> </w:t>
      </w:r>
      <w:r>
        <w:rPr>
          <w:rFonts w:ascii="Times New Roman" w:hAnsi="Times New Roman"/>
        </w:rPr>
        <w:t xml:space="preserve">Dobava električne energije bolgarskega energetskega holdinga (BEH </w:t>
      </w:r>
      <w:proofErr w:type="spellStart"/>
      <w:r>
        <w:rPr>
          <w:rFonts w:ascii="Times New Roman" w:hAnsi="Times New Roman"/>
        </w:rPr>
        <w:t>Electricity</w:t>
      </w:r>
      <w:proofErr w:type="spellEnd"/>
      <w:r>
        <w:rPr>
          <w:rFonts w:ascii="Times New Roman" w:hAnsi="Times New Roman"/>
        </w:rPr>
        <w:t xml:space="preserve">), glej IP/15/6289 z dne 10. decembra 2015, na voljo na povezavi: </w:t>
      </w:r>
      <w:hyperlink r:id="rId29">
        <w:r>
          <w:rPr>
            <w:rStyle w:val="Hyperlink"/>
            <w:rFonts w:ascii="Times New Roman" w:hAnsi="Times New Roman"/>
          </w:rPr>
          <w:t>http://europa.eu/rapid/press-release_IP-15-6289_en.htm</w:t>
        </w:r>
      </w:hyperlink>
      <w:r>
        <w:t>.</w:t>
      </w:r>
      <w:r>
        <w:rPr>
          <w:rFonts w:ascii="Times New Roman" w:hAnsi="Times New Roman"/>
        </w:rPr>
        <w:t xml:space="preserve"> </w:t>
      </w:r>
    </w:p>
  </w:footnote>
  <w:footnote w:id="30">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Sporočilo Komisije – </w:t>
      </w:r>
      <w:r>
        <w:rPr>
          <w:rFonts w:ascii="Times New Roman" w:hAnsi="Times New Roman"/>
          <w:i/>
        </w:rPr>
        <w:t>Smernice o državni pomoči za varstvo okolja in energijo za obdobje 2014–2020</w:t>
      </w:r>
      <w:r>
        <w:rPr>
          <w:rFonts w:ascii="Times New Roman" w:hAnsi="Times New Roman"/>
        </w:rPr>
        <w:t xml:space="preserve">, UL C 200, 28.6.2014, na voljo na povezavi: </w:t>
      </w:r>
      <w:hyperlink r:id="rId30">
        <w:r>
          <w:rPr>
            <w:rStyle w:val="Hyperlink"/>
            <w:rFonts w:ascii="Times New Roman" w:hAnsi="Times New Roman"/>
          </w:rPr>
          <w:t>http://eur-lex.europa.eu/legal-content/SL/TXT/?uri=CELEX:52014XC0628%2801%29</w:t>
        </w:r>
      </w:hyperlink>
      <w:r>
        <w:rPr>
          <w:rFonts w:ascii="Times New Roman" w:hAnsi="Times New Roman"/>
        </w:rPr>
        <w:t xml:space="preserve">. </w:t>
      </w:r>
    </w:p>
  </w:footnote>
  <w:footnote w:id="31">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M.7278</w:t>
      </w:r>
      <w:proofErr w:type="spellEnd"/>
      <w:r>
        <w:rPr>
          <w:rFonts w:ascii="Times New Roman" w:hAnsi="Times New Roman"/>
        </w:rPr>
        <w:t xml:space="preserve"> –</w:t>
      </w:r>
      <w:r>
        <w:rPr>
          <w:rFonts w:ascii="Times New Roman" w:hAnsi="Times New Roman"/>
          <w:i/>
        </w:rPr>
        <w:t xml:space="preserve"> </w:t>
      </w:r>
      <w:r>
        <w:rPr>
          <w:rFonts w:ascii="Times New Roman" w:hAnsi="Times New Roman"/>
        </w:rPr>
        <w:t xml:space="preserve">General </w:t>
      </w:r>
      <w:proofErr w:type="spellStart"/>
      <w:r>
        <w:rPr>
          <w:rFonts w:ascii="Times New Roman" w:hAnsi="Times New Roman"/>
        </w:rPr>
        <w:t>Electric</w:t>
      </w:r>
      <w:proofErr w:type="spellEnd"/>
      <w:r>
        <w:rPr>
          <w:rFonts w:ascii="Times New Roman" w:hAnsi="Times New Roman"/>
        </w:rPr>
        <w:t>/</w:t>
      </w:r>
      <w:proofErr w:type="spellStart"/>
      <w:r>
        <w:rPr>
          <w:rFonts w:ascii="Times New Roman" w:hAnsi="Times New Roman"/>
        </w:rPr>
        <w:t>Alstom</w:t>
      </w:r>
      <w:proofErr w:type="spellEnd"/>
      <w:r>
        <w:rPr>
          <w:rFonts w:ascii="Times New Roman" w:hAnsi="Times New Roman"/>
        </w:rPr>
        <w:t xml:space="preserve"> (</w:t>
      </w:r>
      <w:proofErr w:type="spellStart"/>
      <w:r>
        <w:rPr>
          <w:rFonts w:ascii="Times New Roman" w:hAnsi="Times New Roman"/>
        </w:rPr>
        <w:t>Thermal</w:t>
      </w:r>
      <w:proofErr w:type="spellEnd"/>
      <w:r>
        <w:rPr>
          <w:rFonts w:ascii="Times New Roman" w:hAnsi="Times New Roman"/>
        </w:rPr>
        <w:t xml:space="preserve"> </w:t>
      </w:r>
      <w:proofErr w:type="spellStart"/>
      <w:r>
        <w:rPr>
          <w:rFonts w:ascii="Times New Roman" w:hAnsi="Times New Roman"/>
        </w:rPr>
        <w:t>power</w:t>
      </w:r>
      <w:proofErr w:type="spellEnd"/>
      <w:r>
        <w:rPr>
          <w:rFonts w:ascii="Times New Roman" w:hAnsi="Times New Roman"/>
        </w:rPr>
        <w:t xml:space="preserve"> – </w:t>
      </w:r>
      <w:proofErr w:type="spellStart"/>
      <w:r>
        <w:rPr>
          <w:rFonts w:ascii="Times New Roman" w:hAnsi="Times New Roman"/>
        </w:rPr>
        <w:t>Renewable</w:t>
      </w:r>
      <w:proofErr w:type="spellEnd"/>
      <w:r>
        <w:rPr>
          <w:rFonts w:ascii="Times New Roman" w:hAnsi="Times New Roman"/>
        </w:rPr>
        <w:t xml:space="preserve"> </w:t>
      </w:r>
      <w:proofErr w:type="spellStart"/>
      <w:r>
        <w:rPr>
          <w:rFonts w:ascii="Times New Roman" w:hAnsi="Times New Roman"/>
        </w:rPr>
        <w:t>power</w:t>
      </w:r>
      <w:proofErr w:type="spellEnd"/>
      <w:r>
        <w:rPr>
          <w:rFonts w:ascii="Times New Roman" w:hAnsi="Times New Roman"/>
        </w:rPr>
        <w:t xml:space="preserve"> &amp; </w:t>
      </w:r>
      <w:proofErr w:type="spellStart"/>
      <w:r>
        <w:rPr>
          <w:rFonts w:ascii="Times New Roman" w:hAnsi="Times New Roman"/>
        </w:rPr>
        <w:t>Grid</w:t>
      </w:r>
      <w:proofErr w:type="spellEnd"/>
      <w:r>
        <w:rPr>
          <w:rFonts w:ascii="Times New Roman" w:hAnsi="Times New Roman"/>
        </w:rPr>
        <w:t xml:space="preserve"> </w:t>
      </w:r>
      <w:proofErr w:type="spellStart"/>
      <w:r>
        <w:rPr>
          <w:rFonts w:ascii="Times New Roman" w:hAnsi="Times New Roman"/>
        </w:rPr>
        <w:t>Business</w:t>
      </w:r>
      <w:proofErr w:type="spellEnd"/>
      <w:r>
        <w:rPr>
          <w:rFonts w:ascii="Times New Roman" w:hAnsi="Times New Roman"/>
        </w:rPr>
        <w:t>), Sklep Komisije z dne 8. septembra 2015,</w:t>
      </w:r>
      <w:r>
        <w:rPr>
          <w:rFonts w:ascii="Times New Roman" w:hAnsi="Times New Roman"/>
        </w:rPr>
        <w:t xml:space="preserve"> na voljo na povezavi: </w:t>
      </w:r>
      <w:hyperlink r:id="rId31">
        <w:r>
          <w:rPr>
            <w:rStyle w:val="Hyperlink"/>
            <w:rFonts w:ascii="Times New Roman" w:hAnsi="Times New Roman"/>
          </w:rPr>
          <w:t>http://ec.europa.eu/competition/elojade/isef/index.cfm?fuseaction=dsp_result</w:t>
        </w:r>
      </w:hyperlink>
      <w:r>
        <w:rPr>
          <w:rFonts w:ascii="Times New Roman" w:hAnsi="Times New Roman"/>
        </w:rPr>
        <w:t xml:space="preserve">.  </w:t>
      </w:r>
    </w:p>
  </w:footnote>
  <w:footnote w:id="32">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Glej IP/15/4610 z dne 18. marca 2015, na voljo na povez</w:t>
      </w:r>
      <w:r>
        <w:rPr>
          <w:rFonts w:ascii="Times New Roman" w:hAnsi="Times New Roman"/>
        </w:rPr>
        <w:t xml:space="preserve">avi: </w:t>
      </w:r>
      <w:hyperlink r:id="rId32">
        <w:r>
          <w:rPr>
            <w:rStyle w:val="Hyperlink"/>
            <w:rFonts w:ascii="Times New Roman" w:hAnsi="Times New Roman"/>
          </w:rPr>
          <w:t>http://europa.eu/rapid/press-release_IP-15-4610_sl.htm</w:t>
        </w:r>
      </w:hyperlink>
      <w:r>
        <w:rPr>
          <w:rFonts w:ascii="Times New Roman" w:hAnsi="Times New Roman"/>
        </w:rPr>
        <w:t>.</w:t>
      </w:r>
    </w:p>
  </w:footnote>
  <w:footnote w:id="33">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Glej IP/15/5188 z dne 17. junija 2015, na voljo na povezavi: </w:t>
      </w:r>
      <w:r>
        <w:rPr>
          <w:rStyle w:val="Hyperlink"/>
          <w:rFonts w:ascii="Times New Roman" w:hAnsi="Times New Roman"/>
        </w:rPr>
        <w:t>http://europa.eu/rapid/press-release_IP-15-5188_sl.htm</w:t>
      </w:r>
      <w:r>
        <w:rPr>
          <w:rFonts w:ascii="Times New Roman" w:hAnsi="Times New Roman"/>
        </w:rPr>
        <w:t>.</w:t>
      </w:r>
    </w:p>
  </w:footnote>
  <w:footnote w:id="34">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SA.38375</w:t>
      </w:r>
      <w:proofErr w:type="spellEnd"/>
      <w:r>
        <w:rPr>
          <w:rFonts w:ascii="Times New Roman" w:hAnsi="Times New Roman"/>
        </w:rPr>
        <w:t> –</w:t>
      </w:r>
      <w:r>
        <w:rPr>
          <w:rFonts w:ascii="Times New Roman" w:hAnsi="Times New Roman"/>
          <w:i/>
        </w:rPr>
        <w:t xml:space="preserve"> </w:t>
      </w:r>
      <w:r>
        <w:rPr>
          <w:rFonts w:ascii="Times New Roman" w:hAnsi="Times New Roman"/>
        </w:rPr>
        <w:t>Domnevna pomoč podjetju FFT-Luxembourg (</w:t>
      </w:r>
      <w:proofErr w:type="spellStart"/>
      <w:r>
        <w:rPr>
          <w:rFonts w:ascii="Times New Roman" w:hAnsi="Times New Roman"/>
        </w:rPr>
        <w:t>Alleged</w:t>
      </w:r>
      <w:proofErr w:type="spellEnd"/>
      <w:r>
        <w:rPr>
          <w:rFonts w:ascii="Times New Roman" w:hAnsi="Times New Roman"/>
        </w:rPr>
        <w:t xml:space="preserve"> </w:t>
      </w:r>
      <w:proofErr w:type="spellStart"/>
      <w:r>
        <w:rPr>
          <w:rFonts w:ascii="Times New Roman" w:hAnsi="Times New Roman"/>
        </w:rPr>
        <w:t>aid</w:t>
      </w:r>
      <w:proofErr w:type="spellEnd"/>
      <w:r>
        <w:rPr>
          <w:rFonts w:ascii="Times New Roman" w:hAnsi="Times New Roman"/>
        </w:rPr>
        <w:t xml:space="preserve"> to FFT-Luxembourg), Sklep Komisije z dne 21. oktobra 2015, na voljo na povezavi: </w:t>
      </w:r>
      <w:hyperlink r:id="rId33">
        <w:r>
          <w:rPr>
            <w:rStyle w:val="Hyperlink"/>
            <w:rFonts w:ascii="Times New Roman" w:hAnsi="Times New Roman"/>
          </w:rPr>
          <w:t>http://ec.europa.eu/competition/elojade/isef/case_details.cfm?proc_code=3_SA_38375</w:t>
        </w:r>
      </w:hyperlink>
      <w:r>
        <w:rPr>
          <w:rFonts w:ascii="Times New Roman" w:hAnsi="Times New Roman"/>
        </w:rPr>
        <w:t xml:space="preserve">. </w:t>
      </w:r>
    </w:p>
  </w:footnote>
  <w:footnote w:id="35">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SA.38374</w:t>
      </w:r>
      <w:proofErr w:type="spellEnd"/>
      <w:r>
        <w:rPr>
          <w:rFonts w:ascii="Times New Roman" w:hAnsi="Times New Roman"/>
        </w:rPr>
        <w:t> –</w:t>
      </w:r>
      <w:r>
        <w:rPr>
          <w:rFonts w:ascii="Times New Roman" w:hAnsi="Times New Roman"/>
          <w:i/>
        </w:rPr>
        <w:t xml:space="preserve"> </w:t>
      </w:r>
      <w:r>
        <w:rPr>
          <w:rFonts w:ascii="Times New Roman" w:hAnsi="Times New Roman"/>
        </w:rPr>
        <w:t xml:space="preserve">Domnevna pomoč podjetju </w:t>
      </w:r>
      <w:proofErr w:type="spellStart"/>
      <w:r>
        <w:rPr>
          <w:rFonts w:ascii="Times New Roman" w:hAnsi="Times New Roman"/>
        </w:rPr>
        <w:t>Starbucks</w:t>
      </w:r>
      <w:proofErr w:type="spellEnd"/>
      <w:r>
        <w:rPr>
          <w:rFonts w:ascii="Times New Roman" w:hAnsi="Times New Roman"/>
        </w:rPr>
        <w:t xml:space="preserve"> (</w:t>
      </w:r>
      <w:proofErr w:type="spellStart"/>
      <w:r>
        <w:rPr>
          <w:rFonts w:ascii="Times New Roman" w:hAnsi="Times New Roman"/>
        </w:rPr>
        <w:t>Alleged</w:t>
      </w:r>
      <w:proofErr w:type="spellEnd"/>
      <w:r>
        <w:rPr>
          <w:rFonts w:ascii="Times New Roman" w:hAnsi="Times New Roman"/>
        </w:rPr>
        <w:t xml:space="preserve"> </w:t>
      </w:r>
      <w:proofErr w:type="spellStart"/>
      <w:r>
        <w:rPr>
          <w:rFonts w:ascii="Times New Roman" w:hAnsi="Times New Roman"/>
        </w:rPr>
        <w:t>aid</w:t>
      </w:r>
      <w:proofErr w:type="spellEnd"/>
      <w:r>
        <w:rPr>
          <w:rFonts w:ascii="Times New Roman" w:hAnsi="Times New Roman"/>
        </w:rPr>
        <w:t xml:space="preserve"> to </w:t>
      </w:r>
      <w:proofErr w:type="spellStart"/>
      <w:r>
        <w:rPr>
          <w:rFonts w:ascii="Times New Roman" w:hAnsi="Times New Roman"/>
        </w:rPr>
        <w:t>Starbucks</w:t>
      </w:r>
      <w:proofErr w:type="spellEnd"/>
      <w:r>
        <w:rPr>
          <w:rFonts w:ascii="Times New Roman" w:hAnsi="Times New Roman"/>
        </w:rPr>
        <w:t xml:space="preserve">), Sklep Komisije z dne 21. oktobra 2015, na voljo na povezavi: </w:t>
      </w:r>
      <w:hyperlink r:id="rId34">
        <w:r>
          <w:rPr>
            <w:rStyle w:val="Hyperlink"/>
            <w:rFonts w:ascii="Times New Roman" w:hAnsi="Times New Roman"/>
          </w:rPr>
          <w:t>http://ec.europa.eu/competition/elojade/isef/case_details.cfm?proc_code=3_SA_38374</w:t>
        </w:r>
      </w:hyperlink>
      <w:r>
        <w:rPr>
          <w:rFonts w:ascii="Times New Roman" w:hAnsi="Times New Roman"/>
        </w:rPr>
        <w:t xml:space="preserve">. </w:t>
      </w:r>
    </w:p>
  </w:footnote>
  <w:footnote w:id="36">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Glej IP/15/5880 z dne 21. oktobra 2015, na voljo na povezavi: </w:t>
      </w:r>
      <w:r>
        <w:rPr>
          <w:rStyle w:val="Hyperlink"/>
          <w:rFonts w:ascii="Times New Roman" w:hAnsi="Times New Roman"/>
        </w:rPr>
        <w:t>http://europa.eu/rapid/press-rele</w:t>
      </w:r>
      <w:r>
        <w:rPr>
          <w:rStyle w:val="Hyperlink"/>
          <w:rFonts w:ascii="Times New Roman" w:hAnsi="Times New Roman"/>
        </w:rPr>
        <w:t>ase_IP-15-5880_sl.htm</w:t>
      </w:r>
      <w:r>
        <w:rPr>
          <w:rFonts w:ascii="Times New Roman" w:hAnsi="Times New Roman"/>
        </w:rPr>
        <w:t>.</w:t>
      </w:r>
    </w:p>
  </w:footnote>
  <w:footnote w:id="37">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SA.38945</w:t>
      </w:r>
      <w:proofErr w:type="spellEnd"/>
      <w:r>
        <w:rPr>
          <w:rFonts w:ascii="Times New Roman" w:hAnsi="Times New Roman"/>
        </w:rPr>
        <w:t> –</w:t>
      </w:r>
      <w:r>
        <w:rPr>
          <w:rFonts w:ascii="Times New Roman" w:hAnsi="Times New Roman"/>
          <w:i/>
        </w:rPr>
        <w:t xml:space="preserve"> </w:t>
      </w:r>
      <w:r>
        <w:rPr>
          <w:rFonts w:ascii="Times New Roman" w:hAnsi="Times New Roman"/>
        </w:rPr>
        <w:t xml:space="preserve">Domnevna pomoč podjetju </w:t>
      </w:r>
      <w:proofErr w:type="spellStart"/>
      <w:r>
        <w:rPr>
          <w:rFonts w:ascii="Times New Roman" w:hAnsi="Times New Roman"/>
        </w:rPr>
        <w:t>Mc</w:t>
      </w:r>
      <w:proofErr w:type="spellEnd"/>
      <w:r>
        <w:rPr>
          <w:rFonts w:ascii="Times New Roman" w:hAnsi="Times New Roman"/>
        </w:rPr>
        <w:t xml:space="preserve"> Donald's – Luksemburg (</w:t>
      </w:r>
      <w:proofErr w:type="spellStart"/>
      <w:r>
        <w:rPr>
          <w:rFonts w:ascii="Times New Roman" w:hAnsi="Times New Roman"/>
        </w:rPr>
        <w:t>Alleged</w:t>
      </w:r>
      <w:proofErr w:type="spellEnd"/>
      <w:r>
        <w:rPr>
          <w:rFonts w:ascii="Times New Roman" w:hAnsi="Times New Roman"/>
        </w:rPr>
        <w:t xml:space="preserve"> </w:t>
      </w:r>
      <w:proofErr w:type="spellStart"/>
      <w:r>
        <w:rPr>
          <w:rFonts w:ascii="Times New Roman" w:hAnsi="Times New Roman"/>
        </w:rPr>
        <w:t>aid</w:t>
      </w:r>
      <w:proofErr w:type="spellEnd"/>
      <w:r>
        <w:rPr>
          <w:rFonts w:ascii="Times New Roman" w:hAnsi="Times New Roman"/>
        </w:rPr>
        <w:t xml:space="preserve"> to </w:t>
      </w:r>
      <w:proofErr w:type="spellStart"/>
      <w:r>
        <w:rPr>
          <w:rFonts w:ascii="Times New Roman" w:hAnsi="Times New Roman"/>
        </w:rPr>
        <w:t>Mc</w:t>
      </w:r>
      <w:proofErr w:type="spellEnd"/>
      <w:r>
        <w:rPr>
          <w:rFonts w:ascii="Times New Roman" w:hAnsi="Times New Roman"/>
        </w:rPr>
        <w:t xml:space="preserve"> Donald's – Luxembourg), Sklep Komisije o začetku formalnega postopka preiskave z dne 3. decembra 2015, glej IP/15/6221, na voljo na povezavi: </w:t>
      </w:r>
      <w:hyperlink r:id="rId35">
        <w:r>
          <w:rPr>
            <w:rStyle w:val="Hyperlink"/>
            <w:rFonts w:ascii="Times New Roman" w:hAnsi="Times New Roman"/>
          </w:rPr>
          <w:t>http://europa.eu/rapid/press-release_IP-15-6221_sl.htm</w:t>
        </w:r>
      </w:hyperlink>
      <w:r>
        <w:rPr>
          <w:rFonts w:ascii="Times New Roman" w:hAnsi="Times New Roman"/>
        </w:rPr>
        <w:t xml:space="preserve">. </w:t>
      </w:r>
    </w:p>
  </w:footnote>
  <w:footnote w:id="38">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SA.38373</w:t>
      </w:r>
      <w:proofErr w:type="spellEnd"/>
      <w:r>
        <w:rPr>
          <w:rFonts w:ascii="Times New Roman" w:hAnsi="Times New Roman"/>
        </w:rPr>
        <w:t> –</w:t>
      </w:r>
      <w:r>
        <w:rPr>
          <w:rFonts w:ascii="Times New Roman" w:hAnsi="Times New Roman"/>
          <w:i/>
        </w:rPr>
        <w:t xml:space="preserve"> </w:t>
      </w:r>
      <w:r>
        <w:rPr>
          <w:rFonts w:ascii="Times New Roman" w:hAnsi="Times New Roman"/>
        </w:rPr>
        <w:t>Domnevna pomoč podjetju Apple (</w:t>
      </w:r>
      <w:proofErr w:type="spellStart"/>
      <w:r>
        <w:rPr>
          <w:rFonts w:ascii="Times New Roman" w:hAnsi="Times New Roman"/>
        </w:rPr>
        <w:t>Alleged</w:t>
      </w:r>
      <w:proofErr w:type="spellEnd"/>
      <w:r>
        <w:rPr>
          <w:rFonts w:ascii="Times New Roman" w:hAnsi="Times New Roman"/>
        </w:rPr>
        <w:t xml:space="preserve"> </w:t>
      </w:r>
      <w:proofErr w:type="spellStart"/>
      <w:r>
        <w:rPr>
          <w:rFonts w:ascii="Times New Roman" w:hAnsi="Times New Roman"/>
        </w:rPr>
        <w:t>aid</w:t>
      </w:r>
      <w:proofErr w:type="spellEnd"/>
      <w:r>
        <w:rPr>
          <w:rFonts w:ascii="Times New Roman" w:hAnsi="Times New Roman"/>
        </w:rPr>
        <w:t xml:space="preserve"> to Apple), na voljo na povezavi: </w:t>
      </w:r>
      <w:hyperlink r:id="rId36">
        <w:r>
          <w:rPr>
            <w:rStyle w:val="Hyperlink"/>
            <w:rFonts w:ascii="Times New Roman" w:hAnsi="Times New Roman"/>
          </w:rPr>
          <w:t>http://ec.europa.eu/competition/elojade/isef/case_details.cfm?proc_code=3_SA_38373</w:t>
        </w:r>
      </w:hyperlink>
      <w:r>
        <w:rPr>
          <w:rFonts w:ascii="Times New Roman" w:hAnsi="Times New Roman"/>
          <w:i/>
        </w:rPr>
        <w:t xml:space="preserve">. </w:t>
      </w:r>
    </w:p>
  </w:footnote>
  <w:footnote w:id="39">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SA.38944</w:t>
      </w:r>
      <w:proofErr w:type="spellEnd"/>
      <w:r>
        <w:rPr>
          <w:rFonts w:ascii="Times New Roman" w:hAnsi="Times New Roman"/>
        </w:rPr>
        <w:t> –</w:t>
      </w:r>
      <w:r>
        <w:rPr>
          <w:rFonts w:ascii="Times New Roman" w:hAnsi="Times New Roman"/>
          <w:i/>
        </w:rPr>
        <w:t xml:space="preserve"> </w:t>
      </w:r>
      <w:r>
        <w:rPr>
          <w:rFonts w:ascii="Times New Roman" w:hAnsi="Times New Roman"/>
        </w:rPr>
        <w:t xml:space="preserve">Domnevna pomoč podjetju </w:t>
      </w:r>
      <w:proofErr w:type="spellStart"/>
      <w:r>
        <w:rPr>
          <w:rFonts w:ascii="Times New Roman" w:hAnsi="Times New Roman"/>
        </w:rPr>
        <w:t>Amazon</w:t>
      </w:r>
      <w:proofErr w:type="spellEnd"/>
      <w:r>
        <w:rPr>
          <w:rFonts w:ascii="Times New Roman" w:hAnsi="Times New Roman"/>
        </w:rPr>
        <w:t xml:space="preserve"> (</w:t>
      </w:r>
      <w:proofErr w:type="spellStart"/>
      <w:r>
        <w:rPr>
          <w:rFonts w:ascii="Times New Roman" w:hAnsi="Times New Roman"/>
        </w:rPr>
        <w:t>Alleged</w:t>
      </w:r>
      <w:proofErr w:type="spellEnd"/>
      <w:r>
        <w:rPr>
          <w:rFonts w:ascii="Times New Roman" w:hAnsi="Times New Roman"/>
        </w:rPr>
        <w:t xml:space="preserve"> </w:t>
      </w:r>
      <w:proofErr w:type="spellStart"/>
      <w:r>
        <w:rPr>
          <w:rFonts w:ascii="Times New Roman" w:hAnsi="Times New Roman"/>
        </w:rPr>
        <w:t>aid</w:t>
      </w:r>
      <w:proofErr w:type="spellEnd"/>
      <w:r>
        <w:rPr>
          <w:rFonts w:ascii="Times New Roman" w:hAnsi="Times New Roman"/>
        </w:rPr>
        <w:t xml:space="preserve"> to </w:t>
      </w:r>
      <w:proofErr w:type="spellStart"/>
      <w:r>
        <w:rPr>
          <w:rFonts w:ascii="Times New Roman" w:hAnsi="Times New Roman"/>
        </w:rPr>
        <w:t>Amazon</w:t>
      </w:r>
      <w:proofErr w:type="spellEnd"/>
      <w:r>
        <w:rPr>
          <w:rFonts w:ascii="Times New Roman" w:hAnsi="Times New Roman"/>
        </w:rPr>
        <w:t xml:space="preserve">), na voljo na povezavi: </w:t>
      </w:r>
      <w:hyperlink r:id="rId37">
        <w:r>
          <w:rPr>
            <w:rStyle w:val="Hyperlink"/>
            <w:rFonts w:ascii="Times New Roman" w:hAnsi="Times New Roman"/>
          </w:rPr>
          <w:t>http://ec.europa.eu/competition/elojade/isef/case_details.cfm?proc_code=3_SA_38944</w:t>
        </w:r>
      </w:hyperlink>
      <w:r>
        <w:rPr>
          <w:rFonts w:ascii="Times New Roman" w:hAnsi="Times New Roman"/>
        </w:rPr>
        <w:t xml:space="preserve">. </w:t>
      </w:r>
    </w:p>
  </w:footnote>
  <w:footnote w:id="40">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SA.37667</w:t>
      </w:r>
      <w:proofErr w:type="spellEnd"/>
      <w:r>
        <w:rPr>
          <w:rFonts w:ascii="Times New Roman" w:hAnsi="Times New Roman"/>
        </w:rPr>
        <w:t> –</w:t>
      </w:r>
      <w:r>
        <w:rPr>
          <w:rFonts w:ascii="Times New Roman" w:hAnsi="Times New Roman"/>
          <w:i/>
        </w:rPr>
        <w:t xml:space="preserve"> </w:t>
      </w:r>
      <w:r>
        <w:rPr>
          <w:rFonts w:ascii="Times New Roman" w:hAnsi="Times New Roman"/>
        </w:rPr>
        <w:t>Oprostitev presežnih dobičkov v Belgiji (</w:t>
      </w:r>
      <w:proofErr w:type="spellStart"/>
      <w:r>
        <w:rPr>
          <w:rFonts w:ascii="Times New Roman" w:hAnsi="Times New Roman"/>
        </w:rPr>
        <w:t>Excess</w:t>
      </w:r>
      <w:proofErr w:type="spellEnd"/>
      <w:r>
        <w:rPr>
          <w:rFonts w:ascii="Times New Roman" w:hAnsi="Times New Roman"/>
        </w:rPr>
        <w:t xml:space="preserve"> Prof</w:t>
      </w:r>
      <w:r>
        <w:rPr>
          <w:rFonts w:ascii="Times New Roman" w:hAnsi="Times New Roman"/>
        </w:rPr>
        <w:t xml:space="preserve">it </w:t>
      </w:r>
      <w:proofErr w:type="spellStart"/>
      <w:r>
        <w:rPr>
          <w:rFonts w:ascii="Times New Roman" w:hAnsi="Times New Roman"/>
        </w:rPr>
        <w:t>exemption</w:t>
      </w:r>
      <w:proofErr w:type="spellEnd"/>
      <w:r>
        <w:rPr>
          <w:rFonts w:ascii="Times New Roman" w:hAnsi="Times New Roman"/>
        </w:rPr>
        <w:t xml:space="preserve"> in </w:t>
      </w:r>
      <w:proofErr w:type="spellStart"/>
      <w:r>
        <w:rPr>
          <w:rFonts w:ascii="Times New Roman" w:hAnsi="Times New Roman"/>
        </w:rPr>
        <w:t>Belgium</w:t>
      </w:r>
      <w:proofErr w:type="spellEnd"/>
      <w:r>
        <w:rPr>
          <w:rFonts w:ascii="Times New Roman" w:hAnsi="Times New Roman"/>
        </w:rPr>
        <w:t xml:space="preserve">), Sklep Komisije o začetku formalnega postopka preiskave z dne 3. februarja 2015, glej IP/15/4080, na voljo na povezavi: </w:t>
      </w:r>
      <w:hyperlink r:id="rId38">
        <w:r>
          <w:rPr>
            <w:rStyle w:val="Hyperlink"/>
            <w:rFonts w:ascii="Times New Roman" w:hAnsi="Times New Roman"/>
          </w:rPr>
          <w:t>http://europa.eu/rapid/press-release_</w:t>
        </w:r>
        <w:r>
          <w:rPr>
            <w:rStyle w:val="Hyperlink"/>
            <w:rFonts w:ascii="Times New Roman" w:hAnsi="Times New Roman"/>
          </w:rPr>
          <w:t>IP-15-4080_en.htm</w:t>
        </w:r>
      </w:hyperlink>
      <w:r>
        <w:rPr>
          <w:rFonts w:ascii="Times New Roman" w:hAnsi="Times New Roman"/>
        </w:rPr>
        <w:t xml:space="preserve">. </w:t>
      </w:r>
    </w:p>
  </w:footnote>
  <w:footnote w:id="41">
    <w:p w:rsidR="006B3176" w:rsidRDefault="00A435F4">
      <w:pPr>
        <w:pStyle w:val="FootnoteText"/>
        <w:tabs>
          <w:tab w:val="right" w:pos="9072"/>
        </w:tabs>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Glej IP/16/42 z dne 11. januarja 2016, na voljo na povezavi: </w:t>
      </w:r>
      <w:hyperlink r:id="rId39">
        <w:r>
          <w:rPr>
            <w:rStyle w:val="Hyperlink"/>
            <w:rFonts w:ascii="Times New Roman" w:hAnsi="Times New Roman"/>
          </w:rPr>
          <w:t>http://europa.eu/rapid/press-release_IP-16-42_sl.htm</w:t>
        </w:r>
      </w:hyperlink>
      <w:r>
        <w:rPr>
          <w:rFonts w:ascii="Times New Roman" w:hAnsi="Times New Roman"/>
        </w:rPr>
        <w:t>.</w:t>
      </w:r>
    </w:p>
  </w:footnote>
  <w:footnote w:id="42">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Glej IP/14/2742 z dne 17. decembra 2014, na v</w:t>
      </w:r>
      <w:r>
        <w:rPr>
          <w:rFonts w:ascii="Times New Roman" w:hAnsi="Times New Roman"/>
        </w:rPr>
        <w:t xml:space="preserve">oljo na povezavi: </w:t>
      </w:r>
      <w:hyperlink r:id="rId40">
        <w:r>
          <w:rPr>
            <w:rStyle w:val="Hyperlink"/>
            <w:rFonts w:ascii="Times New Roman" w:hAnsi="Times New Roman"/>
          </w:rPr>
          <w:t>http://europa.eu/rapid/press-release_IP-14-2742_en.htm</w:t>
        </w:r>
      </w:hyperlink>
      <w:r>
        <w:rPr>
          <w:rFonts w:ascii="Times New Roman" w:hAnsi="Times New Roman"/>
        </w:rPr>
        <w:t>.</w:t>
      </w:r>
    </w:p>
  </w:footnote>
  <w:footnote w:id="43">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Uredba Sveta (ES) št. 1/2003 z dne 16. decembra 2002 o izvajanju pravil konkurence iz členov 81 in 82 Pog</w:t>
      </w:r>
      <w:r>
        <w:rPr>
          <w:rFonts w:ascii="Times New Roman" w:hAnsi="Times New Roman"/>
        </w:rPr>
        <w:t xml:space="preserve">odbe, UL L 1, 4.1.2003, str. 1, na voljo na povezavi: </w:t>
      </w:r>
      <w:hyperlink r:id="rId41">
        <w:r>
          <w:rPr>
            <w:rStyle w:val="Hyperlink"/>
            <w:rFonts w:ascii="Times New Roman" w:hAnsi="Times New Roman"/>
          </w:rPr>
          <w:t>http://eur-lex.europa.eu/legal-content/SL/ALL/?uri=celex%3A32003R0001</w:t>
        </w:r>
      </w:hyperlink>
      <w:r>
        <w:rPr>
          <w:rFonts w:ascii="Times New Roman" w:hAnsi="Times New Roman"/>
        </w:rPr>
        <w:t xml:space="preserve">. </w:t>
      </w:r>
    </w:p>
  </w:footnote>
  <w:footnote w:id="44">
    <w:p w:rsidR="006B3176" w:rsidRDefault="00A435F4">
      <w:pPr>
        <w:pStyle w:val="FootnoteText"/>
        <w:spacing w:after="0" w:line="240" w:lineRule="auto"/>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 xml:space="preserve">Sporočilo Komisije Evropskemu parlamentu in Svetu z dne 9. julija 2014 – </w:t>
      </w:r>
      <w:r>
        <w:rPr>
          <w:rFonts w:ascii="Times New Roman" w:hAnsi="Times New Roman"/>
          <w:i/>
        </w:rPr>
        <w:t>Deset let izvrševanja protimonopolnega prava v okviru Uredbe št. 1/2003: Dosežki in pričakovanja za prihodnost</w:t>
      </w:r>
      <w:r>
        <w:rPr>
          <w:rFonts w:ascii="Times New Roman" w:hAnsi="Times New Roman"/>
        </w:rPr>
        <w:t xml:space="preserve">, COM(2014) 453, na voljo na povezavi: </w:t>
      </w:r>
      <w:hyperlink r:id="rId42">
        <w:r>
          <w:rPr>
            <w:rStyle w:val="Hyperlink"/>
            <w:rFonts w:ascii="Times New Roman" w:hAnsi="Times New Roman"/>
          </w:rPr>
          <w:t>http://eur-lex.europa.eu/legal-content/SL/TXT/?uri=CELEX%3A52014DC0453</w:t>
        </w:r>
      </w:hyperlink>
      <w:r>
        <w:rPr>
          <w:rFonts w:ascii="Times New Roman" w:hAnsi="Times New Roman"/>
        </w:rPr>
        <w:t>.</w:t>
      </w:r>
    </w:p>
  </w:footnote>
  <w:footnote w:id="45">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AT.39563</w:t>
      </w:r>
      <w:proofErr w:type="spellEnd"/>
      <w:r>
        <w:rPr>
          <w:rFonts w:ascii="Times New Roman" w:hAnsi="Times New Roman"/>
        </w:rPr>
        <w:t> –</w:t>
      </w:r>
      <w:r>
        <w:rPr>
          <w:rFonts w:ascii="Times New Roman" w:hAnsi="Times New Roman"/>
          <w:i/>
        </w:rPr>
        <w:t xml:space="preserve"> </w:t>
      </w:r>
      <w:r>
        <w:rPr>
          <w:rFonts w:ascii="Times New Roman" w:hAnsi="Times New Roman"/>
        </w:rPr>
        <w:t>Živilske embalaže za prodajo na drobno (</w:t>
      </w:r>
      <w:proofErr w:type="spellStart"/>
      <w:r>
        <w:rPr>
          <w:rFonts w:ascii="Times New Roman" w:hAnsi="Times New Roman"/>
        </w:rPr>
        <w:t>Retail</w:t>
      </w:r>
      <w:proofErr w:type="spellEnd"/>
      <w:r>
        <w:rPr>
          <w:rFonts w:ascii="Times New Roman" w:hAnsi="Times New Roman"/>
        </w:rPr>
        <w:t xml:space="preserve"> </w:t>
      </w:r>
      <w:proofErr w:type="spellStart"/>
      <w:r>
        <w:rPr>
          <w:rFonts w:ascii="Times New Roman" w:hAnsi="Times New Roman"/>
        </w:rPr>
        <w:t>Food</w:t>
      </w:r>
      <w:proofErr w:type="spellEnd"/>
      <w:r>
        <w:rPr>
          <w:rFonts w:ascii="Times New Roman" w:hAnsi="Times New Roman"/>
        </w:rPr>
        <w:t xml:space="preserve"> </w:t>
      </w:r>
      <w:proofErr w:type="spellStart"/>
      <w:r>
        <w:rPr>
          <w:rFonts w:ascii="Times New Roman" w:hAnsi="Times New Roman"/>
        </w:rPr>
        <w:t>Packaging</w:t>
      </w:r>
      <w:proofErr w:type="spellEnd"/>
      <w:r>
        <w:rPr>
          <w:rFonts w:ascii="Times New Roman" w:hAnsi="Times New Roman"/>
        </w:rPr>
        <w:t xml:space="preserve">), Sklep Komisije z dne 24. junija 2015, na voljo na povezavi: </w:t>
      </w:r>
      <w:hyperlink r:id="rId43">
        <w:r>
          <w:rPr>
            <w:rStyle w:val="Hyperlink"/>
            <w:rFonts w:ascii="Times New Roman" w:hAnsi="Times New Roman"/>
          </w:rPr>
          <w:t>http://ec.europa.eu/competition/e</w:t>
        </w:r>
        <w:r>
          <w:rPr>
            <w:rStyle w:val="Hyperlink"/>
            <w:rFonts w:ascii="Times New Roman" w:hAnsi="Times New Roman"/>
          </w:rPr>
          <w:t>lojade/isef/case_details.cfm?proc_code=1_39563</w:t>
        </w:r>
      </w:hyperlink>
      <w:r>
        <w:rPr>
          <w:rFonts w:ascii="Times New Roman" w:hAnsi="Times New Roman"/>
        </w:rPr>
        <w:t xml:space="preserve">. </w:t>
      </w:r>
    </w:p>
  </w:footnote>
  <w:footnote w:id="46">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AT.39639</w:t>
      </w:r>
      <w:proofErr w:type="spellEnd"/>
      <w:r>
        <w:rPr>
          <w:rFonts w:ascii="Times New Roman" w:hAnsi="Times New Roman"/>
        </w:rPr>
        <w:t> –</w:t>
      </w:r>
      <w:r>
        <w:rPr>
          <w:rFonts w:ascii="Times New Roman" w:hAnsi="Times New Roman"/>
          <w:i/>
        </w:rPr>
        <w:t xml:space="preserve"> </w:t>
      </w:r>
      <w:r>
        <w:rPr>
          <w:rFonts w:ascii="Times New Roman" w:hAnsi="Times New Roman"/>
        </w:rPr>
        <w:t>Optični pogoni (</w:t>
      </w:r>
      <w:proofErr w:type="spellStart"/>
      <w:r>
        <w:rPr>
          <w:rFonts w:ascii="Times New Roman" w:hAnsi="Times New Roman"/>
        </w:rPr>
        <w:t>Optical</w:t>
      </w:r>
      <w:proofErr w:type="spellEnd"/>
      <w:r>
        <w:rPr>
          <w:rFonts w:ascii="Times New Roman" w:hAnsi="Times New Roman"/>
        </w:rPr>
        <w:t xml:space="preserve"> </w:t>
      </w:r>
      <w:proofErr w:type="spellStart"/>
      <w:r>
        <w:rPr>
          <w:rFonts w:ascii="Times New Roman" w:hAnsi="Times New Roman"/>
        </w:rPr>
        <w:t>Disc</w:t>
      </w:r>
      <w:proofErr w:type="spellEnd"/>
      <w:r>
        <w:rPr>
          <w:rFonts w:ascii="Times New Roman" w:hAnsi="Times New Roman"/>
        </w:rPr>
        <w:t xml:space="preserve"> </w:t>
      </w:r>
      <w:proofErr w:type="spellStart"/>
      <w:r>
        <w:rPr>
          <w:rFonts w:ascii="Times New Roman" w:hAnsi="Times New Roman"/>
        </w:rPr>
        <w:t>Drives</w:t>
      </w:r>
      <w:proofErr w:type="spellEnd"/>
      <w:r>
        <w:rPr>
          <w:rFonts w:ascii="Times New Roman" w:hAnsi="Times New Roman"/>
        </w:rPr>
        <w:t xml:space="preserve">), Sklep Komisije z dne 21. oktobra 2015, na voljo na povezavi: </w:t>
      </w:r>
      <w:hyperlink r:id="rId44">
        <w:r>
          <w:rPr>
            <w:rStyle w:val="Hyperlink"/>
            <w:rFonts w:ascii="Times New Roman" w:hAnsi="Times New Roman"/>
          </w:rPr>
          <w:t>http://ec.europa.eu/competition/elojade/isef/case_details.cfm?proc_code=1_39639</w:t>
        </w:r>
      </w:hyperlink>
      <w:r>
        <w:rPr>
          <w:rFonts w:ascii="Times New Roman" w:hAnsi="Times New Roman"/>
        </w:rPr>
        <w:t xml:space="preserve">. </w:t>
      </w:r>
    </w:p>
  </w:footnote>
  <w:footnote w:id="47">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AT.39861</w:t>
      </w:r>
      <w:proofErr w:type="spellEnd"/>
      <w:r>
        <w:rPr>
          <w:rFonts w:ascii="Times New Roman" w:hAnsi="Times New Roman"/>
        </w:rPr>
        <w:t> –</w:t>
      </w:r>
      <w:r>
        <w:rPr>
          <w:rFonts w:ascii="Times New Roman" w:hAnsi="Times New Roman"/>
          <w:i/>
        </w:rPr>
        <w:t xml:space="preserve"> </w:t>
      </w:r>
      <w:r>
        <w:rPr>
          <w:rFonts w:ascii="Times New Roman" w:hAnsi="Times New Roman"/>
        </w:rPr>
        <w:t>Obrestni izvedeni finančni instrumenti v jenih (</w:t>
      </w:r>
      <w:proofErr w:type="spellStart"/>
      <w:r>
        <w:rPr>
          <w:rFonts w:ascii="Times New Roman" w:hAnsi="Times New Roman"/>
        </w:rPr>
        <w:t>Yen</w:t>
      </w:r>
      <w:proofErr w:type="spellEnd"/>
      <w:r>
        <w:rPr>
          <w:rFonts w:ascii="Times New Roman" w:hAnsi="Times New Roman"/>
        </w:rPr>
        <w:t xml:space="preserve"> </w:t>
      </w:r>
      <w:proofErr w:type="spellStart"/>
      <w:r>
        <w:rPr>
          <w:rFonts w:ascii="Times New Roman" w:hAnsi="Times New Roman"/>
        </w:rPr>
        <w:t>Interest</w:t>
      </w:r>
      <w:proofErr w:type="spellEnd"/>
      <w:r>
        <w:rPr>
          <w:rFonts w:ascii="Times New Roman" w:hAnsi="Times New Roman"/>
        </w:rPr>
        <w:t xml:space="preserve"> </w:t>
      </w:r>
      <w:proofErr w:type="spellStart"/>
      <w:r>
        <w:rPr>
          <w:rFonts w:ascii="Times New Roman" w:hAnsi="Times New Roman"/>
        </w:rPr>
        <w:t>Rate</w:t>
      </w:r>
      <w:proofErr w:type="spellEnd"/>
      <w:r>
        <w:rPr>
          <w:rFonts w:ascii="Times New Roman" w:hAnsi="Times New Roman"/>
        </w:rPr>
        <w:t xml:space="preserve"> </w:t>
      </w:r>
      <w:proofErr w:type="spellStart"/>
      <w:r>
        <w:rPr>
          <w:rFonts w:ascii="Times New Roman" w:hAnsi="Times New Roman"/>
        </w:rPr>
        <w:t>Derivatives</w:t>
      </w:r>
      <w:proofErr w:type="spellEnd"/>
      <w:r>
        <w:rPr>
          <w:rFonts w:ascii="Times New Roman" w:hAnsi="Times New Roman"/>
        </w:rPr>
        <w:t xml:space="preserve"> (YIRD)), Sklep Komisije z dne 4. decembra 2013, na voljo na povez</w:t>
      </w:r>
      <w:r>
        <w:rPr>
          <w:rFonts w:ascii="Times New Roman" w:hAnsi="Times New Roman"/>
        </w:rPr>
        <w:t xml:space="preserve">avi: </w:t>
      </w:r>
      <w:hyperlink r:id="rId45">
        <w:r>
          <w:rPr>
            <w:rStyle w:val="Hyperlink"/>
            <w:rFonts w:ascii="Times New Roman" w:hAnsi="Times New Roman"/>
          </w:rPr>
          <w:t>http://ec.europa.eu/competition/elojade/isef/case_details.cfm?proc_code=1_39861</w:t>
        </w:r>
      </w:hyperlink>
      <w:r>
        <w:rPr>
          <w:rFonts w:ascii="Times New Roman" w:hAnsi="Times New Roman"/>
        </w:rPr>
        <w:t xml:space="preserve">. </w:t>
      </w:r>
    </w:p>
  </w:footnote>
  <w:footnote w:id="48">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AT.40049</w:t>
      </w:r>
      <w:proofErr w:type="spellEnd"/>
      <w:r>
        <w:rPr>
          <w:rFonts w:ascii="Times New Roman" w:hAnsi="Times New Roman"/>
        </w:rPr>
        <w:t xml:space="preserve"> – </w:t>
      </w:r>
      <w:proofErr w:type="spellStart"/>
      <w:r>
        <w:rPr>
          <w:rFonts w:ascii="Times New Roman" w:hAnsi="Times New Roman"/>
        </w:rPr>
        <w:t>MasterCard</w:t>
      </w:r>
      <w:proofErr w:type="spellEnd"/>
      <w:r>
        <w:rPr>
          <w:rFonts w:ascii="Times New Roman" w:hAnsi="Times New Roman"/>
        </w:rPr>
        <w:t xml:space="preserve"> II, glej IP/15/5323 z dne 9. julija 201</w:t>
      </w:r>
      <w:r>
        <w:rPr>
          <w:rFonts w:ascii="Times New Roman" w:hAnsi="Times New Roman"/>
        </w:rPr>
        <w:t xml:space="preserve">5, na voljo na povezavi: </w:t>
      </w:r>
      <w:hyperlink r:id="rId46">
        <w:r>
          <w:rPr>
            <w:rStyle w:val="Hyperlink"/>
            <w:rFonts w:ascii="Times New Roman" w:hAnsi="Times New Roman"/>
          </w:rPr>
          <w:t>http://europa.eu/rapid/press-release_IP-15-5323_sl.htm</w:t>
        </w:r>
      </w:hyperlink>
      <w:r>
        <w:rPr>
          <w:rFonts w:ascii="Times New Roman" w:hAnsi="Times New Roman"/>
        </w:rPr>
        <w:t>.</w:t>
      </w:r>
    </w:p>
  </w:footnote>
  <w:footnote w:id="49">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Uredba (EU) 2015/751 Evropskega parlamenta in Sveta z dne 29. aprila 2015 o medbančnih provizijah z</w:t>
      </w:r>
      <w:r>
        <w:rPr>
          <w:rFonts w:ascii="Times New Roman" w:hAnsi="Times New Roman"/>
        </w:rPr>
        <w:t xml:space="preserve">a kartične plačilne transakcije, UL L 123, 19.5.2015, na voljo na povezavi: </w:t>
      </w:r>
      <w:hyperlink r:id="rId47">
        <w:r>
          <w:rPr>
            <w:rStyle w:val="Hyperlink"/>
            <w:rFonts w:ascii="Times New Roman" w:hAnsi="Times New Roman"/>
          </w:rPr>
          <w:t>http://eur-lex.europa.eu/legal-content/SL/TXT/?qid=1463524229175&amp;uri=CELEX:</w:t>
        </w:r>
        <w:r>
          <w:rPr>
            <w:rStyle w:val="Hyperlink"/>
            <w:rFonts w:ascii="Times New Roman" w:hAnsi="Times New Roman"/>
          </w:rPr>
          <w:t>32015R0751</w:t>
        </w:r>
      </w:hyperlink>
      <w:r>
        <w:rPr>
          <w:rFonts w:ascii="Times New Roman" w:hAnsi="Times New Roman"/>
        </w:rPr>
        <w:t xml:space="preserve">. </w:t>
      </w:r>
    </w:p>
  </w:footnote>
  <w:footnote w:id="50">
    <w:p w:rsidR="006B3176" w:rsidRDefault="00A435F4">
      <w:pPr>
        <w:pStyle w:val="FootnoteText"/>
        <w:spacing w:after="0" w:line="240" w:lineRule="auto"/>
        <w:rPr>
          <w:rFonts w:ascii="Times New Roman" w:hAnsi="Times New Roman"/>
          <w:color w:val="000000"/>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 xml:space="preserve">Direktiva 2014/59/EU Evropskega parlamenta in Sveta z dne 15. maja 2014 o vzpostavitvi okvira za sanacijo ter reševanje kreditnih institucij in investicijskih podjetij, UL L 173, 12.6.2014, na voljo na povezavi: </w:t>
      </w:r>
    </w:p>
    <w:p w:rsidR="006B3176" w:rsidRDefault="00A435F4">
      <w:pPr>
        <w:pStyle w:val="FootnoteText"/>
        <w:spacing w:after="0" w:line="240" w:lineRule="auto"/>
        <w:rPr>
          <w:rFonts w:ascii="Times New Roman" w:hAnsi="Times New Roman"/>
          <w:i/>
          <w:color w:val="0000FF"/>
          <w:u w:val="single"/>
        </w:rPr>
      </w:pPr>
      <w:hyperlink r:id="rId48">
        <w:r>
          <w:rPr>
            <w:rStyle w:val="Hyperlink"/>
            <w:rFonts w:ascii="Times New Roman" w:hAnsi="Times New Roman"/>
            <w:i/>
          </w:rPr>
          <w:t>http://eur-lex.europa.eu/legal-content/SL/TXT/?qid=1427289116879&amp;uri=CELEX:32014L0059</w:t>
        </w:r>
      </w:hyperlink>
      <w:r>
        <w:rPr>
          <w:rFonts w:ascii="Times New Roman" w:hAnsi="Times New Roman"/>
          <w:i/>
        </w:rPr>
        <w:t>.</w:t>
      </w:r>
    </w:p>
  </w:footnote>
  <w:footnote w:id="51">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i/>
        </w:rPr>
        <w:t xml:space="preserve"> </w:t>
      </w:r>
      <w:r>
        <w:rPr>
          <w:rFonts w:ascii="Times New Roman" w:hAnsi="Times New Roman"/>
        </w:rPr>
        <w:t xml:space="preserve">Zadeva </w:t>
      </w:r>
      <w:proofErr w:type="spellStart"/>
      <w:r>
        <w:rPr>
          <w:rFonts w:ascii="Times New Roman" w:hAnsi="Times New Roman"/>
        </w:rPr>
        <w:t>SA.39543</w:t>
      </w:r>
      <w:proofErr w:type="spellEnd"/>
      <w:r>
        <w:rPr>
          <w:rFonts w:ascii="Times New Roman" w:hAnsi="Times New Roman"/>
        </w:rPr>
        <w:t xml:space="preserve"> – Reševanje banke </w:t>
      </w:r>
      <w:proofErr w:type="spellStart"/>
      <w:r>
        <w:rPr>
          <w:rFonts w:ascii="Times New Roman" w:hAnsi="Times New Roman"/>
        </w:rPr>
        <w:t>Banca</w:t>
      </w:r>
      <w:proofErr w:type="spellEnd"/>
      <w:r>
        <w:rPr>
          <w:rFonts w:ascii="Times New Roman" w:hAnsi="Times New Roman"/>
        </w:rPr>
        <w:t xml:space="preserve"> </w:t>
      </w:r>
      <w:proofErr w:type="spellStart"/>
      <w:r>
        <w:rPr>
          <w:rFonts w:ascii="Times New Roman" w:hAnsi="Times New Roman"/>
        </w:rPr>
        <w:t>delle</w:t>
      </w:r>
      <w:proofErr w:type="spellEnd"/>
      <w:r>
        <w:rPr>
          <w:rFonts w:ascii="Times New Roman" w:hAnsi="Times New Roman"/>
        </w:rPr>
        <w:t xml:space="preserve"> </w:t>
      </w:r>
      <w:proofErr w:type="spellStart"/>
      <w:r>
        <w:rPr>
          <w:rFonts w:ascii="Times New Roman" w:hAnsi="Times New Roman"/>
        </w:rPr>
        <w:t>Marche</w:t>
      </w:r>
      <w:proofErr w:type="spellEnd"/>
      <w:r>
        <w:rPr>
          <w:rFonts w:ascii="Times New Roman" w:hAnsi="Times New Roman"/>
        </w:rPr>
        <w:t xml:space="preserve"> S.p.A. (</w:t>
      </w:r>
      <w:proofErr w:type="spellStart"/>
      <w:r>
        <w:rPr>
          <w:rFonts w:ascii="Times New Roman" w:hAnsi="Times New Roman"/>
        </w:rPr>
        <w:t>Resolution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Banca</w:t>
      </w:r>
      <w:proofErr w:type="spellEnd"/>
      <w:r>
        <w:rPr>
          <w:rFonts w:ascii="Times New Roman" w:hAnsi="Times New Roman"/>
        </w:rPr>
        <w:t xml:space="preserve"> </w:t>
      </w:r>
      <w:proofErr w:type="spellStart"/>
      <w:r>
        <w:rPr>
          <w:rFonts w:ascii="Times New Roman" w:hAnsi="Times New Roman"/>
        </w:rPr>
        <w:t>delle</w:t>
      </w:r>
      <w:proofErr w:type="spellEnd"/>
      <w:r>
        <w:rPr>
          <w:rFonts w:ascii="Times New Roman" w:hAnsi="Times New Roman"/>
        </w:rPr>
        <w:t xml:space="preserve"> </w:t>
      </w:r>
      <w:proofErr w:type="spellStart"/>
      <w:r>
        <w:rPr>
          <w:rFonts w:ascii="Times New Roman" w:hAnsi="Times New Roman"/>
        </w:rPr>
        <w:t>Marche</w:t>
      </w:r>
      <w:proofErr w:type="spellEnd"/>
      <w:r>
        <w:rPr>
          <w:rFonts w:ascii="Times New Roman" w:hAnsi="Times New Roman"/>
        </w:rPr>
        <w:t xml:space="preserve"> S.p.A.), Sklep Komisije z dne 22. novembra 2015, na voljo na povezavi: </w:t>
      </w:r>
      <w:hyperlink r:id="rId49">
        <w:r>
          <w:rPr>
            <w:rStyle w:val="Hyperlink"/>
            <w:rFonts w:ascii="Times New Roman" w:hAnsi="Times New Roman"/>
          </w:rPr>
          <w:t>http://ec.europa.eu/competition/elojade/isef/case_details.cfm?proc_code=3_SA_39543</w:t>
        </w:r>
      </w:hyperlink>
      <w:r>
        <w:rPr>
          <w:rFonts w:ascii="Times New Roman" w:hAnsi="Times New Roman"/>
        </w:rPr>
        <w:t xml:space="preserve">; zadeva </w:t>
      </w:r>
      <w:proofErr w:type="spellStart"/>
      <w:r>
        <w:rPr>
          <w:rFonts w:ascii="Times New Roman" w:hAnsi="Times New Roman"/>
        </w:rPr>
        <w:t>SA.41134</w:t>
      </w:r>
      <w:proofErr w:type="spellEnd"/>
      <w:r>
        <w:rPr>
          <w:rFonts w:ascii="Times New Roman" w:hAnsi="Times New Roman"/>
        </w:rPr>
        <w:t xml:space="preserve"> – Reševanje banke </w:t>
      </w:r>
      <w:proofErr w:type="spellStart"/>
      <w:r>
        <w:rPr>
          <w:rFonts w:ascii="Times New Roman" w:hAnsi="Times New Roman"/>
        </w:rPr>
        <w:t>Banca</w:t>
      </w:r>
      <w:proofErr w:type="spellEnd"/>
      <w:r>
        <w:rPr>
          <w:rFonts w:ascii="Times New Roman" w:hAnsi="Times New Roman"/>
        </w:rPr>
        <w:t xml:space="preserve"> </w:t>
      </w:r>
      <w:proofErr w:type="spellStart"/>
      <w:r>
        <w:rPr>
          <w:rFonts w:ascii="Times New Roman" w:hAnsi="Times New Roman"/>
        </w:rPr>
        <w:t>Popolare</w:t>
      </w:r>
      <w:proofErr w:type="spellEnd"/>
      <w:r>
        <w:rPr>
          <w:rFonts w:ascii="Times New Roman" w:hAnsi="Times New Roman"/>
        </w:rPr>
        <w:t xml:space="preserve"> </w:t>
      </w:r>
      <w:proofErr w:type="spellStart"/>
      <w:r>
        <w:rPr>
          <w:rFonts w:ascii="Times New Roman" w:hAnsi="Times New Roman"/>
        </w:rPr>
        <w:t>dell</w:t>
      </w:r>
      <w:proofErr w:type="spellEnd"/>
      <w:r>
        <w:rPr>
          <w:rFonts w:ascii="Times New Roman" w:hAnsi="Times New Roman"/>
        </w:rPr>
        <w:t>’</w:t>
      </w:r>
      <w:proofErr w:type="spellStart"/>
      <w:r>
        <w:rPr>
          <w:rFonts w:ascii="Times New Roman" w:hAnsi="Times New Roman"/>
        </w:rPr>
        <w:t>Etruria</w:t>
      </w:r>
      <w:proofErr w:type="spellEnd"/>
      <w:r>
        <w:rPr>
          <w:rFonts w:ascii="Times New Roman" w:hAnsi="Times New Roman"/>
        </w:rPr>
        <w:t xml:space="preserve"> e del </w:t>
      </w:r>
      <w:proofErr w:type="spellStart"/>
      <w:r>
        <w:rPr>
          <w:rFonts w:ascii="Times New Roman" w:hAnsi="Times New Roman"/>
        </w:rPr>
        <w:t>Lazio</w:t>
      </w:r>
      <w:proofErr w:type="spellEnd"/>
      <w:r>
        <w:rPr>
          <w:rFonts w:ascii="Times New Roman" w:hAnsi="Times New Roman"/>
        </w:rPr>
        <w:t xml:space="preserve"> – Soc. </w:t>
      </w:r>
      <w:proofErr w:type="spellStart"/>
      <w:r>
        <w:rPr>
          <w:rFonts w:ascii="Times New Roman" w:hAnsi="Times New Roman"/>
        </w:rPr>
        <w:t>Coop</w:t>
      </w:r>
      <w:proofErr w:type="spellEnd"/>
      <w:r>
        <w:rPr>
          <w:rFonts w:ascii="Times New Roman" w:hAnsi="Times New Roman"/>
        </w:rPr>
        <w:t>. (</w:t>
      </w:r>
      <w:proofErr w:type="spellStart"/>
      <w:r>
        <w:rPr>
          <w:rFonts w:ascii="Times New Roman" w:hAnsi="Times New Roman"/>
        </w:rPr>
        <w:t>Resolution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Banca</w:t>
      </w:r>
      <w:proofErr w:type="spellEnd"/>
      <w:r>
        <w:rPr>
          <w:rFonts w:ascii="Times New Roman" w:hAnsi="Times New Roman"/>
        </w:rPr>
        <w:t xml:space="preserve"> </w:t>
      </w:r>
      <w:proofErr w:type="spellStart"/>
      <w:r>
        <w:rPr>
          <w:rFonts w:ascii="Times New Roman" w:hAnsi="Times New Roman"/>
        </w:rPr>
        <w:t>Popolare</w:t>
      </w:r>
      <w:proofErr w:type="spellEnd"/>
      <w:r>
        <w:rPr>
          <w:rFonts w:ascii="Times New Roman" w:hAnsi="Times New Roman"/>
        </w:rPr>
        <w:t xml:space="preserve"> </w:t>
      </w:r>
      <w:proofErr w:type="spellStart"/>
      <w:r>
        <w:rPr>
          <w:rFonts w:ascii="Times New Roman" w:hAnsi="Times New Roman"/>
        </w:rPr>
        <w:t>dell</w:t>
      </w:r>
      <w:proofErr w:type="spellEnd"/>
      <w:r>
        <w:rPr>
          <w:rFonts w:ascii="Times New Roman" w:hAnsi="Times New Roman"/>
        </w:rPr>
        <w:t>’</w:t>
      </w:r>
      <w:proofErr w:type="spellStart"/>
      <w:r>
        <w:rPr>
          <w:rFonts w:ascii="Times New Roman" w:hAnsi="Times New Roman"/>
        </w:rPr>
        <w:t>Etruria</w:t>
      </w:r>
      <w:proofErr w:type="spellEnd"/>
      <w:r>
        <w:rPr>
          <w:rFonts w:ascii="Times New Roman" w:hAnsi="Times New Roman"/>
        </w:rPr>
        <w:t xml:space="preserve"> e del </w:t>
      </w:r>
      <w:proofErr w:type="spellStart"/>
      <w:r>
        <w:rPr>
          <w:rFonts w:ascii="Times New Roman" w:hAnsi="Times New Roman"/>
        </w:rPr>
        <w:t>Lazio</w:t>
      </w:r>
      <w:proofErr w:type="spellEnd"/>
      <w:r>
        <w:rPr>
          <w:rFonts w:ascii="Times New Roman" w:hAnsi="Times New Roman"/>
        </w:rPr>
        <w:t xml:space="preserve"> - Soc. </w:t>
      </w:r>
      <w:proofErr w:type="spellStart"/>
      <w:r>
        <w:rPr>
          <w:rFonts w:ascii="Times New Roman" w:hAnsi="Times New Roman"/>
        </w:rPr>
        <w:t>Coop</w:t>
      </w:r>
      <w:proofErr w:type="spellEnd"/>
      <w:r>
        <w:rPr>
          <w:rFonts w:ascii="Times New Roman" w:hAnsi="Times New Roman"/>
        </w:rPr>
        <w:t>), Sklep</w:t>
      </w:r>
      <w:r>
        <w:rPr>
          <w:rFonts w:ascii="Times New Roman" w:hAnsi="Times New Roman"/>
        </w:rPr>
        <w:t xml:space="preserve"> Komisije z dne 22. novembra 2015, na voljo na povezavi:</w:t>
      </w:r>
      <w:hyperlink r:id="rId50">
        <w:r>
          <w:rPr>
            <w:rStyle w:val="Hyperlink"/>
            <w:rFonts w:ascii="Times New Roman" w:hAnsi="Times New Roman"/>
          </w:rPr>
          <w:t>http://ec.europa.eu/competition/elojade/isef/case_details.cfm?proc_code=3_SA_41134</w:t>
        </w:r>
      </w:hyperlink>
      <w:r>
        <w:rPr>
          <w:rFonts w:ascii="Times New Roman" w:hAnsi="Times New Roman"/>
        </w:rPr>
        <w:t xml:space="preserve">; zadeva </w:t>
      </w:r>
      <w:proofErr w:type="spellStart"/>
      <w:r>
        <w:rPr>
          <w:rFonts w:ascii="Times New Roman" w:hAnsi="Times New Roman"/>
        </w:rPr>
        <w:t>SA.4192</w:t>
      </w:r>
      <w:r>
        <w:rPr>
          <w:rFonts w:ascii="Times New Roman" w:hAnsi="Times New Roman"/>
        </w:rPr>
        <w:t>5</w:t>
      </w:r>
      <w:proofErr w:type="spellEnd"/>
      <w:r>
        <w:rPr>
          <w:rFonts w:ascii="Times New Roman" w:hAnsi="Times New Roman"/>
        </w:rPr>
        <w:t xml:space="preserve"> – Reševanje banke </w:t>
      </w:r>
      <w:proofErr w:type="spellStart"/>
      <w:r>
        <w:rPr>
          <w:rFonts w:ascii="Times New Roman" w:hAnsi="Times New Roman"/>
        </w:rPr>
        <w:t>Cassa</w:t>
      </w:r>
      <w:proofErr w:type="spellEnd"/>
      <w:r>
        <w:rPr>
          <w:rFonts w:ascii="Times New Roman" w:hAnsi="Times New Roman"/>
        </w:rPr>
        <w:t xml:space="preserve"> </w:t>
      </w:r>
      <w:proofErr w:type="spellStart"/>
      <w:r>
        <w:rPr>
          <w:rFonts w:ascii="Times New Roman" w:hAnsi="Times New Roman"/>
        </w:rPr>
        <w:t>di</w:t>
      </w:r>
      <w:proofErr w:type="spellEnd"/>
      <w:r>
        <w:rPr>
          <w:rFonts w:ascii="Times New Roman" w:hAnsi="Times New Roman"/>
        </w:rPr>
        <w:t xml:space="preserve"> </w:t>
      </w:r>
      <w:proofErr w:type="spellStart"/>
      <w:r>
        <w:rPr>
          <w:rFonts w:ascii="Times New Roman" w:hAnsi="Times New Roman"/>
        </w:rPr>
        <w:t>risparmio</w:t>
      </w:r>
      <w:proofErr w:type="spellEnd"/>
      <w:r>
        <w:rPr>
          <w:rFonts w:ascii="Times New Roman" w:hAnsi="Times New Roman"/>
        </w:rPr>
        <w:t xml:space="preserve"> </w:t>
      </w:r>
      <w:proofErr w:type="spellStart"/>
      <w:r>
        <w:rPr>
          <w:rFonts w:ascii="Times New Roman" w:hAnsi="Times New Roman"/>
        </w:rPr>
        <w:t>di</w:t>
      </w:r>
      <w:proofErr w:type="spellEnd"/>
      <w:r>
        <w:rPr>
          <w:rFonts w:ascii="Times New Roman" w:hAnsi="Times New Roman"/>
        </w:rPr>
        <w:t xml:space="preserve"> Ferrara S.p.A. (</w:t>
      </w:r>
      <w:proofErr w:type="spellStart"/>
      <w:r>
        <w:rPr>
          <w:rFonts w:ascii="Times New Roman" w:hAnsi="Times New Roman"/>
        </w:rPr>
        <w:t>Resolution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Cassa</w:t>
      </w:r>
      <w:proofErr w:type="spellEnd"/>
      <w:r>
        <w:rPr>
          <w:rFonts w:ascii="Times New Roman" w:hAnsi="Times New Roman"/>
        </w:rPr>
        <w:t xml:space="preserve"> </w:t>
      </w:r>
      <w:proofErr w:type="spellStart"/>
      <w:r>
        <w:rPr>
          <w:rFonts w:ascii="Times New Roman" w:hAnsi="Times New Roman"/>
        </w:rPr>
        <w:t>di</w:t>
      </w:r>
      <w:proofErr w:type="spellEnd"/>
      <w:r>
        <w:rPr>
          <w:rFonts w:ascii="Times New Roman" w:hAnsi="Times New Roman"/>
        </w:rPr>
        <w:t xml:space="preserve"> </w:t>
      </w:r>
      <w:proofErr w:type="spellStart"/>
      <w:r>
        <w:rPr>
          <w:rFonts w:ascii="Times New Roman" w:hAnsi="Times New Roman"/>
        </w:rPr>
        <w:t>risparmio</w:t>
      </w:r>
      <w:proofErr w:type="spellEnd"/>
      <w:r>
        <w:rPr>
          <w:rFonts w:ascii="Times New Roman" w:hAnsi="Times New Roman"/>
        </w:rPr>
        <w:t xml:space="preserve"> </w:t>
      </w:r>
      <w:proofErr w:type="spellStart"/>
      <w:r>
        <w:rPr>
          <w:rFonts w:ascii="Times New Roman" w:hAnsi="Times New Roman"/>
        </w:rPr>
        <w:t>di</w:t>
      </w:r>
      <w:proofErr w:type="spellEnd"/>
      <w:r>
        <w:rPr>
          <w:rFonts w:ascii="Times New Roman" w:hAnsi="Times New Roman"/>
        </w:rPr>
        <w:t xml:space="preserve"> Ferrara S.p.A.), Sklep Komisije z dne 22. novembra 2015, na voljo na povezavi: </w:t>
      </w:r>
      <w:hyperlink r:id="rId51">
        <w:r>
          <w:rPr>
            <w:rStyle w:val="Hyperlink"/>
            <w:rFonts w:ascii="Times New Roman" w:hAnsi="Times New Roman"/>
          </w:rPr>
          <w:t>http://ec.europa.eu/competition/elojade/isef/case_details.cfm?proc_code=3_SA_41925</w:t>
        </w:r>
      </w:hyperlink>
      <w:r>
        <w:rPr>
          <w:rFonts w:ascii="Times New Roman" w:hAnsi="Times New Roman"/>
        </w:rPr>
        <w:t xml:space="preserve">;  in zadeva </w:t>
      </w:r>
      <w:proofErr w:type="spellStart"/>
      <w:r>
        <w:rPr>
          <w:rFonts w:ascii="Times New Roman" w:hAnsi="Times New Roman"/>
        </w:rPr>
        <w:t>SA.43547</w:t>
      </w:r>
      <w:proofErr w:type="spellEnd"/>
      <w:r>
        <w:rPr>
          <w:rFonts w:ascii="Times New Roman" w:hAnsi="Times New Roman"/>
        </w:rPr>
        <w:t xml:space="preserve"> – Reševanje banke </w:t>
      </w:r>
      <w:proofErr w:type="spellStart"/>
      <w:r>
        <w:rPr>
          <w:rFonts w:ascii="Times New Roman" w:hAnsi="Times New Roman"/>
        </w:rPr>
        <w:t>Cassa</w:t>
      </w:r>
      <w:proofErr w:type="spellEnd"/>
      <w:r>
        <w:rPr>
          <w:rFonts w:ascii="Times New Roman" w:hAnsi="Times New Roman"/>
        </w:rPr>
        <w:t xml:space="preserve"> </w:t>
      </w:r>
      <w:proofErr w:type="spellStart"/>
      <w:r>
        <w:rPr>
          <w:rFonts w:ascii="Times New Roman" w:hAnsi="Times New Roman"/>
        </w:rPr>
        <w:t>di</w:t>
      </w:r>
      <w:proofErr w:type="spellEnd"/>
      <w:r>
        <w:rPr>
          <w:rFonts w:ascii="Times New Roman" w:hAnsi="Times New Roman"/>
        </w:rPr>
        <w:t xml:space="preserve"> </w:t>
      </w:r>
      <w:proofErr w:type="spellStart"/>
      <w:r>
        <w:rPr>
          <w:rFonts w:ascii="Times New Roman" w:hAnsi="Times New Roman"/>
        </w:rPr>
        <w:t>risparmio</w:t>
      </w:r>
      <w:proofErr w:type="spellEnd"/>
      <w:r>
        <w:rPr>
          <w:rFonts w:ascii="Times New Roman" w:hAnsi="Times New Roman"/>
        </w:rPr>
        <w:t xml:space="preserve"> </w:t>
      </w:r>
      <w:proofErr w:type="spellStart"/>
      <w:r>
        <w:rPr>
          <w:rFonts w:ascii="Times New Roman" w:hAnsi="Times New Roman"/>
        </w:rPr>
        <w:t>della</w:t>
      </w:r>
      <w:proofErr w:type="spellEnd"/>
      <w:r>
        <w:rPr>
          <w:rFonts w:ascii="Times New Roman" w:hAnsi="Times New Roman"/>
        </w:rPr>
        <w:t xml:space="preserve"> </w:t>
      </w:r>
      <w:proofErr w:type="spellStart"/>
      <w:r>
        <w:rPr>
          <w:rFonts w:ascii="Times New Roman" w:hAnsi="Times New Roman"/>
        </w:rPr>
        <w:t>Provincia</w:t>
      </w:r>
      <w:proofErr w:type="spellEnd"/>
      <w:r>
        <w:rPr>
          <w:rFonts w:ascii="Times New Roman" w:hAnsi="Times New Roman"/>
        </w:rPr>
        <w:t xml:space="preserve"> </w:t>
      </w:r>
      <w:proofErr w:type="spellStart"/>
      <w:r>
        <w:rPr>
          <w:rFonts w:ascii="Times New Roman" w:hAnsi="Times New Roman"/>
        </w:rPr>
        <w:t>di</w:t>
      </w:r>
      <w:proofErr w:type="spellEnd"/>
      <w:r>
        <w:rPr>
          <w:rFonts w:ascii="Times New Roman" w:hAnsi="Times New Roman"/>
        </w:rPr>
        <w:t xml:space="preserve"> </w:t>
      </w:r>
      <w:proofErr w:type="spellStart"/>
      <w:r>
        <w:rPr>
          <w:rFonts w:ascii="Times New Roman" w:hAnsi="Times New Roman"/>
        </w:rPr>
        <w:t>Chieti</w:t>
      </w:r>
      <w:proofErr w:type="spellEnd"/>
      <w:r>
        <w:rPr>
          <w:rFonts w:ascii="Times New Roman" w:hAnsi="Times New Roman"/>
        </w:rPr>
        <w:t xml:space="preserve"> S.p.A. (</w:t>
      </w:r>
      <w:proofErr w:type="spellStart"/>
      <w:r>
        <w:rPr>
          <w:rFonts w:ascii="Times New Roman" w:hAnsi="Times New Roman"/>
        </w:rPr>
        <w:t>Resolution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Cassa</w:t>
      </w:r>
      <w:proofErr w:type="spellEnd"/>
      <w:r>
        <w:rPr>
          <w:rFonts w:ascii="Times New Roman" w:hAnsi="Times New Roman"/>
        </w:rPr>
        <w:t xml:space="preserve"> </w:t>
      </w:r>
      <w:proofErr w:type="spellStart"/>
      <w:r>
        <w:rPr>
          <w:rFonts w:ascii="Times New Roman" w:hAnsi="Times New Roman"/>
        </w:rPr>
        <w:t>di</w:t>
      </w:r>
      <w:proofErr w:type="spellEnd"/>
      <w:r>
        <w:rPr>
          <w:rFonts w:ascii="Times New Roman" w:hAnsi="Times New Roman"/>
        </w:rPr>
        <w:t xml:space="preserve"> </w:t>
      </w:r>
      <w:proofErr w:type="spellStart"/>
      <w:r>
        <w:rPr>
          <w:rFonts w:ascii="Times New Roman" w:hAnsi="Times New Roman"/>
        </w:rPr>
        <w:t>risparmio</w:t>
      </w:r>
      <w:proofErr w:type="spellEnd"/>
      <w:r>
        <w:rPr>
          <w:rFonts w:ascii="Times New Roman" w:hAnsi="Times New Roman"/>
        </w:rPr>
        <w:t xml:space="preserve"> </w:t>
      </w:r>
      <w:proofErr w:type="spellStart"/>
      <w:r>
        <w:rPr>
          <w:rFonts w:ascii="Times New Roman" w:hAnsi="Times New Roman"/>
        </w:rPr>
        <w:t>della</w:t>
      </w:r>
      <w:proofErr w:type="spellEnd"/>
      <w:r>
        <w:rPr>
          <w:rFonts w:ascii="Times New Roman" w:hAnsi="Times New Roman"/>
        </w:rPr>
        <w:t xml:space="preserve"> </w:t>
      </w:r>
      <w:proofErr w:type="spellStart"/>
      <w:r>
        <w:rPr>
          <w:rFonts w:ascii="Times New Roman" w:hAnsi="Times New Roman"/>
        </w:rPr>
        <w:t>Provincia</w:t>
      </w:r>
      <w:proofErr w:type="spellEnd"/>
      <w:r>
        <w:rPr>
          <w:rFonts w:ascii="Times New Roman" w:hAnsi="Times New Roman"/>
        </w:rPr>
        <w:t xml:space="preserve"> </w:t>
      </w:r>
      <w:proofErr w:type="spellStart"/>
      <w:r>
        <w:rPr>
          <w:rFonts w:ascii="Times New Roman" w:hAnsi="Times New Roman"/>
        </w:rPr>
        <w:t>di</w:t>
      </w:r>
      <w:proofErr w:type="spellEnd"/>
      <w:r>
        <w:rPr>
          <w:rFonts w:ascii="Times New Roman" w:hAnsi="Times New Roman"/>
        </w:rPr>
        <w:t xml:space="preserve"> </w:t>
      </w:r>
      <w:proofErr w:type="spellStart"/>
      <w:r>
        <w:rPr>
          <w:rFonts w:ascii="Times New Roman" w:hAnsi="Times New Roman"/>
        </w:rPr>
        <w:t>Chieti</w:t>
      </w:r>
      <w:proofErr w:type="spellEnd"/>
      <w:r>
        <w:rPr>
          <w:rFonts w:ascii="Times New Roman" w:hAnsi="Times New Roman"/>
        </w:rPr>
        <w:t xml:space="preserve"> S.p</w:t>
      </w:r>
      <w:r>
        <w:rPr>
          <w:rFonts w:ascii="Times New Roman" w:hAnsi="Times New Roman"/>
        </w:rPr>
        <w:t xml:space="preserve">.A.), Sklep Komisije z dne 22. novembra 2015, na voljo na povezavi: </w:t>
      </w:r>
      <w:hyperlink r:id="rId52">
        <w:r>
          <w:rPr>
            <w:rStyle w:val="Hyperlink"/>
            <w:rFonts w:ascii="Times New Roman" w:hAnsi="Times New Roman"/>
          </w:rPr>
          <w:t>http://ec.europa.eu/competition/elojade/isef/case_details.cfm?proc_code=3_</w:t>
        </w:r>
        <w:r>
          <w:rPr>
            <w:rStyle w:val="Hyperlink"/>
            <w:rFonts w:ascii="Times New Roman" w:hAnsi="Times New Roman"/>
          </w:rPr>
          <w:br/>
          <w:t>SA_43547</w:t>
        </w:r>
      </w:hyperlink>
      <w:r>
        <w:rPr>
          <w:rFonts w:ascii="Times New Roman" w:hAnsi="Times New Roman"/>
        </w:rPr>
        <w:t>.</w:t>
      </w:r>
    </w:p>
  </w:footnote>
  <w:footnote w:id="52">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Glej </w:t>
      </w:r>
      <w:hyperlink r:id="rId53">
        <w:r>
          <w:rPr>
            <w:rStyle w:val="Hyperlink"/>
            <w:rFonts w:ascii="Times New Roman" w:hAnsi="Times New Roman"/>
          </w:rPr>
          <w:t>https://www.bankingsupervision.europa.eu/press/pr/date/2015/html/sr151031.en.html</w:t>
        </w:r>
      </w:hyperlink>
      <w:r>
        <w:rPr>
          <w:rFonts w:ascii="Times New Roman" w:hAnsi="Times New Roman"/>
        </w:rPr>
        <w:t xml:space="preserve">.   </w:t>
      </w:r>
    </w:p>
  </w:footnote>
  <w:footnote w:id="53">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SA.43364</w:t>
      </w:r>
      <w:proofErr w:type="spellEnd"/>
      <w:r>
        <w:rPr>
          <w:rFonts w:ascii="Times New Roman" w:hAnsi="Times New Roman"/>
        </w:rPr>
        <w:t xml:space="preserve"> –</w:t>
      </w:r>
      <w:r>
        <w:rPr>
          <w:rFonts w:ascii="Times New Roman" w:hAnsi="Times New Roman"/>
          <w:i/>
        </w:rPr>
        <w:t xml:space="preserve"> </w:t>
      </w:r>
      <w:r>
        <w:rPr>
          <w:rFonts w:ascii="Times New Roman" w:hAnsi="Times New Roman"/>
        </w:rPr>
        <w:t xml:space="preserve">Dodatna pomoč za prestrukturiranje banke </w:t>
      </w:r>
      <w:proofErr w:type="spellStart"/>
      <w:r>
        <w:rPr>
          <w:rFonts w:ascii="Times New Roman" w:hAnsi="Times New Roman"/>
        </w:rPr>
        <w:t>Pi</w:t>
      </w:r>
      <w:r>
        <w:rPr>
          <w:rFonts w:ascii="Times New Roman" w:hAnsi="Times New Roman"/>
        </w:rPr>
        <w:t>raeus</w:t>
      </w:r>
      <w:proofErr w:type="spellEnd"/>
      <w:r>
        <w:rPr>
          <w:rFonts w:ascii="Times New Roman" w:hAnsi="Times New Roman"/>
        </w:rPr>
        <w:t xml:space="preserve"> Bank iz leta 2015 (2015 </w:t>
      </w:r>
      <w:proofErr w:type="spellStart"/>
      <w:r>
        <w:rPr>
          <w:rFonts w:ascii="Times New Roman" w:hAnsi="Times New Roman"/>
        </w:rPr>
        <w:t>additional</w:t>
      </w:r>
      <w:proofErr w:type="spellEnd"/>
      <w:r>
        <w:rPr>
          <w:rFonts w:ascii="Times New Roman" w:hAnsi="Times New Roman"/>
        </w:rPr>
        <w:t xml:space="preserve"> </w:t>
      </w:r>
      <w:proofErr w:type="spellStart"/>
      <w:r>
        <w:rPr>
          <w:rFonts w:ascii="Times New Roman" w:hAnsi="Times New Roman"/>
        </w:rPr>
        <w:t>restructuring</w:t>
      </w:r>
      <w:proofErr w:type="spellEnd"/>
      <w:r>
        <w:rPr>
          <w:rFonts w:ascii="Times New Roman" w:hAnsi="Times New Roman"/>
        </w:rPr>
        <w:t xml:space="preserve"> </w:t>
      </w:r>
      <w:proofErr w:type="spellStart"/>
      <w:r>
        <w:rPr>
          <w:rFonts w:ascii="Times New Roman" w:hAnsi="Times New Roman"/>
        </w:rPr>
        <w:t>aid</w:t>
      </w:r>
      <w:proofErr w:type="spellEnd"/>
      <w:r>
        <w:rPr>
          <w:rFonts w:ascii="Times New Roman" w:hAnsi="Times New Roman"/>
        </w:rPr>
        <w:t xml:space="preserve"> to </w:t>
      </w:r>
      <w:proofErr w:type="spellStart"/>
      <w:r>
        <w:rPr>
          <w:rFonts w:ascii="Times New Roman" w:hAnsi="Times New Roman"/>
        </w:rPr>
        <w:t>Piraeus</w:t>
      </w:r>
      <w:proofErr w:type="spellEnd"/>
      <w:r>
        <w:rPr>
          <w:rFonts w:ascii="Times New Roman" w:hAnsi="Times New Roman"/>
        </w:rPr>
        <w:t xml:space="preserve"> Bank), Sklep Komisije z dne 29. novembra 2015, na voljo na povezavi: </w:t>
      </w:r>
      <w:hyperlink r:id="rId54">
        <w:r>
          <w:rPr>
            <w:rStyle w:val="Hyperlink"/>
            <w:rFonts w:ascii="Times New Roman" w:hAnsi="Times New Roman"/>
          </w:rPr>
          <w:t>http://ec.europ</w:t>
        </w:r>
        <w:r>
          <w:rPr>
            <w:rStyle w:val="Hyperlink"/>
            <w:rFonts w:ascii="Times New Roman" w:hAnsi="Times New Roman"/>
          </w:rPr>
          <w:t>a.eu/competition/elojade/isef/case_details.cfm?proc_code=3_SA_43364</w:t>
        </w:r>
      </w:hyperlink>
      <w:r>
        <w:rPr>
          <w:rFonts w:ascii="Times New Roman" w:hAnsi="Times New Roman"/>
        </w:rPr>
        <w:t xml:space="preserve">.    </w:t>
      </w:r>
    </w:p>
  </w:footnote>
  <w:footnote w:id="54">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SA.43365</w:t>
      </w:r>
      <w:proofErr w:type="spellEnd"/>
      <w:r>
        <w:rPr>
          <w:rFonts w:ascii="Times New Roman" w:hAnsi="Times New Roman"/>
        </w:rPr>
        <w:t xml:space="preserve"> –</w:t>
      </w:r>
      <w:r>
        <w:rPr>
          <w:rFonts w:ascii="Times New Roman" w:hAnsi="Times New Roman"/>
          <w:i/>
        </w:rPr>
        <w:t xml:space="preserve"> </w:t>
      </w:r>
      <w:r>
        <w:rPr>
          <w:rFonts w:ascii="Times New Roman" w:hAnsi="Times New Roman"/>
        </w:rPr>
        <w:t xml:space="preserve">Dodatna pomoč za prestrukturiranje nacionalne banke Grčije iz leta 2015 (2015 </w:t>
      </w:r>
      <w:proofErr w:type="spellStart"/>
      <w:r>
        <w:rPr>
          <w:rFonts w:ascii="Times New Roman" w:hAnsi="Times New Roman"/>
        </w:rPr>
        <w:t>additional</w:t>
      </w:r>
      <w:proofErr w:type="spellEnd"/>
      <w:r>
        <w:rPr>
          <w:rFonts w:ascii="Times New Roman" w:hAnsi="Times New Roman"/>
        </w:rPr>
        <w:t xml:space="preserve"> </w:t>
      </w:r>
      <w:proofErr w:type="spellStart"/>
      <w:r>
        <w:rPr>
          <w:rFonts w:ascii="Times New Roman" w:hAnsi="Times New Roman"/>
        </w:rPr>
        <w:t>restructuring</w:t>
      </w:r>
      <w:proofErr w:type="spellEnd"/>
      <w:r>
        <w:rPr>
          <w:rFonts w:ascii="Times New Roman" w:hAnsi="Times New Roman"/>
        </w:rPr>
        <w:t xml:space="preserve"> </w:t>
      </w:r>
      <w:proofErr w:type="spellStart"/>
      <w:r>
        <w:rPr>
          <w:rFonts w:ascii="Times New Roman" w:hAnsi="Times New Roman"/>
        </w:rPr>
        <w:t>aid</w:t>
      </w:r>
      <w:proofErr w:type="spellEnd"/>
      <w:r>
        <w:rPr>
          <w:rFonts w:ascii="Times New Roman" w:hAnsi="Times New Roman"/>
        </w:rPr>
        <w:t xml:space="preserve"> to </w:t>
      </w:r>
      <w:proofErr w:type="spellStart"/>
      <w:r>
        <w:rPr>
          <w:rFonts w:ascii="Times New Roman" w:hAnsi="Times New Roman"/>
        </w:rPr>
        <w:t>National</w:t>
      </w:r>
      <w:proofErr w:type="spellEnd"/>
      <w:r>
        <w:rPr>
          <w:rFonts w:ascii="Times New Roman" w:hAnsi="Times New Roman"/>
        </w:rPr>
        <w:t xml:space="preserve"> Bank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Greece</w:t>
      </w:r>
      <w:proofErr w:type="spellEnd"/>
      <w:r>
        <w:rPr>
          <w:rFonts w:ascii="Times New Roman" w:hAnsi="Times New Roman"/>
        </w:rPr>
        <w:t xml:space="preserve"> (NBG)), Sklep Komisije z dne </w:t>
      </w:r>
      <w:r>
        <w:rPr>
          <w:rFonts w:ascii="Times New Roman" w:hAnsi="Times New Roman"/>
        </w:rPr>
        <w:t xml:space="preserve">4. decembra 2015, na voljo na povezavi: </w:t>
      </w:r>
      <w:hyperlink r:id="rId55">
        <w:r>
          <w:rPr>
            <w:rStyle w:val="Hyperlink"/>
            <w:rFonts w:ascii="Times New Roman" w:hAnsi="Times New Roman"/>
          </w:rPr>
          <w:t>http://ec.europa.eu/competition/elojade/isef/case_details.cfm?proc_code=3_SA_43365</w:t>
        </w:r>
      </w:hyperlink>
      <w:r>
        <w:rPr>
          <w:rFonts w:ascii="Times New Roman" w:hAnsi="Times New Roman"/>
        </w:rPr>
        <w:t xml:space="preserve">.   </w:t>
      </w:r>
    </w:p>
  </w:footnote>
  <w:footnote w:id="55">
    <w:p w:rsidR="006B3176" w:rsidRDefault="00A435F4">
      <w:pPr>
        <w:pStyle w:val="FootnoteText"/>
        <w:spacing w:after="0" w:line="240" w:lineRule="auto"/>
        <w:rPr>
          <w:rStyle w:val="FootnoteReference"/>
          <w:rFonts w:ascii="Times New Roman" w:hAnsi="Times New Roman"/>
          <w:sz w:val="22"/>
          <w:szCs w:val="22"/>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 xml:space="preserve">Zadeva </w:t>
      </w:r>
      <w:proofErr w:type="spellStart"/>
      <w:r>
        <w:rPr>
          <w:rFonts w:ascii="Times New Roman" w:hAnsi="Times New Roman"/>
        </w:rPr>
        <w:t>SA.43367</w:t>
      </w:r>
      <w:proofErr w:type="spellEnd"/>
      <w:r>
        <w:rPr>
          <w:rFonts w:ascii="Times New Roman" w:hAnsi="Times New Roman"/>
        </w:rPr>
        <w:t> –</w:t>
      </w:r>
      <w:r>
        <w:rPr>
          <w:rFonts w:ascii="Times New Roman" w:hAnsi="Times New Roman"/>
          <w:i/>
        </w:rPr>
        <w:t xml:space="preserve"> </w:t>
      </w:r>
      <w:r>
        <w:rPr>
          <w:rFonts w:ascii="Times New Roman" w:hAnsi="Times New Roman"/>
        </w:rPr>
        <w:t>Dodatna</w:t>
      </w:r>
      <w:r>
        <w:rPr>
          <w:rFonts w:ascii="Times New Roman" w:hAnsi="Times New Roman"/>
        </w:rPr>
        <w:t xml:space="preserve"> pomoč za prestrukturiranje banke </w:t>
      </w:r>
      <w:proofErr w:type="spellStart"/>
      <w:r>
        <w:rPr>
          <w:rFonts w:ascii="Times New Roman" w:hAnsi="Times New Roman"/>
        </w:rPr>
        <w:t>Cooperative</w:t>
      </w:r>
      <w:proofErr w:type="spellEnd"/>
      <w:r>
        <w:rPr>
          <w:rFonts w:ascii="Times New Roman" w:hAnsi="Times New Roman"/>
        </w:rPr>
        <w:t xml:space="preserve"> Central Bank iz leta 2015 (2015 </w:t>
      </w:r>
      <w:proofErr w:type="spellStart"/>
      <w:r>
        <w:rPr>
          <w:rFonts w:ascii="Times New Roman" w:hAnsi="Times New Roman"/>
        </w:rPr>
        <w:t>additional</w:t>
      </w:r>
      <w:proofErr w:type="spellEnd"/>
      <w:r>
        <w:rPr>
          <w:rFonts w:ascii="Times New Roman" w:hAnsi="Times New Roman"/>
        </w:rPr>
        <w:t xml:space="preserve"> </w:t>
      </w:r>
      <w:proofErr w:type="spellStart"/>
      <w:r>
        <w:rPr>
          <w:rFonts w:ascii="Times New Roman" w:hAnsi="Times New Roman"/>
        </w:rPr>
        <w:t>restructuring</w:t>
      </w:r>
      <w:proofErr w:type="spellEnd"/>
      <w:r>
        <w:rPr>
          <w:rFonts w:ascii="Times New Roman" w:hAnsi="Times New Roman"/>
        </w:rPr>
        <w:t xml:space="preserve"> </w:t>
      </w:r>
      <w:proofErr w:type="spellStart"/>
      <w:r>
        <w:rPr>
          <w:rFonts w:ascii="Times New Roman" w:hAnsi="Times New Roman"/>
        </w:rPr>
        <w:t>aid</w:t>
      </w:r>
      <w:proofErr w:type="spellEnd"/>
      <w:r>
        <w:rPr>
          <w:rFonts w:ascii="Times New Roman" w:hAnsi="Times New Roman"/>
        </w:rPr>
        <w:t xml:space="preserve"> to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Cooperative</w:t>
      </w:r>
      <w:proofErr w:type="spellEnd"/>
      <w:r>
        <w:rPr>
          <w:rFonts w:ascii="Times New Roman" w:hAnsi="Times New Roman"/>
        </w:rPr>
        <w:t xml:space="preserve"> Central Bank), Sklep Komisije z dne 18. decembra 2015, na voljo na povezavi: </w:t>
      </w:r>
      <w:hyperlink r:id="rId56">
        <w:r>
          <w:rPr>
            <w:rStyle w:val="Hyperlink"/>
            <w:rFonts w:ascii="Times New Roman" w:hAnsi="Times New Roman"/>
          </w:rPr>
          <w:t>http://ec.europa.eu/competition/elojade/isef/case_details.cfm?proc_code=3_</w:t>
        </w:r>
        <w:r>
          <w:rPr>
            <w:rStyle w:val="Hyperlink"/>
            <w:rFonts w:ascii="Times New Roman" w:hAnsi="Times New Roman"/>
          </w:rPr>
          <w:br/>
          <w:t>SA_43367</w:t>
        </w:r>
      </w:hyperlink>
      <w:r>
        <w:rPr>
          <w:rFonts w:ascii="Times New Roman" w:hAnsi="Times New Roman"/>
        </w:rPr>
        <w:t xml:space="preserve">. </w:t>
      </w:r>
    </w:p>
  </w:footnote>
  <w:footnote w:id="56">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Portugalska je junija 2014 uspešno zaključila svoj triletni program ekonomskega prilagajanja.</w:t>
      </w:r>
    </w:p>
  </w:footnote>
  <w:footnote w:id="57">
    <w:p w:rsidR="006B3176" w:rsidRDefault="00A435F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Zadeva </w:t>
      </w:r>
      <w:proofErr w:type="spellStart"/>
      <w:r>
        <w:rPr>
          <w:rFonts w:ascii="Times New Roman" w:hAnsi="Times New Roman"/>
        </w:rPr>
        <w:t>SA.43976</w:t>
      </w:r>
      <w:proofErr w:type="spellEnd"/>
      <w:r>
        <w:rPr>
          <w:rFonts w:ascii="Times New Roman" w:hAnsi="Times New Roman"/>
        </w:rPr>
        <w:t> –</w:t>
      </w:r>
      <w:r>
        <w:rPr>
          <w:rFonts w:ascii="Times New Roman" w:hAnsi="Times New Roman"/>
          <w:i/>
        </w:rPr>
        <w:t xml:space="preserve"> </w:t>
      </w:r>
      <w:r>
        <w:rPr>
          <w:rFonts w:ascii="Times New Roman" w:hAnsi="Times New Roman"/>
        </w:rPr>
        <w:t>Dopol</w:t>
      </w:r>
      <w:r>
        <w:rPr>
          <w:rFonts w:ascii="Times New Roman" w:hAnsi="Times New Roman"/>
        </w:rPr>
        <w:t xml:space="preserve">nitev ukrepov za reševanje banke </w:t>
      </w:r>
      <w:proofErr w:type="spellStart"/>
      <w:r>
        <w:rPr>
          <w:rFonts w:ascii="Times New Roman" w:hAnsi="Times New Roman"/>
        </w:rPr>
        <w:t>Banco</w:t>
      </w:r>
      <w:proofErr w:type="spellEnd"/>
      <w:r>
        <w:rPr>
          <w:rFonts w:ascii="Times New Roman" w:hAnsi="Times New Roman"/>
        </w:rPr>
        <w:t xml:space="preserve"> </w:t>
      </w:r>
      <w:proofErr w:type="spellStart"/>
      <w:r>
        <w:rPr>
          <w:rFonts w:ascii="Times New Roman" w:hAnsi="Times New Roman"/>
        </w:rPr>
        <w:t>Espirito</w:t>
      </w:r>
      <w:proofErr w:type="spellEnd"/>
      <w:r>
        <w:rPr>
          <w:rFonts w:ascii="Times New Roman" w:hAnsi="Times New Roman"/>
        </w:rPr>
        <w:t xml:space="preserve"> Santo S.A. (Novo </w:t>
      </w:r>
      <w:proofErr w:type="spellStart"/>
      <w:r>
        <w:rPr>
          <w:rFonts w:ascii="Times New Roman" w:hAnsi="Times New Roman"/>
        </w:rPr>
        <w:t>Banco</w:t>
      </w:r>
      <w:proofErr w:type="spellEnd"/>
      <w:r>
        <w:rPr>
          <w:rFonts w:ascii="Times New Roman" w:hAnsi="Times New Roman"/>
        </w:rPr>
        <w:t xml:space="preserve"> S.A.) iz leta 2014 (</w:t>
      </w:r>
      <w:proofErr w:type="spellStart"/>
      <w:r>
        <w:rPr>
          <w:rFonts w:ascii="Times New Roman" w:hAnsi="Times New Roman"/>
        </w:rPr>
        <w:t>Amendment</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2014 </w:t>
      </w:r>
      <w:proofErr w:type="spellStart"/>
      <w:r>
        <w:rPr>
          <w:rFonts w:ascii="Times New Roman" w:hAnsi="Times New Roman"/>
        </w:rPr>
        <w:t>Resolution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Banco</w:t>
      </w:r>
      <w:proofErr w:type="spellEnd"/>
      <w:r>
        <w:rPr>
          <w:rFonts w:ascii="Times New Roman" w:hAnsi="Times New Roman"/>
        </w:rPr>
        <w:t xml:space="preserve"> </w:t>
      </w:r>
      <w:proofErr w:type="spellStart"/>
      <w:r>
        <w:rPr>
          <w:rFonts w:ascii="Times New Roman" w:hAnsi="Times New Roman"/>
        </w:rPr>
        <w:t>Espirito</w:t>
      </w:r>
      <w:proofErr w:type="spellEnd"/>
      <w:r>
        <w:rPr>
          <w:rFonts w:ascii="Times New Roman" w:hAnsi="Times New Roman"/>
        </w:rPr>
        <w:t xml:space="preserve"> Santo S.A. (Novo </w:t>
      </w:r>
      <w:proofErr w:type="spellStart"/>
      <w:r>
        <w:rPr>
          <w:rFonts w:ascii="Times New Roman" w:hAnsi="Times New Roman"/>
        </w:rPr>
        <w:t>Banco</w:t>
      </w:r>
      <w:proofErr w:type="spellEnd"/>
      <w:r>
        <w:rPr>
          <w:rFonts w:ascii="Times New Roman" w:hAnsi="Times New Roman"/>
        </w:rPr>
        <w:t xml:space="preserve"> S.A.)), Sklep Komisije z dne 19. decembra 2015, na voljo na povezavi: </w:t>
      </w:r>
      <w:hyperlink r:id="rId57">
        <w:r>
          <w:rPr>
            <w:rStyle w:val="Hyperlink"/>
            <w:rFonts w:ascii="Times New Roman" w:hAnsi="Times New Roman"/>
          </w:rPr>
          <w:t>http://ec.europa.eu/competition/elojade/isef/case_details.cfm?proc_code=3_SA_43976</w:t>
        </w:r>
      </w:hyperlink>
      <w:r>
        <w:rPr>
          <w:rFonts w:ascii="Times New Roman" w:hAnsi="Times New Roman"/>
        </w:rPr>
        <w:t>.</w:t>
      </w:r>
      <w:hyperlink r:id="rId58">
        <w:r>
          <w:rPr>
            <w:rStyle w:val="Hyperlink"/>
            <w:rFonts w:ascii="Times New Roman" w:hAnsi="Times New Roman"/>
          </w:rPr>
          <w:br/>
        </w:r>
      </w:hyperlink>
      <w:r>
        <w:rPr>
          <w:rFonts w:ascii="Times New Roman" w:hAnsi="Times New Roman"/>
        </w:rPr>
        <w:t xml:space="preserve"> </w:t>
      </w:r>
    </w:p>
  </w:footnote>
  <w:footnote w:id="58">
    <w:p w:rsidR="006B3176" w:rsidRDefault="00A435F4">
      <w:pPr>
        <w:pStyle w:val="FootnoteText"/>
        <w:spacing w:after="0" w:line="240" w:lineRule="auto"/>
      </w:pPr>
      <w:r>
        <w:rPr>
          <w:rStyle w:val="FootnoteReference"/>
          <w:rFonts w:ascii="Times New Roman" w:hAnsi="Times New Roman"/>
        </w:rPr>
        <w:footnoteRef/>
      </w:r>
      <w:r>
        <w:t xml:space="preserve"> </w:t>
      </w:r>
      <w:r>
        <w:rPr>
          <w:rFonts w:ascii="Times New Roman" w:hAnsi="Times New Roman"/>
        </w:rPr>
        <w:t xml:space="preserve">Zadeva </w:t>
      </w:r>
      <w:proofErr w:type="spellStart"/>
      <w:r>
        <w:rPr>
          <w:rFonts w:ascii="Times New Roman" w:hAnsi="Times New Roman"/>
        </w:rPr>
        <w:t>SA.43977</w:t>
      </w:r>
      <w:proofErr w:type="spellEnd"/>
      <w:r>
        <w:rPr>
          <w:rFonts w:ascii="Times New Roman" w:hAnsi="Times New Roman"/>
        </w:rPr>
        <w:t> –</w:t>
      </w:r>
      <w:r>
        <w:rPr>
          <w:rFonts w:ascii="Times New Roman" w:hAnsi="Times New Roman"/>
          <w:i/>
        </w:rPr>
        <w:t xml:space="preserve"> </w:t>
      </w:r>
      <w:r>
        <w:rPr>
          <w:rFonts w:ascii="Times New Roman" w:hAnsi="Times New Roman"/>
        </w:rPr>
        <w:t xml:space="preserve">Reševanje banke </w:t>
      </w:r>
      <w:proofErr w:type="spellStart"/>
      <w:r>
        <w:rPr>
          <w:rFonts w:ascii="Times New Roman" w:hAnsi="Times New Roman"/>
        </w:rPr>
        <w:t>Banif</w:t>
      </w:r>
      <w:proofErr w:type="spellEnd"/>
      <w:r>
        <w:rPr>
          <w:rFonts w:ascii="Times New Roman" w:hAnsi="Times New Roman"/>
        </w:rPr>
        <w:t xml:space="preserve"> – </w:t>
      </w:r>
      <w:proofErr w:type="spellStart"/>
      <w:r>
        <w:rPr>
          <w:rFonts w:ascii="Times New Roman" w:hAnsi="Times New Roman"/>
        </w:rPr>
        <w:t>Banco</w:t>
      </w:r>
      <w:proofErr w:type="spellEnd"/>
      <w:r>
        <w:rPr>
          <w:rFonts w:ascii="Times New Roman" w:hAnsi="Times New Roman"/>
        </w:rPr>
        <w:t xml:space="preserve"> Internacional do </w:t>
      </w:r>
      <w:proofErr w:type="spellStart"/>
      <w:r>
        <w:rPr>
          <w:rFonts w:ascii="Times New Roman" w:hAnsi="Times New Roman"/>
        </w:rPr>
        <w:t>Funchal</w:t>
      </w:r>
      <w:proofErr w:type="spellEnd"/>
      <w:r>
        <w:rPr>
          <w:rFonts w:ascii="Times New Roman" w:hAnsi="Times New Roman"/>
        </w:rPr>
        <w:t>, S.A. (</w:t>
      </w:r>
      <w:proofErr w:type="spellStart"/>
      <w:r>
        <w:rPr>
          <w:rFonts w:ascii="Times New Roman" w:hAnsi="Times New Roman"/>
        </w:rPr>
        <w:t>Resolution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Banif</w:t>
      </w:r>
      <w:proofErr w:type="spellEnd"/>
      <w:r>
        <w:rPr>
          <w:rFonts w:ascii="Times New Roman" w:hAnsi="Times New Roman"/>
        </w:rPr>
        <w:t xml:space="preserve"> - </w:t>
      </w:r>
      <w:proofErr w:type="spellStart"/>
      <w:r>
        <w:rPr>
          <w:rFonts w:ascii="Times New Roman" w:hAnsi="Times New Roman"/>
        </w:rPr>
        <w:t>Banco</w:t>
      </w:r>
      <w:proofErr w:type="spellEnd"/>
      <w:r>
        <w:rPr>
          <w:rFonts w:ascii="Times New Roman" w:hAnsi="Times New Roman"/>
        </w:rPr>
        <w:t xml:space="preserve"> Internacional do </w:t>
      </w:r>
      <w:proofErr w:type="spellStart"/>
      <w:r>
        <w:rPr>
          <w:rFonts w:ascii="Times New Roman" w:hAnsi="Times New Roman"/>
        </w:rPr>
        <w:t>Funchal</w:t>
      </w:r>
      <w:proofErr w:type="spellEnd"/>
      <w:r>
        <w:rPr>
          <w:rFonts w:ascii="Times New Roman" w:hAnsi="Times New Roman"/>
        </w:rPr>
        <w:t xml:space="preserve">, S.A.), Sklep Komisije z dne 21. decembra 2015, na voljo na povezavi: </w:t>
      </w:r>
      <w:hyperlink r:id="rId59">
        <w:r>
          <w:rPr>
            <w:rStyle w:val="Hyperlink"/>
            <w:rFonts w:ascii="Times New Roman" w:hAnsi="Times New Roman"/>
          </w:rPr>
          <w:t>http://ec.europa.eu/competition/elojade/isef/case_details.cfm?proc_code=3_SA_43977</w:t>
        </w:r>
      </w:hyperlink>
      <w:r>
        <w:rPr>
          <w:rFonts w:ascii="Times New Roman" w:hAnsi="Times New Roman"/>
        </w:rPr>
        <w:t>.</w:t>
      </w:r>
      <w:hyperlink r:id="rId60">
        <w:r>
          <w:rPr>
            <w:rStyle w:val="Hyperlink"/>
            <w:rFonts w:ascii="Times New Roman" w:hAnsi="Times New Roman"/>
          </w:rPr>
          <w:br/>
        </w:r>
      </w:hyperlink>
    </w:p>
  </w:footnote>
  <w:footnote w:id="59">
    <w:p w:rsidR="006B3176" w:rsidRDefault="00A435F4">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Drugi trgovinski projekt med EU in Kitajsko.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76" w:rsidRDefault="006B3176" w:rsidP="00A435F4">
    <w:pPr>
      <w:pStyle w:val="HeaderCoverPage"/>
      <w:numPr>
        <w:ilvl w:val="0"/>
        <w:numId w:val="0"/>
      </w:numPr>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76" w:rsidRDefault="006B31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76" w:rsidRDefault="006B31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76" w:rsidRDefault="006B3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4554C"/>
    <w:multiLevelType w:val="hybridMultilevel"/>
    <w:tmpl w:val="2AAA0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2452C9"/>
    <w:multiLevelType w:val="hybridMultilevel"/>
    <w:tmpl w:val="610208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8C791E"/>
    <w:multiLevelType w:val="hybridMultilevel"/>
    <w:tmpl w:val="A3E89144"/>
    <w:lvl w:ilvl="0" w:tplc="B66253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2C7DD6"/>
    <w:multiLevelType w:val="hybridMultilevel"/>
    <w:tmpl w:val="243C91CA"/>
    <w:lvl w:ilvl="0" w:tplc="5F8869F8">
      <w:start w:val="1"/>
      <w:numFmt w:val="upperRoman"/>
      <w:pStyle w:val="HeaderCoverPage"/>
      <w:lvlText w:val="%1."/>
      <w:lvlJc w:val="left"/>
      <w:pPr>
        <w:ind w:left="720" w:hanging="360"/>
      </w:pPr>
      <w:rPr>
        <w:rFonts w:ascii="Times New Roman" w:eastAsia="Times New Roman" w:hAnsi="Times New Roman"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proofState w:spelling="clean" w:grammar="clean"/>
  <w:defaultTabStop w:val="720"/>
  <w:characterSpacingControl w:val="doNotCompress"/>
  <w:hdrShapeDefaults>
    <o:shapedefaults v:ext="edit" spidmax="4710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8299220D9454495F9ED43989CF4727F1"/>
    <w:docVar w:name="LW_CROSSREFERENCE" w:val="{SWD(2016) 198 final}"/>
    <w:docVar w:name="LW_DocType" w:val="NORMAL"/>
    <w:docVar w:name="LW_EMISSION" w:val="15.6.2016"/>
    <w:docVar w:name="LW_EMISSION_ISODATE" w:val="2016-06-15"/>
    <w:docVar w:name="LW_EMISSION_LOCATION" w:val="BRX"/>
    <w:docVar w:name="LW_EMISSION_PREFIX" w:val="Bruselj, "/>
    <w:docVar w:name="LW_EMISSION_SUFFIX" w:val=" "/>
    <w:docVar w:name="LW_ID_DOCTYPE_NONLW" w:val="CP-008"/>
    <w:docVar w:name="LW_LANGUE" w:val="SL"/>
    <w:docVar w:name="LW_MARKING" w:val="&lt;UNUSED&g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16) 393"/>
    <w:docVar w:name="LW_REF.INTERNE" w:val="&lt;UNUSED&gt;"/>
    <w:docVar w:name="LW_SOUS.TITRE.OBJ.CP" w:val="&lt;UNUSED&gt;"/>
    <w:docVar w:name="LW_SUPERTITRE" w:val="&lt;UNUSED&gt;"/>
    <w:docVar w:name="LW_TITRE.OBJ.CP" w:val="Poro\u269?ilo o politiki konkurence za leto 2015"/>
    <w:docVar w:name="LW_TYPE.DOC.CP" w:val="PORO\u268?ILO KOMISIJE EVROPSKEMU PARLAMENTU, SVETU, EVROPSKEMU EKONOMSKO-SOCIALNEMU ODBORU IN ODBORU REGIJ"/>
    <w:docVar w:name="Stamp" w:val="\\dossiers.dgt.cec.eu.int\dossiers\COMP\COMP-2016-00336\COMP-2016-00336-00-00-EN-REV-00.DOCX"/>
  </w:docVars>
  <w:rsids>
    <w:rsidRoot w:val="006B3176"/>
    <w:rsid w:val="006B3176"/>
    <w:rsid w:val="00A43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sl-SI"/>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11">
    <w:name w:val="a__t11"/>
  </w:style>
  <w:style w:type="character" w:styleId="Hyperlink">
    <w:name w:val="Hyperlink"/>
    <w:uiPriority w:val="99"/>
    <w:unhideWhenUsed/>
    <w:rPr>
      <w:color w:val="0000FF"/>
      <w:u w:val="single"/>
    </w:rPr>
  </w:style>
  <w:style w:type="paragraph" w:styleId="FootnoteText">
    <w:name w:val="footnote text"/>
    <w:basedOn w:val="Normal"/>
    <w:unhideWhenUsed/>
    <w:qFormat/>
    <w:rPr>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Voetnootteks Char,fn Char,f Char"/>
    <w:rPr>
      <w:lang w:eastAsia="sl-SI"/>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link w:val="Ref"/>
    <w:unhideWhenUsed/>
    <w:qFormat/>
    <w:rPr>
      <w:vertAlign w:val="superscript"/>
    </w:rPr>
  </w:style>
  <w:style w:type="character" w:styleId="Emphasis">
    <w:name w:val="Emphasis"/>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Pr>
      <w:color w:val="800080"/>
      <w:u w:val="single"/>
    </w:rPr>
  </w:style>
  <w:style w:type="character" w:customStyle="1" w:styleId="at1">
    <w:name w:val="a__t1"/>
  </w:style>
  <w:style w:type="character" w:customStyle="1" w:styleId="at3">
    <w:name w:val="a__t3"/>
  </w:style>
  <w:style w:type="character" w:customStyle="1" w:styleId="at2">
    <w:name w:val="a__t2"/>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sl-SI"/>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sl-SI"/>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sl-SI"/>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sl-SI"/>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numPr>
        <w:numId w:val="3"/>
      </w:numPr>
      <w:tabs>
        <w:tab w:val="center" w:pos="4535"/>
        <w:tab w:val="right" w:pos="9071"/>
      </w:tabs>
      <w:spacing w:after="120" w:line="240" w:lineRule="auto"/>
      <w:ind w:left="0"/>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link w:val="FootnoteReference"/>
    <w:pPr>
      <w:spacing w:after="160" w:line="240" w:lineRule="exact"/>
    </w:pPr>
    <w:rPr>
      <w:sz w:val="20"/>
      <w:szCs w:val="20"/>
      <w:vertAlign w:val="superscript"/>
    </w:rPr>
  </w:style>
  <w:style w:type="paragraph" w:styleId="Revision">
    <w:name w:val="Revision"/>
    <w:hidden/>
    <w:uiPriority w:val="99"/>
    <w:semiHidden/>
    <w:rPr>
      <w:sz w:val="22"/>
      <w:szCs w:val="22"/>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sl-SI"/>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11">
    <w:name w:val="a__t11"/>
  </w:style>
  <w:style w:type="character" w:styleId="Hyperlink">
    <w:name w:val="Hyperlink"/>
    <w:uiPriority w:val="99"/>
    <w:unhideWhenUsed/>
    <w:rPr>
      <w:color w:val="0000FF"/>
      <w:u w:val="single"/>
    </w:rPr>
  </w:style>
  <w:style w:type="paragraph" w:styleId="FootnoteText">
    <w:name w:val="footnote text"/>
    <w:basedOn w:val="Normal"/>
    <w:unhideWhenUsed/>
    <w:qFormat/>
    <w:rPr>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Voetnootteks Char,fn Char,f Char"/>
    <w:rPr>
      <w:lang w:eastAsia="sl-SI"/>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link w:val="Ref"/>
    <w:unhideWhenUsed/>
    <w:qFormat/>
    <w:rPr>
      <w:vertAlign w:val="superscript"/>
    </w:rPr>
  </w:style>
  <w:style w:type="character" w:styleId="Emphasis">
    <w:name w:val="Emphasis"/>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Pr>
      <w:color w:val="800080"/>
      <w:u w:val="single"/>
    </w:rPr>
  </w:style>
  <w:style w:type="character" w:customStyle="1" w:styleId="at1">
    <w:name w:val="a__t1"/>
  </w:style>
  <w:style w:type="character" w:customStyle="1" w:styleId="at3">
    <w:name w:val="a__t3"/>
  </w:style>
  <w:style w:type="character" w:customStyle="1" w:styleId="at2">
    <w:name w:val="a__t2"/>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sl-SI"/>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sl-SI"/>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sl-SI"/>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sl-SI"/>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numPr>
        <w:numId w:val="3"/>
      </w:numPr>
      <w:tabs>
        <w:tab w:val="center" w:pos="4535"/>
        <w:tab w:val="right" w:pos="9071"/>
      </w:tabs>
      <w:spacing w:after="120" w:line="240" w:lineRule="auto"/>
      <w:ind w:left="0"/>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link w:val="FootnoteReference"/>
    <w:pPr>
      <w:spacing w:after="160" w:line="240" w:lineRule="exact"/>
    </w:pPr>
    <w:rPr>
      <w:sz w:val="20"/>
      <w:szCs w:val="20"/>
      <w:vertAlign w:val="superscript"/>
    </w:rPr>
  </w:style>
  <w:style w:type="paragraph" w:styleId="Revision">
    <w:name w:val="Revision"/>
    <w:hidden/>
    <w:uiPriority w:val="99"/>
    <w:semiHidden/>
    <w:rPr>
      <w:sz w:val="22"/>
      <w:szCs w:val="22"/>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725">
      <w:bodyDiv w:val="1"/>
      <w:marLeft w:val="0"/>
      <w:marRight w:val="0"/>
      <w:marTop w:val="0"/>
      <w:marBottom w:val="0"/>
      <w:divBdr>
        <w:top w:val="none" w:sz="0" w:space="0" w:color="auto"/>
        <w:left w:val="none" w:sz="0" w:space="0" w:color="auto"/>
        <w:bottom w:val="none" w:sz="0" w:space="0" w:color="auto"/>
        <w:right w:val="none" w:sz="0" w:space="0" w:color="auto"/>
      </w:divBdr>
    </w:div>
    <w:div w:id="138114997">
      <w:bodyDiv w:val="1"/>
      <w:marLeft w:val="0"/>
      <w:marRight w:val="0"/>
      <w:marTop w:val="0"/>
      <w:marBottom w:val="0"/>
      <w:divBdr>
        <w:top w:val="none" w:sz="0" w:space="0" w:color="auto"/>
        <w:left w:val="none" w:sz="0" w:space="0" w:color="auto"/>
        <w:bottom w:val="none" w:sz="0" w:space="0" w:color="auto"/>
        <w:right w:val="none" w:sz="0" w:space="0" w:color="auto"/>
      </w:divBdr>
    </w:div>
    <w:div w:id="164249153">
      <w:bodyDiv w:val="1"/>
      <w:marLeft w:val="0"/>
      <w:marRight w:val="0"/>
      <w:marTop w:val="0"/>
      <w:marBottom w:val="0"/>
      <w:divBdr>
        <w:top w:val="none" w:sz="0" w:space="0" w:color="auto"/>
        <w:left w:val="none" w:sz="0" w:space="0" w:color="auto"/>
        <w:bottom w:val="none" w:sz="0" w:space="0" w:color="auto"/>
        <w:right w:val="none" w:sz="0" w:space="0" w:color="auto"/>
      </w:divBdr>
      <w:divsChild>
        <w:div w:id="1551116788">
          <w:marLeft w:val="547"/>
          <w:marRight w:val="0"/>
          <w:marTop w:val="0"/>
          <w:marBottom w:val="0"/>
          <w:divBdr>
            <w:top w:val="none" w:sz="0" w:space="0" w:color="auto"/>
            <w:left w:val="none" w:sz="0" w:space="0" w:color="auto"/>
            <w:bottom w:val="none" w:sz="0" w:space="0" w:color="auto"/>
            <w:right w:val="none" w:sz="0" w:space="0" w:color="auto"/>
          </w:divBdr>
        </w:div>
      </w:divsChild>
    </w:div>
    <w:div w:id="201095686">
      <w:bodyDiv w:val="1"/>
      <w:marLeft w:val="0"/>
      <w:marRight w:val="0"/>
      <w:marTop w:val="0"/>
      <w:marBottom w:val="0"/>
      <w:divBdr>
        <w:top w:val="none" w:sz="0" w:space="0" w:color="auto"/>
        <w:left w:val="none" w:sz="0" w:space="0" w:color="auto"/>
        <w:bottom w:val="none" w:sz="0" w:space="0" w:color="auto"/>
        <w:right w:val="none" w:sz="0" w:space="0" w:color="auto"/>
      </w:divBdr>
    </w:div>
    <w:div w:id="249504361">
      <w:bodyDiv w:val="1"/>
      <w:marLeft w:val="0"/>
      <w:marRight w:val="0"/>
      <w:marTop w:val="0"/>
      <w:marBottom w:val="0"/>
      <w:divBdr>
        <w:top w:val="none" w:sz="0" w:space="0" w:color="auto"/>
        <w:left w:val="none" w:sz="0" w:space="0" w:color="auto"/>
        <w:bottom w:val="none" w:sz="0" w:space="0" w:color="auto"/>
        <w:right w:val="none" w:sz="0" w:space="0" w:color="auto"/>
      </w:divBdr>
    </w:div>
    <w:div w:id="250159904">
      <w:bodyDiv w:val="1"/>
      <w:marLeft w:val="0"/>
      <w:marRight w:val="0"/>
      <w:marTop w:val="0"/>
      <w:marBottom w:val="0"/>
      <w:divBdr>
        <w:top w:val="none" w:sz="0" w:space="0" w:color="auto"/>
        <w:left w:val="none" w:sz="0" w:space="0" w:color="auto"/>
        <w:bottom w:val="none" w:sz="0" w:space="0" w:color="auto"/>
        <w:right w:val="none" w:sz="0" w:space="0" w:color="auto"/>
      </w:divBdr>
    </w:div>
    <w:div w:id="328411732">
      <w:bodyDiv w:val="1"/>
      <w:marLeft w:val="0"/>
      <w:marRight w:val="0"/>
      <w:marTop w:val="0"/>
      <w:marBottom w:val="0"/>
      <w:divBdr>
        <w:top w:val="none" w:sz="0" w:space="0" w:color="auto"/>
        <w:left w:val="none" w:sz="0" w:space="0" w:color="auto"/>
        <w:bottom w:val="none" w:sz="0" w:space="0" w:color="auto"/>
        <w:right w:val="none" w:sz="0" w:space="0" w:color="auto"/>
      </w:divBdr>
      <w:divsChild>
        <w:div w:id="1083377238">
          <w:marLeft w:val="0"/>
          <w:marRight w:val="0"/>
          <w:marTop w:val="0"/>
          <w:marBottom w:val="0"/>
          <w:divBdr>
            <w:top w:val="none" w:sz="0" w:space="0" w:color="auto"/>
            <w:left w:val="none" w:sz="0" w:space="0" w:color="auto"/>
            <w:bottom w:val="none" w:sz="0" w:space="0" w:color="auto"/>
            <w:right w:val="none" w:sz="0" w:space="0" w:color="auto"/>
          </w:divBdr>
        </w:div>
        <w:div w:id="2029066860">
          <w:marLeft w:val="0"/>
          <w:marRight w:val="0"/>
          <w:marTop w:val="0"/>
          <w:marBottom w:val="0"/>
          <w:divBdr>
            <w:top w:val="none" w:sz="0" w:space="0" w:color="auto"/>
            <w:left w:val="none" w:sz="0" w:space="0" w:color="auto"/>
            <w:bottom w:val="none" w:sz="0" w:space="0" w:color="auto"/>
            <w:right w:val="none" w:sz="0" w:space="0" w:color="auto"/>
          </w:divBdr>
        </w:div>
      </w:divsChild>
    </w:div>
    <w:div w:id="336662167">
      <w:bodyDiv w:val="1"/>
      <w:marLeft w:val="0"/>
      <w:marRight w:val="0"/>
      <w:marTop w:val="0"/>
      <w:marBottom w:val="0"/>
      <w:divBdr>
        <w:top w:val="none" w:sz="0" w:space="0" w:color="auto"/>
        <w:left w:val="none" w:sz="0" w:space="0" w:color="auto"/>
        <w:bottom w:val="none" w:sz="0" w:space="0" w:color="auto"/>
        <w:right w:val="none" w:sz="0" w:space="0" w:color="auto"/>
      </w:divBdr>
    </w:div>
    <w:div w:id="338236823">
      <w:bodyDiv w:val="1"/>
      <w:marLeft w:val="0"/>
      <w:marRight w:val="0"/>
      <w:marTop w:val="0"/>
      <w:marBottom w:val="0"/>
      <w:divBdr>
        <w:top w:val="none" w:sz="0" w:space="0" w:color="auto"/>
        <w:left w:val="none" w:sz="0" w:space="0" w:color="auto"/>
        <w:bottom w:val="none" w:sz="0" w:space="0" w:color="auto"/>
        <w:right w:val="none" w:sz="0" w:space="0" w:color="auto"/>
      </w:divBdr>
    </w:div>
    <w:div w:id="354622246">
      <w:bodyDiv w:val="1"/>
      <w:marLeft w:val="0"/>
      <w:marRight w:val="0"/>
      <w:marTop w:val="0"/>
      <w:marBottom w:val="0"/>
      <w:divBdr>
        <w:top w:val="none" w:sz="0" w:space="0" w:color="auto"/>
        <w:left w:val="none" w:sz="0" w:space="0" w:color="auto"/>
        <w:bottom w:val="none" w:sz="0" w:space="0" w:color="auto"/>
        <w:right w:val="none" w:sz="0" w:space="0" w:color="auto"/>
      </w:divBdr>
    </w:div>
    <w:div w:id="442460929">
      <w:bodyDiv w:val="1"/>
      <w:marLeft w:val="0"/>
      <w:marRight w:val="0"/>
      <w:marTop w:val="0"/>
      <w:marBottom w:val="0"/>
      <w:divBdr>
        <w:top w:val="none" w:sz="0" w:space="0" w:color="auto"/>
        <w:left w:val="none" w:sz="0" w:space="0" w:color="auto"/>
        <w:bottom w:val="none" w:sz="0" w:space="0" w:color="auto"/>
        <w:right w:val="none" w:sz="0" w:space="0" w:color="auto"/>
      </w:divBdr>
    </w:div>
    <w:div w:id="568152643">
      <w:bodyDiv w:val="1"/>
      <w:marLeft w:val="0"/>
      <w:marRight w:val="0"/>
      <w:marTop w:val="0"/>
      <w:marBottom w:val="0"/>
      <w:divBdr>
        <w:top w:val="none" w:sz="0" w:space="0" w:color="auto"/>
        <w:left w:val="none" w:sz="0" w:space="0" w:color="auto"/>
        <w:bottom w:val="none" w:sz="0" w:space="0" w:color="auto"/>
        <w:right w:val="none" w:sz="0" w:space="0" w:color="auto"/>
      </w:divBdr>
      <w:divsChild>
        <w:div w:id="917448681">
          <w:marLeft w:val="0"/>
          <w:marRight w:val="0"/>
          <w:marTop w:val="0"/>
          <w:marBottom w:val="0"/>
          <w:divBdr>
            <w:top w:val="none" w:sz="0" w:space="0" w:color="auto"/>
            <w:left w:val="none" w:sz="0" w:space="0" w:color="auto"/>
            <w:bottom w:val="none" w:sz="0" w:space="0" w:color="auto"/>
            <w:right w:val="none" w:sz="0" w:space="0" w:color="auto"/>
          </w:divBdr>
        </w:div>
      </w:divsChild>
    </w:div>
    <w:div w:id="653529084">
      <w:bodyDiv w:val="1"/>
      <w:marLeft w:val="0"/>
      <w:marRight w:val="0"/>
      <w:marTop w:val="0"/>
      <w:marBottom w:val="0"/>
      <w:divBdr>
        <w:top w:val="none" w:sz="0" w:space="0" w:color="auto"/>
        <w:left w:val="none" w:sz="0" w:space="0" w:color="auto"/>
        <w:bottom w:val="none" w:sz="0" w:space="0" w:color="auto"/>
        <w:right w:val="none" w:sz="0" w:space="0" w:color="auto"/>
      </w:divBdr>
    </w:div>
    <w:div w:id="794375163">
      <w:bodyDiv w:val="1"/>
      <w:marLeft w:val="0"/>
      <w:marRight w:val="0"/>
      <w:marTop w:val="0"/>
      <w:marBottom w:val="0"/>
      <w:divBdr>
        <w:top w:val="none" w:sz="0" w:space="0" w:color="auto"/>
        <w:left w:val="none" w:sz="0" w:space="0" w:color="auto"/>
        <w:bottom w:val="none" w:sz="0" w:space="0" w:color="auto"/>
        <w:right w:val="none" w:sz="0" w:space="0" w:color="auto"/>
      </w:divBdr>
    </w:div>
    <w:div w:id="865992765">
      <w:bodyDiv w:val="1"/>
      <w:marLeft w:val="0"/>
      <w:marRight w:val="0"/>
      <w:marTop w:val="0"/>
      <w:marBottom w:val="0"/>
      <w:divBdr>
        <w:top w:val="none" w:sz="0" w:space="0" w:color="auto"/>
        <w:left w:val="none" w:sz="0" w:space="0" w:color="auto"/>
        <w:bottom w:val="none" w:sz="0" w:space="0" w:color="auto"/>
        <w:right w:val="none" w:sz="0" w:space="0" w:color="auto"/>
      </w:divBdr>
    </w:div>
    <w:div w:id="882253559">
      <w:bodyDiv w:val="1"/>
      <w:marLeft w:val="0"/>
      <w:marRight w:val="0"/>
      <w:marTop w:val="0"/>
      <w:marBottom w:val="0"/>
      <w:divBdr>
        <w:top w:val="none" w:sz="0" w:space="0" w:color="auto"/>
        <w:left w:val="none" w:sz="0" w:space="0" w:color="auto"/>
        <w:bottom w:val="none" w:sz="0" w:space="0" w:color="auto"/>
        <w:right w:val="none" w:sz="0" w:space="0" w:color="auto"/>
      </w:divBdr>
    </w:div>
    <w:div w:id="908199911">
      <w:bodyDiv w:val="1"/>
      <w:marLeft w:val="0"/>
      <w:marRight w:val="0"/>
      <w:marTop w:val="0"/>
      <w:marBottom w:val="0"/>
      <w:divBdr>
        <w:top w:val="none" w:sz="0" w:space="0" w:color="auto"/>
        <w:left w:val="none" w:sz="0" w:space="0" w:color="auto"/>
        <w:bottom w:val="none" w:sz="0" w:space="0" w:color="auto"/>
        <w:right w:val="none" w:sz="0" w:space="0" w:color="auto"/>
      </w:divBdr>
    </w:div>
    <w:div w:id="1112672687">
      <w:bodyDiv w:val="1"/>
      <w:marLeft w:val="0"/>
      <w:marRight w:val="0"/>
      <w:marTop w:val="0"/>
      <w:marBottom w:val="0"/>
      <w:divBdr>
        <w:top w:val="none" w:sz="0" w:space="0" w:color="auto"/>
        <w:left w:val="none" w:sz="0" w:space="0" w:color="auto"/>
        <w:bottom w:val="none" w:sz="0" w:space="0" w:color="auto"/>
        <w:right w:val="none" w:sz="0" w:space="0" w:color="auto"/>
      </w:divBdr>
    </w:div>
    <w:div w:id="1116413498">
      <w:bodyDiv w:val="1"/>
      <w:marLeft w:val="0"/>
      <w:marRight w:val="0"/>
      <w:marTop w:val="0"/>
      <w:marBottom w:val="0"/>
      <w:divBdr>
        <w:top w:val="none" w:sz="0" w:space="0" w:color="auto"/>
        <w:left w:val="none" w:sz="0" w:space="0" w:color="auto"/>
        <w:bottom w:val="none" w:sz="0" w:space="0" w:color="auto"/>
        <w:right w:val="none" w:sz="0" w:space="0" w:color="auto"/>
      </w:divBdr>
    </w:div>
    <w:div w:id="1180465607">
      <w:bodyDiv w:val="1"/>
      <w:marLeft w:val="0"/>
      <w:marRight w:val="0"/>
      <w:marTop w:val="0"/>
      <w:marBottom w:val="0"/>
      <w:divBdr>
        <w:top w:val="none" w:sz="0" w:space="0" w:color="auto"/>
        <w:left w:val="none" w:sz="0" w:space="0" w:color="auto"/>
        <w:bottom w:val="none" w:sz="0" w:space="0" w:color="auto"/>
        <w:right w:val="none" w:sz="0" w:space="0" w:color="auto"/>
      </w:divBdr>
      <w:divsChild>
        <w:div w:id="1366640607">
          <w:marLeft w:val="0"/>
          <w:marRight w:val="0"/>
          <w:marTop w:val="0"/>
          <w:marBottom w:val="0"/>
          <w:divBdr>
            <w:top w:val="none" w:sz="0" w:space="0" w:color="auto"/>
            <w:left w:val="none" w:sz="0" w:space="0" w:color="auto"/>
            <w:bottom w:val="none" w:sz="0" w:space="0" w:color="auto"/>
            <w:right w:val="none" w:sz="0" w:space="0" w:color="auto"/>
          </w:divBdr>
        </w:div>
      </w:divsChild>
    </w:div>
    <w:div w:id="1195582538">
      <w:bodyDiv w:val="1"/>
      <w:marLeft w:val="0"/>
      <w:marRight w:val="0"/>
      <w:marTop w:val="0"/>
      <w:marBottom w:val="0"/>
      <w:divBdr>
        <w:top w:val="none" w:sz="0" w:space="0" w:color="auto"/>
        <w:left w:val="none" w:sz="0" w:space="0" w:color="auto"/>
        <w:bottom w:val="none" w:sz="0" w:space="0" w:color="auto"/>
        <w:right w:val="none" w:sz="0" w:space="0" w:color="auto"/>
      </w:divBdr>
      <w:divsChild>
        <w:div w:id="1695958913">
          <w:marLeft w:val="0"/>
          <w:marRight w:val="0"/>
          <w:marTop w:val="0"/>
          <w:marBottom w:val="0"/>
          <w:divBdr>
            <w:top w:val="none" w:sz="0" w:space="0" w:color="auto"/>
            <w:left w:val="none" w:sz="0" w:space="0" w:color="auto"/>
            <w:bottom w:val="none" w:sz="0" w:space="0" w:color="auto"/>
            <w:right w:val="none" w:sz="0" w:space="0" w:color="auto"/>
          </w:divBdr>
        </w:div>
        <w:div w:id="1096752876">
          <w:marLeft w:val="0"/>
          <w:marRight w:val="0"/>
          <w:marTop w:val="0"/>
          <w:marBottom w:val="0"/>
          <w:divBdr>
            <w:top w:val="none" w:sz="0" w:space="0" w:color="auto"/>
            <w:left w:val="none" w:sz="0" w:space="0" w:color="auto"/>
            <w:bottom w:val="none" w:sz="0" w:space="0" w:color="auto"/>
            <w:right w:val="none" w:sz="0" w:space="0" w:color="auto"/>
          </w:divBdr>
        </w:div>
      </w:divsChild>
    </w:div>
    <w:div w:id="1203205290">
      <w:bodyDiv w:val="1"/>
      <w:marLeft w:val="0"/>
      <w:marRight w:val="0"/>
      <w:marTop w:val="0"/>
      <w:marBottom w:val="0"/>
      <w:divBdr>
        <w:top w:val="none" w:sz="0" w:space="0" w:color="auto"/>
        <w:left w:val="none" w:sz="0" w:space="0" w:color="auto"/>
        <w:bottom w:val="none" w:sz="0" w:space="0" w:color="auto"/>
        <w:right w:val="none" w:sz="0" w:space="0" w:color="auto"/>
      </w:divBdr>
      <w:divsChild>
        <w:div w:id="517474833">
          <w:marLeft w:val="720"/>
          <w:marRight w:val="0"/>
          <w:marTop w:val="0"/>
          <w:marBottom w:val="0"/>
          <w:divBdr>
            <w:top w:val="none" w:sz="0" w:space="0" w:color="auto"/>
            <w:left w:val="none" w:sz="0" w:space="0" w:color="auto"/>
            <w:bottom w:val="none" w:sz="0" w:space="0" w:color="auto"/>
            <w:right w:val="none" w:sz="0" w:space="0" w:color="auto"/>
          </w:divBdr>
        </w:div>
        <w:div w:id="607929745">
          <w:marLeft w:val="720"/>
          <w:marRight w:val="0"/>
          <w:marTop w:val="0"/>
          <w:marBottom w:val="0"/>
          <w:divBdr>
            <w:top w:val="none" w:sz="0" w:space="0" w:color="auto"/>
            <w:left w:val="none" w:sz="0" w:space="0" w:color="auto"/>
            <w:bottom w:val="none" w:sz="0" w:space="0" w:color="auto"/>
            <w:right w:val="none" w:sz="0" w:space="0" w:color="auto"/>
          </w:divBdr>
        </w:div>
        <w:div w:id="663438723">
          <w:marLeft w:val="720"/>
          <w:marRight w:val="0"/>
          <w:marTop w:val="0"/>
          <w:marBottom w:val="0"/>
          <w:divBdr>
            <w:top w:val="none" w:sz="0" w:space="0" w:color="auto"/>
            <w:left w:val="none" w:sz="0" w:space="0" w:color="auto"/>
            <w:bottom w:val="none" w:sz="0" w:space="0" w:color="auto"/>
            <w:right w:val="none" w:sz="0" w:space="0" w:color="auto"/>
          </w:divBdr>
        </w:div>
        <w:div w:id="1245604360">
          <w:marLeft w:val="720"/>
          <w:marRight w:val="0"/>
          <w:marTop w:val="0"/>
          <w:marBottom w:val="0"/>
          <w:divBdr>
            <w:top w:val="none" w:sz="0" w:space="0" w:color="auto"/>
            <w:left w:val="none" w:sz="0" w:space="0" w:color="auto"/>
            <w:bottom w:val="none" w:sz="0" w:space="0" w:color="auto"/>
            <w:right w:val="none" w:sz="0" w:space="0" w:color="auto"/>
          </w:divBdr>
        </w:div>
        <w:div w:id="1866673779">
          <w:marLeft w:val="720"/>
          <w:marRight w:val="0"/>
          <w:marTop w:val="0"/>
          <w:marBottom w:val="0"/>
          <w:divBdr>
            <w:top w:val="none" w:sz="0" w:space="0" w:color="auto"/>
            <w:left w:val="none" w:sz="0" w:space="0" w:color="auto"/>
            <w:bottom w:val="none" w:sz="0" w:space="0" w:color="auto"/>
            <w:right w:val="none" w:sz="0" w:space="0" w:color="auto"/>
          </w:divBdr>
        </w:div>
      </w:divsChild>
    </w:div>
    <w:div w:id="1255895331">
      <w:bodyDiv w:val="1"/>
      <w:marLeft w:val="0"/>
      <w:marRight w:val="0"/>
      <w:marTop w:val="0"/>
      <w:marBottom w:val="0"/>
      <w:divBdr>
        <w:top w:val="none" w:sz="0" w:space="0" w:color="auto"/>
        <w:left w:val="none" w:sz="0" w:space="0" w:color="auto"/>
        <w:bottom w:val="none" w:sz="0" w:space="0" w:color="auto"/>
        <w:right w:val="none" w:sz="0" w:space="0" w:color="auto"/>
      </w:divBdr>
      <w:divsChild>
        <w:div w:id="522207705">
          <w:marLeft w:val="547"/>
          <w:marRight w:val="0"/>
          <w:marTop w:val="0"/>
          <w:marBottom w:val="0"/>
          <w:divBdr>
            <w:top w:val="none" w:sz="0" w:space="0" w:color="auto"/>
            <w:left w:val="none" w:sz="0" w:space="0" w:color="auto"/>
            <w:bottom w:val="none" w:sz="0" w:space="0" w:color="auto"/>
            <w:right w:val="none" w:sz="0" w:space="0" w:color="auto"/>
          </w:divBdr>
        </w:div>
      </w:divsChild>
    </w:div>
    <w:div w:id="1308971220">
      <w:bodyDiv w:val="1"/>
      <w:marLeft w:val="0"/>
      <w:marRight w:val="0"/>
      <w:marTop w:val="0"/>
      <w:marBottom w:val="0"/>
      <w:divBdr>
        <w:top w:val="none" w:sz="0" w:space="0" w:color="auto"/>
        <w:left w:val="none" w:sz="0" w:space="0" w:color="auto"/>
        <w:bottom w:val="none" w:sz="0" w:space="0" w:color="auto"/>
        <w:right w:val="none" w:sz="0" w:space="0" w:color="auto"/>
      </w:divBdr>
    </w:div>
    <w:div w:id="1310012464">
      <w:bodyDiv w:val="1"/>
      <w:marLeft w:val="0"/>
      <w:marRight w:val="0"/>
      <w:marTop w:val="0"/>
      <w:marBottom w:val="0"/>
      <w:divBdr>
        <w:top w:val="none" w:sz="0" w:space="0" w:color="auto"/>
        <w:left w:val="none" w:sz="0" w:space="0" w:color="auto"/>
        <w:bottom w:val="none" w:sz="0" w:space="0" w:color="auto"/>
        <w:right w:val="none" w:sz="0" w:space="0" w:color="auto"/>
      </w:divBdr>
    </w:div>
    <w:div w:id="1328560483">
      <w:bodyDiv w:val="1"/>
      <w:marLeft w:val="0"/>
      <w:marRight w:val="0"/>
      <w:marTop w:val="0"/>
      <w:marBottom w:val="0"/>
      <w:divBdr>
        <w:top w:val="none" w:sz="0" w:space="0" w:color="auto"/>
        <w:left w:val="none" w:sz="0" w:space="0" w:color="auto"/>
        <w:bottom w:val="none" w:sz="0" w:space="0" w:color="auto"/>
        <w:right w:val="none" w:sz="0" w:space="0" w:color="auto"/>
      </w:divBdr>
      <w:divsChild>
        <w:div w:id="1790464151">
          <w:marLeft w:val="0"/>
          <w:marRight w:val="0"/>
          <w:marTop w:val="0"/>
          <w:marBottom w:val="0"/>
          <w:divBdr>
            <w:top w:val="none" w:sz="0" w:space="0" w:color="auto"/>
            <w:left w:val="none" w:sz="0" w:space="0" w:color="auto"/>
            <w:bottom w:val="none" w:sz="0" w:space="0" w:color="auto"/>
            <w:right w:val="none" w:sz="0" w:space="0" w:color="auto"/>
          </w:divBdr>
        </w:div>
      </w:divsChild>
    </w:div>
    <w:div w:id="1409032863">
      <w:bodyDiv w:val="1"/>
      <w:marLeft w:val="0"/>
      <w:marRight w:val="0"/>
      <w:marTop w:val="0"/>
      <w:marBottom w:val="0"/>
      <w:divBdr>
        <w:top w:val="none" w:sz="0" w:space="0" w:color="auto"/>
        <w:left w:val="none" w:sz="0" w:space="0" w:color="auto"/>
        <w:bottom w:val="none" w:sz="0" w:space="0" w:color="auto"/>
        <w:right w:val="none" w:sz="0" w:space="0" w:color="auto"/>
      </w:divBdr>
    </w:div>
    <w:div w:id="1447626273">
      <w:bodyDiv w:val="1"/>
      <w:marLeft w:val="0"/>
      <w:marRight w:val="0"/>
      <w:marTop w:val="0"/>
      <w:marBottom w:val="0"/>
      <w:divBdr>
        <w:top w:val="none" w:sz="0" w:space="0" w:color="auto"/>
        <w:left w:val="none" w:sz="0" w:space="0" w:color="auto"/>
        <w:bottom w:val="none" w:sz="0" w:space="0" w:color="auto"/>
        <w:right w:val="none" w:sz="0" w:space="0" w:color="auto"/>
      </w:divBdr>
      <w:divsChild>
        <w:div w:id="2092845573">
          <w:marLeft w:val="0"/>
          <w:marRight w:val="0"/>
          <w:marTop w:val="0"/>
          <w:marBottom w:val="0"/>
          <w:divBdr>
            <w:top w:val="none" w:sz="0" w:space="0" w:color="auto"/>
            <w:left w:val="none" w:sz="0" w:space="0" w:color="auto"/>
            <w:bottom w:val="none" w:sz="0" w:space="0" w:color="auto"/>
            <w:right w:val="none" w:sz="0" w:space="0" w:color="auto"/>
          </w:divBdr>
        </w:div>
        <w:div w:id="908150034">
          <w:marLeft w:val="0"/>
          <w:marRight w:val="0"/>
          <w:marTop w:val="0"/>
          <w:marBottom w:val="0"/>
          <w:divBdr>
            <w:top w:val="none" w:sz="0" w:space="0" w:color="auto"/>
            <w:left w:val="none" w:sz="0" w:space="0" w:color="auto"/>
            <w:bottom w:val="none" w:sz="0" w:space="0" w:color="auto"/>
            <w:right w:val="none" w:sz="0" w:space="0" w:color="auto"/>
          </w:divBdr>
        </w:div>
      </w:divsChild>
    </w:div>
    <w:div w:id="1535463198">
      <w:bodyDiv w:val="1"/>
      <w:marLeft w:val="0"/>
      <w:marRight w:val="0"/>
      <w:marTop w:val="0"/>
      <w:marBottom w:val="0"/>
      <w:divBdr>
        <w:top w:val="none" w:sz="0" w:space="0" w:color="auto"/>
        <w:left w:val="none" w:sz="0" w:space="0" w:color="auto"/>
        <w:bottom w:val="none" w:sz="0" w:space="0" w:color="auto"/>
        <w:right w:val="none" w:sz="0" w:space="0" w:color="auto"/>
      </w:divBdr>
      <w:divsChild>
        <w:div w:id="1563180469">
          <w:marLeft w:val="0"/>
          <w:marRight w:val="0"/>
          <w:marTop w:val="0"/>
          <w:marBottom w:val="0"/>
          <w:divBdr>
            <w:top w:val="none" w:sz="0" w:space="0" w:color="auto"/>
            <w:left w:val="none" w:sz="0" w:space="0" w:color="auto"/>
            <w:bottom w:val="none" w:sz="0" w:space="0" w:color="auto"/>
            <w:right w:val="none" w:sz="0" w:space="0" w:color="auto"/>
          </w:divBdr>
        </w:div>
      </w:divsChild>
    </w:div>
    <w:div w:id="1600481965">
      <w:bodyDiv w:val="1"/>
      <w:marLeft w:val="0"/>
      <w:marRight w:val="0"/>
      <w:marTop w:val="0"/>
      <w:marBottom w:val="0"/>
      <w:divBdr>
        <w:top w:val="none" w:sz="0" w:space="0" w:color="auto"/>
        <w:left w:val="none" w:sz="0" w:space="0" w:color="auto"/>
        <w:bottom w:val="none" w:sz="0" w:space="0" w:color="auto"/>
        <w:right w:val="none" w:sz="0" w:space="0" w:color="auto"/>
      </w:divBdr>
    </w:div>
    <w:div w:id="1722748249">
      <w:bodyDiv w:val="1"/>
      <w:marLeft w:val="0"/>
      <w:marRight w:val="0"/>
      <w:marTop w:val="0"/>
      <w:marBottom w:val="0"/>
      <w:divBdr>
        <w:top w:val="none" w:sz="0" w:space="0" w:color="auto"/>
        <w:left w:val="none" w:sz="0" w:space="0" w:color="auto"/>
        <w:bottom w:val="none" w:sz="0" w:space="0" w:color="auto"/>
        <w:right w:val="none" w:sz="0" w:space="0" w:color="auto"/>
      </w:divBdr>
      <w:divsChild>
        <w:div w:id="213661701">
          <w:marLeft w:val="0"/>
          <w:marRight w:val="0"/>
          <w:marTop w:val="0"/>
          <w:marBottom w:val="0"/>
          <w:divBdr>
            <w:top w:val="none" w:sz="0" w:space="0" w:color="auto"/>
            <w:left w:val="none" w:sz="0" w:space="0" w:color="auto"/>
            <w:bottom w:val="none" w:sz="0" w:space="0" w:color="auto"/>
            <w:right w:val="none" w:sz="0" w:space="0" w:color="auto"/>
          </w:divBdr>
        </w:div>
        <w:div w:id="761023633">
          <w:marLeft w:val="0"/>
          <w:marRight w:val="0"/>
          <w:marTop w:val="0"/>
          <w:marBottom w:val="0"/>
          <w:divBdr>
            <w:top w:val="none" w:sz="0" w:space="0" w:color="auto"/>
            <w:left w:val="none" w:sz="0" w:space="0" w:color="auto"/>
            <w:bottom w:val="none" w:sz="0" w:space="0" w:color="auto"/>
            <w:right w:val="none" w:sz="0" w:space="0" w:color="auto"/>
          </w:divBdr>
        </w:div>
      </w:divsChild>
    </w:div>
    <w:div w:id="1760561651">
      <w:bodyDiv w:val="1"/>
      <w:marLeft w:val="0"/>
      <w:marRight w:val="0"/>
      <w:marTop w:val="0"/>
      <w:marBottom w:val="0"/>
      <w:divBdr>
        <w:top w:val="none" w:sz="0" w:space="0" w:color="auto"/>
        <w:left w:val="none" w:sz="0" w:space="0" w:color="auto"/>
        <w:bottom w:val="none" w:sz="0" w:space="0" w:color="auto"/>
        <w:right w:val="none" w:sz="0" w:space="0" w:color="auto"/>
      </w:divBdr>
    </w:div>
    <w:div w:id="1794250922">
      <w:bodyDiv w:val="1"/>
      <w:marLeft w:val="0"/>
      <w:marRight w:val="0"/>
      <w:marTop w:val="0"/>
      <w:marBottom w:val="0"/>
      <w:divBdr>
        <w:top w:val="none" w:sz="0" w:space="0" w:color="auto"/>
        <w:left w:val="none" w:sz="0" w:space="0" w:color="auto"/>
        <w:bottom w:val="none" w:sz="0" w:space="0" w:color="auto"/>
        <w:right w:val="none" w:sz="0" w:space="0" w:color="auto"/>
      </w:divBdr>
    </w:div>
    <w:div w:id="1866484603">
      <w:bodyDiv w:val="1"/>
      <w:marLeft w:val="0"/>
      <w:marRight w:val="0"/>
      <w:marTop w:val="0"/>
      <w:marBottom w:val="0"/>
      <w:divBdr>
        <w:top w:val="none" w:sz="0" w:space="0" w:color="auto"/>
        <w:left w:val="none" w:sz="0" w:space="0" w:color="auto"/>
        <w:bottom w:val="none" w:sz="0" w:space="0" w:color="auto"/>
        <w:right w:val="none" w:sz="0" w:space="0" w:color="auto"/>
      </w:divBdr>
      <w:divsChild>
        <w:div w:id="1332685472">
          <w:marLeft w:val="0"/>
          <w:marRight w:val="0"/>
          <w:marTop w:val="0"/>
          <w:marBottom w:val="0"/>
          <w:divBdr>
            <w:top w:val="none" w:sz="0" w:space="0" w:color="auto"/>
            <w:left w:val="none" w:sz="0" w:space="0" w:color="auto"/>
            <w:bottom w:val="none" w:sz="0" w:space="0" w:color="auto"/>
            <w:right w:val="none" w:sz="0" w:space="0" w:color="auto"/>
          </w:divBdr>
        </w:div>
        <w:div w:id="1480074102">
          <w:marLeft w:val="0"/>
          <w:marRight w:val="0"/>
          <w:marTop w:val="0"/>
          <w:marBottom w:val="0"/>
          <w:divBdr>
            <w:top w:val="none" w:sz="0" w:space="0" w:color="auto"/>
            <w:left w:val="none" w:sz="0" w:space="0" w:color="auto"/>
            <w:bottom w:val="none" w:sz="0" w:space="0" w:color="auto"/>
            <w:right w:val="none" w:sz="0" w:space="0" w:color="auto"/>
          </w:divBdr>
        </w:div>
      </w:divsChild>
    </w:div>
    <w:div w:id="1876261713">
      <w:bodyDiv w:val="1"/>
      <w:marLeft w:val="0"/>
      <w:marRight w:val="0"/>
      <w:marTop w:val="0"/>
      <w:marBottom w:val="0"/>
      <w:divBdr>
        <w:top w:val="none" w:sz="0" w:space="0" w:color="auto"/>
        <w:left w:val="none" w:sz="0" w:space="0" w:color="auto"/>
        <w:bottom w:val="none" w:sz="0" w:space="0" w:color="auto"/>
        <w:right w:val="none" w:sz="0" w:space="0" w:color="auto"/>
      </w:divBdr>
      <w:divsChild>
        <w:div w:id="505219002">
          <w:marLeft w:val="720"/>
          <w:marRight w:val="0"/>
          <w:marTop w:val="0"/>
          <w:marBottom w:val="0"/>
          <w:divBdr>
            <w:top w:val="none" w:sz="0" w:space="0" w:color="auto"/>
            <w:left w:val="none" w:sz="0" w:space="0" w:color="auto"/>
            <w:bottom w:val="none" w:sz="0" w:space="0" w:color="auto"/>
            <w:right w:val="none" w:sz="0" w:space="0" w:color="auto"/>
          </w:divBdr>
        </w:div>
        <w:div w:id="1409883108">
          <w:marLeft w:val="720"/>
          <w:marRight w:val="0"/>
          <w:marTop w:val="0"/>
          <w:marBottom w:val="0"/>
          <w:divBdr>
            <w:top w:val="none" w:sz="0" w:space="0" w:color="auto"/>
            <w:left w:val="none" w:sz="0" w:space="0" w:color="auto"/>
            <w:bottom w:val="none" w:sz="0" w:space="0" w:color="auto"/>
            <w:right w:val="none" w:sz="0" w:space="0" w:color="auto"/>
          </w:divBdr>
        </w:div>
        <w:div w:id="1470171813">
          <w:marLeft w:val="1440"/>
          <w:marRight w:val="0"/>
          <w:marTop w:val="0"/>
          <w:marBottom w:val="0"/>
          <w:divBdr>
            <w:top w:val="none" w:sz="0" w:space="0" w:color="auto"/>
            <w:left w:val="none" w:sz="0" w:space="0" w:color="auto"/>
            <w:bottom w:val="none" w:sz="0" w:space="0" w:color="auto"/>
            <w:right w:val="none" w:sz="0" w:space="0" w:color="auto"/>
          </w:divBdr>
        </w:div>
        <w:div w:id="1825900112">
          <w:marLeft w:val="1440"/>
          <w:marRight w:val="0"/>
          <w:marTop w:val="0"/>
          <w:marBottom w:val="0"/>
          <w:divBdr>
            <w:top w:val="none" w:sz="0" w:space="0" w:color="auto"/>
            <w:left w:val="none" w:sz="0" w:space="0" w:color="auto"/>
            <w:bottom w:val="none" w:sz="0" w:space="0" w:color="auto"/>
            <w:right w:val="none" w:sz="0" w:space="0" w:color="auto"/>
          </w:divBdr>
        </w:div>
        <w:div w:id="1889875159">
          <w:marLeft w:val="1440"/>
          <w:marRight w:val="0"/>
          <w:marTop w:val="0"/>
          <w:marBottom w:val="0"/>
          <w:divBdr>
            <w:top w:val="none" w:sz="0" w:space="0" w:color="auto"/>
            <w:left w:val="none" w:sz="0" w:space="0" w:color="auto"/>
            <w:bottom w:val="none" w:sz="0" w:space="0" w:color="auto"/>
            <w:right w:val="none" w:sz="0" w:space="0" w:color="auto"/>
          </w:divBdr>
        </w:div>
        <w:div w:id="2019503696">
          <w:marLeft w:val="1440"/>
          <w:marRight w:val="0"/>
          <w:marTop w:val="0"/>
          <w:marBottom w:val="0"/>
          <w:divBdr>
            <w:top w:val="none" w:sz="0" w:space="0" w:color="auto"/>
            <w:left w:val="none" w:sz="0" w:space="0" w:color="auto"/>
            <w:bottom w:val="none" w:sz="0" w:space="0" w:color="auto"/>
            <w:right w:val="none" w:sz="0" w:space="0" w:color="auto"/>
          </w:divBdr>
        </w:div>
      </w:divsChild>
    </w:div>
    <w:div w:id="1893686747">
      <w:bodyDiv w:val="1"/>
      <w:marLeft w:val="0"/>
      <w:marRight w:val="0"/>
      <w:marTop w:val="0"/>
      <w:marBottom w:val="0"/>
      <w:divBdr>
        <w:top w:val="none" w:sz="0" w:space="0" w:color="auto"/>
        <w:left w:val="none" w:sz="0" w:space="0" w:color="auto"/>
        <w:bottom w:val="none" w:sz="0" w:space="0" w:color="auto"/>
        <w:right w:val="none" w:sz="0" w:space="0" w:color="auto"/>
      </w:divBdr>
    </w:div>
    <w:div w:id="1903445609">
      <w:bodyDiv w:val="1"/>
      <w:marLeft w:val="0"/>
      <w:marRight w:val="0"/>
      <w:marTop w:val="0"/>
      <w:marBottom w:val="0"/>
      <w:divBdr>
        <w:top w:val="none" w:sz="0" w:space="0" w:color="auto"/>
        <w:left w:val="none" w:sz="0" w:space="0" w:color="auto"/>
        <w:bottom w:val="none" w:sz="0" w:space="0" w:color="auto"/>
        <w:right w:val="none" w:sz="0" w:space="0" w:color="auto"/>
      </w:divBdr>
    </w:div>
    <w:div w:id="1914312226">
      <w:bodyDiv w:val="1"/>
      <w:marLeft w:val="0"/>
      <w:marRight w:val="0"/>
      <w:marTop w:val="0"/>
      <w:marBottom w:val="0"/>
      <w:divBdr>
        <w:top w:val="none" w:sz="0" w:space="0" w:color="auto"/>
        <w:left w:val="none" w:sz="0" w:space="0" w:color="auto"/>
        <w:bottom w:val="none" w:sz="0" w:space="0" w:color="auto"/>
        <w:right w:val="none" w:sz="0" w:space="0" w:color="auto"/>
      </w:divBdr>
      <w:divsChild>
        <w:div w:id="1507479994">
          <w:marLeft w:val="0"/>
          <w:marRight w:val="0"/>
          <w:marTop w:val="0"/>
          <w:marBottom w:val="0"/>
          <w:divBdr>
            <w:top w:val="none" w:sz="0" w:space="0" w:color="auto"/>
            <w:left w:val="none" w:sz="0" w:space="0" w:color="auto"/>
            <w:bottom w:val="none" w:sz="0" w:space="0" w:color="auto"/>
            <w:right w:val="none" w:sz="0" w:space="0" w:color="auto"/>
          </w:divBdr>
        </w:div>
        <w:div w:id="1647930325">
          <w:marLeft w:val="0"/>
          <w:marRight w:val="0"/>
          <w:marTop w:val="0"/>
          <w:marBottom w:val="0"/>
          <w:divBdr>
            <w:top w:val="none" w:sz="0" w:space="0" w:color="auto"/>
            <w:left w:val="none" w:sz="0" w:space="0" w:color="auto"/>
            <w:bottom w:val="none" w:sz="0" w:space="0" w:color="auto"/>
            <w:right w:val="none" w:sz="0" w:space="0" w:color="auto"/>
          </w:divBdr>
        </w:div>
      </w:divsChild>
    </w:div>
    <w:div w:id="1933511182">
      <w:bodyDiv w:val="1"/>
      <w:marLeft w:val="0"/>
      <w:marRight w:val="0"/>
      <w:marTop w:val="0"/>
      <w:marBottom w:val="0"/>
      <w:divBdr>
        <w:top w:val="none" w:sz="0" w:space="0" w:color="auto"/>
        <w:left w:val="none" w:sz="0" w:space="0" w:color="auto"/>
        <w:bottom w:val="none" w:sz="0" w:space="0" w:color="auto"/>
        <w:right w:val="none" w:sz="0" w:space="0" w:color="auto"/>
      </w:divBdr>
    </w:div>
    <w:div w:id="1971158399">
      <w:bodyDiv w:val="1"/>
      <w:marLeft w:val="0"/>
      <w:marRight w:val="0"/>
      <w:marTop w:val="0"/>
      <w:marBottom w:val="0"/>
      <w:divBdr>
        <w:top w:val="none" w:sz="0" w:space="0" w:color="auto"/>
        <w:left w:val="none" w:sz="0" w:space="0" w:color="auto"/>
        <w:bottom w:val="none" w:sz="0" w:space="0" w:color="auto"/>
        <w:right w:val="none" w:sz="0" w:space="0" w:color="auto"/>
      </w:divBdr>
    </w:div>
    <w:div w:id="2043287544">
      <w:bodyDiv w:val="1"/>
      <w:marLeft w:val="0"/>
      <w:marRight w:val="0"/>
      <w:marTop w:val="0"/>
      <w:marBottom w:val="0"/>
      <w:divBdr>
        <w:top w:val="none" w:sz="0" w:space="0" w:color="auto"/>
        <w:left w:val="none" w:sz="0" w:space="0" w:color="auto"/>
        <w:bottom w:val="none" w:sz="0" w:space="0" w:color="auto"/>
        <w:right w:val="none" w:sz="0" w:space="0" w:color="auto"/>
      </w:divBdr>
    </w:div>
    <w:div w:id="2066683133">
      <w:bodyDiv w:val="1"/>
      <w:marLeft w:val="0"/>
      <w:marRight w:val="0"/>
      <w:marTop w:val="0"/>
      <w:marBottom w:val="0"/>
      <w:divBdr>
        <w:top w:val="none" w:sz="0" w:space="0" w:color="auto"/>
        <w:left w:val="none" w:sz="0" w:space="0" w:color="auto"/>
        <w:bottom w:val="none" w:sz="0" w:space="0" w:color="auto"/>
        <w:right w:val="none" w:sz="0" w:space="0" w:color="auto"/>
      </w:divBdr>
      <w:divsChild>
        <w:div w:id="1301426242">
          <w:marLeft w:val="0"/>
          <w:marRight w:val="0"/>
          <w:marTop w:val="0"/>
          <w:marBottom w:val="0"/>
          <w:divBdr>
            <w:top w:val="none" w:sz="0" w:space="0" w:color="auto"/>
            <w:left w:val="none" w:sz="0" w:space="0" w:color="auto"/>
            <w:bottom w:val="none" w:sz="0" w:space="0" w:color="auto"/>
            <w:right w:val="none" w:sz="0" w:space="0" w:color="auto"/>
          </w:divBdr>
        </w:div>
      </w:divsChild>
    </w:div>
    <w:div w:id="2142532494">
      <w:bodyDiv w:val="1"/>
      <w:marLeft w:val="0"/>
      <w:marRight w:val="0"/>
      <w:marTop w:val="0"/>
      <w:marBottom w:val="0"/>
      <w:divBdr>
        <w:top w:val="none" w:sz="0" w:space="0" w:color="auto"/>
        <w:left w:val="none" w:sz="0" w:space="0" w:color="auto"/>
        <w:bottom w:val="none" w:sz="0" w:space="0" w:color="auto"/>
        <w:right w:val="none" w:sz="0" w:space="0" w:color="auto"/>
      </w:divBdr>
      <w:divsChild>
        <w:div w:id="1246569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europa.eu/rapid/press-release_IP-15-5166_en.htm" TargetMode="External"/><Relationship Id="rId18" Type="http://schemas.openxmlformats.org/officeDocument/2006/relationships/hyperlink" Target="http://europa.eu/rapid/press-release_IP-15-6271_en.htm" TargetMode="External"/><Relationship Id="rId26" Type="http://schemas.openxmlformats.org/officeDocument/2006/relationships/hyperlink" Target="http://europa.eu/rapid/press-release_IP-15-4828_sl.htm" TargetMode="External"/><Relationship Id="rId39" Type="http://schemas.openxmlformats.org/officeDocument/2006/relationships/hyperlink" Target="http://europa.eu/rapid/press-release_IP-16-42_sl.htm" TargetMode="External"/><Relationship Id="rId21" Type="http://schemas.openxmlformats.org/officeDocument/2006/relationships/hyperlink" Target="http://ec.europa.eu/competition/elojade/isef/case_details.cfm?proc_code=2_M_7421" TargetMode="External"/><Relationship Id="rId34" Type="http://schemas.openxmlformats.org/officeDocument/2006/relationships/hyperlink" Target="http://ec.europa.eu/competition/elojade/isef/case_details.cfm?proc_code=3_SA_38374" TargetMode="External"/><Relationship Id="rId42" Type="http://schemas.openxmlformats.org/officeDocument/2006/relationships/hyperlink" Target="http://eur-lex.europa.eu/legal-content/SL/TXT/?uri=CELEX:52014DC0453" TargetMode="External"/><Relationship Id="rId47" Type="http://schemas.openxmlformats.org/officeDocument/2006/relationships/hyperlink" Target="http://eur-lex.europa.eu/legal-content/SL/TXT/?qid=1463524229175&amp;uri=CELEX:32015R0751" TargetMode="External"/><Relationship Id="rId50" Type="http://schemas.openxmlformats.org/officeDocument/2006/relationships/hyperlink" Target="http://ec.europa.eu/competition/elojade/isef/case_details.cfm?proc_code=3_SA_41134" TargetMode="External"/><Relationship Id="rId55" Type="http://schemas.openxmlformats.org/officeDocument/2006/relationships/hyperlink" Target="http://ec.europa.eu/competition/elojade/isef/case_details.cfm?proc_code=3_SA_43365" TargetMode="External"/><Relationship Id="rId7" Type="http://schemas.openxmlformats.org/officeDocument/2006/relationships/hyperlink" Target="http://eur-lex.europa.eu/LexUriServ/LexUriServ.do?uri=OJ:C:2013:025:0001:0026:sl:PDF" TargetMode="External"/><Relationship Id="rId12" Type="http://schemas.openxmlformats.org/officeDocument/2006/relationships/hyperlink" Target="http://europa.eu/rapid/press-release_IP-15-4780_sl.htm" TargetMode="External"/><Relationship Id="rId17" Type="http://schemas.openxmlformats.org/officeDocument/2006/relationships/hyperlink" Target="http://eur-lex.europa.eu/legal-content/SL/TXT/?uri=CELEX:32015R2120" TargetMode="External"/><Relationship Id="rId25" Type="http://schemas.openxmlformats.org/officeDocument/2006/relationships/hyperlink" Target="http://eur-lex.europa.eu/legal-content/SL/TXT/?uri=COM%3A2015%3A80%3AFIN" TargetMode="External"/><Relationship Id="rId33" Type="http://schemas.openxmlformats.org/officeDocument/2006/relationships/hyperlink" Target="http://ec.europa.eu/competition/elojade/isef/case_details.cfm?proc_code=3_SA_38375" TargetMode="External"/><Relationship Id="rId38" Type="http://schemas.openxmlformats.org/officeDocument/2006/relationships/hyperlink" Target="http://europa.eu/rapid/press-release_IP-15-4080_en.htm" TargetMode="External"/><Relationship Id="rId46" Type="http://schemas.openxmlformats.org/officeDocument/2006/relationships/hyperlink" Target="http://europa.eu/rapid/press-release_IP-15-5323_sl.htm" TargetMode="External"/><Relationship Id="rId59" Type="http://schemas.openxmlformats.org/officeDocument/2006/relationships/hyperlink" Target="http://ec.europa.eu/competition/elojade/isef/case_details.cfm?proc_code=3_SA_43977" TargetMode="External"/><Relationship Id="rId2" Type="http://schemas.openxmlformats.org/officeDocument/2006/relationships/hyperlink" Target="http://ec.europa.eu/priorities/jobs-growth-investment/plan/efsi/index_en.htm" TargetMode="External"/><Relationship Id="rId16" Type="http://schemas.openxmlformats.org/officeDocument/2006/relationships/hyperlink" Target="http://europa.eu/rapid/press-release_IP-15-5432_en.htm" TargetMode="External"/><Relationship Id="rId20" Type="http://schemas.openxmlformats.org/officeDocument/2006/relationships/hyperlink" Target="http://ec.europa.eu/competition/elojade/isef/case_details.cfm?proc_code=1_39523" TargetMode="External"/><Relationship Id="rId29" Type="http://schemas.openxmlformats.org/officeDocument/2006/relationships/hyperlink" Target="http://europa.eu/rapid/press-release_IP-15-6289_en.htm" TargetMode="External"/><Relationship Id="rId41" Type="http://schemas.openxmlformats.org/officeDocument/2006/relationships/hyperlink" Target="http://eur-lex.europa.eu/legal-content/SL/ALL/?uri=celex:32003R0001" TargetMode="External"/><Relationship Id="rId54" Type="http://schemas.openxmlformats.org/officeDocument/2006/relationships/hyperlink" Target="http://ec.europa.eu/competition/elojade/isef/case_details.cfm?proc_code=3_SA_43364" TargetMode="External"/><Relationship Id="rId1" Type="http://schemas.openxmlformats.org/officeDocument/2006/relationships/hyperlink" Target="http://ec.europa.eu/priorities/jobs-growth-investment/plan/index_sl.htm" TargetMode="External"/><Relationship Id="rId6" Type="http://schemas.openxmlformats.org/officeDocument/2006/relationships/hyperlink" Target="http://eur-lex.europa.eu/legal-content/SL/TXT/?uri=CELEX:52014XC0122(04)" TargetMode="External"/><Relationship Id="rId11" Type="http://schemas.openxmlformats.org/officeDocument/2006/relationships/hyperlink" Target="http://www.europarl.europa.eu/RegData/etudes/STUD/2015/542235/IPOL_STU(2015)542235_EN.pdf" TargetMode="External"/><Relationship Id="rId24" Type="http://schemas.openxmlformats.org/officeDocument/2006/relationships/hyperlink" Target="http://ec.europa.eu/competition/elojade/isef/case_details.cfm?proc_code=2_M_7419" TargetMode="External"/><Relationship Id="rId32" Type="http://schemas.openxmlformats.org/officeDocument/2006/relationships/hyperlink" Target="http://europa.eu/rapid/press-release_IP-15-4610_sl.htm" TargetMode="External"/><Relationship Id="rId37" Type="http://schemas.openxmlformats.org/officeDocument/2006/relationships/hyperlink" Target="http://ec.europa.eu/competition/elojade/isef/case_details.cfm?proc_code=3_SA_38944" TargetMode="External"/><Relationship Id="rId40" Type="http://schemas.openxmlformats.org/officeDocument/2006/relationships/hyperlink" Target="http://europa.eu/rapid/press-release_IP-14-2742_en.htm" TargetMode="External"/><Relationship Id="rId45" Type="http://schemas.openxmlformats.org/officeDocument/2006/relationships/hyperlink" Target="http://ec.europa.eu/competition/elojade/isef/case_details.cfm?proc_code=1_39861" TargetMode="External"/><Relationship Id="rId53" Type="http://schemas.openxmlformats.org/officeDocument/2006/relationships/hyperlink" Target="https://www.bankingsupervision.europa.eu/press/pr/date/2015/html/sr151031.en.html" TargetMode="External"/><Relationship Id="rId58" Type="http://schemas.openxmlformats.org/officeDocument/2006/relationships/hyperlink" Target="http://ec.europa.eu/competition/elojade/isef/case_details.cfm?proc_code=3_SA_43976" TargetMode="External"/><Relationship Id="rId5" Type="http://schemas.openxmlformats.org/officeDocument/2006/relationships/hyperlink" Target="http://eur-lex.europa.eu/legal-content/SL/TXT/?uri=CELEX:52014XC0627(01)" TargetMode="External"/><Relationship Id="rId15" Type="http://schemas.openxmlformats.org/officeDocument/2006/relationships/hyperlink" Target="http://ec.europa.eu/competition/elojade/isef/case_details.cfm?proc_code=2_M_7499" TargetMode="External"/><Relationship Id="rId23" Type="http://schemas.openxmlformats.org/officeDocument/2006/relationships/hyperlink" Target="http://ec.europa.eu/competition/elojade/isef/case_details.cfm?proc_code=2_M_7637" TargetMode="External"/><Relationship Id="rId28" Type="http://schemas.openxmlformats.org/officeDocument/2006/relationships/hyperlink" Target="http://europa.eu/rapid/press-release_IP-15-4651_en.htm" TargetMode="External"/><Relationship Id="rId36" Type="http://schemas.openxmlformats.org/officeDocument/2006/relationships/hyperlink" Target="http://ec.europa.eu/competition/elojade/isef/case_details.cfm?proc_code=3_SA_38373" TargetMode="External"/><Relationship Id="rId49" Type="http://schemas.openxmlformats.org/officeDocument/2006/relationships/hyperlink" Target="http://ec.europa.eu/competition/elojade/isef/case_details.cfm?proc_code=3_SA_39543" TargetMode="External"/><Relationship Id="rId57" Type="http://schemas.openxmlformats.org/officeDocument/2006/relationships/hyperlink" Target="http://ec.europa.eu/competition/elojade/isef/case_details.cfm?proc_code=3_SA_43976" TargetMode="External"/><Relationship Id="rId10" Type="http://schemas.openxmlformats.org/officeDocument/2006/relationships/hyperlink" Target="http://eur-lex.europa.eu/legal-content/SL/TXT/?uri=celex:52015DC0192" TargetMode="External"/><Relationship Id="rId19" Type="http://schemas.openxmlformats.org/officeDocument/2006/relationships/hyperlink" Target="http://europa.eu/rapid/press-release_MEMO-15-4782_en.htm" TargetMode="External"/><Relationship Id="rId31" Type="http://schemas.openxmlformats.org/officeDocument/2006/relationships/hyperlink" Target="http://ec.europa.eu/competition/elojade/isef/index.cfm?fuseaction=dsp_result" TargetMode="External"/><Relationship Id="rId44" Type="http://schemas.openxmlformats.org/officeDocument/2006/relationships/hyperlink" Target="http://ec.europa.eu/competition/elojade/isef/case_details.cfm?proc_code=1_39639" TargetMode="External"/><Relationship Id="rId52" Type="http://schemas.openxmlformats.org/officeDocument/2006/relationships/hyperlink" Target="http://ec.europa.eu/competition/elojade/isef/case_details.cfm?proc_code=3_SA_43547" TargetMode="External"/><Relationship Id="rId60" Type="http://schemas.openxmlformats.org/officeDocument/2006/relationships/hyperlink" Target="http://ec.europa.eu/competition/elojade/isef/case_details.cfm?proc_code=3_SA_43977" TargetMode="External"/><Relationship Id="rId4" Type="http://schemas.openxmlformats.org/officeDocument/2006/relationships/hyperlink" Target="http://eur-lex.europa.eu/legal-content/SL/TXT/?uri=CELEX:32014R0651" TargetMode="External"/><Relationship Id="rId9" Type="http://schemas.openxmlformats.org/officeDocument/2006/relationships/hyperlink" Target="http://ec.europa.eu/priorities/digital-single-market_sl" TargetMode="External"/><Relationship Id="rId14" Type="http://schemas.openxmlformats.org/officeDocument/2006/relationships/hyperlink" Target="http://ec.europa.eu/competition/elojade/isef/case_details.cfm?proc_code=2_M_7194" TargetMode="External"/><Relationship Id="rId22" Type="http://schemas.openxmlformats.org/officeDocument/2006/relationships/hyperlink" Target="http://ec.europa.eu/competition/elojade/isef/case_details.cfm?proc_code=2_M_7612" TargetMode="External"/><Relationship Id="rId27" Type="http://schemas.openxmlformats.org/officeDocument/2006/relationships/hyperlink" Target="http://europa.eu/rapid/press-release_IP-14-215_en.htm" TargetMode="External"/><Relationship Id="rId30" Type="http://schemas.openxmlformats.org/officeDocument/2006/relationships/hyperlink" Target="http://eur-lex.europa.eu/legal-content/SL/TXT/?uri=CELEX:52014XC0628%2801%29" TargetMode="External"/><Relationship Id="rId35" Type="http://schemas.openxmlformats.org/officeDocument/2006/relationships/hyperlink" Target="http://europa.eu/rapid/press-release_IP-15-6221_sl.htm" TargetMode="External"/><Relationship Id="rId43" Type="http://schemas.openxmlformats.org/officeDocument/2006/relationships/hyperlink" Target="http://ec.europa.eu/competition/elojade/isef/case_details.cfm?proc_code=1_39563" TargetMode="External"/><Relationship Id="rId48" Type="http://schemas.openxmlformats.org/officeDocument/2006/relationships/hyperlink" Target="http://eur-lex.europa.eu/legal-content/SL/TXT/?qid=1427289116879&amp;uri=CELEX:32014L0059" TargetMode="External"/><Relationship Id="rId56" Type="http://schemas.openxmlformats.org/officeDocument/2006/relationships/hyperlink" Target="http://ec.europa.eu/competition/elojade/isef/case_details.cfm?proc_code=3_SA_43367" TargetMode="External"/><Relationship Id="rId8" Type="http://schemas.openxmlformats.org/officeDocument/2006/relationships/hyperlink" Target="http://eur-lex.europa.eu/LexUriServ/LexUriServ.do?uri=OJ:C:2013:025:0001:0026:sl:PDF" TargetMode="External"/><Relationship Id="rId51" Type="http://schemas.openxmlformats.org/officeDocument/2006/relationships/hyperlink" Target="http://ec.europa.eu/competition/elojade/isef/case_details.cfm?proc_code=3_SA_41925" TargetMode="External"/><Relationship Id="rId3" Type="http://schemas.openxmlformats.org/officeDocument/2006/relationships/hyperlink" Target="http://ec.europa.eu/competition/state_aid/modernisation/index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DE88-FD9A-482E-AB7B-4A11688F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7757</Words>
  <Characters>47396</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55043</CharactersWithSpaces>
  <SharedDoc>false</SharedDoc>
  <HLinks>
    <vt:vector size="288" baseType="variant">
      <vt:variant>
        <vt:i4>2162734</vt:i4>
      </vt:variant>
      <vt:variant>
        <vt:i4>141</vt:i4>
      </vt:variant>
      <vt:variant>
        <vt:i4>0</vt:i4>
      </vt:variant>
      <vt:variant>
        <vt:i4>5</vt:i4>
      </vt:variant>
      <vt:variant>
        <vt:lpwstr>http://ec.europa.eu/competition/elojade/isef/case_details.cfm?proc_code=3_SA_43365</vt:lpwstr>
      </vt:variant>
      <vt:variant>
        <vt:lpwstr/>
      </vt:variant>
      <vt:variant>
        <vt:i4>2097198</vt:i4>
      </vt:variant>
      <vt:variant>
        <vt:i4>138</vt:i4>
      </vt:variant>
      <vt:variant>
        <vt:i4>0</vt:i4>
      </vt:variant>
      <vt:variant>
        <vt:i4>5</vt:i4>
      </vt:variant>
      <vt:variant>
        <vt:lpwstr>http://ec.europa.eu/competition/elojade/isef/case_details.cfm?proc_code=3_SA_43364</vt:lpwstr>
      </vt:variant>
      <vt:variant>
        <vt:lpwstr/>
      </vt:variant>
      <vt:variant>
        <vt:i4>196626</vt:i4>
      </vt:variant>
      <vt:variant>
        <vt:i4>135</vt:i4>
      </vt:variant>
      <vt:variant>
        <vt:i4>0</vt:i4>
      </vt:variant>
      <vt:variant>
        <vt:i4>5</vt:i4>
      </vt:variant>
      <vt:variant>
        <vt:lpwstr>https://www.bankingsupervision.europa.eu/press/pr/date/2015/html/sr151031.en.html</vt:lpwstr>
      </vt:variant>
      <vt:variant>
        <vt:lpwstr/>
      </vt:variant>
      <vt:variant>
        <vt:i4>5308465</vt:i4>
      </vt:variant>
      <vt:variant>
        <vt:i4>132</vt:i4>
      </vt:variant>
      <vt:variant>
        <vt:i4>0</vt:i4>
      </vt:variant>
      <vt:variant>
        <vt:i4>5</vt:i4>
      </vt:variant>
      <vt:variant>
        <vt:lpwstr>http://eur-lex.europa.eu/legal-content/EN/TXT/?uri=uriserv%3AOJ.L_.2015.123.01.0001.01.ENG</vt:lpwstr>
      </vt:variant>
      <vt:variant>
        <vt:lpwstr/>
      </vt:variant>
      <vt:variant>
        <vt:i4>5177420</vt:i4>
      </vt:variant>
      <vt:variant>
        <vt:i4>129</vt:i4>
      </vt:variant>
      <vt:variant>
        <vt:i4>0</vt:i4>
      </vt:variant>
      <vt:variant>
        <vt:i4>5</vt:i4>
      </vt:variant>
      <vt:variant>
        <vt:lpwstr>http://europa.eu/rapid/press-release_IP-15-5323_en.htm</vt:lpwstr>
      </vt:variant>
      <vt:variant>
        <vt:lpwstr/>
      </vt:variant>
      <vt:variant>
        <vt:i4>8192014</vt:i4>
      </vt:variant>
      <vt:variant>
        <vt:i4>126</vt:i4>
      </vt:variant>
      <vt:variant>
        <vt:i4>0</vt:i4>
      </vt:variant>
      <vt:variant>
        <vt:i4>5</vt:i4>
      </vt:variant>
      <vt:variant>
        <vt:lpwstr>http://ec.europa.eu/competition/elojade/isef/case_details.cfm?proc_code=1_39861</vt:lpwstr>
      </vt:variant>
      <vt:variant>
        <vt:lpwstr/>
      </vt:variant>
      <vt:variant>
        <vt:i4>7864320</vt:i4>
      </vt:variant>
      <vt:variant>
        <vt:i4>123</vt:i4>
      </vt:variant>
      <vt:variant>
        <vt:i4>0</vt:i4>
      </vt:variant>
      <vt:variant>
        <vt:i4>5</vt:i4>
      </vt:variant>
      <vt:variant>
        <vt:lpwstr>http://ec.europa.eu/competition/elojade/isef/case_details.cfm?proc_code=1_39639</vt:lpwstr>
      </vt:variant>
      <vt:variant>
        <vt:lpwstr/>
      </vt:variant>
      <vt:variant>
        <vt:i4>8192003</vt:i4>
      </vt:variant>
      <vt:variant>
        <vt:i4>120</vt:i4>
      </vt:variant>
      <vt:variant>
        <vt:i4>0</vt:i4>
      </vt:variant>
      <vt:variant>
        <vt:i4>5</vt:i4>
      </vt:variant>
      <vt:variant>
        <vt:lpwstr>http://ec.europa.eu/competition/elojade/isef/case_details.cfm?proc_code=1_39563</vt:lpwstr>
      </vt:variant>
      <vt:variant>
        <vt:lpwstr/>
      </vt:variant>
      <vt:variant>
        <vt:i4>8323168</vt:i4>
      </vt:variant>
      <vt:variant>
        <vt:i4>117</vt:i4>
      </vt:variant>
      <vt:variant>
        <vt:i4>0</vt:i4>
      </vt:variant>
      <vt:variant>
        <vt:i4>5</vt:i4>
      </vt:variant>
      <vt:variant>
        <vt:lpwstr>http://eur-lex.europa.eu/legal-content/EN/TXT/?uri=CELEX%3A52014DC0453</vt:lpwstr>
      </vt:variant>
      <vt:variant>
        <vt:lpwstr/>
      </vt:variant>
      <vt:variant>
        <vt:i4>917583</vt:i4>
      </vt:variant>
      <vt:variant>
        <vt:i4>114</vt:i4>
      </vt:variant>
      <vt:variant>
        <vt:i4>0</vt:i4>
      </vt:variant>
      <vt:variant>
        <vt:i4>5</vt:i4>
      </vt:variant>
      <vt:variant>
        <vt:lpwstr>http://eur-lex.europa.eu/legal-content/EN/ALL/?uri=celex%3A32003R0001</vt:lpwstr>
      </vt:variant>
      <vt:variant>
        <vt:lpwstr/>
      </vt:variant>
      <vt:variant>
        <vt:i4>5177417</vt:i4>
      </vt:variant>
      <vt:variant>
        <vt:i4>111</vt:i4>
      </vt:variant>
      <vt:variant>
        <vt:i4>0</vt:i4>
      </vt:variant>
      <vt:variant>
        <vt:i4>5</vt:i4>
      </vt:variant>
      <vt:variant>
        <vt:lpwstr>http://europa.eu/rapid/press-release_IP-14-2742_en.htm</vt:lpwstr>
      </vt:variant>
      <vt:variant>
        <vt:lpwstr/>
      </vt:variant>
      <vt:variant>
        <vt:i4>8323198</vt:i4>
      </vt:variant>
      <vt:variant>
        <vt:i4>108</vt:i4>
      </vt:variant>
      <vt:variant>
        <vt:i4>0</vt:i4>
      </vt:variant>
      <vt:variant>
        <vt:i4>5</vt:i4>
      </vt:variant>
      <vt:variant>
        <vt:lpwstr>http://europa.eu/rapid/press-release_IP-16-42_en.htm</vt:lpwstr>
      </vt:variant>
      <vt:variant>
        <vt:lpwstr/>
      </vt:variant>
      <vt:variant>
        <vt:i4>4456524</vt:i4>
      </vt:variant>
      <vt:variant>
        <vt:i4>105</vt:i4>
      </vt:variant>
      <vt:variant>
        <vt:i4>0</vt:i4>
      </vt:variant>
      <vt:variant>
        <vt:i4>5</vt:i4>
      </vt:variant>
      <vt:variant>
        <vt:lpwstr>http://europa.eu/rapid/press-release_IP-15-4080_en.htm</vt:lpwstr>
      </vt:variant>
      <vt:variant>
        <vt:lpwstr/>
      </vt:variant>
      <vt:variant>
        <vt:i4>2949159</vt:i4>
      </vt:variant>
      <vt:variant>
        <vt:i4>102</vt:i4>
      </vt:variant>
      <vt:variant>
        <vt:i4>0</vt:i4>
      </vt:variant>
      <vt:variant>
        <vt:i4>5</vt:i4>
      </vt:variant>
      <vt:variant>
        <vt:lpwstr>http://ec.europa.eu/competition/elojade/isef/case_details.cfm?proc_code=3_SA_38944</vt:lpwstr>
      </vt:variant>
      <vt:variant>
        <vt:lpwstr/>
      </vt:variant>
      <vt:variant>
        <vt:i4>2097188</vt:i4>
      </vt:variant>
      <vt:variant>
        <vt:i4>99</vt:i4>
      </vt:variant>
      <vt:variant>
        <vt:i4>0</vt:i4>
      </vt:variant>
      <vt:variant>
        <vt:i4>5</vt:i4>
      </vt:variant>
      <vt:variant>
        <vt:lpwstr>http://ec.europa.eu/competition/elojade/isef/case_details.cfm?proc_code=3_SA_38373</vt:lpwstr>
      </vt:variant>
      <vt:variant>
        <vt:lpwstr/>
      </vt:variant>
      <vt:variant>
        <vt:i4>4980815</vt:i4>
      </vt:variant>
      <vt:variant>
        <vt:i4>96</vt:i4>
      </vt:variant>
      <vt:variant>
        <vt:i4>0</vt:i4>
      </vt:variant>
      <vt:variant>
        <vt:i4>5</vt:i4>
      </vt:variant>
      <vt:variant>
        <vt:lpwstr>http://europa.eu/rapid/press-release_IP-15-6221_en.htm</vt:lpwstr>
      </vt:variant>
      <vt:variant>
        <vt:lpwstr/>
      </vt:variant>
      <vt:variant>
        <vt:i4>2555940</vt:i4>
      </vt:variant>
      <vt:variant>
        <vt:i4>93</vt:i4>
      </vt:variant>
      <vt:variant>
        <vt:i4>0</vt:i4>
      </vt:variant>
      <vt:variant>
        <vt:i4>5</vt:i4>
      </vt:variant>
      <vt:variant>
        <vt:lpwstr>http://ec.europa.eu/competition/elojade/isef/case_details.cfm?proc_code=3_SA_38374</vt:lpwstr>
      </vt:variant>
      <vt:variant>
        <vt:lpwstr/>
      </vt:variant>
      <vt:variant>
        <vt:i4>2490404</vt:i4>
      </vt:variant>
      <vt:variant>
        <vt:i4>90</vt:i4>
      </vt:variant>
      <vt:variant>
        <vt:i4>0</vt:i4>
      </vt:variant>
      <vt:variant>
        <vt:i4>5</vt:i4>
      </vt:variant>
      <vt:variant>
        <vt:lpwstr>http://ec.europa.eu/competition/elojade/isef/case_details.cfm?proc_code=3_SA_38375</vt:lpwstr>
      </vt:variant>
      <vt:variant>
        <vt:lpwstr/>
      </vt:variant>
      <vt:variant>
        <vt:i4>5046346</vt:i4>
      </vt:variant>
      <vt:variant>
        <vt:i4>87</vt:i4>
      </vt:variant>
      <vt:variant>
        <vt:i4>0</vt:i4>
      </vt:variant>
      <vt:variant>
        <vt:i4>5</vt:i4>
      </vt:variant>
      <vt:variant>
        <vt:lpwstr>http://europa.eu/rapid/press-release_IP-15-4610_en.htm</vt:lpwstr>
      </vt:variant>
      <vt:variant>
        <vt:lpwstr/>
      </vt:variant>
      <vt:variant>
        <vt:i4>3604495</vt:i4>
      </vt:variant>
      <vt:variant>
        <vt:i4>84</vt:i4>
      </vt:variant>
      <vt:variant>
        <vt:i4>0</vt:i4>
      </vt:variant>
      <vt:variant>
        <vt:i4>5</vt:i4>
      </vt:variant>
      <vt:variant>
        <vt:lpwstr>http://ec.europa.eu/competition/elojade/isef/index.cfm?fuseaction=dsp_result</vt:lpwstr>
      </vt:variant>
      <vt:variant>
        <vt:lpwstr/>
      </vt:variant>
      <vt:variant>
        <vt:i4>5963803</vt:i4>
      </vt:variant>
      <vt:variant>
        <vt:i4>81</vt:i4>
      </vt:variant>
      <vt:variant>
        <vt:i4>0</vt:i4>
      </vt:variant>
      <vt:variant>
        <vt:i4>5</vt:i4>
      </vt:variant>
      <vt:variant>
        <vt:lpwstr>http://eur-lex.europa.eu/legal-content/EN/TXT/?uri=CELEX:52014XC0628%2801%29</vt:lpwstr>
      </vt:variant>
      <vt:variant>
        <vt:lpwstr/>
      </vt:variant>
      <vt:variant>
        <vt:i4>4587591</vt:i4>
      </vt:variant>
      <vt:variant>
        <vt:i4>78</vt:i4>
      </vt:variant>
      <vt:variant>
        <vt:i4>0</vt:i4>
      </vt:variant>
      <vt:variant>
        <vt:i4>5</vt:i4>
      </vt:variant>
      <vt:variant>
        <vt:lpwstr>http://europa.eu/rapid/press-release_IP-15-6289_en.htm</vt:lpwstr>
      </vt:variant>
      <vt:variant>
        <vt:lpwstr/>
      </vt:variant>
      <vt:variant>
        <vt:i4>4784203</vt:i4>
      </vt:variant>
      <vt:variant>
        <vt:i4>75</vt:i4>
      </vt:variant>
      <vt:variant>
        <vt:i4>0</vt:i4>
      </vt:variant>
      <vt:variant>
        <vt:i4>5</vt:i4>
      </vt:variant>
      <vt:variant>
        <vt:lpwstr>http://europa.eu/rapid/press-release_IP-15-4651_en.htm</vt:lpwstr>
      </vt:variant>
      <vt:variant>
        <vt:lpwstr/>
      </vt:variant>
      <vt:variant>
        <vt:i4>4522011</vt:i4>
      </vt:variant>
      <vt:variant>
        <vt:i4>72</vt:i4>
      </vt:variant>
      <vt:variant>
        <vt:i4>0</vt:i4>
      </vt:variant>
      <vt:variant>
        <vt:i4>5</vt:i4>
      </vt:variant>
      <vt:variant>
        <vt:lpwstr>http://europa.eu/rapid/press-release_IP-14-215_en.htm</vt:lpwstr>
      </vt:variant>
      <vt:variant>
        <vt:lpwstr/>
      </vt:variant>
      <vt:variant>
        <vt:i4>5111884</vt:i4>
      </vt:variant>
      <vt:variant>
        <vt:i4>69</vt:i4>
      </vt:variant>
      <vt:variant>
        <vt:i4>0</vt:i4>
      </vt:variant>
      <vt:variant>
        <vt:i4>5</vt:i4>
      </vt:variant>
      <vt:variant>
        <vt:lpwstr>http://europa.eu/rapid/press-release_IP-15-4828_en.htm</vt:lpwstr>
      </vt:variant>
      <vt:variant>
        <vt:lpwstr/>
      </vt:variant>
      <vt:variant>
        <vt:i4>2031694</vt:i4>
      </vt:variant>
      <vt:variant>
        <vt:i4>66</vt:i4>
      </vt:variant>
      <vt:variant>
        <vt:i4>0</vt:i4>
      </vt:variant>
      <vt:variant>
        <vt:i4>5</vt:i4>
      </vt:variant>
      <vt:variant>
        <vt:lpwstr>http://eur-lex.europa.eu/legal-content/EN/TXT/?uri=COM%3A2015%3A80%3AFIN</vt:lpwstr>
      </vt:variant>
      <vt:variant>
        <vt:lpwstr/>
      </vt:variant>
      <vt:variant>
        <vt:i4>7929859</vt:i4>
      </vt:variant>
      <vt:variant>
        <vt:i4>63</vt:i4>
      </vt:variant>
      <vt:variant>
        <vt:i4>0</vt:i4>
      </vt:variant>
      <vt:variant>
        <vt:i4>5</vt:i4>
      </vt:variant>
      <vt:variant>
        <vt:lpwstr>http://ec.europa.eu/competition/elojade/isef/case_details.cfm?proc_code=1_39523</vt:lpwstr>
      </vt:variant>
      <vt:variant>
        <vt:lpwstr/>
      </vt:variant>
      <vt:variant>
        <vt:i4>2097261</vt:i4>
      </vt:variant>
      <vt:variant>
        <vt:i4>60</vt:i4>
      </vt:variant>
      <vt:variant>
        <vt:i4>0</vt:i4>
      </vt:variant>
      <vt:variant>
        <vt:i4>5</vt:i4>
      </vt:variant>
      <vt:variant>
        <vt:lpwstr>http://ec.europa.eu/competition/elojade/isef/case_details.cfm?proc_code=2_M_7419</vt:lpwstr>
      </vt:variant>
      <vt:variant>
        <vt:lpwstr/>
      </vt:variant>
      <vt:variant>
        <vt:i4>2883695</vt:i4>
      </vt:variant>
      <vt:variant>
        <vt:i4>57</vt:i4>
      </vt:variant>
      <vt:variant>
        <vt:i4>0</vt:i4>
      </vt:variant>
      <vt:variant>
        <vt:i4>5</vt:i4>
      </vt:variant>
      <vt:variant>
        <vt:lpwstr>http://ec.europa.eu/competition/elojade/isef/case_details.cfm?proc_code=2_M_7637</vt:lpwstr>
      </vt:variant>
      <vt:variant>
        <vt:lpwstr/>
      </vt:variant>
      <vt:variant>
        <vt:i4>2687085</vt:i4>
      </vt:variant>
      <vt:variant>
        <vt:i4>54</vt:i4>
      </vt:variant>
      <vt:variant>
        <vt:i4>0</vt:i4>
      </vt:variant>
      <vt:variant>
        <vt:i4>5</vt:i4>
      </vt:variant>
      <vt:variant>
        <vt:lpwstr>http://ec.europa.eu/competition/elojade/isef/case_details.cfm?proc_code=2_M_7612</vt:lpwstr>
      </vt:variant>
      <vt:variant>
        <vt:lpwstr/>
      </vt:variant>
      <vt:variant>
        <vt:i4>2621550</vt:i4>
      </vt:variant>
      <vt:variant>
        <vt:i4>51</vt:i4>
      </vt:variant>
      <vt:variant>
        <vt:i4>0</vt:i4>
      </vt:variant>
      <vt:variant>
        <vt:i4>5</vt:i4>
      </vt:variant>
      <vt:variant>
        <vt:lpwstr>http://ec.europa.eu/competition/elojade/isef/case_details.cfm?proc_code=2_M_7421</vt:lpwstr>
      </vt:variant>
      <vt:variant>
        <vt:lpwstr/>
      </vt:variant>
      <vt:variant>
        <vt:i4>2949171</vt:i4>
      </vt:variant>
      <vt:variant>
        <vt:i4>48</vt:i4>
      </vt:variant>
      <vt:variant>
        <vt:i4>0</vt:i4>
      </vt:variant>
      <vt:variant>
        <vt:i4>5</vt:i4>
      </vt:variant>
      <vt:variant>
        <vt:lpwstr>http://europa.eu/rapid/press-release_MEMO-15-4782_en.htm</vt:lpwstr>
      </vt:variant>
      <vt:variant>
        <vt:lpwstr/>
      </vt:variant>
      <vt:variant>
        <vt:i4>4784207</vt:i4>
      </vt:variant>
      <vt:variant>
        <vt:i4>45</vt:i4>
      </vt:variant>
      <vt:variant>
        <vt:i4>0</vt:i4>
      </vt:variant>
      <vt:variant>
        <vt:i4>5</vt:i4>
      </vt:variant>
      <vt:variant>
        <vt:lpwstr>http://europa.eu/rapid/press-release_IP-15-6271_en.htm</vt:lpwstr>
      </vt:variant>
      <vt:variant>
        <vt:lpwstr/>
      </vt:variant>
      <vt:variant>
        <vt:i4>1835074</vt:i4>
      </vt:variant>
      <vt:variant>
        <vt:i4>42</vt:i4>
      </vt:variant>
      <vt:variant>
        <vt:i4>0</vt:i4>
      </vt:variant>
      <vt:variant>
        <vt:i4>5</vt:i4>
      </vt:variant>
      <vt:variant>
        <vt:lpwstr>http://eur-lex.europa.eu/legal-content/EN/TXT/?uri=CELEX%3A32015R2120</vt:lpwstr>
      </vt:variant>
      <vt:variant>
        <vt:lpwstr/>
      </vt:variant>
      <vt:variant>
        <vt:i4>5111882</vt:i4>
      </vt:variant>
      <vt:variant>
        <vt:i4>39</vt:i4>
      </vt:variant>
      <vt:variant>
        <vt:i4>0</vt:i4>
      </vt:variant>
      <vt:variant>
        <vt:i4>5</vt:i4>
      </vt:variant>
      <vt:variant>
        <vt:lpwstr>http://europa.eu/rapid/press-release_IP-15-5432_en.htm</vt:lpwstr>
      </vt:variant>
      <vt:variant>
        <vt:lpwstr/>
      </vt:variant>
      <vt:variant>
        <vt:i4>2097253</vt:i4>
      </vt:variant>
      <vt:variant>
        <vt:i4>36</vt:i4>
      </vt:variant>
      <vt:variant>
        <vt:i4>0</vt:i4>
      </vt:variant>
      <vt:variant>
        <vt:i4>5</vt:i4>
      </vt:variant>
      <vt:variant>
        <vt:lpwstr>http://ec.europa.eu/competition/elojade/isef/case_details.cfm?proc_code=2_M_7499</vt:lpwstr>
      </vt:variant>
      <vt:variant>
        <vt:lpwstr/>
      </vt:variant>
      <vt:variant>
        <vt:i4>2621541</vt:i4>
      </vt:variant>
      <vt:variant>
        <vt:i4>33</vt:i4>
      </vt:variant>
      <vt:variant>
        <vt:i4>0</vt:i4>
      </vt:variant>
      <vt:variant>
        <vt:i4>5</vt:i4>
      </vt:variant>
      <vt:variant>
        <vt:lpwstr>http://ec.europa.eu/competition/elojade/isef/case_details.cfm?proc_code=2_M_7194</vt:lpwstr>
      </vt:variant>
      <vt:variant>
        <vt:lpwstr/>
      </vt:variant>
      <vt:variant>
        <vt:i4>4915275</vt:i4>
      </vt:variant>
      <vt:variant>
        <vt:i4>30</vt:i4>
      </vt:variant>
      <vt:variant>
        <vt:i4>0</vt:i4>
      </vt:variant>
      <vt:variant>
        <vt:i4>5</vt:i4>
      </vt:variant>
      <vt:variant>
        <vt:lpwstr>http://europa.eu/rapid/press-release_IP-15-5166_en.htm</vt:lpwstr>
      </vt:variant>
      <vt:variant>
        <vt:lpwstr/>
      </vt:variant>
      <vt:variant>
        <vt:i4>4456523</vt:i4>
      </vt:variant>
      <vt:variant>
        <vt:i4>27</vt:i4>
      </vt:variant>
      <vt:variant>
        <vt:i4>0</vt:i4>
      </vt:variant>
      <vt:variant>
        <vt:i4>5</vt:i4>
      </vt:variant>
      <vt:variant>
        <vt:lpwstr>http://europa.eu/rapid/press-release_IP-15-4780_en.htm</vt:lpwstr>
      </vt:variant>
      <vt:variant>
        <vt:lpwstr/>
      </vt:variant>
      <vt:variant>
        <vt:i4>262217</vt:i4>
      </vt:variant>
      <vt:variant>
        <vt:i4>24</vt:i4>
      </vt:variant>
      <vt:variant>
        <vt:i4>0</vt:i4>
      </vt:variant>
      <vt:variant>
        <vt:i4>5</vt:i4>
      </vt:variant>
      <vt:variant>
        <vt:lpwstr>http://www.europarl.europa.eu/RegData/etudes/STUD/2015/542235/IPOL_STU%282015%29542235_EN.pdf</vt:lpwstr>
      </vt:variant>
      <vt:variant>
        <vt:lpwstr/>
      </vt:variant>
      <vt:variant>
        <vt:i4>7995500</vt:i4>
      </vt:variant>
      <vt:variant>
        <vt:i4>21</vt:i4>
      </vt:variant>
      <vt:variant>
        <vt:i4>0</vt:i4>
      </vt:variant>
      <vt:variant>
        <vt:i4>5</vt:i4>
      </vt:variant>
      <vt:variant>
        <vt:lpwstr>http://eur-lex.europa.eu/legal-content/EN/TXT/?uri=celex%3A52015DC0192</vt:lpwstr>
      </vt:variant>
      <vt:variant>
        <vt:lpwstr/>
      </vt:variant>
      <vt:variant>
        <vt:i4>2162690</vt:i4>
      </vt:variant>
      <vt:variant>
        <vt:i4>18</vt:i4>
      </vt:variant>
      <vt:variant>
        <vt:i4>0</vt:i4>
      </vt:variant>
      <vt:variant>
        <vt:i4>5</vt:i4>
      </vt:variant>
      <vt:variant>
        <vt:lpwstr>http://eur-lex.europa.eu/_x000b_LexUriServ/LexUriServ.do?uri=OJ:C:2013:025:0001:0026:en:PDF</vt:lpwstr>
      </vt:variant>
      <vt:variant>
        <vt:lpwstr/>
      </vt:variant>
      <vt:variant>
        <vt:i4>5308441</vt:i4>
      </vt:variant>
      <vt:variant>
        <vt:i4>15</vt:i4>
      </vt:variant>
      <vt:variant>
        <vt:i4>0</vt:i4>
      </vt:variant>
      <vt:variant>
        <vt:i4>5</vt:i4>
      </vt:variant>
      <vt:variant>
        <vt:lpwstr>http://eur-lex.europa.eu/legal-content/EN/TXT/?uri=CELEX:52014XC0122(04)</vt:lpwstr>
      </vt:variant>
      <vt:variant>
        <vt:lpwstr/>
      </vt:variant>
      <vt:variant>
        <vt:i4>6881354</vt:i4>
      </vt:variant>
      <vt:variant>
        <vt:i4>12</vt:i4>
      </vt:variant>
      <vt:variant>
        <vt:i4>0</vt:i4>
      </vt:variant>
      <vt:variant>
        <vt:i4>5</vt:i4>
      </vt:variant>
      <vt:variant>
        <vt:lpwstr>http://eur-lex.europa.eu/legal-content/EN/TXT/?uri=uriserv:OJ.C_.2014.198.01.0001.01.ENG</vt:lpwstr>
      </vt:variant>
      <vt:variant>
        <vt:lpwstr/>
      </vt:variant>
      <vt:variant>
        <vt:i4>6815818</vt:i4>
      </vt:variant>
      <vt:variant>
        <vt:i4>9</vt:i4>
      </vt:variant>
      <vt:variant>
        <vt:i4>0</vt:i4>
      </vt:variant>
      <vt:variant>
        <vt:i4>5</vt:i4>
      </vt:variant>
      <vt:variant>
        <vt:lpwstr>http://eur-lex.europa.eu/legal-content/EN/TXT/?uri=uriserv:OJ.L_.2014.187.01.0001.01.ENG</vt:lpwstr>
      </vt:variant>
      <vt:variant>
        <vt:lpwstr/>
      </vt:variant>
      <vt:variant>
        <vt:i4>720927</vt:i4>
      </vt:variant>
      <vt:variant>
        <vt:i4>6</vt:i4>
      </vt:variant>
      <vt:variant>
        <vt:i4>0</vt:i4>
      </vt:variant>
      <vt:variant>
        <vt:i4>5</vt:i4>
      </vt:variant>
      <vt:variant>
        <vt:lpwstr>http://ec.europa.eu/competition/state_aid/modernisation/index_en.html</vt:lpwstr>
      </vt:variant>
      <vt:variant>
        <vt:lpwstr/>
      </vt:variant>
      <vt:variant>
        <vt:i4>3342427</vt:i4>
      </vt:variant>
      <vt:variant>
        <vt:i4>3</vt:i4>
      </vt:variant>
      <vt:variant>
        <vt:i4>0</vt:i4>
      </vt:variant>
      <vt:variant>
        <vt:i4>5</vt:i4>
      </vt:variant>
      <vt:variant>
        <vt:lpwstr>http://ec.europa.eu/priorities/jobs-growth-investment/plan/efsi/index_en.htm</vt:lpwstr>
      </vt:variant>
      <vt:variant>
        <vt:lpwstr/>
      </vt:variant>
      <vt:variant>
        <vt:i4>8323148</vt:i4>
      </vt:variant>
      <vt:variant>
        <vt:i4>0</vt:i4>
      </vt:variant>
      <vt:variant>
        <vt:i4>0</vt:i4>
      </vt:variant>
      <vt:variant>
        <vt:i4>5</vt:i4>
      </vt:variant>
      <vt:variant>
        <vt:lpwstr>http://ec.europa.eu/priorities/jobs-growth-investment/plan/index_en.htm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23</cp:revision>
  <cp:lastPrinted>2016-04-05T12:55:00Z</cp:lastPrinted>
  <dcterms:created xsi:type="dcterms:W3CDTF">2016-05-25T11:26:00Z</dcterms:created>
  <dcterms:modified xsi:type="dcterms:W3CDTF">2016-06-15T06:53:00Z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AdHocReviewCycleID">
    <vt:i4>1975865362</vt:i4>
  </property>
  <property fmtid="{D5CDD505-2E9C-101B-9397-08002B2CF9AE}" pid="6" name="_NewReviewCycle">
    <vt:lpwstr/>
  </property>
  <property fmtid="{D5CDD505-2E9C-101B-9397-08002B2CF9AE}" pid="7" name="_EmailSubject">
    <vt:lpwstr>ACR 2015 - translation</vt:lpwstr>
  </property>
  <property fmtid="{D5CDD505-2E9C-101B-9397-08002B2CF9AE}" pid="8" name="_AuthorEmail">
    <vt:lpwstr>Inga.GUSSEVA@ec.europa.eu</vt:lpwstr>
  </property>
  <property fmtid="{D5CDD505-2E9C-101B-9397-08002B2CF9AE}" pid="9" name="_AuthorEmailDisplayName">
    <vt:lpwstr>GUSSEVA Inga (COMP)</vt:lpwstr>
  </property>
  <property fmtid="{D5CDD505-2E9C-101B-9397-08002B2CF9AE}" pid="10" name="_ReviewingToolsShownOnce">
    <vt:lpwstr/>
  </property>
  <property fmtid="{D5CDD505-2E9C-101B-9397-08002B2CF9AE}" pid="11" name="DocStatus">
    <vt:lpwstr>Red</vt:lpwstr>
  </property>
</Properties>
</file>