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AD37E8444F04487B9C3C414D855522E0" style="width:450.4pt;height:307.25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TOCHeading"/>
        <w:rPr>
          <w:noProof/>
        </w:rPr>
      </w:pPr>
      <w:bookmarkStart w:id="1" w:name="_GoBack"/>
      <w:bookmarkEnd w:id="1"/>
      <w:r>
        <w:rPr>
          <w:noProof/>
        </w:rPr>
        <w:lastRenderedPageBreak/>
        <w:t>Sisällysluettelo</w:t>
      </w:r>
    </w:p>
    <w:p>
      <w:pPr>
        <w:pStyle w:val="TOC1"/>
        <w:rPr>
          <w:rFonts w:asciiTheme="minorHAnsi" w:eastAsiaTheme="minorEastAsia" w:hAnsiTheme="minorHAnsi" w:cstheme="minorBidi"/>
          <w:noProof/>
          <w:sz w:val="22"/>
          <w:szCs w:val="22"/>
          <w:lang w:bidi="ar-SA"/>
        </w:rPr>
      </w:pPr>
      <w:r>
        <w:rPr>
          <w:noProof/>
        </w:rPr>
        <w:fldChar w:fldCharType="begin"/>
      </w:r>
      <w:r>
        <w:rPr>
          <w:noProof/>
        </w:rPr>
        <w:instrText xml:space="preserve"> TOC \o "1-3" \h \z \u </w:instrText>
      </w:r>
      <w:r>
        <w:rPr>
          <w:noProof/>
        </w:rPr>
        <w:fldChar w:fldCharType="separate"/>
      </w:r>
      <w:hyperlink w:anchor="_Toc452361668" w:history="1">
        <w:r>
          <w:rPr>
            <w:rStyle w:val="Hyperlink"/>
            <w:noProof/>
          </w:rPr>
          <w:t>1.</w:t>
        </w:r>
        <w:r>
          <w:rPr>
            <w:rFonts w:asciiTheme="minorHAnsi" w:eastAsiaTheme="minorEastAsia" w:hAnsiTheme="minorHAnsi" w:cstheme="minorBidi"/>
            <w:noProof/>
            <w:sz w:val="22"/>
            <w:szCs w:val="22"/>
            <w:lang w:bidi="ar-SA"/>
          </w:rPr>
          <w:tab/>
        </w:r>
        <w:r>
          <w:rPr>
            <w:rStyle w:val="Hyperlink"/>
            <w:noProof/>
          </w:rPr>
          <w:t>Johdanto</w:t>
        </w:r>
        <w:r>
          <w:rPr>
            <w:noProof/>
            <w:webHidden/>
          </w:rPr>
          <w:tab/>
        </w:r>
        <w:r>
          <w:rPr>
            <w:noProof/>
            <w:webHidden/>
          </w:rPr>
          <w:fldChar w:fldCharType="begin"/>
        </w:r>
        <w:r>
          <w:rPr>
            <w:noProof/>
            <w:webHidden/>
          </w:rPr>
          <w:instrText xml:space="preserve"> PAGEREF _Toc452361668 \h </w:instrText>
        </w:r>
        <w:r>
          <w:rPr>
            <w:noProof/>
            <w:webHidden/>
          </w:rPr>
        </w:r>
        <w:r>
          <w:rPr>
            <w:noProof/>
            <w:webHidden/>
          </w:rPr>
          <w:fldChar w:fldCharType="separate"/>
        </w:r>
        <w:r>
          <w:rPr>
            <w:noProof/>
            <w:webHidden/>
          </w:rPr>
          <w:t>3</w:t>
        </w:r>
        <w:r>
          <w:rPr>
            <w:noProof/>
            <w:webHidden/>
          </w:rPr>
          <w:fldChar w:fldCharType="end"/>
        </w:r>
      </w:hyperlink>
    </w:p>
    <w:p>
      <w:pPr>
        <w:pStyle w:val="TOC1"/>
        <w:rPr>
          <w:rFonts w:asciiTheme="minorHAnsi" w:eastAsiaTheme="minorEastAsia" w:hAnsiTheme="minorHAnsi" w:cstheme="minorBidi"/>
          <w:noProof/>
          <w:sz w:val="22"/>
          <w:szCs w:val="22"/>
          <w:lang w:bidi="ar-SA"/>
        </w:rPr>
      </w:pPr>
      <w:hyperlink w:anchor="_Toc452361669" w:history="1">
        <w:r>
          <w:rPr>
            <w:rStyle w:val="Hyperlink"/>
            <w:noProof/>
          </w:rPr>
          <w:t>2.</w:t>
        </w:r>
        <w:r>
          <w:rPr>
            <w:rFonts w:asciiTheme="minorHAnsi" w:eastAsiaTheme="minorEastAsia" w:hAnsiTheme="minorHAnsi" w:cstheme="minorBidi"/>
            <w:noProof/>
            <w:sz w:val="22"/>
            <w:szCs w:val="22"/>
            <w:lang w:bidi="ar-SA"/>
          </w:rPr>
          <w:tab/>
        </w:r>
        <w:r>
          <w:rPr>
            <w:rStyle w:val="Hyperlink"/>
            <w:noProof/>
          </w:rPr>
          <w:t>Euroopan unionin lainanantotoiminta</w:t>
        </w:r>
        <w:r>
          <w:rPr>
            <w:noProof/>
            <w:webHidden/>
          </w:rPr>
          <w:tab/>
        </w:r>
        <w:r>
          <w:rPr>
            <w:noProof/>
            <w:webHidden/>
          </w:rPr>
          <w:fldChar w:fldCharType="begin"/>
        </w:r>
        <w:r>
          <w:rPr>
            <w:noProof/>
            <w:webHidden/>
          </w:rPr>
          <w:instrText xml:space="preserve"> PAGEREF _Toc452361669 \h </w:instrText>
        </w:r>
        <w:r>
          <w:rPr>
            <w:noProof/>
            <w:webHidden/>
          </w:rPr>
        </w:r>
        <w:r>
          <w:rPr>
            <w:noProof/>
            <w:webHidden/>
          </w:rPr>
          <w:fldChar w:fldCharType="separate"/>
        </w:r>
        <w:r>
          <w:rPr>
            <w:noProof/>
            <w:webHidden/>
          </w:rPr>
          <w:t>3</w:t>
        </w:r>
        <w:r>
          <w:rPr>
            <w:noProof/>
            <w:webHidden/>
          </w:rPr>
          <w:fldChar w:fldCharType="end"/>
        </w:r>
      </w:hyperlink>
    </w:p>
    <w:p>
      <w:pPr>
        <w:pStyle w:val="TOC1"/>
        <w:rPr>
          <w:rFonts w:asciiTheme="minorHAnsi" w:eastAsiaTheme="minorEastAsia" w:hAnsiTheme="minorHAnsi" w:cstheme="minorBidi"/>
          <w:noProof/>
          <w:sz w:val="22"/>
          <w:szCs w:val="22"/>
          <w:lang w:bidi="ar-SA"/>
        </w:rPr>
      </w:pPr>
      <w:hyperlink w:anchor="_Toc452361670" w:history="1">
        <w:r>
          <w:rPr>
            <w:rStyle w:val="Hyperlink"/>
            <w:noProof/>
          </w:rPr>
          <w:t>2.1.</w:t>
        </w:r>
        <w:r>
          <w:rPr>
            <w:rFonts w:asciiTheme="minorHAnsi" w:eastAsiaTheme="minorEastAsia" w:hAnsiTheme="minorHAnsi" w:cstheme="minorBidi"/>
            <w:noProof/>
            <w:sz w:val="22"/>
            <w:szCs w:val="22"/>
            <w:lang w:bidi="ar-SA"/>
          </w:rPr>
          <w:tab/>
        </w:r>
        <w:r>
          <w:rPr>
            <w:rStyle w:val="Hyperlink"/>
            <w:noProof/>
          </w:rPr>
          <w:t>Maksutasejärjestely</w:t>
        </w:r>
        <w:r>
          <w:rPr>
            <w:noProof/>
            <w:webHidden/>
          </w:rPr>
          <w:tab/>
        </w:r>
        <w:r>
          <w:rPr>
            <w:noProof/>
            <w:webHidden/>
          </w:rPr>
          <w:fldChar w:fldCharType="begin"/>
        </w:r>
        <w:r>
          <w:rPr>
            <w:noProof/>
            <w:webHidden/>
          </w:rPr>
          <w:instrText xml:space="preserve"> PAGEREF _Toc452361670 \h </w:instrText>
        </w:r>
        <w:r>
          <w:rPr>
            <w:noProof/>
            <w:webHidden/>
          </w:rPr>
        </w:r>
        <w:r>
          <w:rPr>
            <w:noProof/>
            <w:webHidden/>
          </w:rPr>
          <w:fldChar w:fldCharType="separate"/>
        </w:r>
        <w:r>
          <w:rPr>
            <w:noProof/>
            <w:webHidden/>
          </w:rPr>
          <w:t>4</w:t>
        </w:r>
        <w:r>
          <w:rPr>
            <w:noProof/>
            <w:webHidden/>
          </w:rPr>
          <w:fldChar w:fldCharType="end"/>
        </w:r>
      </w:hyperlink>
    </w:p>
    <w:p>
      <w:pPr>
        <w:pStyle w:val="TOC1"/>
        <w:rPr>
          <w:rFonts w:asciiTheme="minorHAnsi" w:eastAsiaTheme="minorEastAsia" w:hAnsiTheme="minorHAnsi" w:cstheme="minorBidi"/>
          <w:noProof/>
          <w:sz w:val="22"/>
          <w:szCs w:val="22"/>
          <w:lang w:bidi="ar-SA"/>
        </w:rPr>
      </w:pPr>
      <w:hyperlink w:anchor="_Toc452361671" w:history="1">
        <w:r>
          <w:rPr>
            <w:rStyle w:val="Hyperlink"/>
            <w:noProof/>
          </w:rPr>
          <w:t>2.2.</w:t>
        </w:r>
        <w:r>
          <w:rPr>
            <w:rFonts w:asciiTheme="minorHAnsi" w:eastAsiaTheme="minorEastAsia" w:hAnsiTheme="minorHAnsi" w:cstheme="minorBidi"/>
            <w:noProof/>
            <w:sz w:val="22"/>
            <w:szCs w:val="22"/>
            <w:lang w:bidi="ar-SA"/>
          </w:rPr>
          <w:tab/>
        </w:r>
        <w:r>
          <w:rPr>
            <w:rStyle w:val="Hyperlink"/>
            <w:noProof/>
          </w:rPr>
          <w:t>Euroopan rahoituksenvakautusmekanismi</w:t>
        </w:r>
        <w:r>
          <w:rPr>
            <w:noProof/>
            <w:webHidden/>
          </w:rPr>
          <w:tab/>
        </w:r>
        <w:r>
          <w:rPr>
            <w:noProof/>
            <w:webHidden/>
          </w:rPr>
          <w:fldChar w:fldCharType="begin"/>
        </w:r>
        <w:r>
          <w:rPr>
            <w:noProof/>
            <w:webHidden/>
          </w:rPr>
          <w:instrText xml:space="preserve"> PAGEREF _Toc452361671 \h </w:instrText>
        </w:r>
        <w:r>
          <w:rPr>
            <w:noProof/>
            <w:webHidden/>
          </w:rPr>
        </w:r>
        <w:r>
          <w:rPr>
            <w:noProof/>
            <w:webHidden/>
          </w:rPr>
          <w:fldChar w:fldCharType="separate"/>
        </w:r>
        <w:r>
          <w:rPr>
            <w:noProof/>
            <w:webHidden/>
          </w:rPr>
          <w:t>5</w:t>
        </w:r>
        <w:r>
          <w:rPr>
            <w:noProof/>
            <w:webHidden/>
          </w:rPr>
          <w:fldChar w:fldCharType="end"/>
        </w:r>
      </w:hyperlink>
    </w:p>
    <w:p>
      <w:pPr>
        <w:pStyle w:val="TOC2"/>
        <w:rPr>
          <w:rFonts w:asciiTheme="minorHAnsi" w:eastAsiaTheme="minorEastAsia" w:hAnsiTheme="minorHAnsi" w:cstheme="minorBidi"/>
          <w:noProof/>
          <w:sz w:val="22"/>
          <w:szCs w:val="22"/>
          <w:lang w:bidi="ar-SA"/>
        </w:rPr>
      </w:pPr>
      <w:hyperlink w:anchor="_Toc452361672" w:history="1">
        <w:r>
          <w:rPr>
            <w:rStyle w:val="Hyperlink"/>
            <w:noProof/>
          </w:rPr>
          <w:t>2.3.</w:t>
        </w:r>
        <w:r>
          <w:rPr>
            <w:rFonts w:asciiTheme="minorHAnsi" w:eastAsiaTheme="minorEastAsia" w:hAnsiTheme="minorHAnsi" w:cstheme="minorBidi"/>
            <w:noProof/>
            <w:sz w:val="22"/>
            <w:szCs w:val="22"/>
            <w:lang w:bidi="ar-SA"/>
          </w:rPr>
          <w:tab/>
        </w:r>
        <w:r>
          <w:rPr>
            <w:rStyle w:val="Hyperlink"/>
            <w:noProof/>
          </w:rPr>
          <w:t>Makrotaloudellinen rahoitusapu</w:t>
        </w:r>
        <w:r>
          <w:rPr>
            <w:noProof/>
            <w:webHidden/>
          </w:rPr>
          <w:tab/>
        </w:r>
        <w:r>
          <w:rPr>
            <w:noProof/>
            <w:webHidden/>
          </w:rPr>
          <w:fldChar w:fldCharType="begin"/>
        </w:r>
        <w:r>
          <w:rPr>
            <w:noProof/>
            <w:webHidden/>
          </w:rPr>
          <w:instrText xml:space="preserve"> PAGEREF _Toc452361672 \h </w:instrText>
        </w:r>
        <w:r>
          <w:rPr>
            <w:noProof/>
            <w:webHidden/>
          </w:rPr>
        </w:r>
        <w:r>
          <w:rPr>
            <w:noProof/>
            <w:webHidden/>
          </w:rPr>
          <w:fldChar w:fldCharType="separate"/>
        </w:r>
        <w:r>
          <w:rPr>
            <w:noProof/>
            <w:webHidden/>
          </w:rPr>
          <w:t>6</w:t>
        </w:r>
        <w:r>
          <w:rPr>
            <w:noProof/>
            <w:webHidden/>
          </w:rPr>
          <w:fldChar w:fldCharType="end"/>
        </w:r>
      </w:hyperlink>
    </w:p>
    <w:p>
      <w:pPr>
        <w:pStyle w:val="TOC2"/>
        <w:rPr>
          <w:rFonts w:asciiTheme="minorHAnsi" w:eastAsiaTheme="minorEastAsia" w:hAnsiTheme="minorHAnsi" w:cstheme="minorBidi"/>
          <w:noProof/>
          <w:sz w:val="22"/>
          <w:szCs w:val="22"/>
          <w:lang w:bidi="ar-SA"/>
        </w:rPr>
      </w:pPr>
      <w:hyperlink w:anchor="_Toc452361673" w:history="1">
        <w:r>
          <w:rPr>
            <w:rStyle w:val="Hyperlink"/>
            <w:noProof/>
          </w:rPr>
          <w:t>2.4.</w:t>
        </w:r>
        <w:r>
          <w:rPr>
            <w:rFonts w:asciiTheme="minorHAnsi" w:eastAsiaTheme="minorEastAsia" w:hAnsiTheme="minorHAnsi" w:cstheme="minorBidi"/>
            <w:noProof/>
            <w:sz w:val="22"/>
            <w:szCs w:val="22"/>
            <w:lang w:bidi="ar-SA"/>
          </w:rPr>
          <w:tab/>
        </w:r>
        <w:r>
          <w:rPr>
            <w:rStyle w:val="Hyperlink"/>
            <w:noProof/>
          </w:rPr>
          <w:t>Euratom-järjestely</w:t>
        </w:r>
        <w:r>
          <w:rPr>
            <w:noProof/>
            <w:webHidden/>
          </w:rPr>
          <w:tab/>
        </w:r>
        <w:r>
          <w:rPr>
            <w:noProof/>
            <w:webHidden/>
          </w:rPr>
          <w:fldChar w:fldCharType="begin"/>
        </w:r>
        <w:r>
          <w:rPr>
            <w:noProof/>
            <w:webHidden/>
          </w:rPr>
          <w:instrText xml:space="preserve"> PAGEREF _Toc452361673 \h </w:instrText>
        </w:r>
        <w:r>
          <w:rPr>
            <w:noProof/>
            <w:webHidden/>
          </w:rPr>
        </w:r>
        <w:r>
          <w:rPr>
            <w:noProof/>
            <w:webHidden/>
          </w:rPr>
          <w:fldChar w:fldCharType="separate"/>
        </w:r>
        <w:r>
          <w:rPr>
            <w:noProof/>
            <w:webHidden/>
          </w:rPr>
          <w:t>8</w:t>
        </w:r>
        <w:r>
          <w:rPr>
            <w:noProof/>
            <w:webHidden/>
          </w:rPr>
          <w:fldChar w:fldCharType="end"/>
        </w:r>
      </w:hyperlink>
    </w:p>
    <w:p>
      <w:pPr>
        <w:pStyle w:val="TOC1"/>
        <w:rPr>
          <w:rFonts w:asciiTheme="minorHAnsi" w:eastAsiaTheme="minorEastAsia" w:hAnsiTheme="minorHAnsi" w:cstheme="minorBidi"/>
          <w:noProof/>
          <w:sz w:val="22"/>
          <w:szCs w:val="22"/>
          <w:lang w:bidi="ar-SA"/>
        </w:rPr>
      </w:pPr>
      <w:hyperlink w:anchor="_Toc452361674" w:history="1">
        <w:r>
          <w:rPr>
            <w:rStyle w:val="Hyperlink"/>
            <w:noProof/>
          </w:rPr>
          <w:t>3.</w:t>
        </w:r>
        <w:r>
          <w:rPr>
            <w:rFonts w:asciiTheme="minorHAnsi" w:eastAsiaTheme="minorEastAsia" w:hAnsiTheme="minorHAnsi" w:cstheme="minorBidi"/>
            <w:noProof/>
            <w:sz w:val="22"/>
            <w:szCs w:val="22"/>
            <w:lang w:bidi="ar-SA"/>
          </w:rPr>
          <w:tab/>
        </w:r>
        <w:r>
          <w:rPr>
            <w:rStyle w:val="Hyperlink"/>
            <w:noProof/>
          </w:rPr>
          <w:t>Euroopan unionin lainanottotoiminta</w:t>
        </w:r>
        <w:r>
          <w:rPr>
            <w:noProof/>
            <w:webHidden/>
          </w:rPr>
          <w:tab/>
        </w:r>
        <w:r>
          <w:rPr>
            <w:noProof/>
            <w:webHidden/>
          </w:rPr>
          <w:fldChar w:fldCharType="begin"/>
        </w:r>
        <w:r>
          <w:rPr>
            <w:noProof/>
            <w:webHidden/>
          </w:rPr>
          <w:instrText xml:space="preserve"> PAGEREF _Toc452361674 \h </w:instrText>
        </w:r>
        <w:r>
          <w:rPr>
            <w:noProof/>
            <w:webHidden/>
          </w:rPr>
        </w:r>
        <w:r>
          <w:rPr>
            <w:noProof/>
            <w:webHidden/>
          </w:rPr>
          <w:fldChar w:fldCharType="separate"/>
        </w:r>
        <w:r>
          <w:rPr>
            <w:noProof/>
            <w:webHidden/>
          </w:rPr>
          <w:t>9</w:t>
        </w:r>
        <w:r>
          <w:rPr>
            <w:noProof/>
            <w:webHidden/>
          </w:rPr>
          <w:fldChar w:fldCharType="end"/>
        </w:r>
      </w:hyperlink>
    </w:p>
    <w:p>
      <w:pPr>
        <w:pStyle w:val="TOC1"/>
        <w:rPr>
          <w:rFonts w:asciiTheme="minorHAnsi" w:eastAsiaTheme="minorEastAsia" w:hAnsiTheme="minorHAnsi" w:cstheme="minorBidi"/>
          <w:noProof/>
          <w:sz w:val="22"/>
          <w:szCs w:val="22"/>
          <w:lang w:bidi="ar-SA"/>
        </w:rPr>
      </w:pPr>
      <w:hyperlink w:anchor="_Toc452361675" w:history="1">
        <w:r>
          <w:rPr>
            <w:rStyle w:val="Hyperlink"/>
            <w:noProof/>
          </w:rPr>
          <w:t>3.1.</w:t>
        </w:r>
        <w:r>
          <w:rPr>
            <w:rFonts w:asciiTheme="minorHAnsi" w:eastAsiaTheme="minorEastAsia" w:hAnsiTheme="minorHAnsi" w:cstheme="minorBidi"/>
            <w:noProof/>
            <w:sz w:val="22"/>
            <w:szCs w:val="22"/>
            <w:lang w:bidi="ar-SA"/>
          </w:rPr>
          <w:tab/>
        </w:r>
        <w:r>
          <w:rPr>
            <w:rStyle w:val="Hyperlink"/>
            <w:noProof/>
          </w:rPr>
          <w:t>Maksutasejärjestely</w:t>
        </w:r>
        <w:r>
          <w:rPr>
            <w:noProof/>
            <w:webHidden/>
          </w:rPr>
          <w:tab/>
        </w:r>
        <w:r>
          <w:rPr>
            <w:noProof/>
            <w:webHidden/>
          </w:rPr>
          <w:fldChar w:fldCharType="begin"/>
        </w:r>
        <w:r>
          <w:rPr>
            <w:noProof/>
            <w:webHidden/>
          </w:rPr>
          <w:instrText xml:space="preserve"> PAGEREF _Toc452361675 \h </w:instrText>
        </w:r>
        <w:r>
          <w:rPr>
            <w:noProof/>
            <w:webHidden/>
          </w:rPr>
        </w:r>
        <w:r>
          <w:rPr>
            <w:noProof/>
            <w:webHidden/>
          </w:rPr>
          <w:fldChar w:fldCharType="separate"/>
        </w:r>
        <w:r>
          <w:rPr>
            <w:noProof/>
            <w:webHidden/>
          </w:rPr>
          <w:t>9</w:t>
        </w:r>
        <w:r>
          <w:rPr>
            <w:noProof/>
            <w:webHidden/>
          </w:rPr>
          <w:fldChar w:fldCharType="end"/>
        </w:r>
      </w:hyperlink>
    </w:p>
    <w:p>
      <w:pPr>
        <w:pStyle w:val="TOC1"/>
        <w:rPr>
          <w:rFonts w:asciiTheme="minorHAnsi" w:eastAsiaTheme="minorEastAsia" w:hAnsiTheme="minorHAnsi" w:cstheme="minorBidi"/>
          <w:noProof/>
          <w:sz w:val="22"/>
          <w:szCs w:val="22"/>
          <w:lang w:bidi="ar-SA"/>
        </w:rPr>
      </w:pPr>
      <w:hyperlink w:anchor="_Toc452361676" w:history="1">
        <w:r>
          <w:rPr>
            <w:rStyle w:val="Hyperlink"/>
            <w:noProof/>
          </w:rPr>
          <w:t>3.2.</w:t>
        </w:r>
        <w:r>
          <w:rPr>
            <w:rFonts w:asciiTheme="minorHAnsi" w:eastAsiaTheme="minorEastAsia" w:hAnsiTheme="minorHAnsi" w:cstheme="minorBidi"/>
            <w:noProof/>
            <w:sz w:val="22"/>
            <w:szCs w:val="22"/>
            <w:lang w:bidi="ar-SA"/>
          </w:rPr>
          <w:tab/>
        </w:r>
        <w:r>
          <w:rPr>
            <w:rStyle w:val="Hyperlink"/>
            <w:noProof/>
          </w:rPr>
          <w:t>Euroopan rahoituksenvakautusmekanismi</w:t>
        </w:r>
        <w:r>
          <w:rPr>
            <w:noProof/>
            <w:webHidden/>
          </w:rPr>
          <w:tab/>
        </w:r>
        <w:r>
          <w:rPr>
            <w:noProof/>
            <w:webHidden/>
          </w:rPr>
          <w:fldChar w:fldCharType="begin"/>
        </w:r>
        <w:r>
          <w:rPr>
            <w:noProof/>
            <w:webHidden/>
          </w:rPr>
          <w:instrText xml:space="preserve"> PAGEREF _Toc452361676 \h </w:instrText>
        </w:r>
        <w:r>
          <w:rPr>
            <w:noProof/>
            <w:webHidden/>
          </w:rPr>
        </w:r>
        <w:r>
          <w:rPr>
            <w:noProof/>
            <w:webHidden/>
          </w:rPr>
          <w:fldChar w:fldCharType="separate"/>
        </w:r>
        <w:r>
          <w:rPr>
            <w:noProof/>
            <w:webHidden/>
          </w:rPr>
          <w:t>10</w:t>
        </w:r>
        <w:r>
          <w:rPr>
            <w:noProof/>
            <w:webHidden/>
          </w:rPr>
          <w:fldChar w:fldCharType="end"/>
        </w:r>
      </w:hyperlink>
    </w:p>
    <w:p>
      <w:pPr>
        <w:pStyle w:val="TOC1"/>
        <w:rPr>
          <w:rFonts w:asciiTheme="minorHAnsi" w:eastAsiaTheme="minorEastAsia" w:hAnsiTheme="minorHAnsi" w:cstheme="minorBidi"/>
          <w:noProof/>
          <w:sz w:val="22"/>
          <w:szCs w:val="22"/>
          <w:lang w:bidi="ar-SA"/>
        </w:rPr>
      </w:pPr>
      <w:hyperlink w:anchor="_Toc452361677" w:history="1">
        <w:r>
          <w:rPr>
            <w:rStyle w:val="Hyperlink"/>
            <w:noProof/>
          </w:rPr>
          <w:t>3.3.</w:t>
        </w:r>
        <w:r>
          <w:rPr>
            <w:rFonts w:asciiTheme="minorHAnsi" w:eastAsiaTheme="minorEastAsia" w:hAnsiTheme="minorHAnsi" w:cstheme="minorBidi"/>
            <w:noProof/>
            <w:sz w:val="22"/>
            <w:szCs w:val="22"/>
            <w:lang w:bidi="ar-SA"/>
          </w:rPr>
          <w:tab/>
        </w:r>
        <w:r>
          <w:rPr>
            <w:rStyle w:val="Hyperlink"/>
            <w:noProof/>
          </w:rPr>
          <w:t>Makrotaloudellinen rahoitusapu</w:t>
        </w:r>
        <w:r>
          <w:rPr>
            <w:noProof/>
            <w:webHidden/>
          </w:rPr>
          <w:tab/>
        </w:r>
        <w:r>
          <w:rPr>
            <w:noProof/>
            <w:webHidden/>
          </w:rPr>
          <w:fldChar w:fldCharType="begin"/>
        </w:r>
        <w:r>
          <w:rPr>
            <w:noProof/>
            <w:webHidden/>
          </w:rPr>
          <w:instrText xml:space="preserve"> PAGEREF _Toc452361677 \h </w:instrText>
        </w:r>
        <w:r>
          <w:rPr>
            <w:noProof/>
            <w:webHidden/>
          </w:rPr>
        </w:r>
        <w:r>
          <w:rPr>
            <w:noProof/>
            <w:webHidden/>
          </w:rPr>
          <w:fldChar w:fldCharType="separate"/>
        </w:r>
        <w:r>
          <w:rPr>
            <w:noProof/>
            <w:webHidden/>
          </w:rPr>
          <w:t>10</w:t>
        </w:r>
        <w:r>
          <w:rPr>
            <w:noProof/>
            <w:webHidden/>
          </w:rPr>
          <w:fldChar w:fldCharType="end"/>
        </w:r>
      </w:hyperlink>
    </w:p>
    <w:p>
      <w:pPr>
        <w:pStyle w:val="TOC1"/>
        <w:rPr>
          <w:rFonts w:asciiTheme="minorHAnsi" w:eastAsiaTheme="minorEastAsia" w:hAnsiTheme="minorHAnsi" w:cstheme="minorBidi"/>
          <w:noProof/>
          <w:sz w:val="22"/>
          <w:szCs w:val="22"/>
          <w:lang w:bidi="ar-SA"/>
        </w:rPr>
      </w:pPr>
      <w:hyperlink w:anchor="_Toc452361678" w:history="1">
        <w:r>
          <w:rPr>
            <w:rStyle w:val="Hyperlink"/>
            <w:noProof/>
          </w:rPr>
          <w:t>3.4.</w:t>
        </w:r>
        <w:r>
          <w:rPr>
            <w:rFonts w:asciiTheme="minorHAnsi" w:eastAsiaTheme="minorEastAsia" w:hAnsiTheme="minorHAnsi" w:cstheme="minorBidi"/>
            <w:noProof/>
            <w:sz w:val="22"/>
            <w:szCs w:val="22"/>
            <w:lang w:bidi="ar-SA"/>
          </w:rPr>
          <w:tab/>
        </w:r>
        <w:r>
          <w:rPr>
            <w:rStyle w:val="Hyperlink"/>
            <w:noProof/>
          </w:rPr>
          <w:t>Euratom-järjestely</w:t>
        </w:r>
        <w:r>
          <w:rPr>
            <w:noProof/>
            <w:webHidden/>
          </w:rPr>
          <w:tab/>
        </w:r>
        <w:r>
          <w:rPr>
            <w:noProof/>
            <w:webHidden/>
          </w:rPr>
          <w:fldChar w:fldCharType="begin"/>
        </w:r>
        <w:r>
          <w:rPr>
            <w:noProof/>
            <w:webHidden/>
          </w:rPr>
          <w:instrText xml:space="preserve"> PAGEREF _Toc452361678 \h </w:instrText>
        </w:r>
        <w:r>
          <w:rPr>
            <w:noProof/>
            <w:webHidden/>
          </w:rPr>
        </w:r>
        <w:r>
          <w:rPr>
            <w:noProof/>
            <w:webHidden/>
          </w:rPr>
          <w:fldChar w:fldCharType="separate"/>
        </w:r>
        <w:r>
          <w:rPr>
            <w:noProof/>
            <w:webHidden/>
          </w:rPr>
          <w:t>13</w:t>
        </w:r>
        <w:r>
          <w:rPr>
            <w:noProof/>
            <w:webHidden/>
          </w:rPr>
          <w:fldChar w:fldCharType="end"/>
        </w:r>
      </w:hyperlink>
    </w:p>
    <w:p>
      <w:pPr>
        <w:pStyle w:val="TOC1"/>
        <w:rPr>
          <w:rFonts w:asciiTheme="minorHAnsi" w:eastAsiaTheme="minorEastAsia" w:hAnsiTheme="minorHAnsi" w:cstheme="minorBidi"/>
          <w:noProof/>
          <w:sz w:val="22"/>
          <w:szCs w:val="22"/>
          <w:lang w:bidi="ar-SA"/>
        </w:rPr>
      </w:pPr>
      <w:hyperlink w:anchor="_Toc452361679" w:history="1">
        <w:r>
          <w:rPr>
            <w:rStyle w:val="Hyperlink"/>
            <w:noProof/>
          </w:rPr>
          <w:t>4.</w:t>
        </w:r>
        <w:r>
          <w:rPr>
            <w:rFonts w:asciiTheme="minorHAnsi" w:eastAsiaTheme="minorEastAsia" w:hAnsiTheme="minorHAnsi" w:cstheme="minorBidi"/>
            <w:noProof/>
            <w:sz w:val="22"/>
            <w:szCs w:val="22"/>
            <w:lang w:bidi="ar-SA"/>
          </w:rPr>
          <w:tab/>
        </w:r>
        <w:r>
          <w:rPr>
            <w:rStyle w:val="Hyperlink"/>
            <w:noProof/>
          </w:rPr>
          <w:t>Euroopan investointipankki</w:t>
        </w:r>
        <w:r>
          <w:rPr>
            <w:noProof/>
            <w:webHidden/>
          </w:rPr>
          <w:tab/>
        </w:r>
        <w:r>
          <w:rPr>
            <w:noProof/>
            <w:webHidden/>
          </w:rPr>
          <w:fldChar w:fldCharType="begin"/>
        </w:r>
        <w:r>
          <w:rPr>
            <w:noProof/>
            <w:webHidden/>
          </w:rPr>
          <w:instrText xml:space="preserve"> PAGEREF _Toc452361679 \h </w:instrText>
        </w:r>
        <w:r>
          <w:rPr>
            <w:noProof/>
            <w:webHidden/>
          </w:rPr>
        </w:r>
        <w:r>
          <w:rPr>
            <w:noProof/>
            <w:webHidden/>
          </w:rPr>
          <w:fldChar w:fldCharType="separate"/>
        </w:r>
        <w:r>
          <w:rPr>
            <w:noProof/>
            <w:webHidden/>
          </w:rPr>
          <w:t>13</w:t>
        </w:r>
        <w:r>
          <w:rPr>
            <w:noProof/>
            <w:webHidden/>
          </w:rPr>
          <w:fldChar w:fldCharType="end"/>
        </w:r>
      </w:hyperlink>
    </w:p>
    <w:p>
      <w:pPr>
        <w:pStyle w:val="TOC2"/>
        <w:rPr>
          <w:rFonts w:asciiTheme="minorHAnsi" w:eastAsiaTheme="minorEastAsia" w:hAnsiTheme="minorHAnsi" w:cstheme="minorBidi"/>
          <w:noProof/>
          <w:sz w:val="22"/>
          <w:szCs w:val="22"/>
          <w:lang w:bidi="ar-SA"/>
        </w:rPr>
      </w:pPr>
      <w:hyperlink w:anchor="_Toc452361680" w:history="1">
        <w:r>
          <w:rPr>
            <w:rStyle w:val="Hyperlink"/>
            <w:noProof/>
          </w:rPr>
          <w:t>4.1.</w:t>
        </w:r>
        <w:r>
          <w:rPr>
            <w:rFonts w:asciiTheme="minorHAnsi" w:eastAsiaTheme="minorEastAsia" w:hAnsiTheme="minorHAnsi" w:cstheme="minorBidi"/>
            <w:noProof/>
            <w:sz w:val="22"/>
            <w:szCs w:val="22"/>
            <w:lang w:bidi="ar-SA"/>
          </w:rPr>
          <w:tab/>
        </w:r>
        <w:r>
          <w:rPr>
            <w:rStyle w:val="Hyperlink"/>
            <w:noProof/>
          </w:rPr>
          <w:t>Euroopan investointipankin lainanantotoiminta</w:t>
        </w:r>
        <w:r>
          <w:rPr>
            <w:noProof/>
            <w:webHidden/>
          </w:rPr>
          <w:tab/>
        </w:r>
        <w:r>
          <w:rPr>
            <w:noProof/>
            <w:webHidden/>
          </w:rPr>
          <w:fldChar w:fldCharType="begin"/>
        </w:r>
        <w:r>
          <w:rPr>
            <w:noProof/>
            <w:webHidden/>
          </w:rPr>
          <w:instrText xml:space="preserve"> PAGEREF _Toc452361680 \h </w:instrText>
        </w:r>
        <w:r>
          <w:rPr>
            <w:noProof/>
            <w:webHidden/>
          </w:rPr>
        </w:r>
        <w:r>
          <w:rPr>
            <w:noProof/>
            <w:webHidden/>
          </w:rPr>
          <w:fldChar w:fldCharType="separate"/>
        </w:r>
        <w:r>
          <w:rPr>
            <w:noProof/>
            <w:webHidden/>
          </w:rPr>
          <w:t>13</w:t>
        </w:r>
        <w:r>
          <w:rPr>
            <w:noProof/>
            <w:webHidden/>
          </w:rPr>
          <w:fldChar w:fldCharType="end"/>
        </w:r>
      </w:hyperlink>
    </w:p>
    <w:p>
      <w:pPr>
        <w:pStyle w:val="TOC2"/>
        <w:rPr>
          <w:rFonts w:asciiTheme="minorHAnsi" w:eastAsiaTheme="minorEastAsia" w:hAnsiTheme="minorHAnsi" w:cstheme="minorBidi"/>
          <w:noProof/>
          <w:sz w:val="22"/>
          <w:szCs w:val="22"/>
          <w:lang w:bidi="ar-SA"/>
        </w:rPr>
      </w:pPr>
      <w:hyperlink w:anchor="_Toc452361681" w:history="1">
        <w:r>
          <w:rPr>
            <w:rStyle w:val="Hyperlink"/>
            <w:noProof/>
          </w:rPr>
          <w:t>4.2.</w:t>
        </w:r>
        <w:r>
          <w:rPr>
            <w:rFonts w:asciiTheme="minorHAnsi" w:eastAsiaTheme="minorEastAsia" w:hAnsiTheme="minorHAnsi" w:cstheme="minorBidi"/>
            <w:noProof/>
            <w:sz w:val="22"/>
            <w:szCs w:val="22"/>
            <w:lang w:bidi="ar-SA"/>
          </w:rPr>
          <w:tab/>
        </w:r>
        <w:r>
          <w:rPr>
            <w:rStyle w:val="Hyperlink"/>
            <w:noProof/>
          </w:rPr>
          <w:t>Euroopan investointipankin lainanottotoiminta</w:t>
        </w:r>
        <w:r>
          <w:rPr>
            <w:noProof/>
            <w:webHidden/>
          </w:rPr>
          <w:tab/>
        </w:r>
        <w:r>
          <w:rPr>
            <w:noProof/>
            <w:webHidden/>
          </w:rPr>
          <w:fldChar w:fldCharType="begin"/>
        </w:r>
        <w:r>
          <w:rPr>
            <w:noProof/>
            <w:webHidden/>
          </w:rPr>
          <w:instrText xml:space="preserve"> PAGEREF _Toc452361681 \h </w:instrText>
        </w:r>
        <w:r>
          <w:rPr>
            <w:noProof/>
            <w:webHidden/>
          </w:rPr>
        </w:r>
        <w:r>
          <w:rPr>
            <w:noProof/>
            <w:webHidden/>
          </w:rPr>
          <w:fldChar w:fldCharType="separate"/>
        </w:r>
        <w:r>
          <w:rPr>
            <w:noProof/>
            <w:webHidden/>
          </w:rPr>
          <w:t>14</w:t>
        </w:r>
        <w:r>
          <w:rPr>
            <w:noProof/>
            <w:webHidden/>
          </w:rPr>
          <w:fldChar w:fldCharType="end"/>
        </w:r>
      </w:hyperlink>
    </w:p>
    <w:p>
      <w:pPr>
        <w:pStyle w:val="TOC1"/>
        <w:rPr>
          <w:rFonts w:ascii="Calibri" w:hAnsi="Calibri"/>
          <w:noProof/>
          <w:sz w:val="22"/>
          <w:szCs w:val="22"/>
        </w:rPr>
      </w:pPr>
      <w:r>
        <w:rPr>
          <w:noProof/>
        </w:rPr>
        <w:fldChar w:fldCharType="end"/>
      </w:r>
    </w:p>
    <w:p>
      <w:pPr>
        <w:rPr>
          <w:noProof/>
        </w:rPr>
      </w:pPr>
    </w:p>
    <w:p>
      <w:pPr>
        <w:rPr>
          <w:noProof/>
        </w:rPr>
      </w:pPr>
    </w:p>
    <w:p>
      <w:pPr>
        <w:rPr>
          <w:noProof/>
        </w:rPr>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pgNumType w:start="2"/>
          <w:cols w:space="708"/>
          <w:docGrid w:linePitch="360"/>
        </w:sectPr>
      </w:pPr>
    </w:p>
    <w:p>
      <w:pPr>
        <w:pStyle w:val="ManualHeading1"/>
        <w:spacing w:before="240" w:after="240"/>
        <w:ind w:left="851" w:hanging="851"/>
        <w:rPr>
          <w:noProof/>
        </w:rPr>
      </w:pPr>
      <w:bookmarkStart w:id="2" w:name="_Toc328407832"/>
      <w:bookmarkStart w:id="3" w:name="_Toc328407833"/>
      <w:bookmarkStart w:id="4" w:name="_Toc328407834"/>
      <w:bookmarkStart w:id="5" w:name="_Toc328407835"/>
      <w:bookmarkStart w:id="6" w:name="_Toc328407836"/>
      <w:bookmarkStart w:id="7" w:name="_Toc328407837"/>
      <w:bookmarkStart w:id="8" w:name="_Toc328407838"/>
      <w:bookmarkStart w:id="9" w:name="_Toc328407839"/>
      <w:bookmarkStart w:id="10" w:name="_Toc328407840"/>
      <w:bookmarkStart w:id="11" w:name="_Toc328407841"/>
      <w:bookmarkStart w:id="12" w:name="_Toc328407842"/>
      <w:bookmarkStart w:id="13" w:name="_Toc328407843"/>
      <w:bookmarkStart w:id="14" w:name="_Toc328407844"/>
      <w:bookmarkStart w:id="15" w:name="_Toc328407845"/>
      <w:bookmarkStart w:id="16" w:name="_Toc328407846"/>
      <w:bookmarkStart w:id="17" w:name="_Toc328407847"/>
      <w:bookmarkStart w:id="18" w:name="_Toc328407848"/>
      <w:bookmarkStart w:id="19" w:name="_Toc328407849"/>
      <w:bookmarkStart w:id="20" w:name="_Toc328407850"/>
      <w:bookmarkStart w:id="21" w:name="_Toc328407851"/>
      <w:bookmarkStart w:id="22" w:name="_Toc328407852"/>
      <w:bookmarkStart w:id="23" w:name="_Toc328407853"/>
      <w:bookmarkStart w:id="24" w:name="_Toc328407854"/>
      <w:bookmarkStart w:id="25" w:name="_Toc325641135"/>
      <w:bookmarkStart w:id="26" w:name="_Toc330157537"/>
      <w:bookmarkStart w:id="27" w:name="_Toc361393251"/>
      <w:bookmarkStart w:id="28" w:name="_Toc388883939"/>
      <w:bookmarkStart w:id="29" w:name="_Toc393808491"/>
      <w:bookmarkStart w:id="30" w:name="_Toc451257927"/>
      <w:bookmarkStart w:id="31" w:name="_Toc45236166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noProof/>
        </w:rPr>
        <w:lastRenderedPageBreak/>
        <w:t>1.</w:t>
      </w:r>
      <w:r>
        <w:rPr>
          <w:noProof/>
        </w:rPr>
        <w:tab/>
        <w:t>Johdanto</w:t>
      </w:r>
      <w:bookmarkEnd w:id="25"/>
      <w:bookmarkEnd w:id="26"/>
      <w:bookmarkEnd w:id="27"/>
      <w:bookmarkEnd w:id="28"/>
      <w:bookmarkEnd w:id="29"/>
      <w:bookmarkEnd w:id="30"/>
      <w:bookmarkEnd w:id="31"/>
    </w:p>
    <w:p>
      <w:pPr>
        <w:spacing w:after="120" w:line="240" w:lineRule="auto"/>
        <w:jc w:val="both"/>
        <w:rPr>
          <w:rFonts w:ascii="Times New Roman" w:hAnsi="Times New Roman"/>
          <w:noProof/>
          <w:sz w:val="24"/>
          <w:szCs w:val="24"/>
        </w:rPr>
      </w:pPr>
      <w:r>
        <w:rPr>
          <w:rFonts w:ascii="Times New Roman" w:hAnsi="Times New Roman"/>
          <w:noProof/>
          <w:sz w:val="24"/>
        </w:rPr>
        <w:t xml:space="preserve">Euroopan unionin lainanantovälineitä koskevien neuvoston päätösten mukaan komission on tiedotettava Euroopan parlamentille ja neuvostolle vuosittain kyseisten välineiden käytöstä. Tiedonantovaatimusten täyttämiseksi tässä kertomuksessa käsitellään kuhunkin välineeseen liittyviä lainananto-operaatioita ja niitä vastaavia lainanotto-operaatioita. </w:t>
      </w:r>
    </w:p>
    <w:p>
      <w:pPr>
        <w:spacing w:after="120" w:line="240" w:lineRule="auto"/>
        <w:jc w:val="both"/>
        <w:rPr>
          <w:rFonts w:ascii="Times New Roman" w:hAnsi="Times New Roman"/>
          <w:noProof/>
          <w:sz w:val="24"/>
          <w:szCs w:val="24"/>
        </w:rPr>
      </w:pPr>
      <w:r>
        <w:rPr>
          <w:rFonts w:ascii="Times New Roman" w:hAnsi="Times New Roman"/>
          <w:noProof/>
          <w:sz w:val="24"/>
        </w:rPr>
        <w:t>Jotta EU:n toimista saadaan mahdollisimman kattava käsitys, tämän kertomuksen viimeisessä osassa esitetään myös yhteenveto Euroopan investointipankin (EIP) lainananto- ja lainanottotoiminnasta vuonna 2015.</w:t>
      </w:r>
    </w:p>
    <w:p>
      <w:pPr>
        <w:spacing w:after="120" w:line="240" w:lineRule="auto"/>
        <w:jc w:val="both"/>
        <w:rPr>
          <w:rFonts w:ascii="Times New Roman" w:hAnsi="Times New Roman"/>
          <w:noProof/>
          <w:sz w:val="24"/>
          <w:szCs w:val="24"/>
        </w:rPr>
      </w:pPr>
      <w:r>
        <w:rPr>
          <w:rFonts w:ascii="Times New Roman" w:hAnsi="Times New Roman"/>
          <w:noProof/>
          <w:sz w:val="24"/>
        </w:rPr>
        <w:t>Seuraavassa taulukossa kuvataan EU:n lainaoperaatioiden kehitystä viimeisten 5 vuoden aikana.</w:t>
      </w:r>
    </w:p>
    <w:p>
      <w:pPr>
        <w:rPr>
          <w:rFonts w:ascii="Times New Roman" w:hAnsi="Times New Roman"/>
          <w:noProof/>
          <w:sz w:val="24"/>
          <w:szCs w:val="24"/>
        </w:rPr>
      </w:pPr>
      <w:r>
        <w:rPr>
          <w:rFonts w:ascii="Times New Roman" w:hAnsi="Times New Roman"/>
          <w:noProof/>
          <w:sz w:val="24"/>
          <w:u w:val="single"/>
        </w:rPr>
        <w:t>Taulukko 1: Euroopan unionin lainaoperaatioiden kehitys (jäljellä oleva pääoma miljoonaa euroa)</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6"/>
        <w:gridCol w:w="1220"/>
        <w:gridCol w:w="1220"/>
        <w:gridCol w:w="1342"/>
        <w:gridCol w:w="1342"/>
        <w:gridCol w:w="1342"/>
        <w:gridCol w:w="1489"/>
      </w:tblGrid>
      <w:tr>
        <w:trPr>
          <w:trHeight w:val="798"/>
        </w:trPr>
        <w:tc>
          <w:tcPr>
            <w:tcW w:w="976" w:type="dxa"/>
            <w:shd w:val="clear" w:color="auto" w:fill="auto"/>
          </w:tcPr>
          <w:p>
            <w:pPr>
              <w:spacing w:after="240" w:line="240" w:lineRule="auto"/>
              <w:jc w:val="center"/>
              <w:rPr>
                <w:rFonts w:ascii="Times New Roman" w:hAnsi="Times New Roman"/>
                <w:noProof/>
                <w:sz w:val="24"/>
                <w:szCs w:val="24"/>
              </w:rPr>
            </w:pPr>
          </w:p>
        </w:tc>
        <w:tc>
          <w:tcPr>
            <w:tcW w:w="1220" w:type="dxa"/>
            <w:shd w:val="clear" w:color="auto" w:fill="auto"/>
          </w:tcPr>
          <w:p>
            <w:pPr>
              <w:spacing w:after="240" w:line="240" w:lineRule="auto"/>
              <w:jc w:val="center"/>
              <w:rPr>
                <w:rFonts w:ascii="Times New Roman" w:hAnsi="Times New Roman"/>
                <w:noProof/>
                <w:sz w:val="24"/>
                <w:szCs w:val="24"/>
              </w:rPr>
            </w:pPr>
            <w:r>
              <w:rPr>
                <w:rFonts w:ascii="Times New Roman" w:hAnsi="Times New Roman"/>
                <w:noProof/>
                <w:sz w:val="24"/>
              </w:rPr>
              <w:t>EHTY (selvitys-tilassa) (1) (2)</w:t>
            </w:r>
          </w:p>
        </w:tc>
        <w:tc>
          <w:tcPr>
            <w:tcW w:w="1220" w:type="dxa"/>
            <w:shd w:val="clear" w:color="auto" w:fill="auto"/>
          </w:tcPr>
          <w:p>
            <w:pPr>
              <w:spacing w:after="240" w:line="240" w:lineRule="auto"/>
              <w:jc w:val="center"/>
              <w:rPr>
                <w:rFonts w:ascii="Times New Roman" w:hAnsi="Times New Roman"/>
                <w:noProof/>
                <w:sz w:val="24"/>
                <w:szCs w:val="24"/>
              </w:rPr>
            </w:pPr>
            <w:r>
              <w:rPr>
                <w:rFonts w:ascii="Times New Roman" w:hAnsi="Times New Roman"/>
                <w:noProof/>
                <w:sz w:val="24"/>
              </w:rPr>
              <w:t>Euratom (1)</w:t>
            </w:r>
          </w:p>
        </w:tc>
        <w:tc>
          <w:tcPr>
            <w:tcW w:w="1342" w:type="dxa"/>
          </w:tcPr>
          <w:p>
            <w:pPr>
              <w:spacing w:after="240" w:line="240" w:lineRule="auto"/>
              <w:jc w:val="center"/>
              <w:rPr>
                <w:rFonts w:ascii="Times New Roman" w:hAnsi="Times New Roman"/>
                <w:noProof/>
                <w:sz w:val="24"/>
                <w:szCs w:val="24"/>
              </w:rPr>
            </w:pPr>
            <w:r>
              <w:rPr>
                <w:rFonts w:ascii="Times New Roman" w:hAnsi="Times New Roman"/>
                <w:noProof/>
                <w:sz w:val="24"/>
              </w:rPr>
              <w:t>Maksutase-järjestely</w:t>
            </w:r>
          </w:p>
        </w:tc>
        <w:tc>
          <w:tcPr>
            <w:tcW w:w="1342" w:type="dxa"/>
          </w:tcPr>
          <w:p>
            <w:pPr>
              <w:spacing w:after="240" w:line="240" w:lineRule="auto"/>
              <w:jc w:val="center"/>
              <w:rPr>
                <w:rFonts w:ascii="Times New Roman" w:hAnsi="Times New Roman"/>
                <w:noProof/>
                <w:sz w:val="24"/>
                <w:szCs w:val="24"/>
              </w:rPr>
            </w:pPr>
            <w:r>
              <w:rPr>
                <w:rFonts w:ascii="Times New Roman" w:hAnsi="Times New Roman"/>
                <w:noProof/>
                <w:sz w:val="24"/>
              </w:rPr>
              <w:t>Makro-taloudel-linen tuki</w:t>
            </w:r>
          </w:p>
        </w:tc>
        <w:tc>
          <w:tcPr>
            <w:tcW w:w="1342" w:type="dxa"/>
            <w:shd w:val="clear" w:color="auto" w:fill="auto"/>
          </w:tcPr>
          <w:p>
            <w:pPr>
              <w:spacing w:after="240" w:line="240" w:lineRule="auto"/>
              <w:jc w:val="center"/>
              <w:rPr>
                <w:rFonts w:ascii="Times New Roman" w:hAnsi="Times New Roman"/>
                <w:noProof/>
                <w:sz w:val="24"/>
                <w:szCs w:val="24"/>
              </w:rPr>
            </w:pPr>
            <w:r>
              <w:rPr>
                <w:rFonts w:ascii="Times New Roman" w:hAnsi="Times New Roman"/>
                <w:noProof/>
                <w:sz w:val="24"/>
              </w:rPr>
              <w:t>ERVM</w:t>
            </w:r>
          </w:p>
        </w:tc>
        <w:tc>
          <w:tcPr>
            <w:tcW w:w="1489" w:type="dxa"/>
            <w:shd w:val="clear" w:color="auto" w:fill="auto"/>
          </w:tcPr>
          <w:p>
            <w:pPr>
              <w:spacing w:after="240" w:line="240" w:lineRule="auto"/>
              <w:jc w:val="center"/>
              <w:rPr>
                <w:rFonts w:ascii="Times New Roman" w:hAnsi="Times New Roman"/>
                <w:noProof/>
                <w:sz w:val="24"/>
                <w:szCs w:val="24"/>
              </w:rPr>
            </w:pPr>
            <w:r>
              <w:rPr>
                <w:rFonts w:ascii="Times New Roman" w:hAnsi="Times New Roman"/>
                <w:noProof/>
                <w:sz w:val="24"/>
              </w:rPr>
              <w:t>Yhteensä</w:t>
            </w:r>
          </w:p>
        </w:tc>
      </w:tr>
      <w:tr>
        <w:trPr>
          <w:trHeight w:val="2664"/>
        </w:trPr>
        <w:tc>
          <w:tcPr>
            <w:tcW w:w="976" w:type="dxa"/>
            <w:tcBorders>
              <w:top w:val="nil"/>
            </w:tcBorders>
            <w:shd w:val="clear" w:color="auto" w:fill="auto"/>
          </w:tcPr>
          <w:p>
            <w:pPr>
              <w:spacing w:after="240" w:line="240" w:lineRule="auto"/>
              <w:jc w:val="both"/>
              <w:rPr>
                <w:rFonts w:ascii="Times New Roman" w:hAnsi="Times New Roman"/>
                <w:bCs/>
                <w:noProof/>
                <w:sz w:val="24"/>
                <w:szCs w:val="24"/>
              </w:rPr>
            </w:pPr>
            <w:r>
              <w:rPr>
                <w:rFonts w:ascii="Times New Roman" w:hAnsi="Times New Roman"/>
                <w:noProof/>
                <w:sz w:val="24"/>
              </w:rPr>
              <w:t>2011</w:t>
            </w:r>
          </w:p>
          <w:p>
            <w:pPr>
              <w:spacing w:after="240" w:line="240" w:lineRule="auto"/>
              <w:jc w:val="both"/>
              <w:rPr>
                <w:rFonts w:ascii="Times New Roman" w:hAnsi="Times New Roman"/>
                <w:bCs/>
                <w:noProof/>
                <w:sz w:val="24"/>
                <w:szCs w:val="24"/>
              </w:rPr>
            </w:pPr>
            <w:r>
              <w:rPr>
                <w:rFonts w:ascii="Times New Roman" w:hAnsi="Times New Roman"/>
                <w:noProof/>
                <w:sz w:val="24"/>
              </w:rPr>
              <w:t>2012</w:t>
            </w:r>
          </w:p>
          <w:p>
            <w:pPr>
              <w:spacing w:after="240" w:line="240" w:lineRule="auto"/>
              <w:jc w:val="both"/>
              <w:rPr>
                <w:rFonts w:ascii="Times New Roman" w:hAnsi="Times New Roman"/>
                <w:bCs/>
                <w:noProof/>
                <w:sz w:val="24"/>
                <w:szCs w:val="24"/>
              </w:rPr>
            </w:pPr>
            <w:r>
              <w:rPr>
                <w:rFonts w:ascii="Times New Roman" w:hAnsi="Times New Roman"/>
                <w:noProof/>
                <w:sz w:val="24"/>
              </w:rPr>
              <w:t>2013</w:t>
            </w:r>
          </w:p>
          <w:p>
            <w:pPr>
              <w:spacing w:after="240" w:line="240" w:lineRule="auto"/>
              <w:jc w:val="both"/>
              <w:rPr>
                <w:rFonts w:ascii="Times New Roman" w:hAnsi="Times New Roman"/>
                <w:bCs/>
                <w:noProof/>
                <w:sz w:val="24"/>
                <w:szCs w:val="24"/>
              </w:rPr>
            </w:pPr>
            <w:r>
              <w:rPr>
                <w:rFonts w:ascii="Times New Roman" w:hAnsi="Times New Roman"/>
                <w:noProof/>
                <w:sz w:val="24"/>
              </w:rPr>
              <w:t>2014</w:t>
            </w:r>
          </w:p>
          <w:p>
            <w:pPr>
              <w:spacing w:after="240" w:line="240" w:lineRule="auto"/>
              <w:jc w:val="both"/>
              <w:rPr>
                <w:rFonts w:ascii="Times New Roman" w:hAnsi="Times New Roman"/>
                <w:bCs/>
                <w:noProof/>
                <w:sz w:val="24"/>
                <w:szCs w:val="24"/>
              </w:rPr>
            </w:pPr>
            <w:r>
              <w:rPr>
                <w:rFonts w:ascii="Times New Roman" w:hAnsi="Times New Roman"/>
                <w:noProof/>
                <w:sz w:val="24"/>
              </w:rPr>
              <w:t>2015</w:t>
            </w:r>
          </w:p>
        </w:tc>
        <w:tc>
          <w:tcPr>
            <w:tcW w:w="1220" w:type="dxa"/>
            <w:tcBorders>
              <w:top w:val="nil"/>
            </w:tcBorders>
            <w:shd w:val="clear" w:color="auto" w:fill="auto"/>
          </w:tcPr>
          <w:p>
            <w:pPr>
              <w:spacing w:after="240" w:line="240" w:lineRule="auto"/>
              <w:jc w:val="right"/>
              <w:rPr>
                <w:rFonts w:ascii="Times New Roman" w:hAnsi="Times New Roman"/>
                <w:bCs/>
                <w:noProof/>
                <w:sz w:val="24"/>
                <w:szCs w:val="24"/>
              </w:rPr>
            </w:pPr>
            <w:r>
              <w:rPr>
                <w:rFonts w:ascii="Times New Roman" w:hAnsi="Times New Roman"/>
                <w:noProof/>
                <w:sz w:val="24"/>
              </w:rPr>
              <w:t>225</w:t>
            </w:r>
          </w:p>
          <w:p>
            <w:pPr>
              <w:spacing w:after="240" w:line="240" w:lineRule="auto"/>
              <w:jc w:val="right"/>
              <w:rPr>
                <w:rFonts w:ascii="Times New Roman" w:hAnsi="Times New Roman"/>
                <w:bCs/>
                <w:noProof/>
                <w:sz w:val="24"/>
                <w:szCs w:val="24"/>
              </w:rPr>
            </w:pPr>
            <w:r>
              <w:rPr>
                <w:rFonts w:ascii="Times New Roman" w:hAnsi="Times New Roman"/>
                <w:noProof/>
                <w:sz w:val="24"/>
              </w:rPr>
              <w:t>183</w:t>
            </w:r>
          </w:p>
          <w:p>
            <w:pPr>
              <w:spacing w:after="240" w:line="240" w:lineRule="auto"/>
              <w:jc w:val="right"/>
              <w:rPr>
                <w:rFonts w:ascii="Times New Roman" w:hAnsi="Times New Roman"/>
                <w:bCs/>
                <w:noProof/>
                <w:sz w:val="24"/>
                <w:szCs w:val="24"/>
              </w:rPr>
            </w:pPr>
            <w:r>
              <w:rPr>
                <w:rFonts w:ascii="Times New Roman" w:hAnsi="Times New Roman"/>
                <w:noProof/>
                <w:sz w:val="24"/>
              </w:rPr>
              <w:t>179</w:t>
            </w:r>
          </w:p>
          <w:p>
            <w:pPr>
              <w:spacing w:after="240" w:line="240" w:lineRule="auto"/>
              <w:jc w:val="right"/>
              <w:rPr>
                <w:rFonts w:ascii="Times New Roman" w:hAnsi="Times New Roman"/>
                <w:bCs/>
                <w:noProof/>
                <w:sz w:val="24"/>
                <w:szCs w:val="24"/>
              </w:rPr>
            </w:pPr>
            <w:r>
              <w:rPr>
                <w:rFonts w:ascii="Times New Roman" w:hAnsi="Times New Roman"/>
                <w:noProof/>
                <w:sz w:val="24"/>
              </w:rPr>
              <w:t>192</w:t>
            </w:r>
          </w:p>
          <w:p>
            <w:pPr>
              <w:spacing w:after="240" w:line="240" w:lineRule="auto"/>
              <w:jc w:val="right"/>
              <w:rPr>
                <w:rFonts w:ascii="Times New Roman" w:hAnsi="Times New Roman"/>
                <w:bCs/>
                <w:noProof/>
                <w:sz w:val="24"/>
                <w:szCs w:val="24"/>
              </w:rPr>
            </w:pPr>
            <w:r>
              <w:rPr>
                <w:rFonts w:ascii="Times New Roman" w:hAnsi="Times New Roman"/>
                <w:noProof/>
                <w:sz w:val="24"/>
              </w:rPr>
              <w:t>204</w:t>
            </w:r>
          </w:p>
        </w:tc>
        <w:tc>
          <w:tcPr>
            <w:tcW w:w="1220" w:type="dxa"/>
            <w:tcBorders>
              <w:top w:val="nil"/>
            </w:tcBorders>
            <w:shd w:val="clear" w:color="auto" w:fill="auto"/>
          </w:tcPr>
          <w:p>
            <w:pPr>
              <w:spacing w:after="240" w:line="240" w:lineRule="auto"/>
              <w:jc w:val="right"/>
              <w:rPr>
                <w:rFonts w:ascii="Times New Roman" w:hAnsi="Times New Roman"/>
                <w:bCs/>
                <w:noProof/>
                <w:sz w:val="24"/>
                <w:szCs w:val="24"/>
              </w:rPr>
            </w:pPr>
            <w:r>
              <w:rPr>
                <w:rFonts w:ascii="Times New Roman" w:hAnsi="Times New Roman"/>
                <w:noProof/>
                <w:sz w:val="24"/>
              </w:rPr>
              <w:t>447</w:t>
            </w:r>
          </w:p>
          <w:p>
            <w:pPr>
              <w:spacing w:after="240" w:line="240" w:lineRule="auto"/>
              <w:jc w:val="right"/>
              <w:rPr>
                <w:rFonts w:ascii="Times New Roman" w:hAnsi="Times New Roman"/>
                <w:bCs/>
                <w:noProof/>
                <w:sz w:val="24"/>
                <w:szCs w:val="24"/>
              </w:rPr>
            </w:pPr>
            <w:r>
              <w:rPr>
                <w:rFonts w:ascii="Times New Roman" w:hAnsi="Times New Roman"/>
                <w:noProof/>
                <w:sz w:val="24"/>
              </w:rPr>
              <w:t>423</w:t>
            </w:r>
          </w:p>
          <w:p>
            <w:pPr>
              <w:spacing w:after="240" w:line="240" w:lineRule="auto"/>
              <w:jc w:val="right"/>
              <w:rPr>
                <w:rFonts w:ascii="Times New Roman" w:hAnsi="Times New Roman"/>
                <w:bCs/>
                <w:noProof/>
                <w:sz w:val="24"/>
                <w:szCs w:val="24"/>
              </w:rPr>
            </w:pPr>
            <w:r>
              <w:rPr>
                <w:rFonts w:ascii="Times New Roman" w:hAnsi="Times New Roman"/>
                <w:noProof/>
                <w:sz w:val="24"/>
              </w:rPr>
              <w:t>386</w:t>
            </w:r>
          </w:p>
          <w:p>
            <w:pPr>
              <w:spacing w:after="240" w:line="240" w:lineRule="auto"/>
              <w:jc w:val="right"/>
              <w:rPr>
                <w:rFonts w:ascii="Times New Roman" w:hAnsi="Times New Roman"/>
                <w:bCs/>
                <w:noProof/>
                <w:sz w:val="24"/>
                <w:szCs w:val="24"/>
              </w:rPr>
            </w:pPr>
            <w:r>
              <w:rPr>
                <w:rFonts w:ascii="Times New Roman" w:hAnsi="Times New Roman"/>
                <w:noProof/>
                <w:sz w:val="24"/>
              </w:rPr>
              <w:t>348</w:t>
            </w:r>
          </w:p>
          <w:p>
            <w:pPr>
              <w:spacing w:after="240" w:line="240" w:lineRule="auto"/>
              <w:jc w:val="right"/>
              <w:rPr>
                <w:rFonts w:ascii="Times New Roman" w:hAnsi="Times New Roman"/>
                <w:bCs/>
                <w:noProof/>
                <w:sz w:val="24"/>
                <w:szCs w:val="24"/>
              </w:rPr>
            </w:pPr>
            <w:r>
              <w:rPr>
                <w:rFonts w:ascii="Times New Roman" w:hAnsi="Times New Roman"/>
                <w:noProof/>
                <w:sz w:val="24"/>
              </w:rPr>
              <w:t>300</w:t>
            </w:r>
          </w:p>
        </w:tc>
        <w:tc>
          <w:tcPr>
            <w:tcW w:w="1342" w:type="dxa"/>
            <w:tcBorders>
              <w:top w:val="nil"/>
            </w:tcBorders>
          </w:tcPr>
          <w:p>
            <w:pPr>
              <w:spacing w:after="240" w:line="240" w:lineRule="auto"/>
              <w:jc w:val="right"/>
              <w:rPr>
                <w:rFonts w:ascii="Times New Roman" w:hAnsi="Times New Roman"/>
                <w:bCs/>
                <w:noProof/>
                <w:sz w:val="24"/>
                <w:szCs w:val="24"/>
              </w:rPr>
            </w:pPr>
            <w:r>
              <w:rPr>
                <w:rFonts w:ascii="Times New Roman" w:hAnsi="Times New Roman"/>
                <w:noProof/>
                <w:sz w:val="24"/>
              </w:rPr>
              <w:t>11</w:t>
            </w:r>
            <w:r>
              <w:rPr>
                <w:noProof/>
              </w:rPr>
              <w:t> </w:t>
            </w:r>
            <w:r>
              <w:rPr>
                <w:rFonts w:ascii="Times New Roman" w:hAnsi="Times New Roman"/>
                <w:noProof/>
                <w:sz w:val="24"/>
              </w:rPr>
              <w:t>400</w:t>
            </w:r>
          </w:p>
          <w:p>
            <w:pPr>
              <w:spacing w:after="240" w:line="240" w:lineRule="auto"/>
              <w:jc w:val="right"/>
              <w:rPr>
                <w:rFonts w:ascii="Times New Roman" w:hAnsi="Times New Roman"/>
                <w:bCs/>
                <w:noProof/>
                <w:sz w:val="24"/>
                <w:szCs w:val="24"/>
              </w:rPr>
            </w:pPr>
            <w:r>
              <w:rPr>
                <w:rFonts w:ascii="Times New Roman" w:hAnsi="Times New Roman"/>
                <w:noProof/>
                <w:sz w:val="24"/>
              </w:rPr>
              <w:t>11</w:t>
            </w:r>
            <w:r>
              <w:rPr>
                <w:noProof/>
              </w:rPr>
              <w:t> </w:t>
            </w:r>
            <w:r>
              <w:rPr>
                <w:rFonts w:ascii="Times New Roman" w:hAnsi="Times New Roman"/>
                <w:noProof/>
                <w:sz w:val="24"/>
              </w:rPr>
              <w:t>400</w:t>
            </w:r>
          </w:p>
          <w:p>
            <w:pPr>
              <w:spacing w:after="240" w:line="240" w:lineRule="auto"/>
              <w:jc w:val="right"/>
              <w:rPr>
                <w:rFonts w:ascii="Times New Roman" w:hAnsi="Times New Roman"/>
                <w:bCs/>
                <w:noProof/>
                <w:sz w:val="24"/>
                <w:szCs w:val="24"/>
              </w:rPr>
            </w:pPr>
            <w:r>
              <w:rPr>
                <w:rFonts w:ascii="Times New Roman" w:hAnsi="Times New Roman"/>
                <w:noProof/>
                <w:sz w:val="24"/>
              </w:rPr>
              <w:t>11</w:t>
            </w:r>
            <w:r>
              <w:rPr>
                <w:noProof/>
              </w:rPr>
              <w:t> </w:t>
            </w:r>
            <w:r>
              <w:rPr>
                <w:rFonts w:ascii="Times New Roman" w:hAnsi="Times New Roman"/>
                <w:noProof/>
                <w:sz w:val="24"/>
              </w:rPr>
              <w:t>400</w:t>
            </w:r>
          </w:p>
          <w:p>
            <w:pPr>
              <w:spacing w:after="240" w:line="240" w:lineRule="auto"/>
              <w:jc w:val="right"/>
              <w:rPr>
                <w:rFonts w:ascii="Times New Roman" w:hAnsi="Times New Roman"/>
                <w:bCs/>
                <w:noProof/>
                <w:sz w:val="24"/>
                <w:szCs w:val="24"/>
              </w:rPr>
            </w:pPr>
            <w:r>
              <w:rPr>
                <w:rFonts w:ascii="Times New Roman" w:hAnsi="Times New Roman"/>
                <w:noProof/>
                <w:sz w:val="24"/>
              </w:rPr>
              <w:t>8</w:t>
            </w:r>
            <w:r>
              <w:rPr>
                <w:noProof/>
              </w:rPr>
              <w:t> </w:t>
            </w:r>
            <w:r>
              <w:rPr>
                <w:rFonts w:ascii="Times New Roman" w:hAnsi="Times New Roman"/>
                <w:noProof/>
                <w:sz w:val="24"/>
              </w:rPr>
              <w:t>400</w:t>
            </w:r>
          </w:p>
          <w:p>
            <w:pPr>
              <w:spacing w:after="240" w:line="240" w:lineRule="auto"/>
              <w:jc w:val="right"/>
              <w:rPr>
                <w:rFonts w:ascii="Times New Roman" w:hAnsi="Times New Roman"/>
                <w:bCs/>
                <w:noProof/>
                <w:sz w:val="24"/>
                <w:szCs w:val="24"/>
              </w:rPr>
            </w:pPr>
            <w:r>
              <w:rPr>
                <w:rFonts w:ascii="Times New Roman" w:hAnsi="Times New Roman"/>
                <w:noProof/>
                <w:sz w:val="24"/>
              </w:rPr>
              <w:t>5 700</w:t>
            </w:r>
          </w:p>
        </w:tc>
        <w:tc>
          <w:tcPr>
            <w:tcW w:w="1342" w:type="dxa"/>
            <w:tcBorders>
              <w:top w:val="nil"/>
            </w:tcBorders>
          </w:tcPr>
          <w:p>
            <w:pPr>
              <w:spacing w:after="240" w:line="240" w:lineRule="auto"/>
              <w:jc w:val="right"/>
              <w:rPr>
                <w:rFonts w:ascii="Times New Roman" w:hAnsi="Times New Roman"/>
                <w:bCs/>
                <w:noProof/>
                <w:sz w:val="24"/>
                <w:szCs w:val="24"/>
              </w:rPr>
            </w:pPr>
            <w:r>
              <w:rPr>
                <w:rFonts w:ascii="Times New Roman" w:hAnsi="Times New Roman"/>
                <w:noProof/>
                <w:sz w:val="24"/>
              </w:rPr>
              <w:t>590</w:t>
            </w:r>
          </w:p>
          <w:p>
            <w:pPr>
              <w:spacing w:after="240" w:line="240" w:lineRule="auto"/>
              <w:jc w:val="right"/>
              <w:rPr>
                <w:rFonts w:ascii="Times New Roman" w:hAnsi="Times New Roman"/>
                <w:bCs/>
                <w:noProof/>
                <w:sz w:val="24"/>
                <w:szCs w:val="24"/>
              </w:rPr>
            </w:pPr>
            <w:r>
              <w:rPr>
                <w:rFonts w:ascii="Times New Roman" w:hAnsi="Times New Roman"/>
                <w:noProof/>
                <w:sz w:val="24"/>
              </w:rPr>
              <w:t>545</w:t>
            </w:r>
          </w:p>
          <w:p>
            <w:pPr>
              <w:spacing w:after="240" w:line="240" w:lineRule="auto"/>
              <w:jc w:val="right"/>
              <w:rPr>
                <w:rFonts w:ascii="Times New Roman" w:hAnsi="Times New Roman"/>
                <w:bCs/>
                <w:noProof/>
                <w:sz w:val="24"/>
                <w:szCs w:val="24"/>
              </w:rPr>
            </w:pPr>
            <w:r>
              <w:rPr>
                <w:rFonts w:ascii="Times New Roman" w:hAnsi="Times New Roman"/>
                <w:noProof/>
                <w:sz w:val="24"/>
              </w:rPr>
              <w:t>565</w:t>
            </w:r>
          </w:p>
          <w:p>
            <w:pPr>
              <w:spacing w:after="240" w:line="240" w:lineRule="auto"/>
              <w:jc w:val="right"/>
              <w:rPr>
                <w:rFonts w:ascii="Times New Roman" w:hAnsi="Times New Roman"/>
                <w:bCs/>
                <w:noProof/>
                <w:sz w:val="24"/>
                <w:szCs w:val="24"/>
              </w:rPr>
            </w:pPr>
            <w:r>
              <w:rPr>
                <w:rFonts w:ascii="Times New Roman" w:hAnsi="Times New Roman"/>
                <w:noProof/>
                <w:sz w:val="24"/>
              </w:rPr>
              <w:t>1</w:t>
            </w:r>
            <w:r>
              <w:rPr>
                <w:noProof/>
              </w:rPr>
              <w:t> </w:t>
            </w:r>
            <w:r>
              <w:rPr>
                <w:rFonts w:ascii="Times New Roman" w:hAnsi="Times New Roman"/>
                <w:noProof/>
                <w:sz w:val="24"/>
              </w:rPr>
              <w:t>829</w:t>
            </w:r>
          </w:p>
          <w:p>
            <w:pPr>
              <w:spacing w:after="240" w:line="240" w:lineRule="auto"/>
              <w:jc w:val="right"/>
              <w:rPr>
                <w:rFonts w:ascii="Times New Roman" w:hAnsi="Times New Roman"/>
                <w:bCs/>
                <w:noProof/>
                <w:sz w:val="24"/>
                <w:szCs w:val="24"/>
              </w:rPr>
            </w:pPr>
            <w:r>
              <w:rPr>
                <w:rFonts w:ascii="Times New Roman" w:hAnsi="Times New Roman"/>
                <w:noProof/>
                <w:sz w:val="24"/>
              </w:rPr>
              <w:t>3 007</w:t>
            </w:r>
          </w:p>
        </w:tc>
        <w:tc>
          <w:tcPr>
            <w:tcW w:w="1342" w:type="dxa"/>
            <w:tcBorders>
              <w:top w:val="nil"/>
            </w:tcBorders>
            <w:shd w:val="clear" w:color="auto" w:fill="auto"/>
          </w:tcPr>
          <w:p>
            <w:pPr>
              <w:spacing w:after="240" w:line="240" w:lineRule="auto"/>
              <w:jc w:val="right"/>
              <w:rPr>
                <w:rFonts w:ascii="Times New Roman" w:hAnsi="Times New Roman"/>
                <w:bCs/>
                <w:noProof/>
                <w:sz w:val="24"/>
                <w:szCs w:val="24"/>
              </w:rPr>
            </w:pPr>
            <w:r>
              <w:rPr>
                <w:rFonts w:ascii="Times New Roman" w:hAnsi="Times New Roman"/>
                <w:noProof/>
                <w:sz w:val="24"/>
              </w:rPr>
              <w:t>28</w:t>
            </w:r>
            <w:r>
              <w:rPr>
                <w:noProof/>
              </w:rPr>
              <w:t> </w:t>
            </w:r>
            <w:r>
              <w:rPr>
                <w:rFonts w:ascii="Times New Roman" w:hAnsi="Times New Roman"/>
                <w:noProof/>
                <w:sz w:val="24"/>
              </w:rPr>
              <w:t>000</w:t>
            </w:r>
          </w:p>
          <w:p>
            <w:pPr>
              <w:spacing w:after="240" w:line="240" w:lineRule="auto"/>
              <w:jc w:val="right"/>
              <w:rPr>
                <w:rFonts w:ascii="Times New Roman" w:hAnsi="Times New Roman"/>
                <w:bCs/>
                <w:noProof/>
                <w:sz w:val="24"/>
                <w:szCs w:val="24"/>
              </w:rPr>
            </w:pPr>
            <w:r>
              <w:rPr>
                <w:rFonts w:ascii="Times New Roman" w:hAnsi="Times New Roman"/>
                <w:noProof/>
                <w:sz w:val="24"/>
              </w:rPr>
              <w:t>43</w:t>
            </w:r>
            <w:r>
              <w:rPr>
                <w:noProof/>
              </w:rPr>
              <w:t> </w:t>
            </w:r>
            <w:r>
              <w:rPr>
                <w:rFonts w:ascii="Times New Roman" w:hAnsi="Times New Roman"/>
                <w:noProof/>
                <w:sz w:val="24"/>
              </w:rPr>
              <w:t>800</w:t>
            </w:r>
          </w:p>
          <w:p>
            <w:pPr>
              <w:spacing w:after="240" w:line="240" w:lineRule="auto"/>
              <w:jc w:val="right"/>
              <w:rPr>
                <w:rFonts w:ascii="Times New Roman" w:hAnsi="Times New Roman"/>
                <w:bCs/>
                <w:noProof/>
                <w:sz w:val="24"/>
                <w:szCs w:val="24"/>
              </w:rPr>
            </w:pPr>
            <w:r>
              <w:rPr>
                <w:rFonts w:ascii="Times New Roman" w:hAnsi="Times New Roman"/>
                <w:noProof/>
                <w:sz w:val="24"/>
              </w:rPr>
              <w:t>43</w:t>
            </w:r>
            <w:r>
              <w:rPr>
                <w:noProof/>
              </w:rPr>
              <w:t> </w:t>
            </w:r>
            <w:r>
              <w:rPr>
                <w:rFonts w:ascii="Times New Roman" w:hAnsi="Times New Roman"/>
                <w:noProof/>
                <w:sz w:val="24"/>
              </w:rPr>
              <w:t>800</w:t>
            </w:r>
          </w:p>
          <w:p>
            <w:pPr>
              <w:spacing w:after="240" w:line="240" w:lineRule="auto"/>
              <w:jc w:val="right"/>
              <w:rPr>
                <w:rFonts w:ascii="Times New Roman" w:hAnsi="Times New Roman"/>
                <w:bCs/>
                <w:noProof/>
                <w:sz w:val="24"/>
                <w:szCs w:val="24"/>
              </w:rPr>
            </w:pPr>
            <w:r>
              <w:rPr>
                <w:rFonts w:ascii="Times New Roman" w:hAnsi="Times New Roman"/>
                <w:noProof/>
                <w:sz w:val="24"/>
              </w:rPr>
              <w:t>46</w:t>
            </w:r>
            <w:r>
              <w:rPr>
                <w:noProof/>
              </w:rPr>
              <w:t> </w:t>
            </w:r>
            <w:r>
              <w:rPr>
                <w:rFonts w:ascii="Times New Roman" w:hAnsi="Times New Roman"/>
                <w:noProof/>
                <w:sz w:val="24"/>
              </w:rPr>
              <w:t>800</w:t>
            </w:r>
          </w:p>
          <w:p>
            <w:pPr>
              <w:spacing w:after="240" w:line="240" w:lineRule="auto"/>
              <w:jc w:val="right"/>
              <w:rPr>
                <w:rFonts w:ascii="Times New Roman" w:hAnsi="Times New Roman"/>
                <w:bCs/>
                <w:noProof/>
                <w:sz w:val="24"/>
                <w:szCs w:val="24"/>
              </w:rPr>
            </w:pPr>
            <w:r>
              <w:rPr>
                <w:rFonts w:ascii="Times New Roman" w:hAnsi="Times New Roman"/>
                <w:noProof/>
                <w:sz w:val="24"/>
              </w:rPr>
              <w:t>46</w:t>
            </w:r>
            <w:r>
              <w:rPr>
                <w:noProof/>
              </w:rPr>
              <w:t> </w:t>
            </w:r>
            <w:r>
              <w:rPr>
                <w:rFonts w:ascii="Times New Roman" w:hAnsi="Times New Roman"/>
                <w:noProof/>
                <w:sz w:val="24"/>
              </w:rPr>
              <w:t>800</w:t>
            </w:r>
          </w:p>
        </w:tc>
        <w:tc>
          <w:tcPr>
            <w:tcW w:w="1489" w:type="dxa"/>
            <w:tcBorders>
              <w:top w:val="nil"/>
            </w:tcBorders>
            <w:shd w:val="clear" w:color="auto" w:fill="auto"/>
          </w:tcPr>
          <w:p>
            <w:pPr>
              <w:spacing w:after="240" w:line="240" w:lineRule="auto"/>
              <w:jc w:val="right"/>
              <w:rPr>
                <w:rFonts w:ascii="Times New Roman" w:hAnsi="Times New Roman"/>
                <w:bCs/>
                <w:noProof/>
                <w:sz w:val="24"/>
                <w:szCs w:val="24"/>
              </w:rPr>
            </w:pPr>
            <w:r>
              <w:rPr>
                <w:rFonts w:ascii="Times New Roman" w:hAnsi="Times New Roman"/>
                <w:noProof/>
                <w:sz w:val="24"/>
              </w:rPr>
              <w:t>40</w:t>
            </w:r>
            <w:r>
              <w:rPr>
                <w:noProof/>
              </w:rPr>
              <w:t> </w:t>
            </w:r>
            <w:r>
              <w:rPr>
                <w:rFonts w:ascii="Times New Roman" w:hAnsi="Times New Roman"/>
                <w:noProof/>
                <w:sz w:val="24"/>
              </w:rPr>
              <w:t>662</w:t>
            </w:r>
          </w:p>
          <w:p>
            <w:pPr>
              <w:spacing w:after="240" w:line="240" w:lineRule="auto"/>
              <w:jc w:val="right"/>
              <w:rPr>
                <w:rFonts w:ascii="Times New Roman" w:hAnsi="Times New Roman"/>
                <w:bCs/>
                <w:noProof/>
                <w:sz w:val="24"/>
                <w:szCs w:val="24"/>
              </w:rPr>
            </w:pPr>
            <w:r>
              <w:rPr>
                <w:rFonts w:ascii="Times New Roman" w:hAnsi="Times New Roman"/>
                <w:noProof/>
                <w:sz w:val="24"/>
              </w:rPr>
              <w:t>56</w:t>
            </w:r>
            <w:r>
              <w:rPr>
                <w:noProof/>
              </w:rPr>
              <w:t> </w:t>
            </w:r>
            <w:r>
              <w:rPr>
                <w:rFonts w:ascii="Times New Roman" w:hAnsi="Times New Roman"/>
                <w:noProof/>
                <w:sz w:val="24"/>
              </w:rPr>
              <w:t>351</w:t>
            </w:r>
          </w:p>
          <w:p>
            <w:pPr>
              <w:spacing w:after="240" w:line="240" w:lineRule="auto"/>
              <w:jc w:val="right"/>
              <w:rPr>
                <w:rFonts w:ascii="Times New Roman" w:hAnsi="Times New Roman"/>
                <w:bCs/>
                <w:noProof/>
                <w:sz w:val="24"/>
                <w:szCs w:val="24"/>
              </w:rPr>
            </w:pPr>
            <w:r>
              <w:rPr>
                <w:rFonts w:ascii="Times New Roman" w:hAnsi="Times New Roman"/>
                <w:noProof/>
                <w:sz w:val="24"/>
              </w:rPr>
              <w:t>56</w:t>
            </w:r>
            <w:r>
              <w:rPr>
                <w:noProof/>
              </w:rPr>
              <w:t> </w:t>
            </w:r>
            <w:r>
              <w:rPr>
                <w:rFonts w:ascii="Times New Roman" w:hAnsi="Times New Roman"/>
                <w:noProof/>
                <w:sz w:val="24"/>
              </w:rPr>
              <w:t>330</w:t>
            </w:r>
          </w:p>
          <w:p>
            <w:pPr>
              <w:spacing w:after="240" w:line="240" w:lineRule="auto"/>
              <w:jc w:val="right"/>
              <w:rPr>
                <w:rFonts w:ascii="Times New Roman" w:hAnsi="Times New Roman"/>
                <w:bCs/>
                <w:noProof/>
                <w:sz w:val="24"/>
                <w:szCs w:val="24"/>
              </w:rPr>
            </w:pPr>
            <w:r>
              <w:rPr>
                <w:rFonts w:ascii="Times New Roman" w:hAnsi="Times New Roman"/>
                <w:noProof/>
                <w:sz w:val="24"/>
              </w:rPr>
              <w:t>57</w:t>
            </w:r>
            <w:r>
              <w:rPr>
                <w:noProof/>
              </w:rPr>
              <w:t> </w:t>
            </w:r>
            <w:r>
              <w:rPr>
                <w:rFonts w:ascii="Times New Roman" w:hAnsi="Times New Roman"/>
                <w:noProof/>
                <w:sz w:val="24"/>
              </w:rPr>
              <w:t>569</w:t>
            </w:r>
          </w:p>
          <w:p>
            <w:pPr>
              <w:spacing w:after="240" w:line="240" w:lineRule="auto"/>
              <w:jc w:val="right"/>
              <w:rPr>
                <w:rFonts w:ascii="Times New Roman" w:hAnsi="Times New Roman"/>
                <w:bCs/>
                <w:noProof/>
                <w:sz w:val="24"/>
                <w:szCs w:val="24"/>
              </w:rPr>
            </w:pPr>
            <w:r>
              <w:rPr>
                <w:rFonts w:ascii="Times New Roman" w:hAnsi="Times New Roman"/>
                <w:noProof/>
                <w:sz w:val="24"/>
              </w:rPr>
              <w:t>56 011</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26"/>
        </w:trPr>
        <w:tc>
          <w:tcPr>
            <w:tcW w:w="8931" w:type="dxa"/>
            <w:gridSpan w:val="7"/>
          </w:tcPr>
          <w:p>
            <w:pPr>
              <w:tabs>
                <w:tab w:val="left" w:pos="397"/>
              </w:tabs>
              <w:spacing w:after="0" w:line="240" w:lineRule="auto"/>
              <w:ind w:left="-108" w:right="-108"/>
              <w:jc w:val="both"/>
              <w:rPr>
                <w:rFonts w:ascii="Times New Roman" w:hAnsi="Times New Roman"/>
                <w:noProof/>
                <w:sz w:val="20"/>
                <w:szCs w:val="20"/>
              </w:rPr>
            </w:pPr>
            <w:r>
              <w:rPr>
                <w:rFonts w:ascii="Times New Roman" w:hAnsi="Times New Roman"/>
                <w:noProof/>
                <w:snapToGrid w:val="0"/>
                <w:sz w:val="20"/>
              </w:rPr>
              <w:t xml:space="preserve">(1) </w:t>
            </w:r>
            <w:r>
              <w:rPr>
                <w:rFonts w:ascii="Times New Roman" w:hAnsi="Times New Roman"/>
                <w:noProof/>
                <w:sz w:val="20"/>
              </w:rPr>
              <w:t xml:space="preserve">Muuntokursseina käytetään kunkin vuoden joulukuun 31. päivän kursseja. </w:t>
            </w:r>
          </w:p>
          <w:p>
            <w:pPr>
              <w:tabs>
                <w:tab w:val="left" w:pos="397"/>
              </w:tabs>
              <w:spacing w:after="240" w:line="240" w:lineRule="auto"/>
              <w:ind w:left="-108" w:right="-108"/>
              <w:jc w:val="both"/>
              <w:rPr>
                <w:rFonts w:ascii="Times New Roman" w:hAnsi="Times New Roman"/>
                <w:noProof/>
                <w:sz w:val="20"/>
                <w:szCs w:val="20"/>
              </w:rPr>
            </w:pPr>
            <w:r>
              <w:rPr>
                <w:rFonts w:ascii="Times New Roman" w:hAnsi="Times New Roman"/>
                <w:noProof/>
                <w:snapToGrid w:val="0"/>
                <w:sz w:val="20"/>
              </w:rPr>
              <w:t>(2) Euroopan hiili- ja teräsyhteisö (EHTY) on ollut selvitystilassa vuodesta 2002 alkaen. Viimeinen EHTY:n liikkeeseen laskema joukkovelkakirjalaina erääntyy vuonna 2019. Jäljellä olevan määrän kasvu johtuu valuuttakurssien vaihtelusta.</w:t>
            </w:r>
          </w:p>
        </w:tc>
      </w:tr>
    </w:tbl>
    <w:p>
      <w:pPr>
        <w:pStyle w:val="ManualHeading1"/>
        <w:spacing w:after="240"/>
        <w:ind w:left="851" w:hanging="851"/>
        <w:rPr>
          <w:noProof/>
        </w:rPr>
      </w:pPr>
      <w:bookmarkStart w:id="32" w:name="_Toc325641136"/>
      <w:bookmarkStart w:id="33" w:name="_Toc330157538"/>
      <w:bookmarkStart w:id="34" w:name="_Toc361393252"/>
      <w:bookmarkStart w:id="35" w:name="_Toc388883940"/>
      <w:bookmarkStart w:id="36" w:name="_Toc393808492"/>
      <w:bookmarkStart w:id="37" w:name="_Toc451257928"/>
      <w:bookmarkStart w:id="38" w:name="_Toc452361669"/>
      <w:r>
        <w:rPr>
          <w:noProof/>
        </w:rPr>
        <w:t>2.</w:t>
      </w:r>
      <w:r>
        <w:rPr>
          <w:noProof/>
        </w:rPr>
        <w:tab/>
        <w:t>Euroopan unionin lainanantotoiminta</w:t>
      </w:r>
      <w:bookmarkEnd w:id="32"/>
      <w:bookmarkEnd w:id="33"/>
      <w:bookmarkEnd w:id="34"/>
      <w:bookmarkEnd w:id="35"/>
      <w:bookmarkEnd w:id="36"/>
      <w:bookmarkEnd w:id="37"/>
      <w:bookmarkEnd w:id="38"/>
    </w:p>
    <w:p>
      <w:pPr>
        <w:spacing w:line="240" w:lineRule="auto"/>
        <w:jc w:val="both"/>
        <w:rPr>
          <w:rFonts w:ascii="Times New Roman" w:hAnsi="Times New Roman"/>
          <w:noProof/>
        </w:rPr>
      </w:pPr>
      <w:r>
        <w:rPr>
          <w:rFonts w:ascii="Times New Roman" w:hAnsi="Times New Roman"/>
          <w:noProof/>
          <w:sz w:val="24"/>
        </w:rPr>
        <w:t>Komissio antaa kolmansille maille ja jäsenvaltioille rahoitustukea kahdenvälisinä lainoina. Tähän tarvittava rahoitus hankitaan pääomamarkkinoilta, ja sen takaisinmaksu taataan EU:n talousarviosta. Tukea annetaan tavoitteista riippuen joko neuvoston tai neuvoston ja Euroopan parlamentin päätösten nojalla.</w:t>
      </w:r>
      <w:r>
        <w:rPr>
          <w:rStyle w:val="FootnoteReference"/>
          <w:rFonts w:ascii="Times New Roman" w:hAnsi="Times New Roman"/>
          <w:noProof/>
          <w:sz w:val="24"/>
        </w:rPr>
        <w:footnoteReference w:id="1"/>
      </w:r>
      <w:r>
        <w:rPr>
          <w:rFonts w:ascii="Times New Roman" w:hAnsi="Times New Roman"/>
          <w:noProof/>
          <w:sz w:val="24"/>
        </w:rPr>
        <w:t xml:space="preserve"> Komissio ja unionin ulkoasioiden ja turvallisuuspolitiikan korkea edustaja varmistavat Euroopan ulkosuhdehallinnon avustuksella, että kolmansille maille myönnettävä rahoitustuki vastaa EU:n ulkosuhteiden yleisiä tavoitteita.</w:t>
      </w:r>
    </w:p>
    <w:p>
      <w:pPr>
        <w:pStyle w:val="ManualHeading2"/>
        <w:spacing w:before="240" w:after="240"/>
        <w:ind w:left="851" w:hanging="851"/>
        <w:outlineLvl w:val="0"/>
        <w:rPr>
          <w:noProof/>
        </w:rPr>
      </w:pPr>
      <w:bookmarkStart w:id="39" w:name="_Toc325641137"/>
      <w:bookmarkStart w:id="40" w:name="_Toc330157539"/>
      <w:bookmarkStart w:id="41" w:name="_Toc361393253"/>
      <w:bookmarkStart w:id="42" w:name="_Toc388883941"/>
      <w:bookmarkStart w:id="43" w:name="_Toc393808493"/>
      <w:bookmarkStart w:id="44" w:name="_Toc451257929"/>
      <w:bookmarkStart w:id="45" w:name="_Toc452361670"/>
      <w:r>
        <w:rPr>
          <w:noProof/>
        </w:rPr>
        <w:t>2.1.</w:t>
      </w:r>
      <w:r>
        <w:rPr>
          <w:noProof/>
        </w:rPr>
        <w:tab/>
        <w:t>Maksutasejärjestely</w:t>
      </w:r>
      <w:bookmarkEnd w:id="39"/>
      <w:bookmarkEnd w:id="40"/>
      <w:bookmarkEnd w:id="41"/>
      <w:bookmarkEnd w:id="42"/>
      <w:bookmarkEnd w:id="43"/>
      <w:bookmarkEnd w:id="44"/>
      <w:bookmarkEnd w:id="45"/>
    </w:p>
    <w:p>
      <w:pPr>
        <w:spacing w:after="120" w:line="240" w:lineRule="auto"/>
        <w:jc w:val="both"/>
        <w:rPr>
          <w:rFonts w:ascii="Times New Roman" w:hAnsi="Times New Roman"/>
          <w:noProof/>
          <w:sz w:val="24"/>
          <w:szCs w:val="24"/>
        </w:rPr>
      </w:pPr>
      <w:r>
        <w:rPr>
          <w:rFonts w:ascii="Times New Roman" w:hAnsi="Times New Roman"/>
          <w:noProof/>
          <w:sz w:val="24"/>
        </w:rPr>
        <w:t>Euroopan unionin toiminnasta tehdyn sopimuksen, jäljempänä ’SEUT-sopimus’, 143 artiklan ja maksutaseasetuksen (järjestelystä keskipitkän ajan rahoitustuen myöntämiseksi jäsenvaltioiden maksutaseille 18 päivänä helmikuuta 2002 annettu neuvoston asetus (EY) N:o 332/2002</w:t>
      </w:r>
      <w:r>
        <w:rPr>
          <w:rStyle w:val="FootnoteReference"/>
          <w:rFonts w:ascii="Times New Roman" w:hAnsi="Times New Roman"/>
          <w:noProof/>
          <w:sz w:val="24"/>
        </w:rPr>
        <w:footnoteReference w:id="2"/>
      </w:r>
      <w:r>
        <w:rPr>
          <w:rFonts w:ascii="Times New Roman" w:hAnsi="Times New Roman"/>
          <w:noProof/>
          <w:sz w:val="24"/>
        </w:rPr>
        <w:t>) mukaista maksutasetukea annetaan unionin keskipitkinä lainoina. Sitä myönnetään tavanomaisesti Kansainvälisen valuuttarahaston (IMF) ja muiden monenvälisten lainoittajien kuten EIP:n, Euroopan jälleenrakennus- ja kehityspankin (EBRD) tai Maailmanpankin rahoituksen yhteydessä.</w:t>
      </w:r>
    </w:p>
    <w:p>
      <w:pPr>
        <w:spacing w:after="120" w:line="240" w:lineRule="auto"/>
        <w:jc w:val="both"/>
        <w:rPr>
          <w:rFonts w:ascii="Times New Roman" w:hAnsi="Times New Roman"/>
          <w:noProof/>
          <w:sz w:val="24"/>
          <w:szCs w:val="24"/>
        </w:rPr>
      </w:pPr>
      <w:r>
        <w:rPr>
          <w:rFonts w:ascii="Times New Roman" w:hAnsi="Times New Roman"/>
          <w:noProof/>
          <w:sz w:val="24"/>
        </w:rPr>
        <w:t>Neuvosto päättää maksutasetuen myöntämisestä tapauskohtaisesti määräenemmistöllä. Potentiaalisia tuensaajia ovat euroalueen ulkopuoliset jäsenvaltiot, joilla on vakavia maksutasevaikeuksia. Järjestelyn tarkoituksena on lievittää jäsenvaltioiden ulkoisen rahoituksen hankintavaikeuksia ja palauttaa niiden maksutasetilanne kestävälle pohjalle. Tuki asetetaan käyttöön niiden talouspoliittisten edellytysten täyttyessä, jotka neuvosto on asettanut (kuultuaan talous- ja rahoituskomiteaa) ja joista komissio ja tuensaajajäsenvaltio ovat sopineet yhteisymmärryspöytäkirjassa ennen lainasopimuksen tekemistä. Yhteisymmärryspöytäkirjassa sovittujen toimenpiteiden jatkuvaa noudattamista arvioidaan säännöllisesti, ja noudattaminen on edellytyksenä myöhempien lainaerien maksamiselle. Komissio hankkii tarvittavan rahoituksen pääomamarkkinoilta Euroopan unionin puolesta.</w:t>
      </w:r>
    </w:p>
    <w:p>
      <w:pPr>
        <w:spacing w:after="120" w:line="240" w:lineRule="auto"/>
        <w:jc w:val="both"/>
        <w:rPr>
          <w:rFonts w:ascii="Times New Roman" w:hAnsi="Times New Roman"/>
          <w:noProof/>
          <w:sz w:val="24"/>
          <w:szCs w:val="24"/>
        </w:rPr>
      </w:pPr>
      <w:r>
        <w:rPr>
          <w:rFonts w:ascii="Times New Roman" w:hAnsi="Times New Roman"/>
          <w:noProof/>
          <w:sz w:val="24"/>
        </w:rPr>
        <w:t>Maksutaseasetuksen mukaisesti komissio raportoi talous- ja rahoituskomitealle ja neuvostolle kolmen vuoden välein maksutasejärjestelyn täytäntöönpanosta.</w:t>
      </w:r>
    </w:p>
    <w:p>
      <w:pPr>
        <w:spacing w:after="120" w:line="240" w:lineRule="auto"/>
        <w:jc w:val="both"/>
        <w:rPr>
          <w:rFonts w:ascii="Times New Roman" w:hAnsi="Times New Roman"/>
          <w:noProof/>
          <w:sz w:val="24"/>
          <w:szCs w:val="24"/>
        </w:rPr>
      </w:pPr>
      <w:r>
        <w:rPr>
          <w:rFonts w:ascii="Times New Roman" w:hAnsi="Times New Roman"/>
          <w:noProof/>
          <w:sz w:val="24"/>
        </w:rPr>
        <w:t>Neuvosto myönsi vuonna 2013 Romanialle toisen ennalta varautuvaa rahoitustukea koskevan ohjelman.</w:t>
      </w:r>
      <w:r>
        <w:rPr>
          <w:rStyle w:val="FootnoteReference"/>
          <w:rFonts w:ascii="Times New Roman" w:hAnsi="Times New Roman"/>
          <w:noProof/>
          <w:sz w:val="24"/>
        </w:rPr>
        <w:footnoteReference w:id="3"/>
      </w:r>
      <w:r>
        <w:rPr>
          <w:rFonts w:ascii="Times New Roman" w:hAnsi="Times New Roman"/>
          <w:noProof/>
          <w:sz w:val="24"/>
        </w:rPr>
        <w:t xml:space="preserve"> Ohjelman määrä oli enintään 2 miljardia euroa, ja sen voimassaolo päättyi syyskuun 2015 lopussa ilman, että tukea olisi nostettu. Tällä hetkellä uusia ohjelmia ei ole näköpiirissä.</w:t>
      </w:r>
    </w:p>
    <w:p>
      <w:pPr>
        <w:spacing w:after="120" w:line="240" w:lineRule="auto"/>
        <w:jc w:val="both"/>
        <w:rPr>
          <w:rFonts w:ascii="Times New Roman" w:hAnsi="Times New Roman"/>
          <w:noProof/>
          <w:sz w:val="24"/>
          <w:szCs w:val="24"/>
        </w:rPr>
      </w:pPr>
      <w:r>
        <w:rPr>
          <w:rFonts w:ascii="Times New Roman" w:hAnsi="Times New Roman"/>
          <w:noProof/>
          <w:sz w:val="24"/>
        </w:rPr>
        <w:t>Tammikuussa 2015 Latvia maksoi takaisin 1,2 miljardia euroa ja Romania 1,5 miljardia euroa. Joulukuun 31. päivänä 2015 maksutasejärjestelyn jäljellä oleva lainapääoma oli 5,7 miljardia euroa.</w:t>
      </w:r>
      <w:r>
        <w:rPr>
          <w:rStyle w:val="FootnoteReference"/>
          <w:rFonts w:ascii="Times New Roman" w:hAnsi="Times New Roman"/>
          <w:noProof/>
          <w:sz w:val="24"/>
        </w:rPr>
        <w:footnoteReference w:id="4"/>
      </w:r>
    </w:p>
    <w:p>
      <w:pPr>
        <w:spacing w:after="240" w:line="240" w:lineRule="auto"/>
        <w:jc w:val="both"/>
        <w:rPr>
          <w:rFonts w:ascii="Times New Roman" w:hAnsi="Times New Roman"/>
          <w:noProof/>
          <w:sz w:val="24"/>
          <w:szCs w:val="24"/>
          <w:u w:val="single"/>
        </w:rPr>
      </w:pPr>
      <w:r>
        <w:rPr>
          <w:rFonts w:ascii="Times New Roman" w:hAnsi="Times New Roman"/>
          <w:noProof/>
          <w:sz w:val="24"/>
        </w:rPr>
        <w:t>Seuraavassa taulukossa esitetään maksutasetukena annettujen lainojen kehitys 31. joulukuuta 2015 asti.</w:t>
      </w:r>
    </w:p>
    <w:p>
      <w:pPr>
        <w:spacing w:after="240" w:line="240" w:lineRule="auto"/>
        <w:jc w:val="both"/>
        <w:rPr>
          <w:rFonts w:ascii="Times New Roman" w:hAnsi="Times New Roman"/>
          <w:noProof/>
          <w:sz w:val="24"/>
          <w:szCs w:val="24"/>
        </w:rPr>
      </w:pPr>
      <w:r>
        <w:rPr>
          <w:rFonts w:ascii="Times New Roman" w:hAnsi="Times New Roman"/>
          <w:noProof/>
          <w:sz w:val="24"/>
          <w:u w:val="single"/>
        </w:rPr>
        <w:t>Taulukko 2: Maksutasetuki 31.12.2015 (lainapääoma miljardia euroa)</w:t>
      </w:r>
      <w:r>
        <w:rPr>
          <w:rFonts w:ascii="Times New Roman" w:hAnsi="Times New Roman"/>
          <w:noProof/>
          <w:sz w:val="24"/>
        </w:rPr>
        <w:t> </w:t>
      </w:r>
    </w:p>
    <w:tbl>
      <w:tblPr>
        <w:tblW w:w="9246" w:type="dxa"/>
        <w:jc w:val="center"/>
        <w:tblLook w:val="0000" w:firstRow="0" w:lastRow="0" w:firstColumn="0" w:lastColumn="0" w:noHBand="0" w:noVBand="0"/>
      </w:tblPr>
      <w:tblGrid>
        <w:gridCol w:w="1819"/>
        <w:gridCol w:w="1270"/>
        <w:gridCol w:w="1418"/>
        <w:gridCol w:w="1210"/>
        <w:gridCol w:w="1464"/>
        <w:gridCol w:w="2065"/>
      </w:tblGrid>
      <w:tr>
        <w:trPr>
          <w:trHeight w:val="948"/>
          <w:jc w:val="center"/>
        </w:trPr>
        <w:tc>
          <w:tcPr>
            <w:tcW w:w="1819" w:type="dxa"/>
            <w:tcBorders>
              <w:top w:val="single" w:sz="4" w:space="0" w:color="auto"/>
              <w:left w:val="single" w:sz="4" w:space="0" w:color="auto"/>
              <w:bottom w:val="nil"/>
              <w:right w:val="single" w:sz="4" w:space="0" w:color="auto"/>
            </w:tcBorders>
            <w:noWrap/>
            <w:vAlign w:val="center"/>
          </w:tcPr>
          <w:p>
            <w:pPr>
              <w:spacing w:after="240" w:line="240" w:lineRule="auto"/>
              <w:rPr>
                <w:rFonts w:ascii="Times New Roman" w:hAnsi="Times New Roman"/>
                <w:noProof/>
                <w:sz w:val="24"/>
                <w:szCs w:val="24"/>
              </w:rPr>
            </w:pPr>
            <w:r>
              <w:rPr>
                <w:rFonts w:ascii="Times New Roman" w:hAnsi="Times New Roman"/>
                <w:noProof/>
                <w:sz w:val="24"/>
              </w:rPr>
              <w:t>Jäsenvaltio</w:t>
            </w:r>
          </w:p>
        </w:tc>
        <w:tc>
          <w:tcPr>
            <w:tcW w:w="1270" w:type="dxa"/>
            <w:tcBorders>
              <w:top w:val="single" w:sz="4" w:space="0" w:color="auto"/>
              <w:left w:val="nil"/>
              <w:bottom w:val="nil"/>
              <w:right w:val="single" w:sz="4" w:space="0" w:color="auto"/>
            </w:tcBorders>
            <w:noWrap/>
            <w:vAlign w:val="center"/>
          </w:tcPr>
          <w:p>
            <w:pPr>
              <w:spacing w:after="240" w:line="240" w:lineRule="auto"/>
              <w:rPr>
                <w:rFonts w:ascii="Times New Roman" w:hAnsi="Times New Roman"/>
                <w:noProof/>
                <w:sz w:val="24"/>
                <w:szCs w:val="24"/>
              </w:rPr>
            </w:pPr>
            <w:r>
              <w:rPr>
                <w:rFonts w:ascii="Times New Roman" w:hAnsi="Times New Roman"/>
                <w:noProof/>
                <w:sz w:val="24"/>
              </w:rPr>
              <w:t>Myönnetty määrä</w:t>
            </w:r>
          </w:p>
        </w:tc>
        <w:tc>
          <w:tcPr>
            <w:tcW w:w="1418" w:type="dxa"/>
            <w:tcBorders>
              <w:top w:val="single" w:sz="4" w:space="0" w:color="auto"/>
              <w:left w:val="single" w:sz="4" w:space="0" w:color="auto"/>
              <w:bottom w:val="single" w:sz="4" w:space="0" w:color="auto"/>
              <w:right w:val="single" w:sz="4" w:space="0" w:color="auto"/>
            </w:tcBorders>
            <w:noWrap/>
            <w:vAlign w:val="center"/>
          </w:tcPr>
          <w:p>
            <w:pPr>
              <w:spacing w:after="240" w:line="240" w:lineRule="auto"/>
              <w:rPr>
                <w:rFonts w:ascii="Times New Roman" w:hAnsi="Times New Roman"/>
                <w:noProof/>
                <w:sz w:val="24"/>
                <w:szCs w:val="24"/>
              </w:rPr>
            </w:pPr>
            <w:r>
              <w:rPr>
                <w:rFonts w:ascii="Times New Roman" w:hAnsi="Times New Roman"/>
                <w:noProof/>
                <w:sz w:val="24"/>
              </w:rPr>
              <w:t>Nostettu määrä</w:t>
            </w:r>
          </w:p>
        </w:tc>
        <w:tc>
          <w:tcPr>
            <w:tcW w:w="1210" w:type="dxa"/>
            <w:tcBorders>
              <w:top w:val="single" w:sz="4" w:space="0" w:color="auto"/>
              <w:left w:val="single" w:sz="4" w:space="0" w:color="auto"/>
              <w:bottom w:val="single" w:sz="4" w:space="0" w:color="auto"/>
              <w:right w:val="single" w:sz="4" w:space="0" w:color="auto"/>
            </w:tcBorders>
            <w:vAlign w:val="center"/>
          </w:tcPr>
          <w:p>
            <w:pPr>
              <w:spacing w:after="240" w:line="240" w:lineRule="auto"/>
              <w:rPr>
                <w:rFonts w:ascii="Times New Roman" w:hAnsi="Times New Roman"/>
                <w:noProof/>
                <w:sz w:val="24"/>
                <w:szCs w:val="24"/>
              </w:rPr>
            </w:pPr>
            <w:r>
              <w:rPr>
                <w:rFonts w:ascii="Times New Roman" w:hAnsi="Times New Roman"/>
                <w:noProof/>
                <w:sz w:val="24"/>
              </w:rPr>
              <w:t>Maksettu takaisin</w:t>
            </w:r>
          </w:p>
        </w:tc>
        <w:tc>
          <w:tcPr>
            <w:tcW w:w="1464" w:type="dxa"/>
            <w:tcBorders>
              <w:top w:val="single" w:sz="4" w:space="0" w:color="auto"/>
              <w:left w:val="single" w:sz="4" w:space="0" w:color="auto"/>
              <w:bottom w:val="single" w:sz="4" w:space="0" w:color="auto"/>
              <w:right w:val="single" w:sz="4" w:space="0" w:color="auto"/>
            </w:tcBorders>
            <w:vAlign w:val="center"/>
          </w:tcPr>
          <w:p>
            <w:pPr>
              <w:spacing w:after="240" w:line="240" w:lineRule="auto"/>
              <w:ind w:right="-228"/>
              <w:rPr>
                <w:rFonts w:ascii="Times New Roman" w:hAnsi="Times New Roman"/>
                <w:noProof/>
                <w:sz w:val="24"/>
                <w:szCs w:val="24"/>
              </w:rPr>
            </w:pPr>
            <w:r>
              <w:rPr>
                <w:rFonts w:ascii="Times New Roman" w:hAnsi="Times New Roman"/>
                <w:noProof/>
                <w:sz w:val="24"/>
              </w:rPr>
              <w:t>Jäljellä oleva lainapääoma</w:t>
            </w:r>
          </w:p>
        </w:tc>
        <w:tc>
          <w:tcPr>
            <w:tcW w:w="2065" w:type="dxa"/>
            <w:tcBorders>
              <w:top w:val="single" w:sz="4" w:space="0" w:color="auto"/>
              <w:left w:val="single" w:sz="4" w:space="0" w:color="auto"/>
              <w:bottom w:val="single" w:sz="4" w:space="0" w:color="auto"/>
              <w:right w:val="single" w:sz="4" w:space="0" w:color="auto"/>
            </w:tcBorders>
            <w:vAlign w:val="center"/>
          </w:tcPr>
          <w:p>
            <w:pPr>
              <w:spacing w:after="240" w:line="240" w:lineRule="auto"/>
              <w:ind w:right="-228"/>
              <w:rPr>
                <w:rFonts w:ascii="Times New Roman" w:hAnsi="Times New Roman"/>
                <w:noProof/>
                <w:sz w:val="24"/>
                <w:szCs w:val="24"/>
              </w:rPr>
            </w:pPr>
            <w:r>
              <w:rPr>
                <w:rFonts w:ascii="Times New Roman" w:hAnsi="Times New Roman"/>
                <w:noProof/>
                <w:sz w:val="24"/>
              </w:rPr>
              <w:t>Painotettu keskimääräinen juoksuaika (vuotta)</w:t>
            </w:r>
          </w:p>
        </w:tc>
      </w:tr>
      <w:tr>
        <w:trPr>
          <w:trHeight w:val="309"/>
          <w:jc w:val="center"/>
        </w:trPr>
        <w:tc>
          <w:tcPr>
            <w:tcW w:w="1819" w:type="dxa"/>
            <w:tcBorders>
              <w:top w:val="single" w:sz="4" w:space="0" w:color="auto"/>
              <w:left w:val="single" w:sz="4" w:space="0" w:color="auto"/>
              <w:bottom w:val="nil"/>
              <w:right w:val="single" w:sz="4" w:space="0" w:color="auto"/>
            </w:tcBorders>
            <w:noWrap/>
            <w:vAlign w:val="center"/>
          </w:tcPr>
          <w:p>
            <w:pPr>
              <w:spacing w:after="240" w:line="240" w:lineRule="auto"/>
              <w:jc w:val="both"/>
              <w:rPr>
                <w:rFonts w:ascii="Times New Roman" w:hAnsi="Times New Roman"/>
                <w:bCs/>
                <w:noProof/>
                <w:sz w:val="24"/>
                <w:szCs w:val="24"/>
              </w:rPr>
            </w:pPr>
            <w:r>
              <w:rPr>
                <w:rFonts w:ascii="Times New Roman" w:hAnsi="Times New Roman"/>
                <w:noProof/>
                <w:sz w:val="24"/>
              </w:rPr>
              <w:t>Unkari</w:t>
            </w:r>
          </w:p>
        </w:tc>
        <w:tc>
          <w:tcPr>
            <w:tcW w:w="1270" w:type="dxa"/>
            <w:tcBorders>
              <w:top w:val="single" w:sz="4" w:space="0" w:color="auto"/>
              <w:left w:val="nil"/>
              <w:bottom w:val="nil"/>
              <w:right w:val="single" w:sz="4" w:space="0" w:color="auto"/>
            </w:tcBorders>
            <w:noWrap/>
            <w:vAlign w:val="center"/>
          </w:tcPr>
          <w:p>
            <w:pPr>
              <w:spacing w:after="240" w:line="240" w:lineRule="auto"/>
              <w:jc w:val="right"/>
              <w:rPr>
                <w:rFonts w:ascii="Times New Roman" w:hAnsi="Times New Roman"/>
                <w:bCs/>
                <w:noProof/>
                <w:sz w:val="24"/>
                <w:szCs w:val="24"/>
              </w:rPr>
            </w:pPr>
            <w:r>
              <w:rPr>
                <w:rFonts w:ascii="Times New Roman" w:hAnsi="Times New Roman"/>
                <w:noProof/>
                <w:sz w:val="24"/>
              </w:rPr>
              <w:t>6,5</w:t>
            </w:r>
          </w:p>
        </w:tc>
        <w:tc>
          <w:tcPr>
            <w:tcW w:w="1418" w:type="dxa"/>
            <w:tcBorders>
              <w:top w:val="single" w:sz="4" w:space="0" w:color="auto"/>
              <w:left w:val="nil"/>
              <w:bottom w:val="nil"/>
              <w:right w:val="single" w:sz="4" w:space="0" w:color="auto"/>
            </w:tcBorders>
            <w:noWrap/>
            <w:vAlign w:val="center"/>
          </w:tcPr>
          <w:p>
            <w:pPr>
              <w:spacing w:after="240" w:line="240" w:lineRule="auto"/>
              <w:jc w:val="right"/>
              <w:rPr>
                <w:rFonts w:ascii="Times New Roman" w:hAnsi="Times New Roman"/>
                <w:noProof/>
                <w:sz w:val="24"/>
                <w:szCs w:val="24"/>
              </w:rPr>
            </w:pPr>
            <w:r>
              <w:rPr>
                <w:rFonts w:ascii="Times New Roman" w:hAnsi="Times New Roman"/>
                <w:noProof/>
                <w:sz w:val="24"/>
              </w:rPr>
              <w:t>5,5</w:t>
            </w:r>
          </w:p>
        </w:tc>
        <w:tc>
          <w:tcPr>
            <w:tcW w:w="1210" w:type="dxa"/>
            <w:tcBorders>
              <w:top w:val="single" w:sz="4" w:space="0" w:color="auto"/>
              <w:left w:val="nil"/>
              <w:bottom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4,0</w:t>
            </w:r>
          </w:p>
        </w:tc>
        <w:tc>
          <w:tcPr>
            <w:tcW w:w="1464" w:type="dxa"/>
            <w:tcBorders>
              <w:top w:val="single" w:sz="4" w:space="0" w:color="auto"/>
              <w:left w:val="nil"/>
              <w:bottom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1,5</w:t>
            </w:r>
          </w:p>
        </w:tc>
        <w:tc>
          <w:tcPr>
            <w:tcW w:w="2065" w:type="dxa"/>
            <w:tcBorders>
              <w:top w:val="single" w:sz="4" w:space="0" w:color="auto"/>
              <w:left w:val="single" w:sz="4" w:space="0" w:color="auto"/>
              <w:bottom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0,3</w:t>
            </w:r>
          </w:p>
        </w:tc>
      </w:tr>
      <w:tr>
        <w:trPr>
          <w:trHeight w:val="309"/>
          <w:jc w:val="center"/>
        </w:trPr>
        <w:tc>
          <w:tcPr>
            <w:tcW w:w="1819" w:type="dxa"/>
            <w:tcBorders>
              <w:top w:val="nil"/>
              <w:left w:val="single" w:sz="4" w:space="0" w:color="auto"/>
              <w:right w:val="single" w:sz="4" w:space="0" w:color="auto"/>
            </w:tcBorders>
            <w:noWrap/>
            <w:vAlign w:val="bottom"/>
          </w:tcPr>
          <w:p>
            <w:pPr>
              <w:spacing w:after="240" w:line="240" w:lineRule="auto"/>
              <w:jc w:val="both"/>
              <w:rPr>
                <w:rFonts w:ascii="Times New Roman" w:hAnsi="Times New Roman"/>
                <w:bCs/>
                <w:noProof/>
                <w:sz w:val="24"/>
                <w:szCs w:val="24"/>
              </w:rPr>
            </w:pPr>
            <w:r>
              <w:rPr>
                <w:rFonts w:ascii="Times New Roman" w:hAnsi="Times New Roman"/>
                <w:noProof/>
                <w:sz w:val="24"/>
              </w:rPr>
              <w:t>Latvia</w:t>
            </w:r>
          </w:p>
        </w:tc>
        <w:tc>
          <w:tcPr>
            <w:tcW w:w="1270" w:type="dxa"/>
            <w:tcBorders>
              <w:top w:val="nil"/>
              <w:left w:val="nil"/>
              <w:right w:val="single" w:sz="4" w:space="0" w:color="auto"/>
            </w:tcBorders>
            <w:noWrap/>
            <w:vAlign w:val="center"/>
          </w:tcPr>
          <w:p>
            <w:pPr>
              <w:spacing w:after="240" w:line="240" w:lineRule="auto"/>
              <w:jc w:val="right"/>
              <w:rPr>
                <w:rFonts w:ascii="Times New Roman" w:hAnsi="Times New Roman"/>
                <w:bCs/>
                <w:noProof/>
                <w:sz w:val="24"/>
                <w:szCs w:val="24"/>
              </w:rPr>
            </w:pPr>
            <w:r>
              <w:rPr>
                <w:rFonts w:ascii="Times New Roman" w:hAnsi="Times New Roman"/>
                <w:noProof/>
                <w:sz w:val="24"/>
              </w:rPr>
              <w:t>3,1</w:t>
            </w:r>
          </w:p>
        </w:tc>
        <w:tc>
          <w:tcPr>
            <w:tcW w:w="1418" w:type="dxa"/>
            <w:tcBorders>
              <w:top w:val="nil"/>
              <w:left w:val="nil"/>
              <w:right w:val="single" w:sz="4" w:space="0" w:color="auto"/>
            </w:tcBorders>
            <w:noWrap/>
            <w:vAlign w:val="bottom"/>
          </w:tcPr>
          <w:p>
            <w:pPr>
              <w:spacing w:after="240" w:line="240" w:lineRule="auto"/>
              <w:jc w:val="right"/>
              <w:rPr>
                <w:rFonts w:ascii="Times New Roman" w:hAnsi="Times New Roman"/>
                <w:noProof/>
                <w:sz w:val="24"/>
                <w:szCs w:val="24"/>
              </w:rPr>
            </w:pPr>
            <w:r>
              <w:rPr>
                <w:rFonts w:ascii="Times New Roman" w:hAnsi="Times New Roman"/>
                <w:noProof/>
                <w:sz w:val="24"/>
              </w:rPr>
              <w:t>2,9</w:t>
            </w:r>
          </w:p>
        </w:tc>
        <w:tc>
          <w:tcPr>
            <w:tcW w:w="1210" w:type="dxa"/>
            <w:tcBorders>
              <w:top w:val="nil"/>
              <w:left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2,2</w:t>
            </w:r>
          </w:p>
        </w:tc>
        <w:tc>
          <w:tcPr>
            <w:tcW w:w="1464" w:type="dxa"/>
            <w:tcBorders>
              <w:top w:val="nil"/>
              <w:left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0,7</w:t>
            </w:r>
          </w:p>
        </w:tc>
        <w:tc>
          <w:tcPr>
            <w:tcW w:w="2065" w:type="dxa"/>
            <w:tcBorders>
              <w:top w:val="nil"/>
              <w:left w:val="single" w:sz="4" w:space="0" w:color="auto"/>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5,2</w:t>
            </w:r>
          </w:p>
        </w:tc>
      </w:tr>
      <w:tr>
        <w:trPr>
          <w:trHeight w:val="309"/>
          <w:jc w:val="center"/>
        </w:trPr>
        <w:tc>
          <w:tcPr>
            <w:tcW w:w="1819" w:type="dxa"/>
            <w:tcBorders>
              <w:top w:val="nil"/>
              <w:left w:val="single" w:sz="4" w:space="0" w:color="auto"/>
              <w:right w:val="single" w:sz="4" w:space="0" w:color="auto"/>
            </w:tcBorders>
            <w:noWrap/>
            <w:vAlign w:val="bottom"/>
          </w:tcPr>
          <w:p>
            <w:pPr>
              <w:spacing w:after="240" w:line="240" w:lineRule="auto"/>
              <w:jc w:val="both"/>
              <w:rPr>
                <w:rFonts w:ascii="Times New Roman" w:hAnsi="Times New Roman"/>
                <w:bCs/>
                <w:noProof/>
                <w:sz w:val="24"/>
                <w:szCs w:val="24"/>
              </w:rPr>
            </w:pPr>
            <w:r>
              <w:rPr>
                <w:rFonts w:ascii="Times New Roman" w:hAnsi="Times New Roman"/>
                <w:noProof/>
                <w:sz w:val="24"/>
              </w:rPr>
              <w:t>Romania</w:t>
            </w:r>
          </w:p>
        </w:tc>
        <w:tc>
          <w:tcPr>
            <w:tcW w:w="1270" w:type="dxa"/>
            <w:tcBorders>
              <w:top w:val="nil"/>
              <w:left w:val="nil"/>
              <w:right w:val="single" w:sz="4" w:space="0" w:color="auto"/>
            </w:tcBorders>
            <w:noWrap/>
            <w:vAlign w:val="center"/>
          </w:tcPr>
          <w:p>
            <w:pPr>
              <w:spacing w:after="240" w:line="240" w:lineRule="auto"/>
              <w:jc w:val="right"/>
              <w:rPr>
                <w:rFonts w:ascii="Times New Roman" w:hAnsi="Times New Roman"/>
                <w:bCs/>
                <w:noProof/>
                <w:sz w:val="24"/>
                <w:szCs w:val="24"/>
              </w:rPr>
            </w:pPr>
            <w:r>
              <w:rPr>
                <w:rFonts w:ascii="Times New Roman" w:hAnsi="Times New Roman"/>
                <w:noProof/>
                <w:sz w:val="24"/>
              </w:rPr>
              <w:t>5,0</w:t>
            </w:r>
          </w:p>
        </w:tc>
        <w:tc>
          <w:tcPr>
            <w:tcW w:w="1418" w:type="dxa"/>
            <w:tcBorders>
              <w:top w:val="nil"/>
              <w:left w:val="nil"/>
              <w:right w:val="single" w:sz="4" w:space="0" w:color="auto"/>
            </w:tcBorders>
            <w:noWrap/>
            <w:vAlign w:val="bottom"/>
          </w:tcPr>
          <w:p>
            <w:pPr>
              <w:spacing w:after="240" w:line="240" w:lineRule="auto"/>
              <w:jc w:val="right"/>
              <w:rPr>
                <w:rFonts w:ascii="Times New Roman" w:hAnsi="Times New Roman"/>
                <w:noProof/>
                <w:sz w:val="24"/>
                <w:szCs w:val="24"/>
              </w:rPr>
            </w:pPr>
            <w:r>
              <w:rPr>
                <w:rFonts w:ascii="Times New Roman" w:hAnsi="Times New Roman"/>
                <w:noProof/>
                <w:sz w:val="24"/>
              </w:rPr>
              <w:t>5,0</w:t>
            </w:r>
          </w:p>
        </w:tc>
        <w:tc>
          <w:tcPr>
            <w:tcW w:w="1210" w:type="dxa"/>
            <w:tcBorders>
              <w:top w:val="nil"/>
              <w:left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1,5</w:t>
            </w:r>
          </w:p>
        </w:tc>
        <w:tc>
          <w:tcPr>
            <w:tcW w:w="1464" w:type="dxa"/>
            <w:tcBorders>
              <w:top w:val="nil"/>
              <w:left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3,5</w:t>
            </w:r>
          </w:p>
        </w:tc>
        <w:tc>
          <w:tcPr>
            <w:tcW w:w="2065" w:type="dxa"/>
            <w:tcBorders>
              <w:top w:val="nil"/>
              <w:left w:val="single" w:sz="4" w:space="0" w:color="auto"/>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2,4</w:t>
            </w:r>
          </w:p>
        </w:tc>
      </w:tr>
      <w:tr>
        <w:trPr>
          <w:trHeight w:val="309"/>
          <w:jc w:val="center"/>
        </w:trPr>
        <w:tc>
          <w:tcPr>
            <w:tcW w:w="1819" w:type="dxa"/>
            <w:tcBorders>
              <w:top w:val="nil"/>
              <w:left w:val="single" w:sz="4" w:space="0" w:color="auto"/>
              <w:right w:val="single" w:sz="4" w:space="0" w:color="auto"/>
            </w:tcBorders>
            <w:noWrap/>
            <w:vAlign w:val="bottom"/>
          </w:tcPr>
          <w:p>
            <w:pPr>
              <w:spacing w:after="240" w:line="240" w:lineRule="auto"/>
              <w:jc w:val="both"/>
              <w:rPr>
                <w:rFonts w:ascii="Times New Roman" w:hAnsi="Times New Roman"/>
                <w:bCs/>
                <w:noProof/>
                <w:sz w:val="24"/>
                <w:szCs w:val="24"/>
              </w:rPr>
            </w:pPr>
            <w:r>
              <w:rPr>
                <w:rFonts w:ascii="Times New Roman" w:hAnsi="Times New Roman"/>
                <w:noProof/>
                <w:sz w:val="24"/>
              </w:rPr>
              <w:t>Romania (ennalta varautuva rahoitustuki)</w:t>
            </w:r>
          </w:p>
        </w:tc>
        <w:tc>
          <w:tcPr>
            <w:tcW w:w="1270" w:type="dxa"/>
            <w:tcBorders>
              <w:top w:val="nil"/>
              <w:left w:val="nil"/>
              <w:right w:val="single" w:sz="4" w:space="0" w:color="auto"/>
            </w:tcBorders>
            <w:noWrap/>
            <w:vAlign w:val="center"/>
          </w:tcPr>
          <w:p>
            <w:pPr>
              <w:spacing w:after="240" w:line="240" w:lineRule="auto"/>
              <w:jc w:val="right"/>
              <w:rPr>
                <w:rFonts w:ascii="Times New Roman" w:hAnsi="Times New Roman"/>
                <w:bCs/>
                <w:noProof/>
                <w:sz w:val="24"/>
                <w:szCs w:val="24"/>
              </w:rPr>
            </w:pPr>
            <w:r>
              <w:rPr>
                <w:rFonts w:ascii="Times New Roman" w:hAnsi="Times New Roman"/>
                <w:noProof/>
                <w:sz w:val="24"/>
              </w:rPr>
              <w:t>1,4</w:t>
            </w:r>
          </w:p>
        </w:tc>
        <w:tc>
          <w:tcPr>
            <w:tcW w:w="1418" w:type="dxa"/>
            <w:tcBorders>
              <w:top w:val="nil"/>
              <w:left w:val="nil"/>
              <w:right w:val="single" w:sz="4" w:space="0" w:color="auto"/>
            </w:tcBorders>
            <w:noWrap/>
            <w:vAlign w:val="bottom"/>
          </w:tcPr>
          <w:p>
            <w:pPr>
              <w:spacing w:after="240" w:line="240" w:lineRule="auto"/>
              <w:jc w:val="right"/>
              <w:rPr>
                <w:rFonts w:ascii="Times New Roman" w:hAnsi="Times New Roman"/>
                <w:noProof/>
                <w:sz w:val="24"/>
                <w:szCs w:val="24"/>
              </w:rPr>
            </w:pPr>
            <w:r>
              <w:rPr>
                <w:rFonts w:ascii="Times New Roman" w:hAnsi="Times New Roman"/>
                <w:noProof/>
                <w:sz w:val="24"/>
              </w:rPr>
              <w:t>0</w:t>
            </w:r>
          </w:p>
        </w:tc>
        <w:tc>
          <w:tcPr>
            <w:tcW w:w="1210" w:type="dxa"/>
            <w:tcBorders>
              <w:top w:val="nil"/>
              <w:left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0</w:t>
            </w:r>
          </w:p>
        </w:tc>
        <w:tc>
          <w:tcPr>
            <w:tcW w:w="1464" w:type="dxa"/>
            <w:tcBorders>
              <w:top w:val="nil"/>
              <w:left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0</w:t>
            </w:r>
          </w:p>
        </w:tc>
        <w:tc>
          <w:tcPr>
            <w:tcW w:w="2065" w:type="dxa"/>
            <w:tcBorders>
              <w:top w:val="nil"/>
              <w:left w:val="single" w:sz="4" w:space="0" w:color="auto"/>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w:t>
            </w:r>
          </w:p>
        </w:tc>
      </w:tr>
      <w:tr>
        <w:trPr>
          <w:trHeight w:val="68"/>
          <w:jc w:val="center"/>
        </w:trPr>
        <w:tc>
          <w:tcPr>
            <w:tcW w:w="1819" w:type="dxa"/>
            <w:tcBorders>
              <w:top w:val="nil"/>
              <w:left w:val="single" w:sz="4" w:space="0" w:color="auto"/>
              <w:bottom w:val="single" w:sz="4" w:space="0" w:color="auto"/>
              <w:right w:val="single" w:sz="4" w:space="0" w:color="auto"/>
            </w:tcBorders>
            <w:noWrap/>
            <w:vAlign w:val="bottom"/>
          </w:tcPr>
          <w:p>
            <w:pPr>
              <w:spacing w:after="240" w:line="240" w:lineRule="auto"/>
              <w:jc w:val="both"/>
              <w:rPr>
                <w:rFonts w:ascii="Times New Roman" w:hAnsi="Times New Roman"/>
                <w:bCs/>
                <w:noProof/>
                <w:sz w:val="24"/>
                <w:szCs w:val="24"/>
              </w:rPr>
            </w:pPr>
            <w:r>
              <w:rPr>
                <w:rFonts w:ascii="Times New Roman" w:hAnsi="Times New Roman"/>
                <w:noProof/>
                <w:sz w:val="24"/>
              </w:rPr>
              <w:t>Romania (ennalta varautuva rahoitustuki)</w:t>
            </w:r>
          </w:p>
        </w:tc>
        <w:tc>
          <w:tcPr>
            <w:tcW w:w="1270" w:type="dxa"/>
            <w:tcBorders>
              <w:top w:val="nil"/>
              <w:left w:val="nil"/>
              <w:bottom w:val="single" w:sz="4" w:space="0" w:color="auto"/>
              <w:right w:val="single" w:sz="4" w:space="0" w:color="auto"/>
            </w:tcBorders>
            <w:noWrap/>
            <w:vAlign w:val="center"/>
          </w:tcPr>
          <w:p>
            <w:pPr>
              <w:spacing w:after="240" w:line="240" w:lineRule="auto"/>
              <w:jc w:val="right"/>
              <w:rPr>
                <w:rFonts w:ascii="Times New Roman" w:hAnsi="Times New Roman"/>
                <w:bCs/>
                <w:noProof/>
                <w:sz w:val="24"/>
                <w:szCs w:val="24"/>
              </w:rPr>
            </w:pPr>
            <w:r>
              <w:rPr>
                <w:rFonts w:ascii="Times New Roman" w:hAnsi="Times New Roman"/>
                <w:noProof/>
                <w:sz w:val="24"/>
              </w:rPr>
              <w:t>2,0</w:t>
            </w:r>
          </w:p>
        </w:tc>
        <w:tc>
          <w:tcPr>
            <w:tcW w:w="1418" w:type="dxa"/>
            <w:tcBorders>
              <w:top w:val="nil"/>
              <w:left w:val="nil"/>
              <w:bottom w:val="single" w:sz="4" w:space="0" w:color="auto"/>
              <w:right w:val="single" w:sz="4" w:space="0" w:color="auto"/>
            </w:tcBorders>
            <w:noWrap/>
            <w:vAlign w:val="bottom"/>
          </w:tcPr>
          <w:p>
            <w:pPr>
              <w:spacing w:after="240" w:line="240" w:lineRule="auto"/>
              <w:jc w:val="right"/>
              <w:rPr>
                <w:rFonts w:ascii="Times New Roman" w:hAnsi="Times New Roman"/>
                <w:noProof/>
                <w:sz w:val="24"/>
                <w:szCs w:val="24"/>
              </w:rPr>
            </w:pPr>
            <w:r>
              <w:rPr>
                <w:rFonts w:ascii="Times New Roman" w:hAnsi="Times New Roman"/>
                <w:noProof/>
                <w:sz w:val="24"/>
              </w:rPr>
              <w:t>0</w:t>
            </w:r>
          </w:p>
        </w:tc>
        <w:tc>
          <w:tcPr>
            <w:tcW w:w="1210" w:type="dxa"/>
            <w:tcBorders>
              <w:top w:val="nil"/>
              <w:left w:val="nil"/>
              <w:bottom w:val="single" w:sz="4" w:space="0" w:color="auto"/>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0</w:t>
            </w:r>
          </w:p>
        </w:tc>
        <w:tc>
          <w:tcPr>
            <w:tcW w:w="1464" w:type="dxa"/>
            <w:tcBorders>
              <w:top w:val="nil"/>
              <w:left w:val="nil"/>
              <w:bottom w:val="single" w:sz="4" w:space="0" w:color="auto"/>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0</w:t>
            </w:r>
          </w:p>
        </w:tc>
        <w:tc>
          <w:tcPr>
            <w:tcW w:w="2065" w:type="dxa"/>
            <w:tcBorders>
              <w:top w:val="nil"/>
              <w:left w:val="single" w:sz="4" w:space="0" w:color="auto"/>
              <w:bottom w:val="single" w:sz="4" w:space="0" w:color="auto"/>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w:t>
            </w:r>
          </w:p>
        </w:tc>
      </w:tr>
      <w:tr>
        <w:trPr>
          <w:trHeight w:val="58"/>
          <w:jc w:val="center"/>
        </w:trPr>
        <w:tc>
          <w:tcPr>
            <w:tcW w:w="1819" w:type="dxa"/>
            <w:tcBorders>
              <w:top w:val="single" w:sz="4" w:space="0" w:color="auto"/>
              <w:left w:val="single" w:sz="4" w:space="0" w:color="auto"/>
              <w:bottom w:val="single" w:sz="4" w:space="0" w:color="auto"/>
              <w:right w:val="nil"/>
            </w:tcBorders>
            <w:noWrap/>
            <w:vAlign w:val="bottom"/>
          </w:tcPr>
          <w:p>
            <w:pPr>
              <w:spacing w:after="240" w:line="240" w:lineRule="auto"/>
              <w:jc w:val="both"/>
              <w:rPr>
                <w:rFonts w:ascii="Times New Roman" w:hAnsi="Times New Roman"/>
                <w:b/>
                <w:noProof/>
                <w:sz w:val="24"/>
                <w:szCs w:val="24"/>
              </w:rPr>
            </w:pPr>
            <w:r>
              <w:rPr>
                <w:rFonts w:ascii="Times New Roman" w:hAnsi="Times New Roman"/>
                <w:b/>
                <w:noProof/>
                <w:sz w:val="24"/>
              </w:rPr>
              <w:t>Yhteensä</w:t>
            </w:r>
          </w:p>
        </w:tc>
        <w:tc>
          <w:tcPr>
            <w:tcW w:w="1270" w:type="dxa"/>
            <w:tcBorders>
              <w:top w:val="single" w:sz="4" w:space="0" w:color="auto"/>
              <w:left w:val="single" w:sz="4" w:space="0" w:color="auto"/>
              <w:bottom w:val="single" w:sz="4" w:space="0" w:color="auto"/>
              <w:right w:val="single" w:sz="4" w:space="0" w:color="auto"/>
            </w:tcBorders>
            <w:noWrap/>
            <w:vAlign w:val="bottom"/>
          </w:tcPr>
          <w:p>
            <w:pPr>
              <w:spacing w:after="240" w:line="240" w:lineRule="auto"/>
              <w:jc w:val="right"/>
              <w:rPr>
                <w:rFonts w:ascii="Times New Roman" w:hAnsi="Times New Roman"/>
                <w:b/>
                <w:noProof/>
                <w:sz w:val="24"/>
                <w:szCs w:val="24"/>
              </w:rPr>
            </w:pPr>
            <w:r>
              <w:rPr>
                <w:rFonts w:ascii="Times New Roman" w:hAnsi="Times New Roman"/>
                <w:b/>
                <w:noProof/>
                <w:sz w:val="24"/>
              </w:rPr>
              <w:t>18,0</w:t>
            </w:r>
          </w:p>
        </w:tc>
        <w:tc>
          <w:tcPr>
            <w:tcW w:w="1418" w:type="dxa"/>
            <w:tcBorders>
              <w:top w:val="single" w:sz="4" w:space="0" w:color="auto"/>
              <w:left w:val="nil"/>
              <w:bottom w:val="single" w:sz="4" w:space="0" w:color="auto"/>
              <w:right w:val="single" w:sz="4" w:space="0" w:color="auto"/>
            </w:tcBorders>
            <w:noWrap/>
            <w:vAlign w:val="bottom"/>
          </w:tcPr>
          <w:p>
            <w:pPr>
              <w:spacing w:after="240" w:line="240" w:lineRule="auto"/>
              <w:jc w:val="right"/>
              <w:rPr>
                <w:rFonts w:ascii="Times New Roman" w:hAnsi="Times New Roman"/>
                <w:b/>
                <w:noProof/>
                <w:sz w:val="24"/>
                <w:szCs w:val="24"/>
              </w:rPr>
            </w:pPr>
            <w:r>
              <w:rPr>
                <w:rFonts w:ascii="Times New Roman" w:hAnsi="Times New Roman"/>
                <w:b/>
                <w:noProof/>
                <w:sz w:val="24"/>
              </w:rPr>
              <w:t>13,4</w:t>
            </w:r>
          </w:p>
        </w:tc>
        <w:tc>
          <w:tcPr>
            <w:tcW w:w="1210" w:type="dxa"/>
            <w:tcBorders>
              <w:top w:val="single" w:sz="4" w:space="0" w:color="auto"/>
              <w:left w:val="nil"/>
              <w:bottom w:val="single" w:sz="4" w:space="0" w:color="auto"/>
              <w:right w:val="single" w:sz="4" w:space="0" w:color="auto"/>
            </w:tcBorders>
          </w:tcPr>
          <w:p>
            <w:pPr>
              <w:spacing w:after="240" w:line="240" w:lineRule="auto"/>
              <w:jc w:val="right"/>
              <w:rPr>
                <w:rFonts w:ascii="Times New Roman" w:hAnsi="Times New Roman"/>
                <w:b/>
                <w:noProof/>
                <w:sz w:val="24"/>
                <w:szCs w:val="24"/>
              </w:rPr>
            </w:pPr>
            <w:r>
              <w:rPr>
                <w:rFonts w:ascii="Times New Roman" w:hAnsi="Times New Roman"/>
                <w:b/>
                <w:noProof/>
                <w:sz w:val="24"/>
              </w:rPr>
              <w:t>7,7</w:t>
            </w:r>
          </w:p>
        </w:tc>
        <w:tc>
          <w:tcPr>
            <w:tcW w:w="1464" w:type="dxa"/>
            <w:tcBorders>
              <w:top w:val="single" w:sz="4" w:space="0" w:color="auto"/>
              <w:left w:val="nil"/>
              <w:bottom w:val="single" w:sz="4" w:space="0" w:color="auto"/>
              <w:right w:val="single" w:sz="4" w:space="0" w:color="auto"/>
            </w:tcBorders>
          </w:tcPr>
          <w:p>
            <w:pPr>
              <w:spacing w:after="240" w:line="240" w:lineRule="auto"/>
              <w:jc w:val="right"/>
              <w:rPr>
                <w:rFonts w:ascii="Times New Roman" w:hAnsi="Times New Roman"/>
                <w:b/>
                <w:noProof/>
                <w:sz w:val="24"/>
                <w:szCs w:val="24"/>
              </w:rPr>
            </w:pPr>
            <w:r>
              <w:rPr>
                <w:rFonts w:ascii="Times New Roman" w:hAnsi="Times New Roman"/>
                <w:b/>
                <w:noProof/>
                <w:sz w:val="24"/>
              </w:rPr>
              <w:t>5,7</w:t>
            </w:r>
          </w:p>
        </w:tc>
        <w:tc>
          <w:tcPr>
            <w:tcW w:w="2065" w:type="dxa"/>
            <w:tcBorders>
              <w:top w:val="single" w:sz="4" w:space="0" w:color="auto"/>
              <w:left w:val="single" w:sz="4" w:space="0" w:color="auto"/>
              <w:bottom w:val="single" w:sz="4" w:space="0" w:color="auto"/>
              <w:right w:val="single" w:sz="4" w:space="0" w:color="auto"/>
            </w:tcBorders>
          </w:tcPr>
          <w:p>
            <w:pPr>
              <w:spacing w:after="240" w:line="240" w:lineRule="auto"/>
              <w:jc w:val="right"/>
              <w:rPr>
                <w:rFonts w:ascii="Times New Roman" w:hAnsi="Times New Roman"/>
                <w:b/>
                <w:noProof/>
                <w:sz w:val="24"/>
                <w:szCs w:val="24"/>
              </w:rPr>
            </w:pPr>
            <w:r>
              <w:rPr>
                <w:rFonts w:ascii="Times New Roman" w:hAnsi="Times New Roman"/>
                <w:b/>
                <w:noProof/>
                <w:sz w:val="24"/>
              </w:rPr>
              <w:t>2,2</w:t>
            </w:r>
          </w:p>
        </w:tc>
      </w:tr>
    </w:tbl>
    <w:p>
      <w:pPr>
        <w:pStyle w:val="ManualHeading2"/>
        <w:spacing w:before="240" w:after="240"/>
        <w:ind w:left="851" w:hanging="851"/>
        <w:outlineLvl w:val="0"/>
        <w:rPr>
          <w:noProof/>
          <w:sz w:val="2"/>
          <w:szCs w:val="2"/>
        </w:rPr>
      </w:pPr>
      <w:bookmarkStart w:id="46" w:name="_Toc325641139"/>
      <w:bookmarkStart w:id="47" w:name="_Toc330157541"/>
      <w:bookmarkStart w:id="48" w:name="_Toc361393254"/>
      <w:bookmarkStart w:id="49" w:name="_Toc388883942"/>
      <w:bookmarkStart w:id="50" w:name="_Toc393808494"/>
    </w:p>
    <w:p>
      <w:pPr>
        <w:pStyle w:val="ManualHeading2"/>
        <w:spacing w:before="240" w:after="240"/>
        <w:ind w:left="851" w:hanging="851"/>
        <w:outlineLvl w:val="0"/>
        <w:rPr>
          <w:noProof/>
        </w:rPr>
      </w:pPr>
      <w:bookmarkStart w:id="51" w:name="_Toc451257930"/>
      <w:bookmarkStart w:id="52" w:name="_Toc452361671"/>
      <w:r>
        <w:rPr>
          <w:noProof/>
        </w:rPr>
        <w:t>2.2.</w:t>
      </w:r>
      <w:r>
        <w:rPr>
          <w:noProof/>
        </w:rPr>
        <w:tab/>
        <w:t>Euroopan rahoituksenvakautusmekanismi</w:t>
      </w:r>
      <w:bookmarkEnd w:id="46"/>
      <w:bookmarkEnd w:id="47"/>
      <w:bookmarkEnd w:id="48"/>
      <w:bookmarkEnd w:id="49"/>
      <w:bookmarkEnd w:id="50"/>
      <w:bookmarkEnd w:id="51"/>
      <w:bookmarkEnd w:id="52"/>
    </w:p>
    <w:p>
      <w:pPr>
        <w:spacing w:after="120" w:line="240" w:lineRule="auto"/>
        <w:jc w:val="both"/>
        <w:rPr>
          <w:rFonts w:ascii="Times New Roman" w:hAnsi="Times New Roman"/>
          <w:noProof/>
          <w:sz w:val="24"/>
          <w:szCs w:val="24"/>
        </w:rPr>
      </w:pPr>
      <w:r>
        <w:rPr>
          <w:rFonts w:ascii="Times New Roman" w:hAnsi="Times New Roman"/>
          <w:noProof/>
          <w:sz w:val="24"/>
        </w:rPr>
        <w:t>Euroopan rahoituksenvakautusmekanismi, jäljempänä ’ERVM’, perustettiin 11 päivänä toukokuuta 2010 annetulla neuvoston asetuksella (EU) N:o 407/2010</w:t>
      </w:r>
      <w:r>
        <w:rPr>
          <w:rStyle w:val="FootnoteReference"/>
          <w:rFonts w:ascii="Times New Roman" w:hAnsi="Times New Roman"/>
          <w:noProof/>
          <w:sz w:val="24"/>
        </w:rPr>
        <w:footnoteReference w:id="5"/>
      </w:r>
      <w:r>
        <w:rPr>
          <w:rFonts w:ascii="Times New Roman" w:hAnsi="Times New Roman"/>
          <w:noProof/>
          <w:sz w:val="24"/>
        </w:rPr>
        <w:t xml:space="preserve"> SEUT-sopimuksen 122 artiklan 2 kohdan</w:t>
      </w:r>
      <w:r>
        <w:rPr>
          <w:rStyle w:val="FootnoteReference"/>
          <w:rFonts w:ascii="Times New Roman" w:hAnsi="Times New Roman"/>
          <w:noProof/>
          <w:sz w:val="24"/>
        </w:rPr>
        <w:footnoteReference w:id="6"/>
      </w:r>
      <w:r>
        <w:rPr>
          <w:rFonts w:ascii="Times New Roman" w:hAnsi="Times New Roman"/>
          <w:noProof/>
          <w:sz w:val="24"/>
        </w:rPr>
        <w:t xml:space="preserve"> nojalla. ERVM:n ottamat lainat taataan täysimääräisesti EU:n talousarviosta, ja mekanismista voidaan antaa lainoja enintään 60 miljardia euroa.</w:t>
      </w:r>
      <w:r>
        <w:rPr>
          <w:rStyle w:val="FootnoteReference"/>
          <w:rFonts w:ascii="Times New Roman" w:hAnsi="Times New Roman"/>
          <w:noProof/>
          <w:sz w:val="24"/>
        </w:rPr>
        <w:footnoteReference w:id="7"/>
      </w:r>
      <w:r>
        <w:rPr>
          <w:rFonts w:ascii="Times New Roman" w:hAnsi="Times New Roman"/>
          <w:noProof/>
          <w:sz w:val="24"/>
        </w:rPr>
        <w:t xml:space="preserve"> </w:t>
      </w:r>
    </w:p>
    <w:p>
      <w:pPr>
        <w:spacing w:after="120" w:line="240" w:lineRule="auto"/>
        <w:jc w:val="both"/>
        <w:rPr>
          <w:rFonts w:ascii="Times New Roman" w:hAnsi="Times New Roman"/>
          <w:noProof/>
          <w:sz w:val="20"/>
          <w:szCs w:val="20"/>
        </w:rPr>
      </w:pPr>
      <w:r>
        <w:rPr>
          <w:rFonts w:ascii="Times New Roman" w:hAnsi="Times New Roman"/>
          <w:noProof/>
          <w:sz w:val="24"/>
        </w:rPr>
        <w:t>ERVM aktivoitiin vuonna 2011 Irlannin</w:t>
      </w:r>
      <w:r>
        <w:rPr>
          <w:rStyle w:val="FootnoteReference"/>
          <w:rFonts w:ascii="Times New Roman" w:hAnsi="Times New Roman"/>
          <w:noProof/>
          <w:sz w:val="24"/>
        </w:rPr>
        <w:footnoteReference w:id="8"/>
      </w:r>
      <w:r>
        <w:rPr>
          <w:rFonts w:ascii="Times New Roman" w:hAnsi="Times New Roman"/>
          <w:noProof/>
          <w:sz w:val="24"/>
        </w:rPr>
        <w:t xml:space="preserve"> ja Portugalin</w:t>
      </w:r>
      <w:r>
        <w:rPr>
          <w:rStyle w:val="FootnoteReference"/>
          <w:rFonts w:ascii="Times New Roman" w:hAnsi="Times New Roman"/>
          <w:noProof/>
          <w:sz w:val="24"/>
        </w:rPr>
        <w:footnoteReference w:id="9"/>
      </w:r>
      <w:r>
        <w:rPr>
          <w:rFonts w:ascii="Times New Roman" w:hAnsi="Times New Roman"/>
          <w:noProof/>
          <w:sz w:val="24"/>
        </w:rPr>
        <w:t xml:space="preserve"> avustamiseksi. Irlannille sitouduttiin myöntämään lainaa 22,5 miljardia euroa ja Portugalille 26 miljardia euroa.</w:t>
      </w:r>
    </w:p>
    <w:p>
      <w:pPr>
        <w:spacing w:after="120" w:line="240" w:lineRule="auto"/>
        <w:jc w:val="both"/>
        <w:rPr>
          <w:rFonts w:ascii="Times New Roman" w:hAnsi="Times New Roman"/>
          <w:noProof/>
          <w:sz w:val="24"/>
          <w:szCs w:val="24"/>
        </w:rPr>
      </w:pPr>
      <w:r>
        <w:rPr>
          <w:rFonts w:ascii="Times New Roman" w:hAnsi="Times New Roman"/>
          <w:noProof/>
          <w:sz w:val="24"/>
        </w:rPr>
        <w:t>Vuonna 2013 päätettiin kummankin jäsenvaltion osalta, että nostettujen lainojen keskimääräistä enimmäisjuoksuaikaa pidennetään 12,5 vuodesta 19,5 vuoteen. ERVM-tuensaajat voivat pyytää kaikkien ERVM-lainojensa juoksuajan pidennystä ja uudelleenrahoitusta, kunhan nostettujen lainojen keskimääräinen juoksuaika (joka lasketaan ensimmäisestä nostosta) on enintään 19,5 vuotta.</w:t>
      </w:r>
    </w:p>
    <w:p>
      <w:pPr>
        <w:spacing w:after="120" w:line="240" w:lineRule="auto"/>
        <w:jc w:val="both"/>
        <w:rPr>
          <w:rFonts w:ascii="Times New Roman" w:hAnsi="Times New Roman"/>
          <w:noProof/>
          <w:sz w:val="24"/>
          <w:szCs w:val="24"/>
        </w:rPr>
      </w:pPr>
      <w:r>
        <w:rPr>
          <w:rFonts w:ascii="Times New Roman" w:hAnsi="Times New Roman"/>
          <w:noProof/>
          <w:sz w:val="24"/>
        </w:rPr>
        <w:t>Jotta Irlannin 4. joulukuuta 2015 erääntyvien 5 miljardin euron lainojen juoksuaikaa voitiin pidentää, kerättiin markkinoilta syys- ja lokakuussa 2015 yhteensä 5 miljardin euron lainarahoitus. Lainoja otettiin kolmessa erässä, joiden juoksuajat olivat 8, 14 ja 20 vuotta. Joulukuun 31. päivänä 2015 Irlannin jäljellä olevien lainojen keskimääräinen juoksuaika oli 15,4 vuotta.</w:t>
      </w:r>
    </w:p>
    <w:p>
      <w:pPr>
        <w:spacing w:after="120" w:line="240" w:lineRule="auto"/>
        <w:jc w:val="both"/>
        <w:rPr>
          <w:rFonts w:ascii="Times New Roman" w:hAnsi="Times New Roman"/>
          <w:noProof/>
          <w:sz w:val="24"/>
          <w:szCs w:val="24"/>
        </w:rPr>
      </w:pPr>
      <w:r>
        <w:rPr>
          <w:rFonts w:ascii="Times New Roman" w:hAnsi="Times New Roman"/>
          <w:noProof/>
          <w:sz w:val="24"/>
        </w:rPr>
        <w:t>Lisäksi hankittiin varat Kreikalle myönnettyä siltarahoitusta varten. Rahoituksen määrä oli 7,16 miljardia euroa ja laina-aika yksi kuukausi (20.7.–20.8.2015).</w:t>
      </w:r>
      <w:r>
        <w:rPr>
          <w:rStyle w:val="FootnoteReference"/>
          <w:rFonts w:ascii="Times New Roman" w:hAnsi="Times New Roman"/>
          <w:noProof/>
          <w:sz w:val="24"/>
        </w:rPr>
        <w:footnoteReference w:id="10"/>
      </w:r>
      <w:r>
        <w:rPr>
          <w:rFonts w:ascii="Times New Roman" w:hAnsi="Times New Roman"/>
          <w:noProof/>
          <w:sz w:val="24"/>
        </w:rPr>
        <w:t xml:space="preserve"> Laina maksettiin kokonaisuudessaan takaisin.</w:t>
      </w:r>
    </w:p>
    <w:p>
      <w:pPr>
        <w:spacing w:after="120" w:line="240" w:lineRule="auto"/>
        <w:jc w:val="both"/>
        <w:rPr>
          <w:rFonts w:ascii="Times New Roman" w:hAnsi="Times New Roman"/>
          <w:noProof/>
          <w:sz w:val="24"/>
          <w:szCs w:val="24"/>
        </w:rPr>
      </w:pPr>
      <w:r>
        <w:rPr>
          <w:rFonts w:ascii="Times New Roman" w:hAnsi="Times New Roman"/>
          <w:noProof/>
          <w:sz w:val="24"/>
        </w:rPr>
        <w:t>ERVM:n jäljellä olevien saatavien kokonaismäärä vuoden 2015 lopussa oli 46,8 miljardia euroa (Irlanti: 22,5 miljardia euroa, Portugali: 24,3 miljardia euroa).</w:t>
      </w:r>
    </w:p>
    <w:p>
      <w:pPr>
        <w:spacing w:after="240" w:line="240" w:lineRule="auto"/>
        <w:jc w:val="both"/>
        <w:rPr>
          <w:rFonts w:ascii="Times New Roman" w:eastAsia="Times New Roman" w:hAnsi="Times New Roman"/>
          <w:noProof/>
          <w:sz w:val="24"/>
          <w:szCs w:val="20"/>
        </w:rPr>
      </w:pPr>
      <w:r>
        <w:rPr>
          <w:rFonts w:ascii="Times New Roman" w:hAnsi="Times New Roman"/>
          <w:noProof/>
          <w:sz w:val="24"/>
        </w:rPr>
        <w:t xml:space="preserve">Seuraavassa taulukossa kuvataan myönnettyjen ERVM-lainojen kehitystä 31. joulukuuta 2015 asti. </w:t>
      </w:r>
    </w:p>
    <w:p>
      <w:pPr>
        <w:spacing w:after="240" w:line="240" w:lineRule="auto"/>
        <w:jc w:val="both"/>
        <w:rPr>
          <w:rFonts w:ascii="Times New Roman" w:hAnsi="Times New Roman"/>
          <w:noProof/>
          <w:sz w:val="24"/>
          <w:szCs w:val="24"/>
        </w:rPr>
      </w:pPr>
      <w:r>
        <w:rPr>
          <w:rFonts w:ascii="Times New Roman" w:hAnsi="Times New Roman"/>
          <w:noProof/>
          <w:sz w:val="24"/>
          <w:u w:val="single"/>
        </w:rPr>
        <w:t>Taulukko 3: ERVM-lainat 31.12.2015 (lainapääoma miljardia euroa)</w:t>
      </w:r>
      <w:r>
        <w:rPr>
          <w:rFonts w:ascii="Times New Roman" w:hAnsi="Times New Roman"/>
          <w:noProof/>
          <w:sz w:val="24"/>
        </w:rPr>
        <w:t> </w:t>
      </w:r>
    </w:p>
    <w:tbl>
      <w:tblPr>
        <w:tblW w:w="9246" w:type="dxa"/>
        <w:jc w:val="center"/>
        <w:tblLook w:val="0000" w:firstRow="0" w:lastRow="0" w:firstColumn="0" w:lastColumn="0" w:noHBand="0" w:noVBand="0"/>
      </w:tblPr>
      <w:tblGrid>
        <w:gridCol w:w="1819"/>
        <w:gridCol w:w="1270"/>
        <w:gridCol w:w="1418"/>
        <w:gridCol w:w="1280"/>
        <w:gridCol w:w="1445"/>
        <w:gridCol w:w="2014"/>
      </w:tblGrid>
      <w:tr>
        <w:trPr>
          <w:trHeight w:val="948"/>
          <w:jc w:val="center"/>
        </w:trPr>
        <w:tc>
          <w:tcPr>
            <w:tcW w:w="1819" w:type="dxa"/>
            <w:tcBorders>
              <w:top w:val="single" w:sz="4" w:space="0" w:color="auto"/>
              <w:left w:val="single" w:sz="4" w:space="0" w:color="auto"/>
              <w:bottom w:val="single" w:sz="4" w:space="0" w:color="auto"/>
              <w:right w:val="single" w:sz="4" w:space="0" w:color="auto"/>
            </w:tcBorders>
            <w:noWrap/>
            <w:vAlign w:val="center"/>
          </w:tcPr>
          <w:p>
            <w:pPr>
              <w:spacing w:after="240" w:line="240" w:lineRule="auto"/>
              <w:rPr>
                <w:rFonts w:ascii="Times New Roman" w:hAnsi="Times New Roman"/>
                <w:noProof/>
                <w:sz w:val="24"/>
                <w:szCs w:val="24"/>
              </w:rPr>
            </w:pPr>
            <w:r>
              <w:rPr>
                <w:rFonts w:ascii="Times New Roman" w:hAnsi="Times New Roman"/>
                <w:noProof/>
                <w:sz w:val="24"/>
              </w:rPr>
              <w:t>Jäsenvaltio</w:t>
            </w:r>
          </w:p>
        </w:tc>
        <w:tc>
          <w:tcPr>
            <w:tcW w:w="1270" w:type="dxa"/>
            <w:tcBorders>
              <w:top w:val="single" w:sz="4" w:space="0" w:color="auto"/>
              <w:left w:val="nil"/>
              <w:bottom w:val="single" w:sz="4" w:space="0" w:color="auto"/>
              <w:right w:val="single" w:sz="4" w:space="0" w:color="auto"/>
            </w:tcBorders>
            <w:noWrap/>
            <w:vAlign w:val="center"/>
          </w:tcPr>
          <w:p>
            <w:pPr>
              <w:spacing w:after="240" w:line="240" w:lineRule="auto"/>
              <w:rPr>
                <w:rFonts w:ascii="Times New Roman" w:hAnsi="Times New Roman"/>
                <w:noProof/>
                <w:sz w:val="24"/>
                <w:szCs w:val="24"/>
              </w:rPr>
            </w:pPr>
            <w:r>
              <w:rPr>
                <w:rFonts w:ascii="Times New Roman" w:hAnsi="Times New Roman"/>
                <w:noProof/>
                <w:sz w:val="24"/>
              </w:rPr>
              <w:t>Myönnetty määrä</w:t>
            </w:r>
          </w:p>
        </w:tc>
        <w:tc>
          <w:tcPr>
            <w:tcW w:w="1418" w:type="dxa"/>
            <w:tcBorders>
              <w:top w:val="single" w:sz="4" w:space="0" w:color="auto"/>
              <w:left w:val="single" w:sz="4" w:space="0" w:color="auto"/>
              <w:bottom w:val="single" w:sz="4" w:space="0" w:color="auto"/>
              <w:right w:val="single" w:sz="4" w:space="0" w:color="auto"/>
            </w:tcBorders>
            <w:noWrap/>
            <w:vAlign w:val="center"/>
          </w:tcPr>
          <w:p>
            <w:pPr>
              <w:spacing w:after="240" w:line="240" w:lineRule="auto"/>
              <w:rPr>
                <w:rFonts w:ascii="Times New Roman" w:hAnsi="Times New Roman"/>
                <w:noProof/>
                <w:sz w:val="24"/>
                <w:szCs w:val="24"/>
              </w:rPr>
            </w:pPr>
            <w:r>
              <w:rPr>
                <w:rFonts w:ascii="Times New Roman" w:hAnsi="Times New Roman"/>
                <w:noProof/>
                <w:sz w:val="24"/>
              </w:rPr>
              <w:t>Nostettu määrä</w:t>
            </w:r>
          </w:p>
        </w:tc>
        <w:tc>
          <w:tcPr>
            <w:tcW w:w="1280" w:type="dxa"/>
            <w:tcBorders>
              <w:top w:val="single" w:sz="4" w:space="0" w:color="auto"/>
              <w:left w:val="single" w:sz="4" w:space="0" w:color="auto"/>
              <w:bottom w:val="single" w:sz="4" w:space="0" w:color="auto"/>
              <w:right w:val="single" w:sz="4" w:space="0" w:color="auto"/>
            </w:tcBorders>
            <w:vAlign w:val="center"/>
          </w:tcPr>
          <w:p>
            <w:pPr>
              <w:spacing w:after="240" w:line="240" w:lineRule="auto"/>
              <w:rPr>
                <w:rFonts w:ascii="Times New Roman" w:hAnsi="Times New Roman"/>
                <w:noProof/>
                <w:sz w:val="24"/>
                <w:szCs w:val="24"/>
              </w:rPr>
            </w:pPr>
            <w:r>
              <w:rPr>
                <w:rFonts w:ascii="Times New Roman" w:hAnsi="Times New Roman"/>
                <w:noProof/>
                <w:sz w:val="24"/>
              </w:rPr>
              <w:t>Maksettu takaisin</w:t>
            </w:r>
          </w:p>
        </w:tc>
        <w:tc>
          <w:tcPr>
            <w:tcW w:w="1445" w:type="dxa"/>
            <w:tcBorders>
              <w:top w:val="single" w:sz="4" w:space="0" w:color="auto"/>
              <w:left w:val="single" w:sz="4" w:space="0" w:color="auto"/>
              <w:bottom w:val="single" w:sz="4" w:space="0" w:color="auto"/>
              <w:right w:val="single" w:sz="4" w:space="0" w:color="auto"/>
            </w:tcBorders>
            <w:vAlign w:val="center"/>
          </w:tcPr>
          <w:p>
            <w:pPr>
              <w:spacing w:after="240" w:line="240" w:lineRule="auto"/>
              <w:ind w:right="-228"/>
              <w:rPr>
                <w:rFonts w:ascii="Times New Roman" w:hAnsi="Times New Roman"/>
                <w:noProof/>
                <w:sz w:val="24"/>
                <w:szCs w:val="24"/>
              </w:rPr>
            </w:pPr>
            <w:r>
              <w:rPr>
                <w:rFonts w:ascii="Times New Roman" w:hAnsi="Times New Roman"/>
                <w:noProof/>
                <w:sz w:val="24"/>
              </w:rPr>
              <w:t>Jäljellä oleva lainapääoma</w:t>
            </w:r>
          </w:p>
        </w:tc>
        <w:tc>
          <w:tcPr>
            <w:tcW w:w="2014" w:type="dxa"/>
            <w:tcBorders>
              <w:top w:val="single" w:sz="4" w:space="0" w:color="auto"/>
              <w:left w:val="single" w:sz="4" w:space="0" w:color="auto"/>
              <w:bottom w:val="single" w:sz="4" w:space="0" w:color="auto"/>
              <w:right w:val="single" w:sz="4" w:space="0" w:color="auto"/>
            </w:tcBorders>
            <w:vAlign w:val="center"/>
          </w:tcPr>
          <w:p>
            <w:pPr>
              <w:spacing w:after="240" w:line="240" w:lineRule="auto"/>
              <w:ind w:right="-228"/>
              <w:rPr>
                <w:rFonts w:ascii="Times New Roman" w:hAnsi="Times New Roman"/>
                <w:noProof/>
                <w:sz w:val="24"/>
                <w:szCs w:val="24"/>
              </w:rPr>
            </w:pPr>
            <w:r>
              <w:rPr>
                <w:rFonts w:ascii="Times New Roman" w:hAnsi="Times New Roman"/>
                <w:noProof/>
                <w:sz w:val="24"/>
              </w:rPr>
              <w:t>Painotettu keskimääräinen juoksuaika (vuotta)</w:t>
            </w:r>
          </w:p>
        </w:tc>
      </w:tr>
      <w:tr>
        <w:trPr>
          <w:trHeight w:val="309"/>
          <w:jc w:val="center"/>
        </w:trPr>
        <w:tc>
          <w:tcPr>
            <w:tcW w:w="1819" w:type="dxa"/>
            <w:tcBorders>
              <w:top w:val="single" w:sz="4" w:space="0" w:color="auto"/>
              <w:left w:val="single" w:sz="4" w:space="0" w:color="auto"/>
              <w:right w:val="single" w:sz="4" w:space="0" w:color="auto"/>
            </w:tcBorders>
            <w:noWrap/>
            <w:vAlign w:val="center"/>
          </w:tcPr>
          <w:p>
            <w:pPr>
              <w:spacing w:after="240" w:line="240" w:lineRule="auto"/>
              <w:jc w:val="both"/>
              <w:rPr>
                <w:rFonts w:ascii="Times New Roman" w:hAnsi="Times New Roman"/>
                <w:bCs/>
                <w:noProof/>
                <w:sz w:val="24"/>
                <w:szCs w:val="24"/>
              </w:rPr>
            </w:pPr>
            <w:r>
              <w:rPr>
                <w:rFonts w:ascii="Times New Roman" w:hAnsi="Times New Roman"/>
                <w:noProof/>
                <w:sz w:val="24"/>
              </w:rPr>
              <w:t>Kreikka</w:t>
            </w:r>
          </w:p>
        </w:tc>
        <w:tc>
          <w:tcPr>
            <w:tcW w:w="1270" w:type="dxa"/>
            <w:tcBorders>
              <w:top w:val="single" w:sz="4" w:space="0" w:color="auto"/>
              <w:left w:val="nil"/>
              <w:right w:val="single" w:sz="4" w:space="0" w:color="auto"/>
            </w:tcBorders>
            <w:noWrap/>
            <w:vAlign w:val="center"/>
          </w:tcPr>
          <w:p>
            <w:pPr>
              <w:spacing w:after="240" w:line="240" w:lineRule="auto"/>
              <w:jc w:val="right"/>
              <w:rPr>
                <w:rFonts w:ascii="Times New Roman" w:hAnsi="Times New Roman"/>
                <w:bCs/>
                <w:noProof/>
                <w:sz w:val="24"/>
                <w:szCs w:val="24"/>
              </w:rPr>
            </w:pPr>
            <w:r>
              <w:rPr>
                <w:rFonts w:ascii="Times New Roman" w:hAnsi="Times New Roman"/>
                <w:noProof/>
                <w:sz w:val="24"/>
              </w:rPr>
              <w:t>7,16</w:t>
            </w:r>
          </w:p>
        </w:tc>
        <w:tc>
          <w:tcPr>
            <w:tcW w:w="1418" w:type="dxa"/>
            <w:tcBorders>
              <w:top w:val="single" w:sz="4" w:space="0" w:color="auto"/>
              <w:left w:val="nil"/>
              <w:right w:val="single" w:sz="4" w:space="0" w:color="auto"/>
            </w:tcBorders>
            <w:noWrap/>
            <w:vAlign w:val="center"/>
          </w:tcPr>
          <w:p>
            <w:pPr>
              <w:spacing w:after="240" w:line="240" w:lineRule="auto"/>
              <w:jc w:val="right"/>
              <w:rPr>
                <w:rFonts w:ascii="Times New Roman" w:hAnsi="Times New Roman"/>
                <w:noProof/>
                <w:sz w:val="24"/>
                <w:szCs w:val="24"/>
              </w:rPr>
            </w:pPr>
            <w:r>
              <w:rPr>
                <w:rFonts w:ascii="Times New Roman" w:hAnsi="Times New Roman"/>
                <w:noProof/>
                <w:sz w:val="24"/>
              </w:rPr>
              <w:t>7,16</w:t>
            </w:r>
          </w:p>
        </w:tc>
        <w:tc>
          <w:tcPr>
            <w:tcW w:w="1280" w:type="dxa"/>
            <w:tcBorders>
              <w:top w:val="single" w:sz="4" w:space="0" w:color="auto"/>
              <w:left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7,16</w:t>
            </w:r>
          </w:p>
        </w:tc>
        <w:tc>
          <w:tcPr>
            <w:tcW w:w="1445" w:type="dxa"/>
            <w:tcBorders>
              <w:top w:val="single" w:sz="4" w:space="0" w:color="auto"/>
              <w:left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0</w:t>
            </w:r>
          </w:p>
        </w:tc>
        <w:tc>
          <w:tcPr>
            <w:tcW w:w="2014" w:type="dxa"/>
            <w:tcBorders>
              <w:top w:val="single" w:sz="4" w:space="0" w:color="auto"/>
              <w:left w:val="single" w:sz="4" w:space="0" w:color="auto"/>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w:t>
            </w:r>
          </w:p>
        </w:tc>
      </w:tr>
      <w:tr>
        <w:trPr>
          <w:trHeight w:val="309"/>
          <w:jc w:val="center"/>
        </w:trPr>
        <w:tc>
          <w:tcPr>
            <w:tcW w:w="1819" w:type="dxa"/>
            <w:tcBorders>
              <w:left w:val="single" w:sz="4" w:space="0" w:color="auto"/>
              <w:bottom w:val="nil"/>
              <w:right w:val="single" w:sz="4" w:space="0" w:color="auto"/>
            </w:tcBorders>
            <w:noWrap/>
            <w:vAlign w:val="center"/>
          </w:tcPr>
          <w:p>
            <w:pPr>
              <w:spacing w:after="240" w:line="240" w:lineRule="auto"/>
              <w:jc w:val="both"/>
              <w:rPr>
                <w:rFonts w:ascii="Times New Roman" w:hAnsi="Times New Roman"/>
                <w:bCs/>
                <w:noProof/>
                <w:sz w:val="24"/>
                <w:szCs w:val="24"/>
              </w:rPr>
            </w:pPr>
            <w:r>
              <w:rPr>
                <w:rFonts w:ascii="Times New Roman" w:hAnsi="Times New Roman"/>
                <w:noProof/>
                <w:sz w:val="24"/>
              </w:rPr>
              <w:t>Irlanti</w:t>
            </w:r>
          </w:p>
        </w:tc>
        <w:tc>
          <w:tcPr>
            <w:tcW w:w="1270" w:type="dxa"/>
            <w:tcBorders>
              <w:left w:val="nil"/>
              <w:bottom w:val="nil"/>
              <w:right w:val="single" w:sz="4" w:space="0" w:color="auto"/>
            </w:tcBorders>
            <w:noWrap/>
            <w:vAlign w:val="center"/>
          </w:tcPr>
          <w:p>
            <w:pPr>
              <w:spacing w:after="240" w:line="240" w:lineRule="auto"/>
              <w:jc w:val="right"/>
              <w:rPr>
                <w:rFonts w:ascii="Times New Roman" w:hAnsi="Times New Roman"/>
                <w:bCs/>
                <w:noProof/>
                <w:sz w:val="24"/>
                <w:szCs w:val="24"/>
              </w:rPr>
            </w:pPr>
            <w:r>
              <w:rPr>
                <w:rFonts w:ascii="Times New Roman" w:hAnsi="Times New Roman"/>
                <w:noProof/>
                <w:sz w:val="24"/>
              </w:rPr>
              <w:t>22,50</w:t>
            </w:r>
          </w:p>
        </w:tc>
        <w:tc>
          <w:tcPr>
            <w:tcW w:w="1418" w:type="dxa"/>
            <w:tcBorders>
              <w:left w:val="nil"/>
              <w:bottom w:val="nil"/>
              <w:right w:val="single" w:sz="4" w:space="0" w:color="auto"/>
            </w:tcBorders>
            <w:noWrap/>
            <w:vAlign w:val="center"/>
          </w:tcPr>
          <w:p>
            <w:pPr>
              <w:spacing w:after="240" w:line="240" w:lineRule="auto"/>
              <w:jc w:val="right"/>
              <w:rPr>
                <w:rFonts w:ascii="Times New Roman" w:hAnsi="Times New Roman"/>
                <w:noProof/>
                <w:sz w:val="24"/>
                <w:szCs w:val="24"/>
              </w:rPr>
            </w:pPr>
            <w:r>
              <w:rPr>
                <w:rFonts w:ascii="Times New Roman" w:hAnsi="Times New Roman"/>
                <w:noProof/>
                <w:sz w:val="24"/>
              </w:rPr>
              <w:t>22,50</w:t>
            </w:r>
          </w:p>
        </w:tc>
        <w:tc>
          <w:tcPr>
            <w:tcW w:w="1280" w:type="dxa"/>
            <w:tcBorders>
              <w:left w:val="nil"/>
              <w:bottom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0</w:t>
            </w:r>
          </w:p>
        </w:tc>
        <w:tc>
          <w:tcPr>
            <w:tcW w:w="1445" w:type="dxa"/>
            <w:tcBorders>
              <w:left w:val="nil"/>
              <w:bottom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22,5</w:t>
            </w:r>
          </w:p>
        </w:tc>
        <w:tc>
          <w:tcPr>
            <w:tcW w:w="2014" w:type="dxa"/>
            <w:tcBorders>
              <w:left w:val="single" w:sz="4" w:space="0" w:color="auto"/>
              <w:bottom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15,4</w:t>
            </w:r>
          </w:p>
        </w:tc>
      </w:tr>
      <w:tr>
        <w:trPr>
          <w:trHeight w:val="68"/>
          <w:jc w:val="center"/>
        </w:trPr>
        <w:tc>
          <w:tcPr>
            <w:tcW w:w="1819" w:type="dxa"/>
            <w:tcBorders>
              <w:top w:val="nil"/>
              <w:left w:val="single" w:sz="4" w:space="0" w:color="auto"/>
              <w:bottom w:val="single" w:sz="4" w:space="0" w:color="auto"/>
              <w:right w:val="single" w:sz="4" w:space="0" w:color="auto"/>
            </w:tcBorders>
            <w:noWrap/>
            <w:vAlign w:val="bottom"/>
          </w:tcPr>
          <w:p>
            <w:pPr>
              <w:spacing w:after="240" w:line="240" w:lineRule="auto"/>
              <w:jc w:val="both"/>
              <w:rPr>
                <w:rFonts w:ascii="Times New Roman" w:hAnsi="Times New Roman"/>
                <w:bCs/>
                <w:noProof/>
                <w:sz w:val="24"/>
                <w:szCs w:val="24"/>
              </w:rPr>
            </w:pPr>
            <w:r>
              <w:rPr>
                <w:rFonts w:ascii="Times New Roman" w:hAnsi="Times New Roman"/>
                <w:noProof/>
                <w:sz w:val="24"/>
              </w:rPr>
              <w:t>Portugali</w:t>
            </w:r>
          </w:p>
        </w:tc>
        <w:tc>
          <w:tcPr>
            <w:tcW w:w="1270" w:type="dxa"/>
            <w:tcBorders>
              <w:top w:val="nil"/>
              <w:left w:val="nil"/>
              <w:bottom w:val="single" w:sz="4" w:space="0" w:color="auto"/>
              <w:right w:val="single" w:sz="4" w:space="0" w:color="auto"/>
            </w:tcBorders>
            <w:noWrap/>
            <w:vAlign w:val="center"/>
          </w:tcPr>
          <w:p>
            <w:pPr>
              <w:spacing w:after="240" w:line="240" w:lineRule="auto"/>
              <w:jc w:val="right"/>
              <w:rPr>
                <w:rFonts w:ascii="Times New Roman" w:hAnsi="Times New Roman"/>
                <w:bCs/>
                <w:noProof/>
                <w:sz w:val="24"/>
                <w:szCs w:val="24"/>
              </w:rPr>
            </w:pPr>
            <w:r>
              <w:rPr>
                <w:rFonts w:ascii="Times New Roman" w:hAnsi="Times New Roman"/>
                <w:noProof/>
                <w:sz w:val="24"/>
              </w:rPr>
              <w:t>26,00</w:t>
            </w:r>
          </w:p>
        </w:tc>
        <w:tc>
          <w:tcPr>
            <w:tcW w:w="1418" w:type="dxa"/>
            <w:tcBorders>
              <w:top w:val="nil"/>
              <w:left w:val="nil"/>
              <w:bottom w:val="single" w:sz="4" w:space="0" w:color="auto"/>
              <w:right w:val="single" w:sz="4" w:space="0" w:color="auto"/>
            </w:tcBorders>
            <w:noWrap/>
            <w:vAlign w:val="bottom"/>
          </w:tcPr>
          <w:p>
            <w:pPr>
              <w:spacing w:after="240" w:line="240" w:lineRule="auto"/>
              <w:jc w:val="right"/>
              <w:rPr>
                <w:rFonts w:ascii="Times New Roman" w:hAnsi="Times New Roman"/>
                <w:noProof/>
                <w:sz w:val="24"/>
                <w:szCs w:val="24"/>
              </w:rPr>
            </w:pPr>
            <w:r>
              <w:rPr>
                <w:rFonts w:ascii="Times New Roman" w:hAnsi="Times New Roman"/>
                <w:noProof/>
                <w:sz w:val="24"/>
              </w:rPr>
              <w:t>24,30</w:t>
            </w:r>
          </w:p>
        </w:tc>
        <w:tc>
          <w:tcPr>
            <w:tcW w:w="1280" w:type="dxa"/>
            <w:tcBorders>
              <w:top w:val="nil"/>
              <w:left w:val="nil"/>
              <w:bottom w:val="single" w:sz="4" w:space="0" w:color="auto"/>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0</w:t>
            </w:r>
          </w:p>
        </w:tc>
        <w:tc>
          <w:tcPr>
            <w:tcW w:w="1445" w:type="dxa"/>
            <w:tcBorders>
              <w:top w:val="nil"/>
              <w:left w:val="nil"/>
              <w:bottom w:val="single" w:sz="4" w:space="0" w:color="auto"/>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24,3</w:t>
            </w:r>
          </w:p>
        </w:tc>
        <w:tc>
          <w:tcPr>
            <w:tcW w:w="2014" w:type="dxa"/>
            <w:tcBorders>
              <w:top w:val="nil"/>
              <w:left w:val="single" w:sz="4" w:space="0" w:color="auto"/>
              <w:bottom w:val="single" w:sz="4" w:space="0" w:color="auto"/>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12,3</w:t>
            </w:r>
          </w:p>
        </w:tc>
      </w:tr>
      <w:tr>
        <w:trPr>
          <w:trHeight w:val="58"/>
          <w:jc w:val="center"/>
        </w:trPr>
        <w:tc>
          <w:tcPr>
            <w:tcW w:w="1819" w:type="dxa"/>
            <w:tcBorders>
              <w:top w:val="single" w:sz="4" w:space="0" w:color="auto"/>
              <w:left w:val="single" w:sz="4" w:space="0" w:color="auto"/>
              <w:bottom w:val="single" w:sz="4" w:space="0" w:color="auto"/>
              <w:right w:val="nil"/>
            </w:tcBorders>
            <w:noWrap/>
            <w:vAlign w:val="bottom"/>
          </w:tcPr>
          <w:p>
            <w:pPr>
              <w:spacing w:after="240" w:line="240" w:lineRule="auto"/>
              <w:jc w:val="both"/>
              <w:rPr>
                <w:rFonts w:ascii="Times New Roman" w:hAnsi="Times New Roman"/>
                <w:b/>
                <w:noProof/>
                <w:sz w:val="24"/>
                <w:szCs w:val="24"/>
              </w:rPr>
            </w:pPr>
            <w:r>
              <w:rPr>
                <w:rFonts w:ascii="Times New Roman" w:hAnsi="Times New Roman"/>
                <w:b/>
                <w:noProof/>
                <w:sz w:val="24"/>
              </w:rPr>
              <w:t>Yhteensä</w:t>
            </w:r>
          </w:p>
        </w:tc>
        <w:tc>
          <w:tcPr>
            <w:tcW w:w="1270" w:type="dxa"/>
            <w:tcBorders>
              <w:top w:val="single" w:sz="4" w:space="0" w:color="auto"/>
              <w:left w:val="single" w:sz="4" w:space="0" w:color="auto"/>
              <w:bottom w:val="single" w:sz="4" w:space="0" w:color="auto"/>
              <w:right w:val="single" w:sz="4" w:space="0" w:color="auto"/>
            </w:tcBorders>
            <w:noWrap/>
            <w:vAlign w:val="bottom"/>
          </w:tcPr>
          <w:p>
            <w:pPr>
              <w:spacing w:after="240" w:line="240" w:lineRule="auto"/>
              <w:jc w:val="right"/>
              <w:rPr>
                <w:rFonts w:ascii="Times New Roman" w:hAnsi="Times New Roman"/>
                <w:b/>
                <w:noProof/>
                <w:sz w:val="24"/>
                <w:szCs w:val="24"/>
              </w:rPr>
            </w:pPr>
            <w:r>
              <w:rPr>
                <w:rFonts w:ascii="Times New Roman" w:hAnsi="Times New Roman"/>
                <w:b/>
                <w:noProof/>
                <w:sz w:val="24"/>
              </w:rPr>
              <w:t>55,66</w:t>
            </w:r>
          </w:p>
        </w:tc>
        <w:tc>
          <w:tcPr>
            <w:tcW w:w="1418" w:type="dxa"/>
            <w:tcBorders>
              <w:top w:val="single" w:sz="4" w:space="0" w:color="auto"/>
              <w:left w:val="nil"/>
              <w:bottom w:val="single" w:sz="4" w:space="0" w:color="auto"/>
              <w:right w:val="single" w:sz="4" w:space="0" w:color="auto"/>
            </w:tcBorders>
            <w:noWrap/>
            <w:vAlign w:val="bottom"/>
          </w:tcPr>
          <w:p>
            <w:pPr>
              <w:spacing w:after="240" w:line="240" w:lineRule="auto"/>
              <w:jc w:val="right"/>
              <w:rPr>
                <w:rFonts w:ascii="Times New Roman" w:hAnsi="Times New Roman"/>
                <w:b/>
                <w:noProof/>
                <w:sz w:val="24"/>
                <w:szCs w:val="24"/>
              </w:rPr>
            </w:pPr>
            <w:r>
              <w:rPr>
                <w:rFonts w:ascii="Times New Roman" w:hAnsi="Times New Roman"/>
                <w:b/>
                <w:noProof/>
                <w:sz w:val="24"/>
              </w:rPr>
              <w:t>53,96</w:t>
            </w:r>
          </w:p>
        </w:tc>
        <w:tc>
          <w:tcPr>
            <w:tcW w:w="1280" w:type="dxa"/>
            <w:tcBorders>
              <w:top w:val="single" w:sz="4" w:space="0" w:color="auto"/>
              <w:left w:val="nil"/>
              <w:bottom w:val="single" w:sz="4" w:space="0" w:color="auto"/>
              <w:right w:val="single" w:sz="4" w:space="0" w:color="auto"/>
            </w:tcBorders>
          </w:tcPr>
          <w:p>
            <w:pPr>
              <w:spacing w:after="240" w:line="240" w:lineRule="auto"/>
              <w:jc w:val="right"/>
              <w:rPr>
                <w:rFonts w:ascii="Times New Roman" w:hAnsi="Times New Roman"/>
                <w:b/>
                <w:noProof/>
                <w:sz w:val="24"/>
                <w:szCs w:val="24"/>
              </w:rPr>
            </w:pPr>
            <w:r>
              <w:rPr>
                <w:rFonts w:ascii="Times New Roman" w:hAnsi="Times New Roman"/>
                <w:b/>
                <w:noProof/>
                <w:sz w:val="24"/>
              </w:rPr>
              <w:t>7,16</w:t>
            </w:r>
          </w:p>
        </w:tc>
        <w:tc>
          <w:tcPr>
            <w:tcW w:w="1445" w:type="dxa"/>
            <w:tcBorders>
              <w:top w:val="single" w:sz="4" w:space="0" w:color="auto"/>
              <w:left w:val="nil"/>
              <w:bottom w:val="single" w:sz="4" w:space="0" w:color="auto"/>
              <w:right w:val="single" w:sz="4" w:space="0" w:color="auto"/>
            </w:tcBorders>
          </w:tcPr>
          <w:p>
            <w:pPr>
              <w:spacing w:after="240" w:line="240" w:lineRule="auto"/>
              <w:jc w:val="right"/>
              <w:rPr>
                <w:rFonts w:ascii="Times New Roman" w:hAnsi="Times New Roman"/>
                <w:b/>
                <w:noProof/>
                <w:sz w:val="24"/>
                <w:szCs w:val="24"/>
              </w:rPr>
            </w:pPr>
            <w:r>
              <w:rPr>
                <w:rFonts w:ascii="Times New Roman" w:hAnsi="Times New Roman"/>
                <w:b/>
                <w:noProof/>
                <w:sz w:val="24"/>
              </w:rPr>
              <w:t>46,8</w:t>
            </w:r>
          </w:p>
        </w:tc>
        <w:tc>
          <w:tcPr>
            <w:tcW w:w="2014" w:type="dxa"/>
            <w:tcBorders>
              <w:top w:val="single" w:sz="4" w:space="0" w:color="auto"/>
              <w:left w:val="single" w:sz="4" w:space="0" w:color="auto"/>
              <w:bottom w:val="single" w:sz="4" w:space="0" w:color="auto"/>
              <w:right w:val="single" w:sz="4" w:space="0" w:color="auto"/>
            </w:tcBorders>
          </w:tcPr>
          <w:p>
            <w:pPr>
              <w:spacing w:after="240" w:line="240" w:lineRule="auto"/>
              <w:jc w:val="right"/>
              <w:rPr>
                <w:rFonts w:ascii="Times New Roman" w:hAnsi="Times New Roman"/>
                <w:b/>
                <w:noProof/>
                <w:sz w:val="24"/>
                <w:szCs w:val="24"/>
              </w:rPr>
            </w:pPr>
            <w:r>
              <w:rPr>
                <w:rFonts w:ascii="Times New Roman" w:hAnsi="Times New Roman"/>
                <w:b/>
                <w:noProof/>
                <w:sz w:val="24"/>
              </w:rPr>
              <w:t>13,8</w:t>
            </w:r>
          </w:p>
        </w:tc>
      </w:tr>
    </w:tbl>
    <w:p>
      <w:pPr>
        <w:spacing w:after="120" w:line="240" w:lineRule="auto"/>
        <w:jc w:val="both"/>
        <w:rPr>
          <w:rFonts w:ascii="Times New Roman" w:hAnsi="Times New Roman"/>
          <w:noProof/>
          <w:sz w:val="24"/>
          <w:szCs w:val="24"/>
        </w:rPr>
      </w:pPr>
    </w:p>
    <w:p>
      <w:pPr>
        <w:pStyle w:val="ManualHeading2"/>
        <w:spacing w:before="240" w:after="240"/>
        <w:ind w:left="851" w:hanging="851"/>
        <w:rPr>
          <w:noProof/>
        </w:rPr>
      </w:pPr>
      <w:bookmarkStart w:id="53" w:name="_Toc325641141"/>
      <w:bookmarkStart w:id="54" w:name="_Toc330157543"/>
      <w:bookmarkStart w:id="55" w:name="_Toc361393255"/>
      <w:bookmarkStart w:id="56" w:name="_Toc388883943"/>
      <w:bookmarkStart w:id="57" w:name="_Toc393808495"/>
      <w:bookmarkStart w:id="58" w:name="_Toc451257931"/>
      <w:bookmarkStart w:id="59" w:name="_Toc452361672"/>
      <w:r>
        <w:rPr>
          <w:noProof/>
        </w:rPr>
        <w:t>2.3.</w:t>
      </w:r>
      <w:r>
        <w:rPr>
          <w:noProof/>
        </w:rPr>
        <w:tab/>
      </w:r>
      <w:bookmarkEnd w:id="53"/>
      <w:bookmarkEnd w:id="54"/>
      <w:bookmarkEnd w:id="55"/>
      <w:bookmarkEnd w:id="56"/>
      <w:bookmarkEnd w:id="57"/>
      <w:r>
        <w:rPr>
          <w:noProof/>
        </w:rPr>
        <w:t>Makrotaloudellinen rahoitusapu</w:t>
      </w:r>
      <w:bookmarkEnd w:id="58"/>
      <w:bookmarkEnd w:id="59"/>
    </w:p>
    <w:p>
      <w:pPr>
        <w:spacing w:after="120" w:line="240" w:lineRule="auto"/>
        <w:jc w:val="both"/>
        <w:rPr>
          <w:rFonts w:ascii="Times New Roman" w:hAnsi="Times New Roman"/>
          <w:noProof/>
          <w:sz w:val="24"/>
          <w:szCs w:val="24"/>
        </w:rPr>
      </w:pPr>
      <w:r>
        <w:rPr>
          <w:rFonts w:ascii="Times New Roman" w:hAnsi="Times New Roman"/>
          <w:noProof/>
          <w:sz w:val="24"/>
        </w:rPr>
        <w:t>Makrotaloudellisella rahoitusavulla pyritään tukemaan maita, joille on muodostunut poikkeuksellisia ulkoisia rahoitustarpeita ja jotka ovat maantieteellisesti, taloudellisesti ja poliittisesti läheisiä EU:lle. Rahoitusavun tarkoituksena on palauttaa makrotalouden ja rahoitusjärjestelmän vakaus EU:n ehdokasmaissa, mahdollisissa ehdokasmaissa ja naapurimaissa (ja poikkeustapauksissa muissa kolmansissa maissa) samalla kun pyritään edistämään makrotaloudellisia ja rakenteellisia uudistuksia. Makrotaloudellinen rahoitusapu on poikkeuksellista ja väliaikaista. Se maksetaan erissä, ja erien maksatus pohjautuu tiukkoihin talouspoliittisiin ehtoihin. Makrotaloudellisen rahoitusavun ehtona on olemassa oleva IMF:n sopeutusohjelma, jota rahoitusapu täydentää. Makrotaloudellista rahoitusapua voidaan myöntää lainoina ja/tai tietyissä olosuhteissa sellaisina avustuksina, joita ei tarvitse maksaa takaisin.</w:t>
      </w:r>
      <w:r>
        <w:rPr>
          <w:rStyle w:val="FootnoteReference"/>
          <w:rFonts w:ascii="Times New Roman" w:hAnsi="Times New Roman"/>
          <w:noProof/>
          <w:sz w:val="24"/>
        </w:rPr>
        <w:footnoteReference w:id="11"/>
      </w:r>
    </w:p>
    <w:p>
      <w:pPr>
        <w:spacing w:after="120" w:line="240" w:lineRule="auto"/>
        <w:jc w:val="both"/>
        <w:rPr>
          <w:rFonts w:ascii="Times New Roman" w:hAnsi="Times New Roman"/>
          <w:noProof/>
          <w:sz w:val="24"/>
          <w:szCs w:val="24"/>
        </w:rPr>
      </w:pPr>
      <w:r>
        <w:rPr>
          <w:rFonts w:ascii="Times New Roman" w:hAnsi="Times New Roman"/>
          <w:noProof/>
          <w:sz w:val="24"/>
        </w:rPr>
        <w:t>Jos rahoitusapua saava valtio laiminlyö lainan takaisinmaksun, komissio voi turvautua ulkosuhteisiin liittyville hankkeille perustettuun takuurahastoon</w:t>
      </w:r>
      <w:r>
        <w:rPr>
          <w:rStyle w:val="FootnoteReference"/>
          <w:rFonts w:ascii="Times New Roman" w:hAnsi="Times New Roman"/>
          <w:noProof/>
          <w:sz w:val="24"/>
        </w:rPr>
        <w:footnoteReference w:id="12"/>
      </w:r>
      <w:r>
        <w:rPr>
          <w:rFonts w:ascii="Times New Roman" w:hAnsi="Times New Roman"/>
          <w:noProof/>
          <w:sz w:val="24"/>
        </w:rPr>
        <w:t>, jonka avulla varmistetaan komission kyseisen lainan rahoittamiseksi ottaman lainan takaisinmaksu.</w:t>
      </w:r>
      <w:r>
        <w:rPr>
          <w:rStyle w:val="FootnoteReference"/>
          <w:rFonts w:ascii="Times New Roman" w:hAnsi="Times New Roman"/>
          <w:noProof/>
          <w:sz w:val="24"/>
        </w:rPr>
        <w:footnoteReference w:id="13"/>
      </w:r>
    </w:p>
    <w:p>
      <w:pPr>
        <w:spacing w:after="120" w:line="240" w:lineRule="auto"/>
        <w:jc w:val="both"/>
        <w:rPr>
          <w:rFonts w:ascii="Times New Roman" w:hAnsi="Times New Roman"/>
          <w:noProof/>
          <w:sz w:val="24"/>
          <w:szCs w:val="24"/>
        </w:rPr>
      </w:pPr>
      <w:r>
        <w:rPr>
          <w:rFonts w:ascii="Times New Roman" w:hAnsi="Times New Roman"/>
          <w:noProof/>
          <w:sz w:val="24"/>
        </w:rPr>
        <w:t xml:space="preserve">Komissio ehdotti tammikuussa 2015 kolmannen makrotaloudellisen rahoitusapuohjelman myöntämistä </w:t>
      </w:r>
      <w:r>
        <w:rPr>
          <w:rFonts w:ascii="Times New Roman" w:hAnsi="Times New Roman"/>
          <w:b/>
          <w:noProof/>
          <w:sz w:val="24"/>
        </w:rPr>
        <w:t>Ukrainalle</w:t>
      </w:r>
      <w:r>
        <w:rPr>
          <w:rFonts w:ascii="Times New Roman" w:hAnsi="Times New Roman"/>
          <w:noProof/>
          <w:sz w:val="24"/>
        </w:rPr>
        <w:t>. Ohjelma muodostui enintään 1,8 miljardin euron suuruisista lainoista. Euroopan parlamentti ja neuvosto hyväksyivät rahoitusapuohjelman 15. huhtikuuta 2015.</w:t>
      </w:r>
      <w:r>
        <w:rPr>
          <w:rStyle w:val="FootnoteReference"/>
          <w:rFonts w:ascii="Times New Roman" w:hAnsi="Times New Roman"/>
          <w:noProof/>
          <w:sz w:val="24"/>
        </w:rPr>
        <w:footnoteReference w:id="14"/>
      </w:r>
      <w:r>
        <w:rPr>
          <w:rFonts w:ascii="Times New Roman" w:hAnsi="Times New Roman"/>
          <w:noProof/>
          <w:sz w:val="24"/>
        </w:rPr>
        <w:t xml:space="preserve"> Ohjelmaan liittyvä lainasopimus allekirjoitettiin 22. toukokuuta 2015. Ukrainan kolmen lainaohjelman määrä olisi yhteensä 3,41 miljardia euroa sen jälkeen, kun uusimman ohjelman kaikki nostot olisi tehty. Tämä on suurin EU:n kolmannelle maalle näin lyhyessä ajassa myöntämä rahoitustuki. Makrotaloudellisen rahoitusavun kolmannen ohjelman ensimmäinen lainaerä, 600 miljoonaa euroa, maksettiin Ukrainalle heinäkuussa 2015. Toinen lainaerä, joka myöskin on 600 miljoonaa euroa, olisi alkuperäisen suunnitelman mukaan maksettu vuonna 2015, mutta maksatus on viivästynyt, koska eräät uudistustoimenpiteet ovat edenneet hitaasti.</w:t>
      </w:r>
    </w:p>
    <w:p>
      <w:pPr>
        <w:spacing w:after="120" w:line="240" w:lineRule="auto"/>
        <w:jc w:val="both"/>
        <w:rPr>
          <w:rFonts w:ascii="Times New Roman" w:hAnsi="Times New Roman"/>
          <w:noProof/>
          <w:sz w:val="24"/>
          <w:szCs w:val="24"/>
        </w:rPr>
      </w:pPr>
      <w:r>
        <w:rPr>
          <w:rFonts w:ascii="Times New Roman" w:hAnsi="Times New Roman"/>
          <w:noProof/>
          <w:sz w:val="24"/>
        </w:rPr>
        <w:t>Ukrainan makrotaloudellisen rahoitusavun ensimmäisen ohjelman viimeinen lainaerä, 250 miljoonaa euroa, maksettiin Ukrainalle huhtikuussa 2015. Tätä ohjelmaa koskevat päätökset tehtiin vuonna 2002</w:t>
      </w:r>
      <w:r>
        <w:rPr>
          <w:rFonts w:ascii="Times New Roman" w:hAnsi="Times New Roman"/>
          <w:noProof/>
          <w:sz w:val="24"/>
          <w:vertAlign w:val="superscript"/>
        </w:rPr>
        <w:footnoteReference w:id="15"/>
      </w:r>
      <w:r>
        <w:rPr>
          <w:rFonts w:ascii="Times New Roman" w:hAnsi="Times New Roman"/>
          <w:noProof/>
          <w:sz w:val="24"/>
        </w:rPr>
        <w:t xml:space="preserve"> ja 2010</w:t>
      </w:r>
      <w:r>
        <w:rPr>
          <w:rFonts w:ascii="Times New Roman" w:hAnsi="Times New Roman"/>
          <w:noProof/>
          <w:sz w:val="24"/>
          <w:vertAlign w:val="superscript"/>
        </w:rPr>
        <w:footnoteReference w:id="16"/>
      </w:r>
      <w:r>
        <w:rPr>
          <w:rFonts w:ascii="Times New Roman" w:hAnsi="Times New Roman"/>
          <w:noProof/>
          <w:sz w:val="24"/>
        </w:rPr>
        <w:t>.</w:t>
      </w:r>
    </w:p>
    <w:p>
      <w:pPr>
        <w:spacing w:after="120" w:line="240" w:lineRule="auto"/>
        <w:jc w:val="both"/>
        <w:rPr>
          <w:rFonts w:ascii="Times New Roman" w:hAnsi="Times New Roman"/>
          <w:noProof/>
          <w:sz w:val="24"/>
          <w:szCs w:val="24"/>
        </w:rPr>
      </w:pPr>
      <w:r>
        <w:rPr>
          <w:rFonts w:ascii="Times New Roman" w:hAnsi="Times New Roman"/>
          <w:noProof/>
          <w:sz w:val="24"/>
        </w:rPr>
        <w:t xml:space="preserve">Euroopan parlamentti ja neuvosto päättivät 15. toukokuuta 2014 myöntää </w:t>
      </w:r>
      <w:r>
        <w:rPr>
          <w:rFonts w:ascii="Times New Roman" w:hAnsi="Times New Roman"/>
          <w:b/>
          <w:noProof/>
          <w:sz w:val="24"/>
        </w:rPr>
        <w:t>Tunisialle</w:t>
      </w:r>
      <w:r>
        <w:rPr>
          <w:rFonts w:ascii="Times New Roman" w:hAnsi="Times New Roman"/>
          <w:noProof/>
          <w:sz w:val="24"/>
        </w:rPr>
        <w:t xml:space="preserve"> makrotaloudellista rahoitusapua enintään 300 miljoonaa euroa. Apu myönnettiin kokonaisuudessaan lainoina, joiden enimmäisjuoksuaika oli 15 vuotta.</w:t>
      </w:r>
      <w:r>
        <w:rPr>
          <w:rStyle w:val="FootnoteReference"/>
          <w:rFonts w:ascii="Times New Roman" w:hAnsi="Times New Roman"/>
          <w:noProof/>
          <w:sz w:val="24"/>
        </w:rPr>
        <w:footnoteReference w:id="17"/>
      </w:r>
      <w:r>
        <w:rPr>
          <w:rFonts w:ascii="Times New Roman" w:hAnsi="Times New Roman"/>
          <w:noProof/>
          <w:sz w:val="24"/>
        </w:rPr>
        <w:t xml:space="preserve"> Ensimmäinen lainaerä, 100 miljoonaa euroa, maksettiin Tunisialle toukokuussa 2015 ja toinen erä, 100 miljoonaa euroa, joulukuussa 2015.</w:t>
      </w:r>
    </w:p>
    <w:p>
      <w:pPr>
        <w:spacing w:after="120" w:line="240" w:lineRule="auto"/>
        <w:jc w:val="both"/>
        <w:rPr>
          <w:rFonts w:ascii="Times New Roman" w:hAnsi="Times New Roman"/>
          <w:noProof/>
          <w:sz w:val="24"/>
          <w:szCs w:val="24"/>
        </w:rPr>
      </w:pPr>
      <w:r>
        <w:rPr>
          <w:rFonts w:ascii="Times New Roman" w:hAnsi="Times New Roman"/>
          <w:noProof/>
          <w:sz w:val="24"/>
        </w:rPr>
        <w:t xml:space="preserve">Euroopan parlamentti ja neuvosto päättivät 11. joulukuuta 2013 myöntää </w:t>
      </w:r>
      <w:r>
        <w:rPr>
          <w:rFonts w:ascii="Times New Roman" w:hAnsi="Times New Roman"/>
          <w:b/>
          <w:noProof/>
          <w:sz w:val="24"/>
        </w:rPr>
        <w:t>Jordanialle</w:t>
      </w:r>
      <w:r>
        <w:rPr>
          <w:rFonts w:ascii="Times New Roman" w:hAnsi="Times New Roman"/>
          <w:noProof/>
          <w:sz w:val="24"/>
        </w:rPr>
        <w:t xml:space="preserve"> makrotaloudellista rahoitusapua enintään 180 miljoonaa euroa. Apu myönnettiin lainoina.</w:t>
      </w:r>
      <w:r>
        <w:rPr>
          <w:rStyle w:val="FootnoteReference"/>
          <w:rFonts w:ascii="Times New Roman" w:hAnsi="Times New Roman"/>
          <w:noProof/>
          <w:sz w:val="24"/>
        </w:rPr>
        <w:footnoteReference w:id="18"/>
      </w:r>
      <w:r>
        <w:rPr>
          <w:rFonts w:ascii="Times New Roman" w:hAnsi="Times New Roman"/>
          <w:noProof/>
          <w:sz w:val="24"/>
        </w:rPr>
        <w:t xml:space="preserve"> Ensimmäinen lainaerä, 100 miljoonaa euroa, maksettiin Jordanialle helmikuussa 2015 ja toinen ja samalla viimeinen lainaerä, 80 miljoonaa euroa, lokakuussa 2015.</w:t>
      </w:r>
    </w:p>
    <w:p>
      <w:pPr>
        <w:spacing w:after="120" w:line="240" w:lineRule="auto"/>
        <w:jc w:val="both"/>
        <w:rPr>
          <w:rFonts w:ascii="Times New Roman" w:hAnsi="Times New Roman"/>
          <w:noProof/>
          <w:sz w:val="24"/>
          <w:szCs w:val="24"/>
        </w:rPr>
      </w:pPr>
      <w:r>
        <w:rPr>
          <w:rFonts w:ascii="Times New Roman" w:hAnsi="Times New Roman"/>
          <w:noProof/>
          <w:sz w:val="24"/>
        </w:rPr>
        <w:t xml:space="preserve">Euroopan parlamentti ja neuvosto päättivät 12. elokuuta 2013 myöntää </w:t>
      </w:r>
      <w:r>
        <w:rPr>
          <w:rFonts w:ascii="Times New Roman" w:hAnsi="Times New Roman"/>
          <w:b/>
          <w:noProof/>
          <w:sz w:val="24"/>
        </w:rPr>
        <w:t>Georgialle</w:t>
      </w:r>
      <w:r>
        <w:rPr>
          <w:rFonts w:ascii="Times New Roman" w:hAnsi="Times New Roman"/>
          <w:noProof/>
          <w:sz w:val="24"/>
        </w:rPr>
        <w:t xml:space="preserve"> makrotaloudellista rahoitusapua enintään 46 miljoonaa euroa (enintään 23 miljoonaa euroa avustuksina ja enintään 23 miljoonaa euroa lainoina).</w:t>
      </w:r>
      <w:r>
        <w:rPr>
          <w:rStyle w:val="FootnoteReference"/>
          <w:rFonts w:ascii="Times New Roman" w:hAnsi="Times New Roman"/>
          <w:noProof/>
          <w:sz w:val="24"/>
        </w:rPr>
        <w:footnoteReference w:id="19"/>
      </w:r>
      <w:r>
        <w:rPr>
          <w:rFonts w:ascii="Times New Roman" w:hAnsi="Times New Roman"/>
          <w:noProof/>
          <w:sz w:val="24"/>
        </w:rPr>
        <w:t xml:space="preserve"> Rahoitusavun ensimmäisen erän avustusosuus, 13 miljoonaa euroa, maksettiin tammikuussa 2015 ja lainaosuus, 10 miljoonaa euroa, huhtikuussa 2015. Suunnitelman mukaan rahoitusavun toisen erän avustus- ja lainaosuudet olisi maksettu vuoden 2015 jälkipuoliskolla, mutta maksut siirrettiin vuoteen 2016 sen jälkeen, kun IMF:n ohjelman toista tarkastelua oli lykätty.</w:t>
      </w:r>
    </w:p>
    <w:p>
      <w:pPr>
        <w:spacing w:after="120" w:line="240" w:lineRule="auto"/>
        <w:jc w:val="both"/>
        <w:rPr>
          <w:rFonts w:ascii="Times New Roman" w:hAnsi="Times New Roman"/>
          <w:noProof/>
          <w:sz w:val="24"/>
          <w:szCs w:val="24"/>
        </w:rPr>
      </w:pPr>
      <w:r>
        <w:rPr>
          <w:rFonts w:ascii="Times New Roman" w:hAnsi="Times New Roman"/>
          <w:noProof/>
          <w:sz w:val="24"/>
        </w:rPr>
        <w:t xml:space="preserve">Euroopan parlamentti ja neuvosto päättivät 22. lokakuuta 2013 myöntää </w:t>
      </w:r>
      <w:r>
        <w:rPr>
          <w:rFonts w:ascii="Times New Roman" w:hAnsi="Times New Roman"/>
          <w:b/>
          <w:noProof/>
          <w:sz w:val="24"/>
        </w:rPr>
        <w:t>Kirgisian tasavallalle</w:t>
      </w:r>
      <w:r>
        <w:rPr>
          <w:rFonts w:ascii="Times New Roman" w:hAnsi="Times New Roman"/>
          <w:noProof/>
          <w:sz w:val="24"/>
        </w:rPr>
        <w:t xml:space="preserve"> makrotaloudellista rahoitusapua enintään 30 miljoonaa euroa (enintään 15 miljoonaa euroa avustuksina ja enintään 15 miljoonaa euroa lainoina).</w:t>
      </w:r>
      <w:r>
        <w:rPr>
          <w:rStyle w:val="FootnoteReference"/>
          <w:rFonts w:ascii="Times New Roman" w:hAnsi="Times New Roman"/>
          <w:noProof/>
          <w:sz w:val="24"/>
        </w:rPr>
        <w:footnoteReference w:id="20"/>
      </w:r>
      <w:r>
        <w:rPr>
          <w:rFonts w:ascii="Times New Roman" w:hAnsi="Times New Roman"/>
          <w:noProof/>
          <w:sz w:val="24"/>
        </w:rPr>
        <w:t xml:space="preserve"> Rahoitusavun ensimmäisen erän avustusosuus, 10 miljoonaa euroa, maksettiin kesäkuussa 2015 ja lainaosuus, 5 miljoonaa euroa, lokakuussa 2015.</w:t>
      </w:r>
    </w:p>
    <w:p>
      <w:pPr>
        <w:spacing w:after="240" w:line="240" w:lineRule="auto"/>
        <w:jc w:val="both"/>
        <w:rPr>
          <w:rFonts w:ascii="Times New Roman" w:hAnsi="Times New Roman"/>
          <w:noProof/>
          <w:sz w:val="24"/>
          <w:szCs w:val="24"/>
          <w:highlight w:val="yellow"/>
          <w:u w:val="single"/>
        </w:rPr>
      </w:pPr>
      <w:r>
        <w:rPr>
          <w:rFonts w:ascii="Times New Roman" w:hAnsi="Times New Roman"/>
          <w:noProof/>
          <w:sz w:val="24"/>
        </w:rPr>
        <w:t>Kun mukaan luetaan 1 245 miljoonan euron lainat, jotka maksettiin edunsaajille vuonna 2015, lainoina myönnettävän makrotaloudellisen rahoitusavun kokonaislainakanta 31. joulukuuta 2015 oli 3 miljardia euroa, kuten seuraavasta taulukosta ilmenee.</w:t>
      </w:r>
    </w:p>
    <w:p>
      <w:pPr>
        <w:spacing w:after="240" w:line="240" w:lineRule="auto"/>
        <w:jc w:val="both"/>
        <w:rPr>
          <w:rFonts w:ascii="Times New Roman" w:hAnsi="Times New Roman"/>
          <w:noProof/>
          <w:sz w:val="24"/>
          <w:szCs w:val="24"/>
        </w:rPr>
      </w:pPr>
      <w:r>
        <w:rPr>
          <w:rFonts w:ascii="Times New Roman" w:hAnsi="Times New Roman"/>
          <w:noProof/>
          <w:sz w:val="24"/>
          <w:u w:val="single"/>
        </w:rPr>
        <w:t>Taulukko 4: Makrotaloudellisen rahoitusavun lainat 31.12.2015 (lainapääoma miljardia euroa)</w:t>
      </w:r>
      <w:r>
        <w:rPr>
          <w:rFonts w:ascii="Times New Roman" w:hAnsi="Times New Roman"/>
          <w:noProof/>
          <w:sz w:val="24"/>
        </w:rPr>
        <w:t> </w:t>
      </w:r>
    </w:p>
    <w:tbl>
      <w:tblPr>
        <w:tblW w:w="9322" w:type="dxa"/>
        <w:tblLayout w:type="fixed"/>
        <w:tblLook w:val="0000" w:firstRow="0" w:lastRow="0" w:firstColumn="0" w:lastColumn="0" w:noHBand="0" w:noVBand="0"/>
      </w:tblPr>
      <w:tblGrid>
        <w:gridCol w:w="2235"/>
        <w:gridCol w:w="1701"/>
        <w:gridCol w:w="1559"/>
        <w:gridCol w:w="2268"/>
        <w:gridCol w:w="1559"/>
      </w:tblGrid>
      <w:tr>
        <w:trPr>
          <w:trHeight w:val="948"/>
        </w:trPr>
        <w:tc>
          <w:tcPr>
            <w:tcW w:w="2235" w:type="dxa"/>
            <w:tcBorders>
              <w:top w:val="single" w:sz="4" w:space="0" w:color="auto"/>
              <w:left w:val="single" w:sz="4" w:space="0" w:color="auto"/>
              <w:bottom w:val="single" w:sz="4" w:space="0" w:color="auto"/>
              <w:right w:val="single" w:sz="4" w:space="0" w:color="auto"/>
            </w:tcBorders>
            <w:noWrap/>
            <w:vAlign w:val="center"/>
          </w:tcPr>
          <w:p>
            <w:pPr>
              <w:spacing w:after="240" w:line="240" w:lineRule="auto"/>
              <w:jc w:val="center"/>
              <w:rPr>
                <w:rFonts w:ascii="Times New Roman" w:hAnsi="Times New Roman"/>
                <w:noProof/>
                <w:sz w:val="24"/>
                <w:szCs w:val="24"/>
              </w:rPr>
            </w:pPr>
            <w:r>
              <w:rPr>
                <w:rFonts w:ascii="Times New Roman" w:hAnsi="Times New Roman"/>
                <w:noProof/>
                <w:sz w:val="24"/>
              </w:rPr>
              <w:t>Edunsaajavaltio</w:t>
            </w:r>
          </w:p>
        </w:tc>
        <w:tc>
          <w:tcPr>
            <w:tcW w:w="1701" w:type="dxa"/>
            <w:tcBorders>
              <w:top w:val="single" w:sz="4" w:space="0" w:color="auto"/>
              <w:left w:val="single" w:sz="4" w:space="0" w:color="auto"/>
              <w:bottom w:val="single" w:sz="4" w:space="0" w:color="auto"/>
              <w:right w:val="single" w:sz="4" w:space="0" w:color="auto"/>
            </w:tcBorders>
            <w:noWrap/>
            <w:vAlign w:val="center"/>
          </w:tcPr>
          <w:p>
            <w:pPr>
              <w:spacing w:after="240" w:line="240" w:lineRule="auto"/>
              <w:jc w:val="center"/>
              <w:rPr>
                <w:rFonts w:ascii="Times New Roman" w:hAnsi="Times New Roman"/>
                <w:noProof/>
                <w:sz w:val="24"/>
                <w:szCs w:val="24"/>
              </w:rPr>
            </w:pPr>
            <w:r>
              <w:rPr>
                <w:rFonts w:ascii="Times New Roman" w:hAnsi="Times New Roman"/>
                <w:noProof/>
                <w:sz w:val="24"/>
              </w:rPr>
              <w:t>Nostettu määrä vuonna 2015</w:t>
            </w:r>
          </w:p>
        </w:tc>
        <w:tc>
          <w:tcPr>
            <w:tcW w:w="1559" w:type="dxa"/>
            <w:tcBorders>
              <w:top w:val="single" w:sz="4" w:space="0" w:color="auto"/>
              <w:left w:val="single" w:sz="4" w:space="0" w:color="auto"/>
              <w:bottom w:val="single" w:sz="4" w:space="0" w:color="auto"/>
              <w:right w:val="single" w:sz="4" w:space="0" w:color="auto"/>
            </w:tcBorders>
            <w:vAlign w:val="center"/>
          </w:tcPr>
          <w:p>
            <w:pPr>
              <w:spacing w:after="240" w:line="240" w:lineRule="auto"/>
              <w:jc w:val="center"/>
              <w:rPr>
                <w:rFonts w:ascii="Times New Roman" w:hAnsi="Times New Roman"/>
                <w:noProof/>
                <w:sz w:val="24"/>
                <w:szCs w:val="24"/>
              </w:rPr>
            </w:pPr>
            <w:r>
              <w:rPr>
                <w:rFonts w:ascii="Times New Roman" w:hAnsi="Times New Roman"/>
                <w:noProof/>
                <w:sz w:val="24"/>
              </w:rPr>
              <w:t>Maksettu takaisin vuonna 2015</w:t>
            </w:r>
          </w:p>
        </w:tc>
        <w:tc>
          <w:tcPr>
            <w:tcW w:w="2268" w:type="dxa"/>
            <w:tcBorders>
              <w:top w:val="single" w:sz="4" w:space="0" w:color="auto"/>
              <w:left w:val="single" w:sz="4" w:space="0" w:color="auto"/>
              <w:bottom w:val="single" w:sz="4" w:space="0" w:color="auto"/>
              <w:right w:val="single" w:sz="4" w:space="0" w:color="auto"/>
            </w:tcBorders>
            <w:vAlign w:val="center"/>
          </w:tcPr>
          <w:p>
            <w:pPr>
              <w:spacing w:after="240" w:line="240" w:lineRule="auto"/>
              <w:ind w:right="-228"/>
              <w:jc w:val="center"/>
              <w:rPr>
                <w:rFonts w:ascii="Times New Roman" w:hAnsi="Times New Roman"/>
                <w:noProof/>
                <w:sz w:val="24"/>
                <w:szCs w:val="24"/>
              </w:rPr>
            </w:pPr>
            <w:r>
              <w:rPr>
                <w:rFonts w:ascii="Times New Roman" w:hAnsi="Times New Roman"/>
                <w:noProof/>
                <w:sz w:val="24"/>
              </w:rPr>
              <w:t>Jäljellä oleva lainapääoma 31.12.2015</w:t>
            </w:r>
          </w:p>
        </w:tc>
        <w:tc>
          <w:tcPr>
            <w:tcW w:w="1559" w:type="dxa"/>
            <w:tcBorders>
              <w:top w:val="single" w:sz="4" w:space="0" w:color="auto"/>
              <w:left w:val="single" w:sz="4" w:space="0" w:color="auto"/>
              <w:bottom w:val="single" w:sz="4" w:space="0" w:color="auto"/>
              <w:right w:val="single" w:sz="4" w:space="0" w:color="auto"/>
            </w:tcBorders>
            <w:vAlign w:val="center"/>
          </w:tcPr>
          <w:p>
            <w:pPr>
              <w:spacing w:after="240" w:line="240" w:lineRule="auto"/>
              <w:ind w:right="-228"/>
              <w:jc w:val="center"/>
              <w:rPr>
                <w:rFonts w:ascii="Times New Roman" w:hAnsi="Times New Roman"/>
                <w:noProof/>
                <w:sz w:val="24"/>
                <w:szCs w:val="24"/>
              </w:rPr>
            </w:pPr>
            <w:r>
              <w:rPr>
                <w:rFonts w:ascii="Times New Roman" w:hAnsi="Times New Roman"/>
                <w:noProof/>
                <w:sz w:val="24"/>
              </w:rPr>
              <w:t>Nostamatta oleva määrä</w:t>
            </w:r>
          </w:p>
        </w:tc>
      </w:tr>
      <w:tr>
        <w:trPr>
          <w:trHeight w:val="309"/>
        </w:trPr>
        <w:tc>
          <w:tcPr>
            <w:tcW w:w="2235" w:type="dxa"/>
            <w:tcBorders>
              <w:top w:val="single" w:sz="4" w:space="0" w:color="auto"/>
              <w:left w:val="single" w:sz="4" w:space="0" w:color="auto"/>
              <w:right w:val="single" w:sz="4" w:space="0" w:color="auto"/>
            </w:tcBorders>
            <w:noWrap/>
            <w:vAlign w:val="center"/>
          </w:tcPr>
          <w:p>
            <w:pPr>
              <w:spacing w:after="240" w:line="240" w:lineRule="auto"/>
              <w:jc w:val="both"/>
              <w:rPr>
                <w:rFonts w:ascii="Times New Roman" w:hAnsi="Times New Roman"/>
                <w:bCs/>
                <w:noProof/>
                <w:sz w:val="24"/>
                <w:szCs w:val="24"/>
              </w:rPr>
            </w:pPr>
            <w:r>
              <w:rPr>
                <w:rFonts w:ascii="Times New Roman" w:hAnsi="Times New Roman"/>
                <w:noProof/>
                <w:sz w:val="24"/>
              </w:rPr>
              <w:t>Albania</w:t>
            </w:r>
          </w:p>
        </w:tc>
        <w:tc>
          <w:tcPr>
            <w:tcW w:w="1701" w:type="dxa"/>
            <w:tcBorders>
              <w:top w:val="single" w:sz="4" w:space="0" w:color="auto"/>
              <w:left w:val="nil"/>
              <w:right w:val="single" w:sz="4" w:space="0" w:color="auto"/>
            </w:tcBorders>
            <w:noWrap/>
            <w:vAlign w:val="center"/>
          </w:tcPr>
          <w:p>
            <w:pPr>
              <w:spacing w:after="240" w:line="240" w:lineRule="auto"/>
              <w:jc w:val="right"/>
              <w:rPr>
                <w:rFonts w:ascii="Times New Roman" w:hAnsi="Times New Roman"/>
                <w:noProof/>
                <w:sz w:val="24"/>
                <w:szCs w:val="24"/>
              </w:rPr>
            </w:pPr>
            <w:r>
              <w:rPr>
                <w:rFonts w:ascii="Times New Roman" w:hAnsi="Times New Roman"/>
                <w:noProof/>
                <w:sz w:val="24"/>
              </w:rPr>
              <w:t>0</w:t>
            </w:r>
          </w:p>
        </w:tc>
        <w:tc>
          <w:tcPr>
            <w:tcW w:w="1559" w:type="dxa"/>
            <w:tcBorders>
              <w:top w:val="single" w:sz="4" w:space="0" w:color="auto"/>
              <w:left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0</w:t>
            </w:r>
          </w:p>
        </w:tc>
        <w:tc>
          <w:tcPr>
            <w:tcW w:w="2268" w:type="dxa"/>
            <w:tcBorders>
              <w:top w:val="single" w:sz="4" w:space="0" w:color="auto"/>
              <w:left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9</w:t>
            </w:r>
          </w:p>
        </w:tc>
        <w:tc>
          <w:tcPr>
            <w:tcW w:w="1559" w:type="dxa"/>
            <w:tcBorders>
              <w:top w:val="single" w:sz="4" w:space="0" w:color="auto"/>
              <w:left w:val="single" w:sz="4" w:space="0" w:color="auto"/>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0</w:t>
            </w:r>
          </w:p>
        </w:tc>
      </w:tr>
      <w:tr>
        <w:trPr>
          <w:trHeight w:val="309"/>
        </w:trPr>
        <w:tc>
          <w:tcPr>
            <w:tcW w:w="2235" w:type="dxa"/>
            <w:tcBorders>
              <w:top w:val="nil"/>
              <w:left w:val="single" w:sz="4" w:space="0" w:color="auto"/>
              <w:right w:val="single" w:sz="4" w:space="0" w:color="auto"/>
            </w:tcBorders>
            <w:noWrap/>
            <w:vAlign w:val="center"/>
          </w:tcPr>
          <w:p>
            <w:pPr>
              <w:spacing w:after="240" w:line="240" w:lineRule="auto"/>
              <w:jc w:val="both"/>
              <w:rPr>
                <w:rFonts w:ascii="Times New Roman" w:hAnsi="Times New Roman"/>
                <w:bCs/>
                <w:noProof/>
                <w:sz w:val="24"/>
                <w:szCs w:val="24"/>
              </w:rPr>
            </w:pPr>
            <w:r>
              <w:rPr>
                <w:rFonts w:ascii="Times New Roman" w:hAnsi="Times New Roman"/>
                <w:noProof/>
                <w:sz w:val="24"/>
              </w:rPr>
              <w:t>Armenia</w:t>
            </w:r>
          </w:p>
        </w:tc>
        <w:tc>
          <w:tcPr>
            <w:tcW w:w="1701" w:type="dxa"/>
            <w:tcBorders>
              <w:top w:val="nil"/>
              <w:left w:val="nil"/>
              <w:right w:val="single" w:sz="4" w:space="0" w:color="auto"/>
            </w:tcBorders>
            <w:noWrap/>
            <w:vAlign w:val="center"/>
          </w:tcPr>
          <w:p>
            <w:pPr>
              <w:spacing w:after="240" w:line="240" w:lineRule="auto"/>
              <w:jc w:val="right"/>
              <w:rPr>
                <w:rFonts w:ascii="Times New Roman" w:hAnsi="Times New Roman"/>
                <w:noProof/>
                <w:sz w:val="24"/>
                <w:szCs w:val="24"/>
              </w:rPr>
            </w:pPr>
            <w:r>
              <w:rPr>
                <w:rFonts w:ascii="Times New Roman" w:hAnsi="Times New Roman"/>
                <w:noProof/>
                <w:sz w:val="24"/>
              </w:rPr>
              <w:t>0</w:t>
            </w:r>
          </w:p>
        </w:tc>
        <w:tc>
          <w:tcPr>
            <w:tcW w:w="1559" w:type="dxa"/>
            <w:tcBorders>
              <w:top w:val="nil"/>
              <w:left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0</w:t>
            </w:r>
          </w:p>
        </w:tc>
        <w:tc>
          <w:tcPr>
            <w:tcW w:w="2268" w:type="dxa"/>
            <w:tcBorders>
              <w:top w:val="nil"/>
              <w:left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65</w:t>
            </w:r>
          </w:p>
        </w:tc>
        <w:tc>
          <w:tcPr>
            <w:tcW w:w="1559" w:type="dxa"/>
            <w:tcBorders>
              <w:top w:val="nil"/>
              <w:left w:val="single" w:sz="4" w:space="0" w:color="auto"/>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0</w:t>
            </w:r>
          </w:p>
        </w:tc>
      </w:tr>
      <w:tr>
        <w:trPr>
          <w:trHeight w:val="309"/>
        </w:trPr>
        <w:tc>
          <w:tcPr>
            <w:tcW w:w="2235" w:type="dxa"/>
            <w:tcBorders>
              <w:top w:val="nil"/>
              <w:left w:val="single" w:sz="4" w:space="0" w:color="auto"/>
              <w:right w:val="single" w:sz="4" w:space="0" w:color="auto"/>
            </w:tcBorders>
            <w:noWrap/>
            <w:vAlign w:val="center"/>
          </w:tcPr>
          <w:p>
            <w:pPr>
              <w:spacing w:after="240" w:line="240" w:lineRule="auto"/>
              <w:jc w:val="both"/>
              <w:rPr>
                <w:rFonts w:ascii="Times New Roman" w:hAnsi="Times New Roman"/>
                <w:bCs/>
                <w:noProof/>
                <w:sz w:val="24"/>
                <w:szCs w:val="24"/>
              </w:rPr>
            </w:pPr>
            <w:r>
              <w:rPr>
                <w:rFonts w:ascii="Times New Roman" w:hAnsi="Times New Roman"/>
                <w:noProof/>
                <w:sz w:val="24"/>
              </w:rPr>
              <w:t>Bosnia ja Hertsegovina</w:t>
            </w:r>
          </w:p>
        </w:tc>
        <w:tc>
          <w:tcPr>
            <w:tcW w:w="1701" w:type="dxa"/>
            <w:tcBorders>
              <w:top w:val="nil"/>
              <w:left w:val="nil"/>
              <w:right w:val="single" w:sz="4" w:space="0" w:color="auto"/>
            </w:tcBorders>
            <w:noWrap/>
            <w:vAlign w:val="center"/>
          </w:tcPr>
          <w:p>
            <w:pPr>
              <w:spacing w:after="240" w:line="240" w:lineRule="auto"/>
              <w:jc w:val="right"/>
              <w:rPr>
                <w:rFonts w:ascii="Times New Roman" w:hAnsi="Times New Roman"/>
                <w:noProof/>
                <w:sz w:val="24"/>
                <w:szCs w:val="24"/>
              </w:rPr>
            </w:pPr>
            <w:r>
              <w:rPr>
                <w:rFonts w:ascii="Times New Roman" w:hAnsi="Times New Roman"/>
                <w:noProof/>
                <w:sz w:val="24"/>
              </w:rPr>
              <w:t>0</w:t>
            </w:r>
          </w:p>
        </w:tc>
        <w:tc>
          <w:tcPr>
            <w:tcW w:w="1559" w:type="dxa"/>
            <w:tcBorders>
              <w:top w:val="nil"/>
              <w:left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4</w:t>
            </w:r>
          </w:p>
        </w:tc>
        <w:tc>
          <w:tcPr>
            <w:tcW w:w="2268" w:type="dxa"/>
            <w:tcBorders>
              <w:top w:val="nil"/>
              <w:left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120</w:t>
            </w:r>
          </w:p>
        </w:tc>
        <w:tc>
          <w:tcPr>
            <w:tcW w:w="1559" w:type="dxa"/>
            <w:tcBorders>
              <w:top w:val="nil"/>
              <w:left w:val="single" w:sz="4" w:space="0" w:color="auto"/>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0</w:t>
            </w:r>
          </w:p>
        </w:tc>
      </w:tr>
      <w:tr>
        <w:trPr>
          <w:trHeight w:val="309"/>
        </w:trPr>
        <w:tc>
          <w:tcPr>
            <w:tcW w:w="2235" w:type="dxa"/>
            <w:tcBorders>
              <w:top w:val="nil"/>
              <w:left w:val="single" w:sz="4" w:space="0" w:color="auto"/>
              <w:right w:val="single" w:sz="4" w:space="0" w:color="auto"/>
            </w:tcBorders>
            <w:noWrap/>
            <w:vAlign w:val="center"/>
          </w:tcPr>
          <w:p>
            <w:pPr>
              <w:spacing w:after="240" w:line="240" w:lineRule="auto"/>
              <w:jc w:val="both"/>
              <w:rPr>
                <w:rFonts w:ascii="Times New Roman" w:hAnsi="Times New Roman"/>
                <w:bCs/>
                <w:noProof/>
                <w:sz w:val="24"/>
                <w:szCs w:val="24"/>
              </w:rPr>
            </w:pPr>
            <w:r>
              <w:rPr>
                <w:rFonts w:ascii="Times New Roman" w:hAnsi="Times New Roman"/>
                <w:noProof/>
                <w:sz w:val="24"/>
              </w:rPr>
              <w:t>EJTM*</w:t>
            </w:r>
          </w:p>
        </w:tc>
        <w:tc>
          <w:tcPr>
            <w:tcW w:w="1701" w:type="dxa"/>
            <w:tcBorders>
              <w:top w:val="nil"/>
              <w:left w:val="nil"/>
              <w:right w:val="single" w:sz="4" w:space="0" w:color="auto"/>
            </w:tcBorders>
            <w:noWrap/>
            <w:vAlign w:val="center"/>
          </w:tcPr>
          <w:p>
            <w:pPr>
              <w:spacing w:after="240" w:line="240" w:lineRule="auto"/>
              <w:jc w:val="right"/>
              <w:rPr>
                <w:rFonts w:ascii="Times New Roman" w:hAnsi="Times New Roman"/>
                <w:noProof/>
                <w:sz w:val="24"/>
                <w:szCs w:val="24"/>
              </w:rPr>
            </w:pPr>
            <w:r>
              <w:rPr>
                <w:rFonts w:ascii="Times New Roman" w:hAnsi="Times New Roman"/>
                <w:noProof/>
                <w:sz w:val="24"/>
              </w:rPr>
              <w:t>0</w:t>
            </w:r>
          </w:p>
        </w:tc>
        <w:tc>
          <w:tcPr>
            <w:tcW w:w="1559" w:type="dxa"/>
            <w:tcBorders>
              <w:top w:val="nil"/>
              <w:left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10</w:t>
            </w:r>
          </w:p>
        </w:tc>
        <w:tc>
          <w:tcPr>
            <w:tcW w:w="2268" w:type="dxa"/>
            <w:tcBorders>
              <w:top w:val="nil"/>
              <w:left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24</w:t>
            </w:r>
          </w:p>
        </w:tc>
        <w:tc>
          <w:tcPr>
            <w:tcW w:w="1559" w:type="dxa"/>
            <w:tcBorders>
              <w:top w:val="nil"/>
              <w:left w:val="single" w:sz="4" w:space="0" w:color="auto"/>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0</w:t>
            </w:r>
          </w:p>
        </w:tc>
      </w:tr>
      <w:tr>
        <w:trPr>
          <w:trHeight w:val="309"/>
        </w:trPr>
        <w:tc>
          <w:tcPr>
            <w:tcW w:w="2235" w:type="dxa"/>
            <w:tcBorders>
              <w:top w:val="nil"/>
              <w:left w:val="single" w:sz="4" w:space="0" w:color="auto"/>
              <w:right w:val="single" w:sz="4" w:space="0" w:color="auto"/>
            </w:tcBorders>
            <w:noWrap/>
            <w:vAlign w:val="center"/>
          </w:tcPr>
          <w:p>
            <w:pPr>
              <w:spacing w:after="240" w:line="240" w:lineRule="auto"/>
              <w:jc w:val="both"/>
              <w:rPr>
                <w:rFonts w:ascii="Times New Roman" w:hAnsi="Times New Roman"/>
                <w:bCs/>
                <w:noProof/>
                <w:sz w:val="24"/>
                <w:szCs w:val="24"/>
              </w:rPr>
            </w:pPr>
            <w:r>
              <w:rPr>
                <w:rFonts w:ascii="Times New Roman" w:hAnsi="Times New Roman"/>
                <w:noProof/>
                <w:sz w:val="24"/>
              </w:rPr>
              <w:t>Georgia</w:t>
            </w:r>
          </w:p>
        </w:tc>
        <w:tc>
          <w:tcPr>
            <w:tcW w:w="1701" w:type="dxa"/>
            <w:tcBorders>
              <w:top w:val="nil"/>
              <w:left w:val="nil"/>
              <w:right w:val="single" w:sz="4" w:space="0" w:color="auto"/>
            </w:tcBorders>
            <w:noWrap/>
            <w:vAlign w:val="center"/>
          </w:tcPr>
          <w:p>
            <w:pPr>
              <w:spacing w:after="240" w:line="240" w:lineRule="auto"/>
              <w:jc w:val="right"/>
              <w:rPr>
                <w:rFonts w:ascii="Times New Roman" w:hAnsi="Times New Roman"/>
                <w:noProof/>
                <w:sz w:val="24"/>
                <w:szCs w:val="24"/>
              </w:rPr>
            </w:pPr>
            <w:r>
              <w:rPr>
                <w:rFonts w:ascii="Times New Roman" w:hAnsi="Times New Roman"/>
                <w:noProof/>
                <w:sz w:val="24"/>
              </w:rPr>
              <w:t>10</w:t>
            </w:r>
          </w:p>
        </w:tc>
        <w:tc>
          <w:tcPr>
            <w:tcW w:w="1559" w:type="dxa"/>
            <w:tcBorders>
              <w:top w:val="nil"/>
              <w:left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0</w:t>
            </w:r>
          </w:p>
        </w:tc>
        <w:tc>
          <w:tcPr>
            <w:tcW w:w="2268" w:type="dxa"/>
            <w:tcBorders>
              <w:top w:val="nil"/>
              <w:left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10</w:t>
            </w:r>
          </w:p>
        </w:tc>
        <w:tc>
          <w:tcPr>
            <w:tcW w:w="1559" w:type="dxa"/>
            <w:tcBorders>
              <w:top w:val="nil"/>
              <w:left w:val="single" w:sz="4" w:space="0" w:color="auto"/>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13</w:t>
            </w:r>
          </w:p>
        </w:tc>
      </w:tr>
      <w:tr>
        <w:trPr>
          <w:trHeight w:val="309"/>
        </w:trPr>
        <w:tc>
          <w:tcPr>
            <w:tcW w:w="2235" w:type="dxa"/>
            <w:tcBorders>
              <w:top w:val="nil"/>
              <w:left w:val="single" w:sz="4" w:space="0" w:color="auto"/>
              <w:right w:val="single" w:sz="4" w:space="0" w:color="auto"/>
            </w:tcBorders>
            <w:noWrap/>
            <w:vAlign w:val="bottom"/>
          </w:tcPr>
          <w:p>
            <w:pPr>
              <w:spacing w:after="240" w:line="240" w:lineRule="auto"/>
              <w:jc w:val="both"/>
              <w:rPr>
                <w:rFonts w:ascii="Times New Roman" w:hAnsi="Times New Roman"/>
                <w:bCs/>
                <w:noProof/>
                <w:sz w:val="24"/>
                <w:szCs w:val="24"/>
              </w:rPr>
            </w:pPr>
            <w:r>
              <w:rPr>
                <w:rFonts w:ascii="Times New Roman" w:hAnsi="Times New Roman"/>
                <w:noProof/>
                <w:sz w:val="24"/>
              </w:rPr>
              <w:t>Jordania</w:t>
            </w:r>
          </w:p>
        </w:tc>
        <w:tc>
          <w:tcPr>
            <w:tcW w:w="1701" w:type="dxa"/>
            <w:tcBorders>
              <w:top w:val="nil"/>
              <w:left w:val="nil"/>
              <w:right w:val="single" w:sz="4" w:space="0" w:color="auto"/>
            </w:tcBorders>
            <w:noWrap/>
            <w:vAlign w:val="bottom"/>
          </w:tcPr>
          <w:p>
            <w:pPr>
              <w:spacing w:after="240" w:line="240" w:lineRule="auto"/>
              <w:jc w:val="right"/>
              <w:rPr>
                <w:rFonts w:ascii="Times New Roman" w:hAnsi="Times New Roman"/>
                <w:noProof/>
                <w:sz w:val="24"/>
                <w:szCs w:val="24"/>
              </w:rPr>
            </w:pPr>
            <w:r>
              <w:rPr>
                <w:rFonts w:ascii="Times New Roman" w:hAnsi="Times New Roman"/>
                <w:noProof/>
                <w:sz w:val="24"/>
              </w:rPr>
              <w:t>180</w:t>
            </w:r>
          </w:p>
        </w:tc>
        <w:tc>
          <w:tcPr>
            <w:tcW w:w="1559" w:type="dxa"/>
            <w:tcBorders>
              <w:top w:val="nil"/>
              <w:left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0</w:t>
            </w:r>
          </w:p>
        </w:tc>
        <w:tc>
          <w:tcPr>
            <w:tcW w:w="2268" w:type="dxa"/>
            <w:tcBorders>
              <w:top w:val="nil"/>
              <w:left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180</w:t>
            </w:r>
          </w:p>
        </w:tc>
        <w:tc>
          <w:tcPr>
            <w:tcW w:w="1559" w:type="dxa"/>
            <w:tcBorders>
              <w:top w:val="nil"/>
              <w:left w:val="single" w:sz="4" w:space="0" w:color="auto"/>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0</w:t>
            </w:r>
          </w:p>
        </w:tc>
      </w:tr>
      <w:tr>
        <w:trPr>
          <w:trHeight w:val="309"/>
        </w:trPr>
        <w:tc>
          <w:tcPr>
            <w:tcW w:w="2235" w:type="dxa"/>
            <w:tcBorders>
              <w:top w:val="nil"/>
              <w:left w:val="single" w:sz="4" w:space="0" w:color="auto"/>
              <w:right w:val="single" w:sz="4" w:space="0" w:color="auto"/>
            </w:tcBorders>
            <w:noWrap/>
            <w:vAlign w:val="bottom"/>
          </w:tcPr>
          <w:p>
            <w:pPr>
              <w:spacing w:after="240" w:line="240" w:lineRule="auto"/>
              <w:jc w:val="both"/>
              <w:rPr>
                <w:rFonts w:ascii="Times New Roman" w:hAnsi="Times New Roman"/>
                <w:bCs/>
                <w:noProof/>
                <w:sz w:val="24"/>
                <w:szCs w:val="24"/>
              </w:rPr>
            </w:pPr>
            <w:r>
              <w:rPr>
                <w:rFonts w:ascii="Times New Roman" w:hAnsi="Times New Roman"/>
                <w:noProof/>
                <w:sz w:val="24"/>
              </w:rPr>
              <w:t>Kirgisian tasavalta</w:t>
            </w:r>
          </w:p>
        </w:tc>
        <w:tc>
          <w:tcPr>
            <w:tcW w:w="1701" w:type="dxa"/>
            <w:tcBorders>
              <w:top w:val="nil"/>
              <w:left w:val="nil"/>
              <w:right w:val="single" w:sz="4" w:space="0" w:color="auto"/>
            </w:tcBorders>
            <w:noWrap/>
            <w:vAlign w:val="bottom"/>
          </w:tcPr>
          <w:p>
            <w:pPr>
              <w:spacing w:after="240" w:line="240" w:lineRule="auto"/>
              <w:jc w:val="right"/>
              <w:rPr>
                <w:rFonts w:ascii="Times New Roman" w:hAnsi="Times New Roman"/>
                <w:noProof/>
                <w:sz w:val="24"/>
                <w:szCs w:val="24"/>
              </w:rPr>
            </w:pPr>
            <w:r>
              <w:rPr>
                <w:rFonts w:ascii="Times New Roman" w:hAnsi="Times New Roman"/>
                <w:noProof/>
                <w:sz w:val="24"/>
              </w:rPr>
              <w:t>5</w:t>
            </w:r>
          </w:p>
        </w:tc>
        <w:tc>
          <w:tcPr>
            <w:tcW w:w="1559" w:type="dxa"/>
            <w:tcBorders>
              <w:top w:val="nil"/>
              <w:left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0</w:t>
            </w:r>
          </w:p>
        </w:tc>
        <w:tc>
          <w:tcPr>
            <w:tcW w:w="2268" w:type="dxa"/>
            <w:tcBorders>
              <w:top w:val="nil"/>
              <w:left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5</w:t>
            </w:r>
          </w:p>
        </w:tc>
        <w:tc>
          <w:tcPr>
            <w:tcW w:w="1559" w:type="dxa"/>
            <w:tcBorders>
              <w:top w:val="nil"/>
              <w:left w:val="single" w:sz="4" w:space="0" w:color="auto"/>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10</w:t>
            </w:r>
          </w:p>
        </w:tc>
      </w:tr>
      <w:tr>
        <w:trPr>
          <w:trHeight w:val="309"/>
        </w:trPr>
        <w:tc>
          <w:tcPr>
            <w:tcW w:w="2235" w:type="dxa"/>
            <w:tcBorders>
              <w:top w:val="nil"/>
              <w:left w:val="single" w:sz="4" w:space="0" w:color="auto"/>
              <w:right w:val="single" w:sz="4" w:space="0" w:color="auto"/>
            </w:tcBorders>
            <w:noWrap/>
            <w:vAlign w:val="bottom"/>
          </w:tcPr>
          <w:p>
            <w:pPr>
              <w:spacing w:after="240" w:line="240" w:lineRule="auto"/>
              <w:jc w:val="both"/>
              <w:rPr>
                <w:rFonts w:ascii="Times New Roman" w:hAnsi="Times New Roman"/>
                <w:bCs/>
                <w:noProof/>
                <w:sz w:val="24"/>
                <w:szCs w:val="24"/>
              </w:rPr>
            </w:pPr>
            <w:r>
              <w:rPr>
                <w:rFonts w:ascii="Times New Roman" w:hAnsi="Times New Roman"/>
                <w:noProof/>
                <w:sz w:val="24"/>
              </w:rPr>
              <w:t>Montenegro</w:t>
            </w:r>
          </w:p>
        </w:tc>
        <w:tc>
          <w:tcPr>
            <w:tcW w:w="1701" w:type="dxa"/>
            <w:tcBorders>
              <w:top w:val="nil"/>
              <w:left w:val="nil"/>
              <w:right w:val="single" w:sz="4" w:space="0" w:color="auto"/>
            </w:tcBorders>
            <w:noWrap/>
            <w:vAlign w:val="bottom"/>
          </w:tcPr>
          <w:p>
            <w:pPr>
              <w:spacing w:after="240" w:line="240" w:lineRule="auto"/>
              <w:jc w:val="right"/>
              <w:rPr>
                <w:rFonts w:ascii="Times New Roman" w:hAnsi="Times New Roman"/>
                <w:noProof/>
                <w:sz w:val="24"/>
                <w:szCs w:val="24"/>
              </w:rPr>
            </w:pPr>
            <w:r>
              <w:rPr>
                <w:rFonts w:ascii="Times New Roman" w:hAnsi="Times New Roman"/>
                <w:noProof/>
                <w:sz w:val="24"/>
              </w:rPr>
              <w:t>0</w:t>
            </w:r>
          </w:p>
        </w:tc>
        <w:tc>
          <w:tcPr>
            <w:tcW w:w="1559" w:type="dxa"/>
            <w:tcBorders>
              <w:top w:val="nil"/>
              <w:left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1</w:t>
            </w:r>
          </w:p>
        </w:tc>
        <w:tc>
          <w:tcPr>
            <w:tcW w:w="2268" w:type="dxa"/>
            <w:tcBorders>
              <w:top w:val="nil"/>
              <w:left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4</w:t>
            </w:r>
          </w:p>
        </w:tc>
        <w:tc>
          <w:tcPr>
            <w:tcW w:w="1559" w:type="dxa"/>
            <w:tcBorders>
              <w:top w:val="nil"/>
              <w:left w:val="single" w:sz="4" w:space="0" w:color="auto"/>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0</w:t>
            </w:r>
          </w:p>
        </w:tc>
      </w:tr>
      <w:tr>
        <w:trPr>
          <w:trHeight w:val="309"/>
        </w:trPr>
        <w:tc>
          <w:tcPr>
            <w:tcW w:w="2235" w:type="dxa"/>
            <w:tcBorders>
              <w:top w:val="nil"/>
              <w:left w:val="single" w:sz="4" w:space="0" w:color="auto"/>
              <w:right w:val="single" w:sz="4" w:space="0" w:color="auto"/>
            </w:tcBorders>
            <w:noWrap/>
            <w:vAlign w:val="bottom"/>
          </w:tcPr>
          <w:p>
            <w:pPr>
              <w:spacing w:after="240" w:line="240" w:lineRule="auto"/>
              <w:jc w:val="both"/>
              <w:rPr>
                <w:rFonts w:ascii="Times New Roman" w:hAnsi="Times New Roman"/>
                <w:bCs/>
                <w:noProof/>
                <w:sz w:val="24"/>
                <w:szCs w:val="24"/>
              </w:rPr>
            </w:pPr>
            <w:r>
              <w:rPr>
                <w:rFonts w:ascii="Times New Roman" w:hAnsi="Times New Roman"/>
                <w:noProof/>
                <w:sz w:val="24"/>
              </w:rPr>
              <w:t>Serbia</w:t>
            </w:r>
          </w:p>
        </w:tc>
        <w:tc>
          <w:tcPr>
            <w:tcW w:w="1701" w:type="dxa"/>
            <w:tcBorders>
              <w:top w:val="nil"/>
              <w:left w:val="nil"/>
              <w:right w:val="single" w:sz="4" w:space="0" w:color="auto"/>
            </w:tcBorders>
            <w:noWrap/>
            <w:vAlign w:val="bottom"/>
          </w:tcPr>
          <w:p>
            <w:pPr>
              <w:spacing w:after="240" w:line="240" w:lineRule="auto"/>
              <w:jc w:val="right"/>
              <w:rPr>
                <w:rFonts w:ascii="Times New Roman" w:hAnsi="Times New Roman"/>
                <w:noProof/>
                <w:sz w:val="24"/>
                <w:szCs w:val="24"/>
              </w:rPr>
            </w:pPr>
            <w:r>
              <w:rPr>
                <w:rFonts w:ascii="Times New Roman" w:hAnsi="Times New Roman"/>
                <w:noProof/>
                <w:sz w:val="24"/>
              </w:rPr>
              <w:t>0</w:t>
            </w:r>
          </w:p>
        </w:tc>
        <w:tc>
          <w:tcPr>
            <w:tcW w:w="1559" w:type="dxa"/>
            <w:tcBorders>
              <w:top w:val="nil"/>
              <w:left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52</w:t>
            </w:r>
          </w:p>
        </w:tc>
        <w:tc>
          <w:tcPr>
            <w:tcW w:w="2268" w:type="dxa"/>
            <w:tcBorders>
              <w:top w:val="nil"/>
              <w:left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180</w:t>
            </w:r>
          </w:p>
        </w:tc>
        <w:tc>
          <w:tcPr>
            <w:tcW w:w="1559" w:type="dxa"/>
            <w:tcBorders>
              <w:top w:val="nil"/>
              <w:left w:val="single" w:sz="4" w:space="0" w:color="auto"/>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0</w:t>
            </w:r>
          </w:p>
        </w:tc>
      </w:tr>
      <w:tr>
        <w:trPr>
          <w:trHeight w:val="309"/>
        </w:trPr>
        <w:tc>
          <w:tcPr>
            <w:tcW w:w="2235" w:type="dxa"/>
            <w:tcBorders>
              <w:top w:val="nil"/>
              <w:left w:val="single" w:sz="4" w:space="0" w:color="auto"/>
              <w:right w:val="single" w:sz="4" w:space="0" w:color="auto"/>
            </w:tcBorders>
            <w:noWrap/>
            <w:vAlign w:val="bottom"/>
          </w:tcPr>
          <w:p>
            <w:pPr>
              <w:spacing w:after="240" w:line="240" w:lineRule="auto"/>
              <w:jc w:val="both"/>
              <w:rPr>
                <w:rFonts w:ascii="Times New Roman" w:hAnsi="Times New Roman"/>
                <w:bCs/>
                <w:noProof/>
                <w:sz w:val="24"/>
                <w:szCs w:val="24"/>
              </w:rPr>
            </w:pPr>
            <w:r>
              <w:rPr>
                <w:rFonts w:ascii="Times New Roman" w:hAnsi="Times New Roman"/>
                <w:noProof/>
                <w:sz w:val="24"/>
              </w:rPr>
              <w:t>Tunisia</w:t>
            </w:r>
          </w:p>
        </w:tc>
        <w:tc>
          <w:tcPr>
            <w:tcW w:w="1701" w:type="dxa"/>
            <w:tcBorders>
              <w:top w:val="nil"/>
              <w:left w:val="nil"/>
              <w:right w:val="single" w:sz="4" w:space="0" w:color="auto"/>
            </w:tcBorders>
            <w:noWrap/>
            <w:vAlign w:val="bottom"/>
          </w:tcPr>
          <w:p>
            <w:pPr>
              <w:spacing w:after="240" w:line="240" w:lineRule="auto"/>
              <w:jc w:val="right"/>
              <w:rPr>
                <w:rFonts w:ascii="Times New Roman" w:hAnsi="Times New Roman"/>
                <w:noProof/>
                <w:sz w:val="24"/>
                <w:szCs w:val="24"/>
              </w:rPr>
            </w:pPr>
            <w:r>
              <w:rPr>
                <w:rFonts w:ascii="Times New Roman" w:hAnsi="Times New Roman"/>
                <w:noProof/>
                <w:sz w:val="24"/>
              </w:rPr>
              <w:t>200</w:t>
            </w:r>
          </w:p>
        </w:tc>
        <w:tc>
          <w:tcPr>
            <w:tcW w:w="1559" w:type="dxa"/>
            <w:tcBorders>
              <w:top w:val="nil"/>
              <w:left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0</w:t>
            </w:r>
          </w:p>
        </w:tc>
        <w:tc>
          <w:tcPr>
            <w:tcW w:w="2268" w:type="dxa"/>
            <w:tcBorders>
              <w:top w:val="nil"/>
              <w:left w:val="nil"/>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200</w:t>
            </w:r>
          </w:p>
        </w:tc>
        <w:tc>
          <w:tcPr>
            <w:tcW w:w="1559" w:type="dxa"/>
            <w:tcBorders>
              <w:top w:val="nil"/>
              <w:left w:val="single" w:sz="4" w:space="0" w:color="auto"/>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100</w:t>
            </w:r>
          </w:p>
        </w:tc>
      </w:tr>
      <w:tr>
        <w:trPr>
          <w:trHeight w:val="68"/>
        </w:trPr>
        <w:tc>
          <w:tcPr>
            <w:tcW w:w="2235" w:type="dxa"/>
            <w:tcBorders>
              <w:top w:val="nil"/>
              <w:left w:val="single" w:sz="4" w:space="0" w:color="auto"/>
              <w:bottom w:val="single" w:sz="4" w:space="0" w:color="auto"/>
              <w:right w:val="single" w:sz="4" w:space="0" w:color="auto"/>
            </w:tcBorders>
            <w:noWrap/>
            <w:vAlign w:val="bottom"/>
          </w:tcPr>
          <w:p>
            <w:pPr>
              <w:spacing w:after="240" w:line="240" w:lineRule="auto"/>
              <w:jc w:val="both"/>
              <w:rPr>
                <w:rFonts w:ascii="Times New Roman" w:hAnsi="Times New Roman"/>
                <w:bCs/>
                <w:noProof/>
                <w:sz w:val="24"/>
                <w:szCs w:val="24"/>
              </w:rPr>
            </w:pPr>
            <w:r>
              <w:rPr>
                <w:rFonts w:ascii="Times New Roman" w:hAnsi="Times New Roman"/>
                <w:noProof/>
                <w:sz w:val="24"/>
              </w:rPr>
              <w:t>Ukraina</w:t>
            </w:r>
          </w:p>
        </w:tc>
        <w:tc>
          <w:tcPr>
            <w:tcW w:w="1701" w:type="dxa"/>
            <w:tcBorders>
              <w:top w:val="nil"/>
              <w:left w:val="nil"/>
              <w:bottom w:val="single" w:sz="4" w:space="0" w:color="auto"/>
              <w:right w:val="single" w:sz="4" w:space="0" w:color="auto"/>
            </w:tcBorders>
            <w:noWrap/>
            <w:vAlign w:val="bottom"/>
          </w:tcPr>
          <w:p>
            <w:pPr>
              <w:spacing w:after="240" w:line="240" w:lineRule="auto"/>
              <w:jc w:val="right"/>
              <w:rPr>
                <w:rFonts w:ascii="Times New Roman" w:hAnsi="Times New Roman"/>
                <w:noProof/>
                <w:sz w:val="24"/>
                <w:szCs w:val="24"/>
              </w:rPr>
            </w:pPr>
            <w:r>
              <w:rPr>
                <w:rFonts w:ascii="Times New Roman" w:hAnsi="Times New Roman"/>
                <w:noProof/>
                <w:sz w:val="24"/>
              </w:rPr>
              <w:t>850</w:t>
            </w:r>
          </w:p>
        </w:tc>
        <w:tc>
          <w:tcPr>
            <w:tcW w:w="1559" w:type="dxa"/>
            <w:tcBorders>
              <w:top w:val="nil"/>
              <w:left w:val="nil"/>
              <w:bottom w:val="single" w:sz="4" w:space="0" w:color="auto"/>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0</w:t>
            </w:r>
          </w:p>
        </w:tc>
        <w:tc>
          <w:tcPr>
            <w:tcW w:w="2268" w:type="dxa"/>
            <w:tcBorders>
              <w:top w:val="nil"/>
              <w:left w:val="nil"/>
              <w:bottom w:val="single" w:sz="4" w:space="0" w:color="auto"/>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2 210</w:t>
            </w:r>
          </w:p>
        </w:tc>
        <w:tc>
          <w:tcPr>
            <w:tcW w:w="1559" w:type="dxa"/>
            <w:tcBorders>
              <w:top w:val="nil"/>
              <w:left w:val="single" w:sz="4" w:space="0" w:color="auto"/>
              <w:bottom w:val="single" w:sz="4" w:space="0" w:color="auto"/>
              <w:right w:val="single" w:sz="4" w:space="0" w:color="auto"/>
            </w:tcBorders>
          </w:tcPr>
          <w:p>
            <w:pPr>
              <w:spacing w:after="240" w:line="240" w:lineRule="auto"/>
              <w:jc w:val="right"/>
              <w:rPr>
                <w:rFonts w:ascii="Times New Roman" w:hAnsi="Times New Roman"/>
                <w:noProof/>
                <w:sz w:val="24"/>
                <w:szCs w:val="24"/>
              </w:rPr>
            </w:pPr>
            <w:r>
              <w:rPr>
                <w:rFonts w:ascii="Times New Roman" w:hAnsi="Times New Roman"/>
                <w:noProof/>
                <w:sz w:val="24"/>
              </w:rPr>
              <w:t>1 200</w:t>
            </w:r>
          </w:p>
        </w:tc>
      </w:tr>
      <w:tr>
        <w:trPr>
          <w:trHeight w:val="58"/>
        </w:trPr>
        <w:tc>
          <w:tcPr>
            <w:tcW w:w="2235" w:type="dxa"/>
            <w:tcBorders>
              <w:top w:val="single" w:sz="4" w:space="0" w:color="auto"/>
              <w:left w:val="single" w:sz="4" w:space="0" w:color="auto"/>
              <w:bottom w:val="single" w:sz="4" w:space="0" w:color="auto"/>
              <w:right w:val="nil"/>
            </w:tcBorders>
            <w:noWrap/>
            <w:vAlign w:val="bottom"/>
          </w:tcPr>
          <w:p>
            <w:pPr>
              <w:spacing w:after="240" w:line="240" w:lineRule="auto"/>
              <w:jc w:val="both"/>
              <w:rPr>
                <w:rFonts w:ascii="Times New Roman" w:hAnsi="Times New Roman"/>
                <w:b/>
                <w:noProof/>
                <w:sz w:val="24"/>
                <w:szCs w:val="24"/>
              </w:rPr>
            </w:pPr>
            <w:r>
              <w:rPr>
                <w:rFonts w:ascii="Times New Roman" w:hAnsi="Times New Roman"/>
                <w:b/>
                <w:noProof/>
                <w:sz w:val="24"/>
              </w:rPr>
              <w:t>Yhteensä</w:t>
            </w:r>
          </w:p>
        </w:tc>
        <w:tc>
          <w:tcPr>
            <w:tcW w:w="1701" w:type="dxa"/>
            <w:tcBorders>
              <w:top w:val="single" w:sz="4" w:space="0" w:color="auto"/>
              <w:left w:val="nil"/>
              <w:bottom w:val="single" w:sz="4" w:space="0" w:color="auto"/>
              <w:right w:val="single" w:sz="4" w:space="0" w:color="auto"/>
            </w:tcBorders>
            <w:noWrap/>
            <w:vAlign w:val="bottom"/>
          </w:tcPr>
          <w:p>
            <w:pPr>
              <w:spacing w:after="240" w:line="240" w:lineRule="auto"/>
              <w:jc w:val="right"/>
              <w:rPr>
                <w:rFonts w:ascii="Times New Roman" w:hAnsi="Times New Roman"/>
                <w:b/>
                <w:noProof/>
                <w:sz w:val="24"/>
                <w:szCs w:val="24"/>
              </w:rPr>
            </w:pPr>
            <w:r>
              <w:rPr>
                <w:rFonts w:ascii="Times New Roman" w:hAnsi="Times New Roman"/>
                <w:b/>
                <w:noProof/>
                <w:sz w:val="24"/>
              </w:rPr>
              <w:t>1 245</w:t>
            </w:r>
          </w:p>
        </w:tc>
        <w:tc>
          <w:tcPr>
            <w:tcW w:w="1559" w:type="dxa"/>
            <w:tcBorders>
              <w:top w:val="single" w:sz="4" w:space="0" w:color="auto"/>
              <w:left w:val="nil"/>
              <w:bottom w:val="single" w:sz="4" w:space="0" w:color="auto"/>
              <w:right w:val="single" w:sz="4" w:space="0" w:color="auto"/>
            </w:tcBorders>
          </w:tcPr>
          <w:p>
            <w:pPr>
              <w:spacing w:after="240" w:line="240" w:lineRule="auto"/>
              <w:jc w:val="right"/>
              <w:rPr>
                <w:rFonts w:ascii="Times New Roman" w:hAnsi="Times New Roman"/>
                <w:b/>
                <w:noProof/>
                <w:sz w:val="24"/>
                <w:szCs w:val="24"/>
              </w:rPr>
            </w:pPr>
            <w:r>
              <w:rPr>
                <w:rFonts w:ascii="Times New Roman" w:hAnsi="Times New Roman"/>
                <w:b/>
                <w:noProof/>
                <w:sz w:val="24"/>
              </w:rPr>
              <w:t>67</w:t>
            </w:r>
          </w:p>
        </w:tc>
        <w:tc>
          <w:tcPr>
            <w:tcW w:w="2268" w:type="dxa"/>
            <w:tcBorders>
              <w:top w:val="single" w:sz="4" w:space="0" w:color="auto"/>
              <w:left w:val="nil"/>
              <w:bottom w:val="single" w:sz="4" w:space="0" w:color="auto"/>
              <w:right w:val="single" w:sz="4" w:space="0" w:color="auto"/>
            </w:tcBorders>
          </w:tcPr>
          <w:p>
            <w:pPr>
              <w:spacing w:after="240" w:line="240" w:lineRule="auto"/>
              <w:jc w:val="right"/>
              <w:rPr>
                <w:rFonts w:ascii="Times New Roman" w:hAnsi="Times New Roman"/>
                <w:b/>
                <w:noProof/>
                <w:sz w:val="24"/>
                <w:szCs w:val="24"/>
              </w:rPr>
            </w:pPr>
            <w:r>
              <w:rPr>
                <w:rFonts w:ascii="Times New Roman" w:hAnsi="Times New Roman"/>
                <w:b/>
                <w:noProof/>
                <w:sz w:val="24"/>
              </w:rPr>
              <w:t>3 007</w:t>
            </w:r>
          </w:p>
        </w:tc>
        <w:tc>
          <w:tcPr>
            <w:tcW w:w="1559" w:type="dxa"/>
            <w:tcBorders>
              <w:top w:val="single" w:sz="4" w:space="0" w:color="auto"/>
              <w:left w:val="single" w:sz="4" w:space="0" w:color="auto"/>
              <w:bottom w:val="single" w:sz="4" w:space="0" w:color="auto"/>
              <w:right w:val="single" w:sz="4" w:space="0" w:color="auto"/>
            </w:tcBorders>
          </w:tcPr>
          <w:p>
            <w:pPr>
              <w:spacing w:after="240" w:line="240" w:lineRule="auto"/>
              <w:jc w:val="right"/>
              <w:rPr>
                <w:rFonts w:ascii="Times New Roman" w:hAnsi="Times New Roman"/>
                <w:b/>
                <w:noProof/>
                <w:sz w:val="24"/>
                <w:szCs w:val="24"/>
              </w:rPr>
            </w:pPr>
            <w:r>
              <w:rPr>
                <w:rFonts w:ascii="Times New Roman" w:hAnsi="Times New Roman"/>
                <w:b/>
                <w:noProof/>
                <w:sz w:val="24"/>
              </w:rPr>
              <w:t>1 323</w:t>
            </w:r>
          </w:p>
        </w:tc>
      </w:tr>
    </w:tbl>
    <w:p>
      <w:pPr>
        <w:spacing w:after="120" w:line="240" w:lineRule="auto"/>
        <w:jc w:val="both"/>
        <w:rPr>
          <w:rFonts w:ascii="Times New Roman" w:hAnsi="Times New Roman"/>
          <w:noProof/>
          <w:sz w:val="20"/>
          <w:szCs w:val="20"/>
        </w:rPr>
      </w:pPr>
      <w:r>
        <w:rPr>
          <w:rFonts w:ascii="Times New Roman" w:hAnsi="Times New Roman"/>
          <w:noProof/>
          <w:sz w:val="20"/>
        </w:rPr>
        <w:t>*Entinen Jugoslavian tasavalta Makedonia</w:t>
      </w:r>
    </w:p>
    <w:p>
      <w:pPr>
        <w:pStyle w:val="ManualHeading2"/>
        <w:spacing w:before="240" w:after="240"/>
        <w:ind w:left="851" w:hanging="851"/>
        <w:rPr>
          <w:noProof/>
        </w:rPr>
      </w:pPr>
      <w:bookmarkStart w:id="60" w:name="_Toc325641143"/>
      <w:bookmarkStart w:id="61" w:name="_Toc330157545"/>
      <w:bookmarkStart w:id="62" w:name="_Toc361393256"/>
      <w:bookmarkStart w:id="63" w:name="_Toc388883944"/>
      <w:bookmarkStart w:id="64" w:name="_Toc393808496"/>
      <w:bookmarkStart w:id="65" w:name="_Toc451257932"/>
      <w:bookmarkStart w:id="66" w:name="_Toc452361673"/>
      <w:r>
        <w:rPr>
          <w:noProof/>
        </w:rPr>
        <w:t>2.4.</w:t>
      </w:r>
      <w:r>
        <w:rPr>
          <w:noProof/>
        </w:rPr>
        <w:tab/>
        <w:t>Euratom-järjestely</w:t>
      </w:r>
      <w:bookmarkEnd w:id="60"/>
      <w:bookmarkEnd w:id="61"/>
      <w:bookmarkEnd w:id="62"/>
      <w:bookmarkEnd w:id="63"/>
      <w:bookmarkEnd w:id="64"/>
      <w:bookmarkEnd w:id="65"/>
      <w:bookmarkEnd w:id="66"/>
    </w:p>
    <w:p>
      <w:pPr>
        <w:spacing w:after="120" w:line="240" w:lineRule="auto"/>
        <w:jc w:val="both"/>
        <w:rPr>
          <w:rFonts w:ascii="Times New Roman" w:hAnsi="Times New Roman"/>
          <w:noProof/>
          <w:sz w:val="24"/>
          <w:szCs w:val="24"/>
        </w:rPr>
      </w:pPr>
      <w:r>
        <w:rPr>
          <w:rFonts w:ascii="Times New Roman" w:hAnsi="Times New Roman"/>
          <w:noProof/>
          <w:sz w:val="24"/>
        </w:rPr>
        <w:t xml:space="preserve">Euratomin lainajärjestelyä voidaan käyttää hankkeiden rahoittamiseen jäsenvaltioissa (neuvoston päätös 77/270/Euratom) ja tietyissä kolmansissa maissa eli Ukrainassa, Venäjällä ja Armeniassa (neuvoston päätös 94/179/Euratom). </w:t>
      </w:r>
    </w:p>
    <w:p>
      <w:pPr>
        <w:spacing w:after="120" w:line="240" w:lineRule="auto"/>
        <w:jc w:val="both"/>
        <w:rPr>
          <w:rFonts w:ascii="Times New Roman" w:hAnsi="Times New Roman"/>
          <w:noProof/>
          <w:sz w:val="24"/>
          <w:szCs w:val="24"/>
        </w:rPr>
      </w:pPr>
      <w:r>
        <w:rPr>
          <w:rFonts w:ascii="Times New Roman" w:hAnsi="Times New Roman"/>
          <w:noProof/>
          <w:sz w:val="24"/>
        </w:rPr>
        <w:t>Neuvosto määritti vuonna 1990 lainanoton enimmäismääräksi 4 miljardia euroa. Lainoja on myönnetty noin 3,7 miljardia euroa, ja niistä 3,4 miljardia euroa on jo maksettu edunsaajille. Lainanannon enimmäismäärää koskevan neuvoston päätöksen (77/271/Euratom, sellaisena kuin se on muutettuna) mukaisesti komission on ilmoitettava neuvostolle, kun lainasopimusten määrä saavuttaa 3,8 miljardin euron rajan, ja tarvittaessa ehdotettava uutta lainanannon enimmäismäärää.</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Komissio antoi vuonna 2013 päätöksen C(2013) 3496 enintään 300 miljoonan euron suuruisen Euratom-lainan myöntämisestä Ukrainalle ydinvoimalaitosten turvallisuuden parantamiseen tähtäävän ohjelman tukemiseen. Lainasopimus allekirjoitettiin 7. elokuuta 2013. Rinnan tämän sopimuksen kanssa EBRD allekirjoitti 300 miljoonan euron lainasopimuksen maaliskuussa 2013.</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Kun kaikki lainan ensimmäiselle nostolle asetetut ehdot oli täytetty, komission antoi </w:t>
      </w:r>
      <w:r>
        <w:rPr>
          <w:rFonts w:ascii="Times New Roman" w:hAnsi="Times New Roman"/>
          <w:noProof/>
          <w:sz w:val="24"/>
        </w:rPr>
        <w:br/>
        <w:t>27. toukokuuta 2015 päätöksen enintään 100 miljoonan euron lainan maksamisesta edunsaajalle.</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Täytäntöönpanon viivästysten vuoksi Euratom-järjestelyyn liittyviä lainoja ei kuitenkaan ole maksettu Ukrainalle. </w:t>
      </w:r>
    </w:p>
    <w:p>
      <w:pPr>
        <w:pStyle w:val="ManualHeading1"/>
        <w:spacing w:after="240"/>
        <w:ind w:left="851" w:hanging="851"/>
        <w:rPr>
          <w:noProof/>
        </w:rPr>
      </w:pPr>
      <w:bookmarkStart w:id="67" w:name="_Toc325641145"/>
      <w:bookmarkStart w:id="68" w:name="_Toc330157547"/>
      <w:bookmarkStart w:id="69" w:name="_Toc361393257"/>
      <w:bookmarkStart w:id="70" w:name="_Toc388883945"/>
      <w:bookmarkStart w:id="71" w:name="_Toc393808497"/>
      <w:bookmarkStart w:id="72" w:name="_Toc451257933"/>
      <w:bookmarkStart w:id="73" w:name="_Toc452361674"/>
      <w:r>
        <w:rPr>
          <w:noProof/>
        </w:rPr>
        <w:t>3.</w:t>
      </w:r>
      <w:r>
        <w:rPr>
          <w:noProof/>
        </w:rPr>
        <w:tab/>
        <w:t>Euroopan unionin lainanottotoiminta</w:t>
      </w:r>
      <w:bookmarkEnd w:id="67"/>
      <w:bookmarkEnd w:id="68"/>
      <w:bookmarkEnd w:id="69"/>
      <w:bookmarkEnd w:id="70"/>
      <w:bookmarkEnd w:id="71"/>
      <w:bookmarkEnd w:id="72"/>
      <w:bookmarkEnd w:id="73"/>
    </w:p>
    <w:p>
      <w:pPr>
        <w:spacing w:after="240" w:line="240" w:lineRule="auto"/>
        <w:jc w:val="both"/>
        <w:rPr>
          <w:rFonts w:ascii="Times New Roman" w:hAnsi="Times New Roman"/>
          <w:noProof/>
          <w:sz w:val="24"/>
          <w:szCs w:val="24"/>
        </w:rPr>
      </w:pPr>
      <w:r>
        <w:rPr>
          <w:rFonts w:ascii="Times New Roman" w:hAnsi="Times New Roman"/>
          <w:noProof/>
          <w:sz w:val="24"/>
        </w:rPr>
        <w:t xml:space="preserve">Komissiolla on lainanantotoimien rahoittamiseksi valtuudet hankkia rahoitusta pääomamarkkinoilta sekä EU:n että Euratomin puolesta. Lainanotto- ja lainananto-operaatiot toteutetaan </w:t>
      </w:r>
      <w:r>
        <w:rPr>
          <w:rFonts w:ascii="Times New Roman" w:hAnsi="Times New Roman"/>
          <w:i/>
          <w:noProof/>
          <w:sz w:val="24"/>
        </w:rPr>
        <w:t>back-to-back</w:t>
      </w:r>
      <w:r>
        <w:rPr>
          <w:rFonts w:ascii="Times New Roman" w:hAnsi="Times New Roman"/>
          <w:noProof/>
          <w:sz w:val="24"/>
        </w:rPr>
        <w:t xml:space="preserve"> -järjestelyllä, jossa otto- ja antolainaus sovitetaan yhteen sen varmistamiseksi, ettei EU:n talousarvioon kohdistu korko- eikä valuuttakurssiriskiä.</w:t>
      </w:r>
      <w:r>
        <w:rPr>
          <w:rStyle w:val="FootnoteReference"/>
          <w:rFonts w:ascii="Times New Roman" w:hAnsi="Times New Roman"/>
          <w:noProof/>
          <w:sz w:val="24"/>
        </w:rPr>
        <w:footnoteReference w:id="21"/>
      </w:r>
      <w:r>
        <w:rPr>
          <w:rFonts w:ascii="Times New Roman" w:hAnsi="Times New Roman"/>
          <w:noProof/>
          <w:sz w:val="24"/>
        </w:rPr>
        <w:t xml:space="preserve"> Otto- ja antolainauskannat vastaavat toisiaan.</w:t>
      </w:r>
    </w:p>
    <w:p>
      <w:pPr>
        <w:pStyle w:val="ManualHeading2"/>
        <w:spacing w:before="240" w:after="240"/>
        <w:ind w:left="851" w:hanging="851"/>
        <w:outlineLvl w:val="0"/>
        <w:rPr>
          <w:noProof/>
        </w:rPr>
      </w:pPr>
      <w:bookmarkStart w:id="74" w:name="_Toc325641146"/>
      <w:bookmarkStart w:id="75" w:name="_Toc330157548"/>
      <w:bookmarkStart w:id="76" w:name="_Toc361393258"/>
      <w:bookmarkStart w:id="77" w:name="_Toc388883946"/>
      <w:bookmarkStart w:id="78" w:name="_Toc393808498"/>
      <w:bookmarkStart w:id="79" w:name="_Toc451257934"/>
      <w:bookmarkStart w:id="80" w:name="_Toc452361675"/>
      <w:r>
        <w:rPr>
          <w:noProof/>
        </w:rPr>
        <w:t>3.1.</w:t>
      </w:r>
      <w:r>
        <w:rPr>
          <w:noProof/>
        </w:rPr>
        <w:tab/>
        <w:t>Maksutasejärjestely</w:t>
      </w:r>
      <w:bookmarkEnd w:id="74"/>
      <w:bookmarkEnd w:id="75"/>
      <w:bookmarkEnd w:id="76"/>
      <w:bookmarkEnd w:id="77"/>
      <w:bookmarkEnd w:id="78"/>
      <w:bookmarkEnd w:id="79"/>
      <w:bookmarkEnd w:id="80"/>
    </w:p>
    <w:p>
      <w:pPr>
        <w:spacing w:after="120" w:line="240" w:lineRule="auto"/>
        <w:jc w:val="both"/>
        <w:rPr>
          <w:rFonts w:ascii="Times New Roman" w:hAnsi="Times New Roman"/>
          <w:noProof/>
          <w:sz w:val="24"/>
          <w:szCs w:val="24"/>
        </w:rPr>
      </w:pPr>
      <w:r>
        <w:rPr>
          <w:rFonts w:ascii="Times New Roman" w:hAnsi="Times New Roman"/>
          <w:noProof/>
          <w:sz w:val="24"/>
        </w:rPr>
        <w:t>Vuonna 2015 markkinoilta ei hankittu lainarahoitusta maksutasejärjestelyä varten. Vuoden 2015 lopussa maksutasejärjestelyssä myönnettyjen lainojen jäljellä oleva kokonaismäärä oli 5,7 miljardia euroa.</w:t>
      </w:r>
    </w:p>
    <w:p>
      <w:pPr>
        <w:pStyle w:val="ManualHeading2"/>
        <w:spacing w:before="240" w:after="240"/>
        <w:ind w:left="851" w:hanging="851"/>
        <w:outlineLvl w:val="0"/>
        <w:rPr>
          <w:noProof/>
        </w:rPr>
      </w:pPr>
      <w:bookmarkStart w:id="81" w:name="_Toc325641147"/>
      <w:bookmarkStart w:id="82" w:name="_Toc330157549"/>
      <w:bookmarkStart w:id="83" w:name="_Toc361393259"/>
      <w:bookmarkStart w:id="84" w:name="_Toc388883947"/>
      <w:bookmarkStart w:id="85" w:name="_Toc393808499"/>
      <w:r>
        <w:rPr>
          <w:noProof/>
        </w:rPr>
        <w:br w:type="page"/>
      </w:r>
      <w:bookmarkStart w:id="86" w:name="_Toc451257935"/>
      <w:bookmarkStart w:id="87" w:name="_Toc452361676"/>
      <w:r>
        <w:rPr>
          <w:noProof/>
        </w:rPr>
        <w:t>3.2.</w:t>
      </w:r>
      <w:r>
        <w:rPr>
          <w:noProof/>
        </w:rPr>
        <w:tab/>
        <w:t>Euroopan rahoituksenvakautusmekanismi</w:t>
      </w:r>
      <w:bookmarkEnd w:id="81"/>
      <w:bookmarkEnd w:id="82"/>
      <w:bookmarkEnd w:id="83"/>
      <w:bookmarkEnd w:id="84"/>
      <w:bookmarkEnd w:id="85"/>
      <w:bookmarkEnd w:id="86"/>
      <w:bookmarkEnd w:id="87"/>
    </w:p>
    <w:p>
      <w:pPr>
        <w:spacing w:after="120" w:line="240" w:lineRule="auto"/>
        <w:jc w:val="both"/>
        <w:rPr>
          <w:rFonts w:ascii="Times New Roman" w:hAnsi="Times New Roman"/>
          <w:noProof/>
          <w:sz w:val="24"/>
          <w:szCs w:val="24"/>
        </w:rPr>
      </w:pPr>
      <w:r>
        <w:rPr>
          <w:rFonts w:ascii="Times New Roman" w:hAnsi="Times New Roman"/>
          <w:noProof/>
          <w:sz w:val="24"/>
        </w:rPr>
        <w:t>Sen jälkeen kun Irlanti oli pyytänyt, että sen joulukuussa 2015 erääntyvän, 5 miljardin euron suuruisen ERVM-lainan juoksuaikaa pidennetään, EU laski syyskuussa ja lokakuussa 2015 liikkeeseen kolme joukkovelkakirjalainaa, joiden juoksuajat olivat 8, 14 ja 20 vuotta ja joiden määrä oli yhteensä 5 miljardia euroa, kuten seuraavasta taulukosta käy ilmi.</w:t>
      </w:r>
    </w:p>
    <w:p>
      <w:pPr>
        <w:spacing w:after="120" w:line="240" w:lineRule="auto"/>
        <w:jc w:val="both"/>
        <w:rPr>
          <w:rFonts w:ascii="Times New Roman" w:hAnsi="Times New Roman"/>
          <w:noProof/>
          <w:sz w:val="24"/>
          <w:szCs w:val="24"/>
        </w:rPr>
      </w:pPr>
      <w:r>
        <w:rPr>
          <w:rFonts w:ascii="Times New Roman" w:hAnsi="Times New Roman"/>
          <w:noProof/>
          <w:sz w:val="24"/>
        </w:rPr>
        <w:t>EU:n joukkovelkakirjoilla oli markkinoilla suuri kysyntä, ja emissio ylimerkittiin selvästi. EU:n joukkovelkakirjoja ostivat kaikki merkittävät sijoittajaryhmät, etenkin pitkäaikaiset sijoittajat (sijoitusrahastot, omaisuudenhoitajat ja vakuutus- ja eläkerahastot) sekä julkiset laitokset.</w:t>
      </w:r>
    </w:p>
    <w:p>
      <w:pPr>
        <w:tabs>
          <w:tab w:val="left" w:pos="7800"/>
        </w:tabs>
        <w:spacing w:after="240" w:line="240" w:lineRule="auto"/>
        <w:jc w:val="both"/>
        <w:rPr>
          <w:rFonts w:ascii="Times New Roman" w:hAnsi="Times New Roman"/>
          <w:noProof/>
          <w:sz w:val="24"/>
          <w:szCs w:val="24"/>
          <w:u w:val="single"/>
        </w:rPr>
      </w:pPr>
      <w:r>
        <w:rPr>
          <w:rFonts w:ascii="Times New Roman" w:hAnsi="Times New Roman"/>
          <w:noProof/>
          <w:sz w:val="24"/>
          <w:u w:val="single"/>
        </w:rPr>
        <w:t>Taulukko 5: EU:n ERVM:n puitteissa toteuttamat lainanotto-operaatiot vuonna 2015 (miljoonaa euroa)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5"/>
        <w:gridCol w:w="1561"/>
        <w:gridCol w:w="1984"/>
        <w:gridCol w:w="959"/>
      </w:tblGrid>
      <w:tr>
        <w:tc>
          <w:tcPr>
            <w:tcW w:w="2576" w:type="pct"/>
            <w:tcBorders>
              <w:bottom w:val="single" w:sz="4" w:space="0" w:color="auto"/>
            </w:tcBorders>
            <w:shd w:val="clear" w:color="auto" w:fill="auto"/>
          </w:tcPr>
          <w:p>
            <w:pPr>
              <w:spacing w:before="240" w:after="240" w:line="240" w:lineRule="auto"/>
              <w:jc w:val="center"/>
              <w:rPr>
                <w:rFonts w:ascii="Times New Roman" w:hAnsi="Times New Roman"/>
                <w:noProof/>
                <w:sz w:val="24"/>
                <w:szCs w:val="24"/>
              </w:rPr>
            </w:pPr>
            <w:r>
              <w:rPr>
                <w:rFonts w:ascii="Times New Roman" w:hAnsi="Times New Roman"/>
                <w:noProof/>
                <w:sz w:val="24"/>
              </w:rPr>
              <w:t>Jäsenvaltio</w:t>
            </w:r>
          </w:p>
        </w:tc>
        <w:tc>
          <w:tcPr>
            <w:tcW w:w="840" w:type="pct"/>
            <w:tcBorders>
              <w:bottom w:val="single" w:sz="4" w:space="0" w:color="auto"/>
            </w:tcBorders>
            <w:shd w:val="clear" w:color="auto" w:fill="auto"/>
          </w:tcPr>
          <w:p>
            <w:pPr>
              <w:spacing w:before="240" w:after="240" w:line="240" w:lineRule="auto"/>
              <w:jc w:val="center"/>
              <w:rPr>
                <w:rFonts w:ascii="Times New Roman" w:hAnsi="Times New Roman"/>
                <w:noProof/>
                <w:sz w:val="24"/>
                <w:szCs w:val="24"/>
              </w:rPr>
            </w:pPr>
            <w:r>
              <w:rPr>
                <w:rFonts w:ascii="Times New Roman" w:hAnsi="Times New Roman"/>
                <w:noProof/>
                <w:sz w:val="24"/>
              </w:rPr>
              <w:t>Liikkeeseen-laskupäivä</w:t>
            </w:r>
          </w:p>
        </w:tc>
        <w:tc>
          <w:tcPr>
            <w:tcW w:w="1068" w:type="pct"/>
            <w:tcBorders>
              <w:bottom w:val="single" w:sz="4" w:space="0" w:color="auto"/>
            </w:tcBorders>
            <w:shd w:val="clear" w:color="auto" w:fill="auto"/>
          </w:tcPr>
          <w:p>
            <w:pPr>
              <w:spacing w:before="240" w:after="240" w:line="240" w:lineRule="auto"/>
              <w:jc w:val="center"/>
              <w:rPr>
                <w:rFonts w:ascii="Times New Roman" w:hAnsi="Times New Roman"/>
                <w:noProof/>
                <w:sz w:val="24"/>
                <w:szCs w:val="24"/>
              </w:rPr>
            </w:pPr>
            <w:r>
              <w:rPr>
                <w:rFonts w:ascii="Times New Roman" w:hAnsi="Times New Roman"/>
                <w:noProof/>
                <w:sz w:val="24"/>
              </w:rPr>
              <w:t>Erääntymispäivä</w:t>
            </w:r>
          </w:p>
        </w:tc>
        <w:tc>
          <w:tcPr>
            <w:tcW w:w="516" w:type="pct"/>
            <w:tcBorders>
              <w:bottom w:val="single" w:sz="4" w:space="0" w:color="auto"/>
            </w:tcBorders>
            <w:shd w:val="clear" w:color="auto" w:fill="auto"/>
          </w:tcPr>
          <w:p>
            <w:pPr>
              <w:spacing w:before="240" w:after="240" w:line="240" w:lineRule="auto"/>
              <w:jc w:val="center"/>
              <w:rPr>
                <w:rFonts w:ascii="Times New Roman" w:hAnsi="Times New Roman"/>
                <w:noProof/>
                <w:sz w:val="24"/>
                <w:szCs w:val="24"/>
              </w:rPr>
            </w:pPr>
            <w:r>
              <w:rPr>
                <w:rFonts w:ascii="Times New Roman" w:hAnsi="Times New Roman"/>
                <w:noProof/>
                <w:sz w:val="24"/>
              </w:rPr>
              <w:t>Määrä</w:t>
            </w:r>
          </w:p>
        </w:tc>
      </w:tr>
      <w:tr>
        <w:tc>
          <w:tcPr>
            <w:tcW w:w="2576" w:type="pct"/>
            <w:tcBorders>
              <w:top w:val="single" w:sz="4" w:space="0" w:color="auto"/>
            </w:tcBorders>
            <w:shd w:val="clear" w:color="auto" w:fill="auto"/>
          </w:tcPr>
          <w:p>
            <w:pPr>
              <w:spacing w:before="240" w:after="240" w:line="240" w:lineRule="auto"/>
              <w:rPr>
                <w:rFonts w:ascii="Times New Roman" w:hAnsi="Times New Roman"/>
                <w:bCs/>
                <w:noProof/>
                <w:sz w:val="24"/>
                <w:szCs w:val="24"/>
              </w:rPr>
            </w:pPr>
            <w:r>
              <w:rPr>
                <w:rFonts w:ascii="Times New Roman" w:hAnsi="Times New Roman"/>
                <w:noProof/>
                <w:sz w:val="24"/>
              </w:rPr>
              <w:t>Irlanti – 1. erä</w:t>
            </w:r>
          </w:p>
        </w:tc>
        <w:tc>
          <w:tcPr>
            <w:tcW w:w="840" w:type="pct"/>
            <w:tcBorders>
              <w:top w:val="single" w:sz="4" w:space="0" w:color="auto"/>
            </w:tcBorders>
            <w:shd w:val="clear" w:color="auto" w:fill="auto"/>
          </w:tcPr>
          <w:p>
            <w:pPr>
              <w:spacing w:before="240" w:after="240" w:line="240" w:lineRule="auto"/>
              <w:rPr>
                <w:rFonts w:ascii="Times New Roman" w:hAnsi="Times New Roman"/>
                <w:bCs/>
                <w:noProof/>
                <w:sz w:val="24"/>
                <w:szCs w:val="24"/>
              </w:rPr>
            </w:pPr>
            <w:r>
              <w:rPr>
                <w:rFonts w:ascii="Times New Roman" w:hAnsi="Times New Roman"/>
                <w:noProof/>
                <w:sz w:val="24"/>
              </w:rPr>
              <w:t>22.9.2015</w:t>
            </w:r>
          </w:p>
        </w:tc>
        <w:tc>
          <w:tcPr>
            <w:tcW w:w="1068" w:type="pct"/>
            <w:tcBorders>
              <w:top w:val="single" w:sz="4" w:space="0" w:color="auto"/>
            </w:tcBorders>
            <w:shd w:val="clear" w:color="auto" w:fill="auto"/>
          </w:tcPr>
          <w:p>
            <w:pPr>
              <w:spacing w:before="240" w:after="240" w:line="240" w:lineRule="auto"/>
              <w:jc w:val="center"/>
              <w:rPr>
                <w:rFonts w:ascii="Times New Roman" w:hAnsi="Times New Roman"/>
                <w:bCs/>
                <w:noProof/>
                <w:sz w:val="24"/>
                <w:szCs w:val="24"/>
              </w:rPr>
            </w:pPr>
            <w:r>
              <w:rPr>
                <w:rFonts w:ascii="Times New Roman" w:hAnsi="Times New Roman"/>
                <w:noProof/>
                <w:sz w:val="24"/>
              </w:rPr>
              <w:t>4.10.2035</w:t>
            </w:r>
          </w:p>
        </w:tc>
        <w:tc>
          <w:tcPr>
            <w:tcW w:w="516" w:type="pct"/>
            <w:tcBorders>
              <w:top w:val="single" w:sz="4" w:space="0" w:color="auto"/>
            </w:tcBorders>
            <w:shd w:val="clear" w:color="auto" w:fill="auto"/>
          </w:tcPr>
          <w:p>
            <w:pPr>
              <w:spacing w:before="240" w:after="240" w:line="240" w:lineRule="auto"/>
              <w:rPr>
                <w:rFonts w:ascii="Times New Roman" w:hAnsi="Times New Roman"/>
                <w:bCs/>
                <w:noProof/>
                <w:sz w:val="24"/>
                <w:szCs w:val="24"/>
              </w:rPr>
            </w:pPr>
            <w:r>
              <w:rPr>
                <w:rFonts w:ascii="Times New Roman" w:hAnsi="Times New Roman"/>
                <w:noProof/>
                <w:sz w:val="24"/>
              </w:rPr>
              <w:t>2 000</w:t>
            </w:r>
          </w:p>
        </w:tc>
      </w:tr>
      <w:tr>
        <w:tc>
          <w:tcPr>
            <w:tcW w:w="2576" w:type="pct"/>
            <w:tcBorders>
              <w:top w:val="single" w:sz="4" w:space="0" w:color="auto"/>
            </w:tcBorders>
            <w:shd w:val="clear" w:color="auto" w:fill="auto"/>
          </w:tcPr>
          <w:p>
            <w:pPr>
              <w:spacing w:before="240" w:after="240" w:line="240" w:lineRule="auto"/>
              <w:rPr>
                <w:rFonts w:ascii="Times New Roman" w:hAnsi="Times New Roman"/>
                <w:bCs/>
                <w:noProof/>
                <w:sz w:val="24"/>
                <w:szCs w:val="24"/>
              </w:rPr>
            </w:pPr>
            <w:r>
              <w:rPr>
                <w:rFonts w:ascii="Times New Roman" w:hAnsi="Times New Roman"/>
                <w:noProof/>
                <w:sz w:val="24"/>
              </w:rPr>
              <w:t>Irlanti – 2. erä</w:t>
            </w:r>
          </w:p>
        </w:tc>
        <w:tc>
          <w:tcPr>
            <w:tcW w:w="840" w:type="pct"/>
            <w:tcBorders>
              <w:top w:val="single" w:sz="4" w:space="0" w:color="auto"/>
            </w:tcBorders>
            <w:shd w:val="clear" w:color="auto" w:fill="auto"/>
          </w:tcPr>
          <w:p>
            <w:pPr>
              <w:spacing w:before="240" w:after="240" w:line="240" w:lineRule="auto"/>
              <w:rPr>
                <w:rFonts w:ascii="Times New Roman" w:hAnsi="Times New Roman"/>
                <w:bCs/>
                <w:noProof/>
                <w:sz w:val="24"/>
                <w:szCs w:val="24"/>
              </w:rPr>
            </w:pPr>
            <w:r>
              <w:rPr>
                <w:rFonts w:ascii="Times New Roman" w:hAnsi="Times New Roman"/>
                <w:noProof/>
                <w:sz w:val="24"/>
              </w:rPr>
              <w:t>1.10.2015</w:t>
            </w:r>
          </w:p>
        </w:tc>
        <w:tc>
          <w:tcPr>
            <w:tcW w:w="1068" w:type="pct"/>
            <w:tcBorders>
              <w:top w:val="single" w:sz="4" w:space="0" w:color="auto"/>
            </w:tcBorders>
            <w:shd w:val="clear" w:color="auto" w:fill="auto"/>
          </w:tcPr>
          <w:p>
            <w:pPr>
              <w:spacing w:before="240" w:after="240" w:line="240" w:lineRule="auto"/>
              <w:jc w:val="center"/>
              <w:rPr>
                <w:rFonts w:ascii="Times New Roman" w:hAnsi="Times New Roman"/>
                <w:bCs/>
                <w:noProof/>
                <w:sz w:val="24"/>
                <w:szCs w:val="24"/>
              </w:rPr>
            </w:pPr>
            <w:r>
              <w:rPr>
                <w:rFonts w:ascii="Times New Roman" w:hAnsi="Times New Roman"/>
                <w:noProof/>
                <w:sz w:val="24"/>
              </w:rPr>
              <w:t>4.11.2023</w:t>
            </w:r>
          </w:p>
        </w:tc>
        <w:tc>
          <w:tcPr>
            <w:tcW w:w="516" w:type="pct"/>
            <w:tcBorders>
              <w:top w:val="single" w:sz="4" w:space="0" w:color="auto"/>
            </w:tcBorders>
            <w:shd w:val="clear" w:color="auto" w:fill="auto"/>
          </w:tcPr>
          <w:p>
            <w:pPr>
              <w:spacing w:before="240" w:after="240" w:line="240" w:lineRule="auto"/>
              <w:rPr>
                <w:rFonts w:ascii="Times New Roman" w:hAnsi="Times New Roman"/>
                <w:bCs/>
                <w:noProof/>
                <w:sz w:val="24"/>
                <w:szCs w:val="24"/>
              </w:rPr>
            </w:pPr>
            <w:r>
              <w:rPr>
                <w:rFonts w:ascii="Times New Roman" w:hAnsi="Times New Roman"/>
                <w:noProof/>
                <w:sz w:val="24"/>
              </w:rPr>
              <w:t>2 000</w:t>
            </w:r>
          </w:p>
        </w:tc>
      </w:tr>
      <w:tr>
        <w:tc>
          <w:tcPr>
            <w:tcW w:w="2576" w:type="pct"/>
            <w:tcBorders>
              <w:top w:val="single" w:sz="4" w:space="0" w:color="auto"/>
            </w:tcBorders>
            <w:shd w:val="clear" w:color="auto" w:fill="auto"/>
          </w:tcPr>
          <w:p>
            <w:pPr>
              <w:spacing w:before="240" w:after="240" w:line="240" w:lineRule="auto"/>
              <w:rPr>
                <w:rFonts w:ascii="Times New Roman" w:hAnsi="Times New Roman"/>
                <w:bCs/>
                <w:noProof/>
                <w:sz w:val="24"/>
                <w:szCs w:val="24"/>
              </w:rPr>
            </w:pPr>
            <w:r>
              <w:rPr>
                <w:rFonts w:ascii="Times New Roman" w:hAnsi="Times New Roman"/>
                <w:noProof/>
                <w:sz w:val="24"/>
              </w:rPr>
              <w:t>Irlanti – 3. erä</w:t>
            </w:r>
            <w:r>
              <w:rPr>
                <w:rFonts w:ascii="Times New Roman" w:hAnsi="Times New Roman"/>
                <w:noProof/>
                <w:sz w:val="20"/>
              </w:rPr>
              <w:t>*</w:t>
            </w:r>
          </w:p>
        </w:tc>
        <w:tc>
          <w:tcPr>
            <w:tcW w:w="840" w:type="pct"/>
            <w:tcBorders>
              <w:top w:val="single" w:sz="4" w:space="0" w:color="auto"/>
            </w:tcBorders>
            <w:shd w:val="clear" w:color="auto" w:fill="auto"/>
          </w:tcPr>
          <w:p>
            <w:pPr>
              <w:spacing w:before="240" w:after="240" w:line="240" w:lineRule="auto"/>
              <w:rPr>
                <w:rFonts w:ascii="Times New Roman" w:hAnsi="Times New Roman"/>
                <w:bCs/>
                <w:noProof/>
                <w:sz w:val="24"/>
                <w:szCs w:val="24"/>
              </w:rPr>
            </w:pPr>
            <w:r>
              <w:rPr>
                <w:rFonts w:ascii="Times New Roman" w:hAnsi="Times New Roman"/>
                <w:noProof/>
                <w:sz w:val="24"/>
              </w:rPr>
              <w:t>15.10.2015</w:t>
            </w:r>
          </w:p>
        </w:tc>
        <w:tc>
          <w:tcPr>
            <w:tcW w:w="1068" w:type="pct"/>
            <w:tcBorders>
              <w:top w:val="single" w:sz="4" w:space="0" w:color="auto"/>
            </w:tcBorders>
            <w:shd w:val="clear" w:color="auto" w:fill="auto"/>
          </w:tcPr>
          <w:p>
            <w:pPr>
              <w:spacing w:before="240" w:after="240" w:line="240" w:lineRule="auto"/>
              <w:jc w:val="center"/>
              <w:rPr>
                <w:rFonts w:ascii="Times New Roman" w:hAnsi="Times New Roman"/>
                <w:bCs/>
                <w:noProof/>
                <w:sz w:val="24"/>
                <w:szCs w:val="24"/>
              </w:rPr>
            </w:pPr>
            <w:r>
              <w:rPr>
                <w:rFonts w:ascii="Times New Roman" w:hAnsi="Times New Roman"/>
                <w:noProof/>
                <w:sz w:val="24"/>
              </w:rPr>
              <w:t>4.10.2029</w:t>
            </w:r>
          </w:p>
        </w:tc>
        <w:tc>
          <w:tcPr>
            <w:tcW w:w="516" w:type="pct"/>
            <w:tcBorders>
              <w:top w:val="single" w:sz="4" w:space="0" w:color="auto"/>
            </w:tcBorders>
            <w:shd w:val="clear" w:color="auto" w:fill="auto"/>
          </w:tcPr>
          <w:p>
            <w:pPr>
              <w:spacing w:before="240" w:after="240" w:line="240" w:lineRule="auto"/>
              <w:rPr>
                <w:rFonts w:ascii="Times New Roman" w:hAnsi="Times New Roman"/>
                <w:bCs/>
                <w:noProof/>
                <w:sz w:val="24"/>
                <w:szCs w:val="24"/>
              </w:rPr>
            </w:pPr>
            <w:r>
              <w:rPr>
                <w:rFonts w:ascii="Times New Roman" w:hAnsi="Times New Roman"/>
                <w:noProof/>
                <w:sz w:val="24"/>
              </w:rPr>
              <w:t>1 000</w:t>
            </w:r>
          </w:p>
        </w:tc>
      </w:tr>
      <w:tr>
        <w:trPr>
          <w:trHeight w:val="336"/>
        </w:trPr>
        <w:tc>
          <w:tcPr>
            <w:tcW w:w="2576" w:type="pct"/>
            <w:shd w:val="clear" w:color="auto" w:fill="auto"/>
          </w:tcPr>
          <w:p>
            <w:pPr>
              <w:spacing w:before="240" w:after="240" w:line="240" w:lineRule="auto"/>
              <w:jc w:val="both"/>
              <w:rPr>
                <w:rFonts w:ascii="Times New Roman" w:hAnsi="Times New Roman"/>
                <w:b/>
                <w:noProof/>
                <w:sz w:val="24"/>
                <w:szCs w:val="24"/>
              </w:rPr>
            </w:pPr>
            <w:r>
              <w:rPr>
                <w:rFonts w:ascii="Times New Roman" w:hAnsi="Times New Roman"/>
                <w:b/>
                <w:noProof/>
                <w:sz w:val="24"/>
              </w:rPr>
              <w:t>Yhteensä</w:t>
            </w:r>
          </w:p>
        </w:tc>
        <w:tc>
          <w:tcPr>
            <w:tcW w:w="840" w:type="pct"/>
            <w:shd w:val="clear" w:color="auto" w:fill="auto"/>
          </w:tcPr>
          <w:p>
            <w:pPr>
              <w:spacing w:after="240" w:line="240" w:lineRule="auto"/>
              <w:jc w:val="both"/>
              <w:rPr>
                <w:rFonts w:ascii="Times New Roman" w:hAnsi="Times New Roman"/>
                <w:b/>
                <w:noProof/>
                <w:sz w:val="24"/>
                <w:szCs w:val="24"/>
              </w:rPr>
            </w:pPr>
          </w:p>
        </w:tc>
        <w:tc>
          <w:tcPr>
            <w:tcW w:w="1068" w:type="pct"/>
            <w:shd w:val="clear" w:color="auto" w:fill="auto"/>
          </w:tcPr>
          <w:p>
            <w:pPr>
              <w:spacing w:after="240" w:line="240" w:lineRule="auto"/>
              <w:jc w:val="both"/>
              <w:rPr>
                <w:rFonts w:ascii="Times New Roman" w:hAnsi="Times New Roman"/>
                <w:b/>
                <w:noProof/>
                <w:sz w:val="24"/>
                <w:szCs w:val="24"/>
              </w:rPr>
            </w:pPr>
          </w:p>
        </w:tc>
        <w:tc>
          <w:tcPr>
            <w:tcW w:w="516" w:type="pct"/>
            <w:shd w:val="clear" w:color="auto" w:fill="auto"/>
          </w:tcPr>
          <w:p>
            <w:pPr>
              <w:spacing w:before="240" w:after="240" w:line="240" w:lineRule="auto"/>
              <w:rPr>
                <w:rFonts w:ascii="Times New Roman" w:hAnsi="Times New Roman"/>
                <w:b/>
                <w:noProof/>
                <w:sz w:val="24"/>
                <w:szCs w:val="24"/>
              </w:rPr>
            </w:pPr>
            <w:r>
              <w:rPr>
                <w:rFonts w:ascii="Times New Roman" w:hAnsi="Times New Roman"/>
                <w:b/>
                <w:noProof/>
                <w:sz w:val="24"/>
              </w:rPr>
              <w:t>5 000</w:t>
            </w:r>
          </w:p>
        </w:tc>
      </w:tr>
    </w:tbl>
    <w:p>
      <w:pPr>
        <w:spacing w:after="240" w:line="240" w:lineRule="auto"/>
        <w:jc w:val="both"/>
        <w:rPr>
          <w:rFonts w:ascii="Times New Roman" w:hAnsi="Times New Roman"/>
          <w:noProof/>
          <w:sz w:val="20"/>
          <w:szCs w:val="20"/>
        </w:rPr>
      </w:pPr>
      <w:r>
        <w:rPr>
          <w:rFonts w:ascii="Times New Roman" w:hAnsi="Times New Roman"/>
          <w:noProof/>
          <w:sz w:val="20"/>
        </w:rPr>
        <w:t>*Yhdessä Jordanian 80 miljoonan euron ja Kirgisian tasavallan 5 miljoonan euron makrotaloudellisen rahoitusavun kanssa (ks. jäljempänä kohta 3.3).</w:t>
      </w:r>
    </w:p>
    <w:p>
      <w:pPr>
        <w:pStyle w:val="ManualHeading2"/>
        <w:spacing w:before="480" w:after="240"/>
        <w:ind w:left="851" w:hanging="851"/>
        <w:outlineLvl w:val="0"/>
        <w:rPr>
          <w:noProof/>
        </w:rPr>
      </w:pPr>
      <w:bookmarkStart w:id="88" w:name="_Toc325641148"/>
      <w:bookmarkStart w:id="89" w:name="_Toc330157550"/>
      <w:bookmarkStart w:id="90" w:name="_Toc361393260"/>
      <w:bookmarkStart w:id="91" w:name="_Toc388883948"/>
      <w:bookmarkStart w:id="92" w:name="_Toc393808500"/>
      <w:bookmarkStart w:id="93" w:name="_Toc451257936"/>
      <w:bookmarkStart w:id="94" w:name="_Toc452361677"/>
      <w:r>
        <w:rPr>
          <w:noProof/>
        </w:rPr>
        <w:t>3.3.</w:t>
      </w:r>
      <w:r>
        <w:rPr>
          <w:noProof/>
        </w:rPr>
        <w:tab/>
        <w:t>Makrotaloudellinen rahoitusapu</w:t>
      </w:r>
      <w:bookmarkEnd w:id="88"/>
      <w:bookmarkEnd w:id="89"/>
      <w:bookmarkEnd w:id="90"/>
      <w:bookmarkEnd w:id="91"/>
      <w:bookmarkEnd w:id="92"/>
      <w:bookmarkEnd w:id="93"/>
      <w:bookmarkEnd w:id="94"/>
    </w:p>
    <w:p>
      <w:pPr>
        <w:spacing w:after="120" w:line="240" w:lineRule="auto"/>
        <w:jc w:val="both"/>
        <w:rPr>
          <w:rFonts w:ascii="Times New Roman" w:hAnsi="Times New Roman"/>
          <w:noProof/>
          <w:sz w:val="24"/>
          <w:szCs w:val="24"/>
        </w:rPr>
      </w:pPr>
      <w:bookmarkStart w:id="95" w:name="_Toc325641149"/>
      <w:bookmarkStart w:id="96" w:name="_Toc330157551"/>
      <w:bookmarkStart w:id="97" w:name="_Toc361393261"/>
      <w:r>
        <w:rPr>
          <w:rFonts w:ascii="Times New Roman" w:hAnsi="Times New Roman"/>
          <w:noProof/>
          <w:sz w:val="24"/>
        </w:rPr>
        <w:t>Vuonna 2015 toteutettiin onnistuneesti kahdeksan lainanotto-operaatiota, joiden määrä oli yhteensä 1 245 miljoonaa euroa, kuten taulukosta 6 käy ilmi.</w:t>
      </w:r>
    </w:p>
    <w:p>
      <w:pPr>
        <w:spacing w:after="120" w:line="240" w:lineRule="auto"/>
        <w:jc w:val="both"/>
        <w:rPr>
          <w:rFonts w:ascii="Times New Roman" w:hAnsi="Times New Roman"/>
          <w:noProof/>
          <w:sz w:val="24"/>
          <w:szCs w:val="24"/>
        </w:rPr>
      </w:pPr>
      <w:r>
        <w:rPr>
          <w:rFonts w:ascii="Times New Roman" w:hAnsi="Times New Roman"/>
          <w:noProof/>
          <w:sz w:val="24"/>
        </w:rPr>
        <w:t xml:space="preserve">Jordanian lainan ensimmäinen erä, 100 miljoonaa euroa, rahoitettiin 3. helmikuuta 2015 suppealle joukolle suunnatulla annilla. Järjestely perustui takaisinmaksuihin siten, että viidellä erillisellä, kerralla takaisin maksettavalla bullet-lainalla jäljiteltiin takaisinmaksuohjelman rakennetta. Varat maksettiin eteenpäin Jordanialle 10. helmikuuta 2015. </w:t>
      </w:r>
    </w:p>
    <w:p>
      <w:pPr>
        <w:spacing w:after="120" w:line="240" w:lineRule="auto"/>
        <w:jc w:val="both"/>
        <w:rPr>
          <w:rFonts w:ascii="Times New Roman" w:hAnsi="Times New Roman"/>
          <w:noProof/>
          <w:sz w:val="24"/>
          <w:szCs w:val="24"/>
        </w:rPr>
      </w:pPr>
      <w:r>
        <w:rPr>
          <w:rFonts w:ascii="Times New Roman" w:hAnsi="Times New Roman"/>
          <w:noProof/>
          <w:sz w:val="24"/>
        </w:rPr>
        <w:t xml:space="preserve">Samanlaista takaisinmaksurakennetta käyttäen kerättiin markkinoilta 14. huhtikuuta 2015 nimellisarvoltaan 260 miljoonan euron lainarahoitus, josta kertyneillä varoilla maksettiin </w:t>
      </w:r>
      <w:r>
        <w:rPr>
          <w:rFonts w:ascii="Times New Roman" w:hAnsi="Times New Roman"/>
          <w:noProof/>
          <w:sz w:val="24"/>
        </w:rPr>
        <w:br/>
        <w:t>21. huhtikuuta 2015 Ukrainalle 250 miljoonaa euroa ja Georgialle 10 miljoonaa euroa lainasopimusten mukaisesti.</w:t>
      </w:r>
    </w:p>
    <w:p>
      <w:pPr>
        <w:spacing w:after="120" w:line="240" w:lineRule="auto"/>
        <w:jc w:val="both"/>
        <w:rPr>
          <w:rFonts w:ascii="Times New Roman" w:hAnsi="Times New Roman"/>
          <w:noProof/>
          <w:sz w:val="24"/>
          <w:szCs w:val="24"/>
        </w:rPr>
      </w:pPr>
      <w:r>
        <w:rPr>
          <w:rFonts w:ascii="Times New Roman" w:hAnsi="Times New Roman"/>
          <w:noProof/>
          <w:sz w:val="24"/>
        </w:rPr>
        <w:t>Toukokuussa ja joulukuussa 2015 rahoitettiin Tunisian ensimmäinen ja toinen erä (kumpikin 100 miljoonaa euroa, bullet-lainana) suppealle joukolle suunnatulla annilla.</w:t>
      </w:r>
    </w:p>
    <w:p>
      <w:pPr>
        <w:spacing w:after="120" w:line="240" w:lineRule="auto"/>
        <w:jc w:val="both"/>
        <w:rPr>
          <w:rFonts w:ascii="Times New Roman" w:hAnsi="Times New Roman"/>
          <w:noProof/>
          <w:sz w:val="24"/>
          <w:szCs w:val="24"/>
        </w:rPr>
      </w:pPr>
      <w:r>
        <w:rPr>
          <w:rFonts w:ascii="Times New Roman" w:hAnsi="Times New Roman"/>
          <w:noProof/>
          <w:sz w:val="24"/>
        </w:rPr>
        <w:t>Heinäkuussa 2015 rahoitettiin Ukrainan kolmannen ohjelman ensimmäinen erä (600 miljoonaa euroa) joukkovelkakirjalainan yleisöannilla.</w:t>
      </w:r>
    </w:p>
    <w:p>
      <w:pPr>
        <w:spacing w:after="120" w:line="240" w:lineRule="auto"/>
        <w:jc w:val="both"/>
        <w:rPr>
          <w:rFonts w:ascii="Times New Roman" w:hAnsi="Times New Roman"/>
          <w:noProof/>
          <w:sz w:val="24"/>
          <w:szCs w:val="24"/>
        </w:rPr>
      </w:pPr>
      <w:r>
        <w:rPr>
          <w:rFonts w:ascii="Times New Roman" w:hAnsi="Times New Roman"/>
          <w:noProof/>
          <w:sz w:val="24"/>
        </w:rPr>
        <w:t>Lokakuussa 2015 yhdistettiin Irlannin ERVM-lainan jälleenrahoituksen kolmanteen erään kaksi muuta lainaoperaatiota, joiden määrät olivat 80 miljoonaa euroa ja 5 miljoonaa euroa (ks. edellä kohta 3.2).</w:t>
      </w:r>
    </w:p>
    <w:p>
      <w:pPr>
        <w:tabs>
          <w:tab w:val="left" w:pos="7800"/>
        </w:tabs>
        <w:spacing w:after="240" w:line="240" w:lineRule="auto"/>
        <w:jc w:val="both"/>
        <w:rPr>
          <w:rFonts w:ascii="Times New Roman" w:hAnsi="Times New Roman"/>
          <w:noProof/>
          <w:sz w:val="24"/>
          <w:szCs w:val="24"/>
          <w:u w:val="single"/>
        </w:rPr>
      </w:pPr>
      <w:r>
        <w:rPr>
          <w:noProof/>
        </w:rPr>
        <w:br w:type="page"/>
      </w:r>
      <w:r>
        <w:rPr>
          <w:rFonts w:ascii="Times New Roman" w:hAnsi="Times New Roman"/>
          <w:noProof/>
          <w:sz w:val="24"/>
          <w:u w:val="single"/>
        </w:rPr>
        <w:t>Taulukko 6: EU:n makrotaloudellisen rahoitusavun puitteissa toteuttamat lainanotto-operaatiot vuonna 2015 (miljoonaa euroa)</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8"/>
        <w:gridCol w:w="2510"/>
        <w:gridCol w:w="1555"/>
        <w:gridCol w:w="2036"/>
        <w:gridCol w:w="1560"/>
      </w:tblGrid>
      <w:tr>
        <w:trPr>
          <w:trHeight w:val="809"/>
        </w:trPr>
        <w:tc>
          <w:tcPr>
            <w:tcW w:w="827" w:type="pct"/>
            <w:tcBorders>
              <w:bottom w:val="single" w:sz="4" w:space="0" w:color="auto"/>
            </w:tcBorders>
            <w:shd w:val="clear" w:color="auto" w:fill="auto"/>
          </w:tcPr>
          <w:p>
            <w:pPr>
              <w:spacing w:after="240" w:line="240" w:lineRule="auto"/>
              <w:jc w:val="center"/>
              <w:rPr>
                <w:rFonts w:ascii="Times New Roman" w:hAnsi="Times New Roman"/>
                <w:noProof/>
                <w:sz w:val="24"/>
                <w:szCs w:val="24"/>
              </w:rPr>
            </w:pPr>
          </w:p>
          <w:p>
            <w:pPr>
              <w:spacing w:after="240" w:line="240" w:lineRule="auto"/>
              <w:jc w:val="center"/>
              <w:rPr>
                <w:rFonts w:ascii="Times New Roman" w:hAnsi="Times New Roman"/>
                <w:noProof/>
                <w:sz w:val="24"/>
                <w:szCs w:val="24"/>
              </w:rPr>
            </w:pPr>
            <w:r>
              <w:rPr>
                <w:rFonts w:ascii="Times New Roman" w:hAnsi="Times New Roman"/>
                <w:noProof/>
                <w:sz w:val="24"/>
              </w:rPr>
              <w:t>Edunsaaja-valtio</w:t>
            </w:r>
          </w:p>
        </w:tc>
        <w:tc>
          <w:tcPr>
            <w:tcW w:w="1367" w:type="pct"/>
            <w:tcBorders>
              <w:bottom w:val="single" w:sz="4" w:space="0" w:color="auto"/>
            </w:tcBorders>
            <w:shd w:val="clear" w:color="auto" w:fill="auto"/>
          </w:tcPr>
          <w:p>
            <w:pPr>
              <w:spacing w:after="240" w:line="240" w:lineRule="auto"/>
              <w:jc w:val="center"/>
              <w:rPr>
                <w:rFonts w:ascii="Times New Roman" w:hAnsi="Times New Roman"/>
                <w:noProof/>
                <w:sz w:val="24"/>
                <w:szCs w:val="24"/>
              </w:rPr>
            </w:pPr>
          </w:p>
          <w:p>
            <w:pPr>
              <w:spacing w:after="240" w:line="240" w:lineRule="auto"/>
              <w:jc w:val="center"/>
              <w:rPr>
                <w:rFonts w:ascii="Times New Roman" w:hAnsi="Times New Roman"/>
                <w:noProof/>
                <w:sz w:val="24"/>
                <w:szCs w:val="24"/>
              </w:rPr>
            </w:pPr>
            <w:r>
              <w:rPr>
                <w:rFonts w:ascii="Times New Roman" w:hAnsi="Times New Roman"/>
                <w:noProof/>
                <w:sz w:val="24"/>
              </w:rPr>
              <w:t>Kuvaus</w:t>
            </w:r>
          </w:p>
        </w:tc>
        <w:tc>
          <w:tcPr>
            <w:tcW w:w="847" w:type="pct"/>
            <w:tcBorders>
              <w:bottom w:val="single" w:sz="4" w:space="0" w:color="auto"/>
            </w:tcBorders>
            <w:shd w:val="clear" w:color="auto" w:fill="auto"/>
          </w:tcPr>
          <w:p>
            <w:pPr>
              <w:spacing w:after="240" w:line="240" w:lineRule="auto"/>
              <w:jc w:val="center"/>
              <w:rPr>
                <w:rFonts w:ascii="Times New Roman" w:hAnsi="Times New Roman"/>
                <w:noProof/>
                <w:sz w:val="24"/>
                <w:szCs w:val="24"/>
              </w:rPr>
            </w:pPr>
          </w:p>
          <w:p>
            <w:pPr>
              <w:spacing w:after="240" w:line="240" w:lineRule="auto"/>
              <w:jc w:val="center"/>
              <w:rPr>
                <w:rFonts w:ascii="Times New Roman" w:hAnsi="Times New Roman"/>
                <w:noProof/>
                <w:sz w:val="24"/>
                <w:szCs w:val="24"/>
              </w:rPr>
            </w:pPr>
            <w:r>
              <w:rPr>
                <w:rFonts w:ascii="Times New Roman" w:hAnsi="Times New Roman"/>
                <w:noProof/>
                <w:sz w:val="24"/>
              </w:rPr>
              <w:t>Liikkeeseen-laskupäivä</w:t>
            </w:r>
          </w:p>
        </w:tc>
        <w:tc>
          <w:tcPr>
            <w:tcW w:w="1109" w:type="pct"/>
            <w:tcBorders>
              <w:bottom w:val="single" w:sz="4" w:space="0" w:color="auto"/>
            </w:tcBorders>
            <w:shd w:val="clear" w:color="auto" w:fill="auto"/>
          </w:tcPr>
          <w:p>
            <w:pPr>
              <w:spacing w:after="240" w:line="240" w:lineRule="auto"/>
              <w:jc w:val="center"/>
              <w:rPr>
                <w:rFonts w:ascii="Times New Roman" w:hAnsi="Times New Roman"/>
                <w:noProof/>
                <w:sz w:val="24"/>
                <w:szCs w:val="24"/>
              </w:rPr>
            </w:pPr>
          </w:p>
          <w:p>
            <w:pPr>
              <w:spacing w:after="240" w:line="240" w:lineRule="auto"/>
              <w:jc w:val="center"/>
              <w:rPr>
                <w:rFonts w:ascii="Times New Roman" w:hAnsi="Times New Roman"/>
                <w:noProof/>
                <w:sz w:val="24"/>
                <w:szCs w:val="24"/>
              </w:rPr>
            </w:pPr>
            <w:r>
              <w:rPr>
                <w:rFonts w:ascii="Times New Roman" w:hAnsi="Times New Roman"/>
                <w:noProof/>
                <w:sz w:val="24"/>
              </w:rPr>
              <w:t>Erääntymispäivä</w:t>
            </w:r>
          </w:p>
        </w:tc>
        <w:tc>
          <w:tcPr>
            <w:tcW w:w="850" w:type="pct"/>
            <w:tcBorders>
              <w:bottom w:val="single" w:sz="4" w:space="0" w:color="auto"/>
            </w:tcBorders>
            <w:shd w:val="clear" w:color="auto" w:fill="auto"/>
          </w:tcPr>
          <w:p>
            <w:pPr>
              <w:spacing w:after="240" w:line="240" w:lineRule="auto"/>
              <w:jc w:val="center"/>
              <w:rPr>
                <w:rFonts w:ascii="Times New Roman" w:hAnsi="Times New Roman"/>
                <w:noProof/>
                <w:sz w:val="24"/>
                <w:szCs w:val="24"/>
              </w:rPr>
            </w:pPr>
          </w:p>
          <w:p>
            <w:pPr>
              <w:spacing w:after="240" w:line="240" w:lineRule="auto"/>
              <w:jc w:val="center"/>
              <w:rPr>
                <w:rFonts w:ascii="Times New Roman" w:hAnsi="Times New Roman"/>
                <w:noProof/>
                <w:sz w:val="24"/>
                <w:szCs w:val="24"/>
              </w:rPr>
            </w:pPr>
            <w:r>
              <w:rPr>
                <w:rFonts w:ascii="Times New Roman" w:hAnsi="Times New Roman"/>
                <w:noProof/>
                <w:sz w:val="24"/>
              </w:rPr>
              <w:t>Määrä</w:t>
            </w:r>
          </w:p>
        </w:tc>
      </w:tr>
      <w:tr>
        <w:tc>
          <w:tcPr>
            <w:tcW w:w="827" w:type="pct"/>
            <w:tcBorders>
              <w:top w:val="single" w:sz="4" w:space="0" w:color="auto"/>
            </w:tcBorders>
            <w:shd w:val="clear" w:color="auto" w:fill="auto"/>
          </w:tcPr>
          <w:p>
            <w:pPr>
              <w:spacing w:after="240" w:line="240" w:lineRule="auto"/>
              <w:jc w:val="center"/>
              <w:rPr>
                <w:rFonts w:ascii="Times New Roman" w:hAnsi="Times New Roman"/>
                <w:noProof/>
                <w:sz w:val="24"/>
                <w:szCs w:val="24"/>
              </w:rPr>
            </w:pPr>
          </w:p>
          <w:p>
            <w:pPr>
              <w:spacing w:after="240" w:line="240" w:lineRule="auto"/>
              <w:jc w:val="center"/>
              <w:rPr>
                <w:rFonts w:ascii="Times New Roman" w:hAnsi="Times New Roman"/>
                <w:bCs/>
                <w:noProof/>
                <w:sz w:val="24"/>
                <w:szCs w:val="24"/>
              </w:rPr>
            </w:pPr>
            <w:r>
              <w:rPr>
                <w:rFonts w:ascii="Times New Roman" w:hAnsi="Times New Roman"/>
                <w:noProof/>
                <w:sz w:val="24"/>
              </w:rPr>
              <w:t>Jordania</w:t>
            </w:r>
          </w:p>
        </w:tc>
        <w:tc>
          <w:tcPr>
            <w:tcW w:w="1367" w:type="pct"/>
            <w:tcBorders>
              <w:top w:val="single" w:sz="4" w:space="0" w:color="auto"/>
            </w:tcBorders>
            <w:shd w:val="clear" w:color="auto" w:fill="auto"/>
          </w:tcPr>
          <w:p>
            <w:pPr>
              <w:spacing w:after="0" w:line="240" w:lineRule="auto"/>
              <w:jc w:val="center"/>
              <w:rPr>
                <w:rFonts w:ascii="Times New Roman" w:hAnsi="Times New Roman"/>
                <w:bCs/>
                <w:noProof/>
                <w:sz w:val="24"/>
                <w:szCs w:val="24"/>
              </w:rPr>
            </w:pPr>
          </w:p>
          <w:p>
            <w:pPr>
              <w:spacing w:after="0" w:line="240" w:lineRule="auto"/>
              <w:jc w:val="center"/>
              <w:rPr>
                <w:rFonts w:ascii="Times New Roman" w:hAnsi="Times New Roman"/>
                <w:bCs/>
                <w:noProof/>
                <w:sz w:val="24"/>
                <w:szCs w:val="24"/>
              </w:rPr>
            </w:pPr>
            <w:r>
              <w:rPr>
                <w:rFonts w:ascii="Times New Roman" w:hAnsi="Times New Roman"/>
                <w:noProof/>
                <w:sz w:val="24"/>
              </w:rPr>
              <w:t>Jordania</w:t>
            </w:r>
          </w:p>
          <w:p>
            <w:pPr>
              <w:spacing w:after="240" w:line="240" w:lineRule="auto"/>
              <w:jc w:val="center"/>
              <w:rPr>
                <w:rFonts w:ascii="Times New Roman" w:hAnsi="Times New Roman"/>
                <w:bCs/>
                <w:noProof/>
                <w:sz w:val="24"/>
                <w:szCs w:val="24"/>
              </w:rPr>
            </w:pPr>
            <w:r>
              <w:rPr>
                <w:rFonts w:ascii="Times New Roman" w:hAnsi="Times New Roman"/>
                <w:noProof/>
                <w:sz w:val="24"/>
              </w:rPr>
              <w:t>1. erä</w:t>
            </w:r>
          </w:p>
        </w:tc>
        <w:tc>
          <w:tcPr>
            <w:tcW w:w="847" w:type="pct"/>
            <w:tcBorders>
              <w:top w:val="single" w:sz="4" w:space="0" w:color="auto"/>
            </w:tcBorders>
            <w:shd w:val="clear" w:color="auto" w:fill="auto"/>
          </w:tcPr>
          <w:p>
            <w:pPr>
              <w:spacing w:after="240" w:line="240" w:lineRule="auto"/>
              <w:jc w:val="center"/>
              <w:rPr>
                <w:rFonts w:ascii="Times New Roman" w:hAnsi="Times New Roman"/>
                <w:bCs/>
                <w:noProof/>
                <w:sz w:val="24"/>
                <w:szCs w:val="24"/>
              </w:rPr>
            </w:pPr>
          </w:p>
          <w:p>
            <w:pPr>
              <w:spacing w:after="240" w:line="240" w:lineRule="auto"/>
              <w:jc w:val="center"/>
              <w:rPr>
                <w:rFonts w:ascii="Times New Roman" w:hAnsi="Times New Roman"/>
                <w:bCs/>
                <w:noProof/>
                <w:sz w:val="24"/>
                <w:szCs w:val="24"/>
              </w:rPr>
            </w:pPr>
            <w:r>
              <w:rPr>
                <w:rFonts w:ascii="Times New Roman" w:hAnsi="Times New Roman"/>
                <w:noProof/>
                <w:sz w:val="24"/>
              </w:rPr>
              <w:t>10.2.2015</w:t>
            </w:r>
          </w:p>
        </w:tc>
        <w:tc>
          <w:tcPr>
            <w:tcW w:w="1109" w:type="pct"/>
            <w:tcBorders>
              <w:top w:val="single" w:sz="4" w:space="0" w:color="auto"/>
            </w:tcBorders>
            <w:shd w:val="clear" w:color="auto" w:fill="auto"/>
          </w:tcPr>
          <w:p>
            <w:pPr>
              <w:spacing w:after="240" w:line="240" w:lineRule="auto"/>
              <w:jc w:val="center"/>
              <w:rPr>
                <w:rFonts w:ascii="Times New Roman" w:hAnsi="Times New Roman"/>
                <w:bCs/>
                <w:noProof/>
                <w:sz w:val="24"/>
                <w:szCs w:val="24"/>
              </w:rPr>
            </w:pPr>
          </w:p>
          <w:p>
            <w:pPr>
              <w:spacing w:after="240" w:line="240" w:lineRule="auto"/>
              <w:jc w:val="center"/>
              <w:rPr>
                <w:rFonts w:ascii="Times New Roman" w:hAnsi="Times New Roman"/>
                <w:bCs/>
                <w:noProof/>
                <w:sz w:val="24"/>
                <w:szCs w:val="24"/>
              </w:rPr>
            </w:pPr>
            <w:r>
              <w:rPr>
                <w:rFonts w:ascii="Times New Roman" w:hAnsi="Times New Roman"/>
                <w:noProof/>
                <w:sz w:val="24"/>
              </w:rPr>
              <w:t>4.12.2029</w:t>
            </w:r>
          </w:p>
        </w:tc>
        <w:tc>
          <w:tcPr>
            <w:tcW w:w="850" w:type="pct"/>
            <w:tcBorders>
              <w:top w:val="single" w:sz="4" w:space="0" w:color="auto"/>
            </w:tcBorders>
            <w:shd w:val="clear" w:color="auto" w:fill="auto"/>
          </w:tcPr>
          <w:p>
            <w:pPr>
              <w:spacing w:after="240" w:line="240" w:lineRule="auto"/>
              <w:jc w:val="center"/>
              <w:rPr>
                <w:rFonts w:ascii="Times New Roman" w:hAnsi="Times New Roman"/>
                <w:bCs/>
                <w:noProof/>
                <w:sz w:val="24"/>
                <w:szCs w:val="24"/>
              </w:rPr>
            </w:pPr>
          </w:p>
          <w:p>
            <w:pPr>
              <w:spacing w:after="240" w:line="240" w:lineRule="auto"/>
              <w:jc w:val="center"/>
              <w:rPr>
                <w:rFonts w:ascii="Times New Roman" w:hAnsi="Times New Roman"/>
                <w:bCs/>
                <w:noProof/>
                <w:sz w:val="24"/>
                <w:szCs w:val="24"/>
              </w:rPr>
            </w:pPr>
            <w:r>
              <w:rPr>
                <w:rFonts w:ascii="Times New Roman" w:hAnsi="Times New Roman"/>
                <w:noProof/>
                <w:sz w:val="24"/>
              </w:rPr>
              <w:t>100</w:t>
            </w:r>
          </w:p>
        </w:tc>
      </w:tr>
      <w:tr>
        <w:tc>
          <w:tcPr>
            <w:tcW w:w="827" w:type="pct"/>
            <w:tcBorders>
              <w:top w:val="single" w:sz="4" w:space="0" w:color="auto"/>
            </w:tcBorders>
            <w:shd w:val="clear" w:color="auto" w:fill="auto"/>
          </w:tcPr>
          <w:p>
            <w:pPr>
              <w:spacing w:after="240" w:line="240" w:lineRule="auto"/>
              <w:jc w:val="center"/>
              <w:rPr>
                <w:rFonts w:ascii="Times New Roman" w:hAnsi="Times New Roman"/>
                <w:noProof/>
                <w:sz w:val="24"/>
                <w:szCs w:val="24"/>
              </w:rPr>
            </w:pPr>
          </w:p>
          <w:p>
            <w:pPr>
              <w:spacing w:after="240" w:line="240" w:lineRule="auto"/>
              <w:jc w:val="center"/>
              <w:rPr>
                <w:rFonts w:ascii="Times New Roman" w:hAnsi="Times New Roman"/>
                <w:bCs/>
                <w:noProof/>
                <w:sz w:val="24"/>
                <w:szCs w:val="24"/>
              </w:rPr>
            </w:pPr>
            <w:r>
              <w:rPr>
                <w:rFonts w:ascii="Times New Roman" w:hAnsi="Times New Roman"/>
                <w:noProof/>
                <w:sz w:val="24"/>
              </w:rPr>
              <w:t>Ukraina</w:t>
            </w:r>
          </w:p>
        </w:tc>
        <w:tc>
          <w:tcPr>
            <w:tcW w:w="1367" w:type="pct"/>
            <w:tcBorders>
              <w:top w:val="single" w:sz="4" w:space="0" w:color="auto"/>
            </w:tcBorders>
            <w:shd w:val="clear" w:color="auto" w:fill="auto"/>
          </w:tcPr>
          <w:p>
            <w:pPr>
              <w:spacing w:after="0" w:line="240" w:lineRule="auto"/>
              <w:jc w:val="center"/>
              <w:rPr>
                <w:rFonts w:ascii="Times New Roman" w:hAnsi="Times New Roman"/>
                <w:bCs/>
                <w:noProof/>
                <w:sz w:val="24"/>
                <w:szCs w:val="24"/>
              </w:rPr>
            </w:pPr>
          </w:p>
          <w:p>
            <w:pPr>
              <w:spacing w:after="0" w:line="240" w:lineRule="auto"/>
              <w:jc w:val="center"/>
              <w:rPr>
                <w:rFonts w:ascii="Times New Roman" w:hAnsi="Times New Roman"/>
                <w:bCs/>
                <w:noProof/>
                <w:sz w:val="24"/>
                <w:szCs w:val="24"/>
              </w:rPr>
            </w:pPr>
            <w:r>
              <w:rPr>
                <w:rFonts w:ascii="Times New Roman" w:hAnsi="Times New Roman"/>
                <w:noProof/>
                <w:sz w:val="24"/>
              </w:rPr>
              <w:t>Ukraina (makrotaloudellinen rahoitusapu I)</w:t>
            </w:r>
          </w:p>
          <w:p>
            <w:pPr>
              <w:spacing w:after="240" w:line="240" w:lineRule="auto"/>
              <w:jc w:val="center"/>
              <w:rPr>
                <w:rFonts w:ascii="Times New Roman" w:hAnsi="Times New Roman"/>
                <w:bCs/>
                <w:noProof/>
                <w:sz w:val="24"/>
                <w:szCs w:val="24"/>
              </w:rPr>
            </w:pPr>
            <w:r>
              <w:rPr>
                <w:rFonts w:ascii="Times New Roman" w:hAnsi="Times New Roman"/>
                <w:noProof/>
                <w:sz w:val="24"/>
              </w:rPr>
              <w:t>4. erä</w:t>
            </w:r>
          </w:p>
        </w:tc>
        <w:tc>
          <w:tcPr>
            <w:tcW w:w="847" w:type="pct"/>
            <w:tcBorders>
              <w:top w:val="single" w:sz="4" w:space="0" w:color="auto"/>
            </w:tcBorders>
            <w:shd w:val="clear" w:color="auto" w:fill="auto"/>
          </w:tcPr>
          <w:p>
            <w:pPr>
              <w:spacing w:after="240" w:line="240" w:lineRule="auto"/>
              <w:jc w:val="center"/>
              <w:rPr>
                <w:rFonts w:ascii="Times New Roman" w:hAnsi="Times New Roman"/>
                <w:bCs/>
                <w:noProof/>
                <w:sz w:val="24"/>
                <w:szCs w:val="24"/>
              </w:rPr>
            </w:pPr>
          </w:p>
          <w:p>
            <w:pPr>
              <w:spacing w:after="240" w:line="240" w:lineRule="auto"/>
              <w:jc w:val="center"/>
              <w:rPr>
                <w:rFonts w:ascii="Times New Roman" w:hAnsi="Times New Roman"/>
                <w:bCs/>
                <w:noProof/>
                <w:sz w:val="24"/>
                <w:szCs w:val="24"/>
              </w:rPr>
            </w:pPr>
            <w:r>
              <w:rPr>
                <w:rFonts w:ascii="Times New Roman" w:hAnsi="Times New Roman"/>
                <w:noProof/>
                <w:sz w:val="24"/>
              </w:rPr>
              <w:t>21.4.2015</w:t>
            </w:r>
          </w:p>
        </w:tc>
        <w:tc>
          <w:tcPr>
            <w:tcW w:w="1109" w:type="pct"/>
            <w:tcBorders>
              <w:top w:val="single" w:sz="4" w:space="0" w:color="auto"/>
            </w:tcBorders>
            <w:shd w:val="clear" w:color="auto" w:fill="auto"/>
          </w:tcPr>
          <w:p>
            <w:pPr>
              <w:spacing w:after="240" w:line="240" w:lineRule="auto"/>
              <w:jc w:val="center"/>
              <w:rPr>
                <w:rFonts w:ascii="Times New Roman" w:hAnsi="Times New Roman"/>
                <w:bCs/>
                <w:noProof/>
                <w:sz w:val="24"/>
                <w:szCs w:val="24"/>
              </w:rPr>
            </w:pPr>
          </w:p>
          <w:p>
            <w:pPr>
              <w:spacing w:after="240" w:line="240" w:lineRule="auto"/>
              <w:jc w:val="center"/>
              <w:rPr>
                <w:rFonts w:ascii="Times New Roman" w:hAnsi="Times New Roman"/>
                <w:bCs/>
                <w:noProof/>
                <w:sz w:val="24"/>
                <w:szCs w:val="24"/>
              </w:rPr>
            </w:pPr>
            <w:r>
              <w:rPr>
                <w:rFonts w:ascii="Times New Roman" w:hAnsi="Times New Roman"/>
                <w:noProof/>
                <w:sz w:val="24"/>
              </w:rPr>
              <w:t>4.4.2023</w:t>
            </w:r>
          </w:p>
        </w:tc>
        <w:tc>
          <w:tcPr>
            <w:tcW w:w="850" w:type="pct"/>
            <w:tcBorders>
              <w:top w:val="single" w:sz="4" w:space="0" w:color="auto"/>
            </w:tcBorders>
            <w:shd w:val="clear" w:color="auto" w:fill="auto"/>
          </w:tcPr>
          <w:p>
            <w:pPr>
              <w:spacing w:after="240" w:line="240" w:lineRule="auto"/>
              <w:jc w:val="center"/>
              <w:rPr>
                <w:rFonts w:ascii="Times New Roman" w:hAnsi="Times New Roman"/>
                <w:bCs/>
                <w:noProof/>
                <w:sz w:val="24"/>
                <w:szCs w:val="24"/>
              </w:rPr>
            </w:pPr>
          </w:p>
          <w:p>
            <w:pPr>
              <w:spacing w:after="240" w:line="240" w:lineRule="auto"/>
              <w:jc w:val="center"/>
              <w:rPr>
                <w:rFonts w:ascii="Times New Roman" w:hAnsi="Times New Roman"/>
                <w:bCs/>
                <w:noProof/>
                <w:sz w:val="24"/>
                <w:szCs w:val="24"/>
              </w:rPr>
            </w:pPr>
            <w:r>
              <w:rPr>
                <w:rFonts w:ascii="Times New Roman" w:hAnsi="Times New Roman"/>
                <w:noProof/>
                <w:sz w:val="24"/>
              </w:rPr>
              <w:t>250</w:t>
            </w:r>
          </w:p>
        </w:tc>
      </w:tr>
      <w:tr>
        <w:tc>
          <w:tcPr>
            <w:tcW w:w="827" w:type="pct"/>
            <w:tcBorders>
              <w:top w:val="single" w:sz="4" w:space="0" w:color="auto"/>
            </w:tcBorders>
            <w:shd w:val="clear" w:color="auto" w:fill="auto"/>
          </w:tcPr>
          <w:p>
            <w:pPr>
              <w:spacing w:after="240" w:line="240" w:lineRule="auto"/>
              <w:jc w:val="center"/>
              <w:rPr>
                <w:rFonts w:ascii="Times New Roman" w:hAnsi="Times New Roman"/>
                <w:noProof/>
                <w:sz w:val="24"/>
                <w:szCs w:val="24"/>
              </w:rPr>
            </w:pPr>
          </w:p>
          <w:p>
            <w:pPr>
              <w:spacing w:after="240" w:line="240" w:lineRule="auto"/>
              <w:jc w:val="center"/>
              <w:rPr>
                <w:rFonts w:ascii="Times New Roman" w:hAnsi="Times New Roman"/>
                <w:bCs/>
                <w:noProof/>
                <w:sz w:val="24"/>
                <w:szCs w:val="24"/>
              </w:rPr>
            </w:pPr>
            <w:r>
              <w:rPr>
                <w:rFonts w:ascii="Times New Roman" w:hAnsi="Times New Roman"/>
                <w:noProof/>
                <w:sz w:val="24"/>
              </w:rPr>
              <w:t>Georgia</w:t>
            </w:r>
          </w:p>
        </w:tc>
        <w:tc>
          <w:tcPr>
            <w:tcW w:w="1367" w:type="pct"/>
            <w:tcBorders>
              <w:top w:val="single" w:sz="4" w:space="0" w:color="auto"/>
            </w:tcBorders>
            <w:shd w:val="clear" w:color="auto" w:fill="auto"/>
          </w:tcPr>
          <w:p>
            <w:pPr>
              <w:spacing w:after="0" w:line="240" w:lineRule="auto"/>
              <w:jc w:val="center"/>
              <w:rPr>
                <w:rFonts w:ascii="Times New Roman" w:hAnsi="Times New Roman"/>
                <w:bCs/>
                <w:noProof/>
                <w:sz w:val="24"/>
                <w:szCs w:val="24"/>
              </w:rPr>
            </w:pPr>
          </w:p>
          <w:p>
            <w:pPr>
              <w:spacing w:after="0" w:line="240" w:lineRule="auto"/>
              <w:jc w:val="center"/>
              <w:rPr>
                <w:rFonts w:ascii="Times New Roman" w:hAnsi="Times New Roman"/>
                <w:bCs/>
                <w:noProof/>
                <w:sz w:val="24"/>
                <w:szCs w:val="24"/>
              </w:rPr>
            </w:pPr>
            <w:r>
              <w:rPr>
                <w:rFonts w:ascii="Times New Roman" w:hAnsi="Times New Roman"/>
                <w:noProof/>
                <w:sz w:val="24"/>
              </w:rPr>
              <w:t xml:space="preserve">Georgia </w:t>
            </w:r>
          </w:p>
          <w:p>
            <w:pPr>
              <w:spacing w:after="0" w:line="240" w:lineRule="auto"/>
              <w:jc w:val="center"/>
              <w:rPr>
                <w:rFonts w:ascii="Times New Roman" w:hAnsi="Times New Roman"/>
                <w:bCs/>
                <w:noProof/>
                <w:sz w:val="24"/>
                <w:szCs w:val="24"/>
              </w:rPr>
            </w:pPr>
            <w:r>
              <w:rPr>
                <w:rFonts w:ascii="Times New Roman" w:hAnsi="Times New Roman"/>
                <w:noProof/>
                <w:sz w:val="24"/>
              </w:rPr>
              <w:t>1. erä</w:t>
            </w:r>
          </w:p>
        </w:tc>
        <w:tc>
          <w:tcPr>
            <w:tcW w:w="847" w:type="pct"/>
            <w:tcBorders>
              <w:top w:val="single" w:sz="4" w:space="0" w:color="auto"/>
            </w:tcBorders>
            <w:shd w:val="clear" w:color="auto" w:fill="auto"/>
          </w:tcPr>
          <w:p>
            <w:pPr>
              <w:spacing w:after="240" w:line="240" w:lineRule="auto"/>
              <w:jc w:val="center"/>
              <w:rPr>
                <w:rFonts w:ascii="Times New Roman" w:hAnsi="Times New Roman"/>
                <w:bCs/>
                <w:noProof/>
                <w:sz w:val="24"/>
                <w:szCs w:val="24"/>
              </w:rPr>
            </w:pPr>
          </w:p>
          <w:p>
            <w:pPr>
              <w:spacing w:after="240" w:line="240" w:lineRule="auto"/>
              <w:jc w:val="center"/>
              <w:rPr>
                <w:rFonts w:ascii="Times New Roman" w:hAnsi="Times New Roman"/>
                <w:bCs/>
                <w:noProof/>
                <w:sz w:val="24"/>
                <w:szCs w:val="24"/>
              </w:rPr>
            </w:pPr>
            <w:r>
              <w:rPr>
                <w:rFonts w:ascii="Times New Roman" w:hAnsi="Times New Roman"/>
                <w:noProof/>
                <w:sz w:val="24"/>
              </w:rPr>
              <w:t>21.4.2015</w:t>
            </w:r>
          </w:p>
        </w:tc>
        <w:tc>
          <w:tcPr>
            <w:tcW w:w="1109" w:type="pct"/>
            <w:tcBorders>
              <w:top w:val="single" w:sz="4" w:space="0" w:color="auto"/>
            </w:tcBorders>
            <w:shd w:val="clear" w:color="auto" w:fill="auto"/>
          </w:tcPr>
          <w:p>
            <w:pPr>
              <w:spacing w:after="240" w:line="240" w:lineRule="auto"/>
              <w:jc w:val="center"/>
              <w:rPr>
                <w:rFonts w:ascii="Times New Roman" w:hAnsi="Times New Roman"/>
                <w:bCs/>
                <w:noProof/>
                <w:sz w:val="24"/>
                <w:szCs w:val="24"/>
              </w:rPr>
            </w:pPr>
          </w:p>
          <w:p>
            <w:pPr>
              <w:spacing w:after="240" w:line="240" w:lineRule="auto"/>
              <w:jc w:val="center"/>
              <w:rPr>
                <w:rFonts w:ascii="Times New Roman" w:hAnsi="Times New Roman"/>
                <w:bCs/>
                <w:noProof/>
                <w:sz w:val="24"/>
                <w:szCs w:val="24"/>
              </w:rPr>
            </w:pPr>
            <w:r>
              <w:rPr>
                <w:rFonts w:ascii="Times New Roman" w:hAnsi="Times New Roman"/>
                <w:noProof/>
                <w:sz w:val="24"/>
              </w:rPr>
              <w:t>4.4.2030</w:t>
            </w:r>
          </w:p>
        </w:tc>
        <w:tc>
          <w:tcPr>
            <w:tcW w:w="850" w:type="pct"/>
            <w:tcBorders>
              <w:top w:val="single" w:sz="4" w:space="0" w:color="auto"/>
            </w:tcBorders>
            <w:shd w:val="clear" w:color="auto" w:fill="auto"/>
          </w:tcPr>
          <w:p>
            <w:pPr>
              <w:spacing w:after="240" w:line="240" w:lineRule="auto"/>
              <w:jc w:val="center"/>
              <w:rPr>
                <w:rFonts w:ascii="Times New Roman" w:hAnsi="Times New Roman"/>
                <w:bCs/>
                <w:noProof/>
                <w:sz w:val="24"/>
                <w:szCs w:val="24"/>
              </w:rPr>
            </w:pPr>
          </w:p>
          <w:p>
            <w:pPr>
              <w:spacing w:after="240" w:line="240" w:lineRule="auto"/>
              <w:jc w:val="center"/>
              <w:rPr>
                <w:rFonts w:ascii="Times New Roman" w:hAnsi="Times New Roman"/>
                <w:bCs/>
                <w:noProof/>
                <w:sz w:val="24"/>
                <w:szCs w:val="24"/>
              </w:rPr>
            </w:pPr>
            <w:r>
              <w:rPr>
                <w:rFonts w:ascii="Times New Roman" w:hAnsi="Times New Roman"/>
                <w:noProof/>
                <w:sz w:val="24"/>
              </w:rPr>
              <w:t>10</w:t>
            </w:r>
          </w:p>
        </w:tc>
      </w:tr>
      <w:tr>
        <w:tc>
          <w:tcPr>
            <w:tcW w:w="827" w:type="pct"/>
            <w:tcBorders>
              <w:top w:val="single" w:sz="4" w:space="0" w:color="auto"/>
            </w:tcBorders>
            <w:shd w:val="clear" w:color="auto" w:fill="auto"/>
          </w:tcPr>
          <w:p>
            <w:pPr>
              <w:spacing w:after="240" w:line="240" w:lineRule="auto"/>
              <w:jc w:val="center"/>
              <w:rPr>
                <w:rFonts w:ascii="Times New Roman" w:hAnsi="Times New Roman"/>
                <w:noProof/>
                <w:sz w:val="24"/>
                <w:szCs w:val="24"/>
              </w:rPr>
            </w:pPr>
          </w:p>
          <w:p>
            <w:pPr>
              <w:spacing w:after="240" w:line="240" w:lineRule="auto"/>
              <w:jc w:val="center"/>
              <w:rPr>
                <w:rFonts w:ascii="Times New Roman" w:hAnsi="Times New Roman"/>
                <w:bCs/>
                <w:noProof/>
                <w:sz w:val="24"/>
                <w:szCs w:val="24"/>
              </w:rPr>
            </w:pPr>
            <w:r>
              <w:rPr>
                <w:rFonts w:ascii="Times New Roman" w:hAnsi="Times New Roman"/>
                <w:noProof/>
                <w:sz w:val="24"/>
              </w:rPr>
              <w:t>Tunisia</w:t>
            </w:r>
          </w:p>
        </w:tc>
        <w:tc>
          <w:tcPr>
            <w:tcW w:w="1367" w:type="pct"/>
            <w:tcBorders>
              <w:top w:val="single" w:sz="4" w:space="0" w:color="auto"/>
            </w:tcBorders>
            <w:shd w:val="clear" w:color="auto" w:fill="auto"/>
          </w:tcPr>
          <w:p>
            <w:pPr>
              <w:spacing w:after="0" w:line="240" w:lineRule="auto"/>
              <w:jc w:val="center"/>
              <w:rPr>
                <w:rFonts w:ascii="Times New Roman" w:hAnsi="Times New Roman"/>
                <w:bCs/>
                <w:noProof/>
                <w:sz w:val="24"/>
                <w:szCs w:val="24"/>
              </w:rPr>
            </w:pPr>
          </w:p>
          <w:p>
            <w:pPr>
              <w:spacing w:after="0" w:line="240" w:lineRule="auto"/>
              <w:jc w:val="center"/>
              <w:rPr>
                <w:rFonts w:ascii="Times New Roman" w:hAnsi="Times New Roman"/>
                <w:bCs/>
                <w:noProof/>
                <w:sz w:val="24"/>
                <w:szCs w:val="24"/>
              </w:rPr>
            </w:pPr>
            <w:r>
              <w:rPr>
                <w:rFonts w:ascii="Times New Roman" w:hAnsi="Times New Roman"/>
                <w:noProof/>
                <w:sz w:val="24"/>
              </w:rPr>
              <w:t>Tunisia</w:t>
            </w:r>
          </w:p>
          <w:p>
            <w:pPr>
              <w:spacing w:after="240" w:line="240" w:lineRule="auto"/>
              <w:jc w:val="center"/>
              <w:rPr>
                <w:rFonts w:ascii="Times New Roman" w:hAnsi="Times New Roman"/>
                <w:bCs/>
                <w:noProof/>
                <w:sz w:val="24"/>
                <w:szCs w:val="24"/>
              </w:rPr>
            </w:pPr>
            <w:r>
              <w:rPr>
                <w:rFonts w:ascii="Times New Roman" w:hAnsi="Times New Roman"/>
                <w:noProof/>
                <w:sz w:val="24"/>
              </w:rPr>
              <w:t>1. erä</w:t>
            </w:r>
          </w:p>
        </w:tc>
        <w:tc>
          <w:tcPr>
            <w:tcW w:w="847" w:type="pct"/>
            <w:tcBorders>
              <w:top w:val="single" w:sz="4" w:space="0" w:color="auto"/>
            </w:tcBorders>
            <w:shd w:val="clear" w:color="auto" w:fill="auto"/>
          </w:tcPr>
          <w:p>
            <w:pPr>
              <w:spacing w:after="240" w:line="240" w:lineRule="auto"/>
              <w:jc w:val="center"/>
              <w:rPr>
                <w:rFonts w:ascii="Times New Roman" w:hAnsi="Times New Roman"/>
                <w:bCs/>
                <w:noProof/>
                <w:sz w:val="24"/>
                <w:szCs w:val="24"/>
              </w:rPr>
            </w:pPr>
          </w:p>
          <w:p>
            <w:pPr>
              <w:spacing w:after="240" w:line="240" w:lineRule="auto"/>
              <w:jc w:val="center"/>
              <w:rPr>
                <w:rFonts w:ascii="Times New Roman" w:hAnsi="Times New Roman"/>
                <w:bCs/>
                <w:noProof/>
                <w:sz w:val="24"/>
                <w:szCs w:val="24"/>
              </w:rPr>
            </w:pPr>
            <w:r>
              <w:rPr>
                <w:rFonts w:ascii="Times New Roman" w:hAnsi="Times New Roman"/>
                <w:noProof/>
                <w:sz w:val="24"/>
              </w:rPr>
              <w:t>7.5.2015</w:t>
            </w:r>
          </w:p>
        </w:tc>
        <w:tc>
          <w:tcPr>
            <w:tcW w:w="1109" w:type="pct"/>
            <w:tcBorders>
              <w:top w:val="single" w:sz="4" w:space="0" w:color="auto"/>
            </w:tcBorders>
            <w:shd w:val="clear" w:color="auto" w:fill="auto"/>
          </w:tcPr>
          <w:p>
            <w:pPr>
              <w:spacing w:after="240" w:line="240" w:lineRule="auto"/>
              <w:jc w:val="center"/>
              <w:rPr>
                <w:rFonts w:ascii="Times New Roman" w:hAnsi="Times New Roman"/>
                <w:bCs/>
                <w:noProof/>
                <w:sz w:val="24"/>
                <w:szCs w:val="24"/>
              </w:rPr>
            </w:pPr>
          </w:p>
          <w:p>
            <w:pPr>
              <w:spacing w:after="240" w:line="240" w:lineRule="auto"/>
              <w:jc w:val="center"/>
              <w:rPr>
                <w:rFonts w:ascii="Times New Roman" w:hAnsi="Times New Roman"/>
                <w:bCs/>
                <w:noProof/>
                <w:sz w:val="24"/>
                <w:szCs w:val="24"/>
              </w:rPr>
            </w:pPr>
            <w:r>
              <w:rPr>
                <w:rFonts w:ascii="Times New Roman" w:hAnsi="Times New Roman"/>
                <w:noProof/>
                <w:sz w:val="24"/>
              </w:rPr>
              <w:t>4.5.2027</w:t>
            </w:r>
          </w:p>
        </w:tc>
        <w:tc>
          <w:tcPr>
            <w:tcW w:w="850" w:type="pct"/>
            <w:tcBorders>
              <w:top w:val="single" w:sz="4" w:space="0" w:color="auto"/>
            </w:tcBorders>
            <w:shd w:val="clear" w:color="auto" w:fill="auto"/>
          </w:tcPr>
          <w:p>
            <w:pPr>
              <w:spacing w:after="240" w:line="240" w:lineRule="auto"/>
              <w:jc w:val="center"/>
              <w:rPr>
                <w:rFonts w:ascii="Times New Roman" w:hAnsi="Times New Roman"/>
                <w:bCs/>
                <w:noProof/>
                <w:sz w:val="24"/>
                <w:szCs w:val="24"/>
              </w:rPr>
            </w:pPr>
          </w:p>
          <w:p>
            <w:pPr>
              <w:spacing w:after="240" w:line="240" w:lineRule="auto"/>
              <w:jc w:val="center"/>
              <w:rPr>
                <w:rFonts w:ascii="Times New Roman" w:hAnsi="Times New Roman"/>
                <w:bCs/>
                <w:noProof/>
                <w:sz w:val="24"/>
                <w:szCs w:val="24"/>
              </w:rPr>
            </w:pPr>
            <w:r>
              <w:rPr>
                <w:rFonts w:ascii="Times New Roman" w:hAnsi="Times New Roman"/>
                <w:noProof/>
                <w:sz w:val="24"/>
              </w:rPr>
              <w:t>100</w:t>
            </w:r>
          </w:p>
        </w:tc>
      </w:tr>
      <w:tr>
        <w:tc>
          <w:tcPr>
            <w:tcW w:w="827" w:type="pct"/>
            <w:shd w:val="clear" w:color="auto" w:fill="auto"/>
          </w:tcPr>
          <w:p>
            <w:pPr>
              <w:spacing w:after="240" w:line="240" w:lineRule="auto"/>
              <w:jc w:val="center"/>
              <w:rPr>
                <w:rFonts w:ascii="Times New Roman" w:hAnsi="Times New Roman"/>
                <w:noProof/>
                <w:sz w:val="24"/>
                <w:szCs w:val="24"/>
              </w:rPr>
            </w:pPr>
          </w:p>
          <w:p>
            <w:pPr>
              <w:spacing w:after="240" w:line="240" w:lineRule="auto"/>
              <w:jc w:val="center"/>
              <w:rPr>
                <w:rFonts w:ascii="Times New Roman" w:hAnsi="Times New Roman"/>
                <w:b/>
                <w:noProof/>
                <w:sz w:val="24"/>
                <w:szCs w:val="24"/>
              </w:rPr>
            </w:pPr>
            <w:r>
              <w:rPr>
                <w:rFonts w:ascii="Times New Roman" w:hAnsi="Times New Roman"/>
                <w:noProof/>
                <w:sz w:val="24"/>
              </w:rPr>
              <w:t>Ukraina</w:t>
            </w:r>
          </w:p>
        </w:tc>
        <w:tc>
          <w:tcPr>
            <w:tcW w:w="1367" w:type="pct"/>
            <w:shd w:val="clear" w:color="auto" w:fill="auto"/>
          </w:tcPr>
          <w:p>
            <w:pPr>
              <w:spacing w:after="0" w:line="240" w:lineRule="auto"/>
              <w:jc w:val="center"/>
              <w:rPr>
                <w:rFonts w:ascii="Times New Roman" w:hAnsi="Times New Roman"/>
                <w:bCs/>
                <w:noProof/>
                <w:sz w:val="24"/>
                <w:szCs w:val="24"/>
              </w:rPr>
            </w:pPr>
          </w:p>
          <w:p>
            <w:pPr>
              <w:spacing w:after="0" w:line="240" w:lineRule="auto"/>
              <w:jc w:val="center"/>
              <w:rPr>
                <w:rFonts w:ascii="Times New Roman" w:hAnsi="Times New Roman"/>
                <w:bCs/>
                <w:noProof/>
                <w:sz w:val="24"/>
                <w:szCs w:val="24"/>
              </w:rPr>
            </w:pPr>
            <w:r>
              <w:rPr>
                <w:rFonts w:ascii="Times New Roman" w:hAnsi="Times New Roman"/>
                <w:noProof/>
                <w:sz w:val="24"/>
              </w:rPr>
              <w:t>Ukraina (makrotaloudellinen rahoitusapu III)</w:t>
            </w:r>
          </w:p>
          <w:p>
            <w:pPr>
              <w:spacing w:after="240" w:line="240" w:lineRule="auto"/>
              <w:jc w:val="center"/>
              <w:rPr>
                <w:rFonts w:ascii="Times New Roman" w:hAnsi="Times New Roman"/>
                <w:b/>
                <w:noProof/>
                <w:sz w:val="24"/>
                <w:szCs w:val="24"/>
              </w:rPr>
            </w:pPr>
            <w:r>
              <w:rPr>
                <w:rFonts w:ascii="Times New Roman" w:hAnsi="Times New Roman"/>
                <w:noProof/>
                <w:sz w:val="24"/>
              </w:rPr>
              <w:t>1. erä</w:t>
            </w:r>
          </w:p>
        </w:tc>
        <w:tc>
          <w:tcPr>
            <w:tcW w:w="847" w:type="pct"/>
            <w:shd w:val="clear" w:color="auto" w:fill="auto"/>
          </w:tcPr>
          <w:p>
            <w:pPr>
              <w:spacing w:after="240" w:line="240" w:lineRule="auto"/>
              <w:jc w:val="center"/>
              <w:rPr>
                <w:rFonts w:ascii="Times New Roman" w:hAnsi="Times New Roman"/>
                <w:bCs/>
                <w:noProof/>
                <w:sz w:val="24"/>
                <w:szCs w:val="24"/>
              </w:rPr>
            </w:pPr>
          </w:p>
          <w:p>
            <w:pPr>
              <w:spacing w:after="240" w:line="240" w:lineRule="auto"/>
              <w:jc w:val="center"/>
              <w:rPr>
                <w:rFonts w:ascii="Times New Roman" w:hAnsi="Times New Roman"/>
                <w:bCs/>
                <w:noProof/>
                <w:sz w:val="24"/>
                <w:szCs w:val="24"/>
              </w:rPr>
            </w:pPr>
            <w:r>
              <w:rPr>
                <w:rFonts w:ascii="Times New Roman" w:hAnsi="Times New Roman"/>
                <w:noProof/>
                <w:sz w:val="24"/>
              </w:rPr>
              <w:t>22.7.2015</w:t>
            </w:r>
          </w:p>
        </w:tc>
        <w:tc>
          <w:tcPr>
            <w:tcW w:w="1109" w:type="pct"/>
            <w:shd w:val="clear" w:color="auto" w:fill="auto"/>
          </w:tcPr>
          <w:p>
            <w:pPr>
              <w:spacing w:after="240" w:line="240" w:lineRule="auto"/>
              <w:jc w:val="center"/>
              <w:rPr>
                <w:rFonts w:ascii="Times New Roman" w:hAnsi="Times New Roman"/>
                <w:bCs/>
                <w:noProof/>
                <w:sz w:val="24"/>
                <w:szCs w:val="24"/>
              </w:rPr>
            </w:pPr>
          </w:p>
          <w:p>
            <w:pPr>
              <w:spacing w:after="240" w:line="240" w:lineRule="auto"/>
              <w:jc w:val="center"/>
              <w:rPr>
                <w:rFonts w:ascii="Times New Roman" w:hAnsi="Times New Roman"/>
                <w:bCs/>
                <w:noProof/>
                <w:sz w:val="24"/>
                <w:szCs w:val="24"/>
              </w:rPr>
            </w:pPr>
            <w:r>
              <w:rPr>
                <w:rFonts w:ascii="Times New Roman" w:hAnsi="Times New Roman"/>
                <w:noProof/>
                <w:sz w:val="24"/>
              </w:rPr>
              <w:t>4.7.2020</w:t>
            </w:r>
          </w:p>
        </w:tc>
        <w:tc>
          <w:tcPr>
            <w:tcW w:w="850" w:type="pct"/>
            <w:shd w:val="clear" w:color="auto" w:fill="auto"/>
          </w:tcPr>
          <w:p>
            <w:pPr>
              <w:spacing w:after="240" w:line="240" w:lineRule="auto"/>
              <w:jc w:val="center"/>
              <w:rPr>
                <w:rFonts w:ascii="Times New Roman" w:hAnsi="Times New Roman"/>
                <w:bCs/>
                <w:noProof/>
                <w:sz w:val="24"/>
                <w:szCs w:val="24"/>
              </w:rPr>
            </w:pPr>
          </w:p>
          <w:p>
            <w:pPr>
              <w:spacing w:after="240" w:line="240" w:lineRule="auto"/>
              <w:jc w:val="center"/>
              <w:rPr>
                <w:rFonts w:ascii="Times New Roman" w:hAnsi="Times New Roman"/>
                <w:bCs/>
                <w:noProof/>
                <w:sz w:val="24"/>
                <w:szCs w:val="24"/>
              </w:rPr>
            </w:pPr>
            <w:r>
              <w:rPr>
                <w:rFonts w:ascii="Times New Roman" w:hAnsi="Times New Roman"/>
                <w:noProof/>
                <w:sz w:val="24"/>
              </w:rPr>
              <w:t>600</w:t>
            </w:r>
          </w:p>
        </w:tc>
      </w:tr>
      <w:tr>
        <w:tc>
          <w:tcPr>
            <w:tcW w:w="827" w:type="pct"/>
            <w:shd w:val="clear" w:color="auto" w:fill="auto"/>
          </w:tcPr>
          <w:p>
            <w:pPr>
              <w:spacing w:after="240" w:line="240" w:lineRule="auto"/>
              <w:jc w:val="center"/>
              <w:rPr>
                <w:rFonts w:ascii="Times New Roman" w:hAnsi="Times New Roman"/>
                <w:noProof/>
                <w:sz w:val="24"/>
                <w:szCs w:val="24"/>
              </w:rPr>
            </w:pPr>
          </w:p>
          <w:p>
            <w:pPr>
              <w:spacing w:after="240" w:line="240" w:lineRule="auto"/>
              <w:jc w:val="center"/>
              <w:rPr>
                <w:rFonts w:ascii="Times New Roman" w:hAnsi="Times New Roman"/>
                <w:b/>
                <w:noProof/>
                <w:sz w:val="24"/>
                <w:szCs w:val="24"/>
              </w:rPr>
            </w:pPr>
            <w:r>
              <w:rPr>
                <w:rFonts w:ascii="Times New Roman" w:hAnsi="Times New Roman"/>
                <w:noProof/>
                <w:sz w:val="24"/>
              </w:rPr>
              <w:t>Jordania</w:t>
            </w:r>
          </w:p>
        </w:tc>
        <w:tc>
          <w:tcPr>
            <w:tcW w:w="1367" w:type="pct"/>
            <w:shd w:val="clear" w:color="auto" w:fill="auto"/>
          </w:tcPr>
          <w:p>
            <w:pPr>
              <w:spacing w:after="0" w:line="240" w:lineRule="auto"/>
              <w:jc w:val="center"/>
              <w:rPr>
                <w:rFonts w:ascii="Times New Roman" w:hAnsi="Times New Roman"/>
                <w:bCs/>
                <w:noProof/>
                <w:sz w:val="24"/>
                <w:szCs w:val="24"/>
              </w:rPr>
            </w:pPr>
          </w:p>
          <w:p>
            <w:pPr>
              <w:spacing w:after="0" w:line="240" w:lineRule="auto"/>
              <w:jc w:val="center"/>
              <w:rPr>
                <w:rFonts w:ascii="Times New Roman" w:hAnsi="Times New Roman"/>
                <w:bCs/>
                <w:noProof/>
                <w:sz w:val="24"/>
                <w:szCs w:val="24"/>
              </w:rPr>
            </w:pPr>
            <w:r>
              <w:rPr>
                <w:rFonts w:ascii="Times New Roman" w:hAnsi="Times New Roman"/>
                <w:noProof/>
                <w:sz w:val="24"/>
              </w:rPr>
              <w:t>Jordania</w:t>
            </w:r>
          </w:p>
          <w:p>
            <w:pPr>
              <w:spacing w:after="240" w:line="240" w:lineRule="auto"/>
              <w:jc w:val="center"/>
              <w:rPr>
                <w:rFonts w:ascii="Times New Roman" w:hAnsi="Times New Roman"/>
                <w:b/>
                <w:noProof/>
                <w:sz w:val="24"/>
                <w:szCs w:val="24"/>
              </w:rPr>
            </w:pPr>
            <w:r>
              <w:rPr>
                <w:rFonts w:ascii="Times New Roman" w:hAnsi="Times New Roman"/>
                <w:noProof/>
                <w:sz w:val="24"/>
              </w:rPr>
              <w:t>2. erä</w:t>
            </w:r>
          </w:p>
        </w:tc>
        <w:tc>
          <w:tcPr>
            <w:tcW w:w="847" w:type="pct"/>
            <w:shd w:val="clear" w:color="auto" w:fill="auto"/>
          </w:tcPr>
          <w:p>
            <w:pPr>
              <w:spacing w:after="240" w:line="240" w:lineRule="auto"/>
              <w:jc w:val="center"/>
              <w:rPr>
                <w:rFonts w:ascii="Times New Roman" w:hAnsi="Times New Roman"/>
                <w:bCs/>
                <w:noProof/>
                <w:sz w:val="24"/>
                <w:szCs w:val="24"/>
              </w:rPr>
            </w:pPr>
          </w:p>
          <w:p>
            <w:pPr>
              <w:spacing w:after="240" w:line="240" w:lineRule="auto"/>
              <w:jc w:val="center"/>
              <w:rPr>
                <w:rFonts w:ascii="Times New Roman" w:hAnsi="Times New Roman"/>
                <w:b/>
                <w:noProof/>
                <w:sz w:val="24"/>
                <w:szCs w:val="24"/>
              </w:rPr>
            </w:pPr>
            <w:r>
              <w:rPr>
                <w:rFonts w:ascii="Times New Roman" w:hAnsi="Times New Roman"/>
                <w:noProof/>
                <w:sz w:val="24"/>
              </w:rPr>
              <w:t>15.10.2015</w:t>
            </w:r>
          </w:p>
        </w:tc>
        <w:tc>
          <w:tcPr>
            <w:tcW w:w="1109" w:type="pct"/>
            <w:shd w:val="clear" w:color="auto" w:fill="auto"/>
          </w:tcPr>
          <w:p>
            <w:pPr>
              <w:spacing w:after="240" w:line="240" w:lineRule="auto"/>
              <w:jc w:val="center"/>
              <w:rPr>
                <w:rFonts w:ascii="Times New Roman" w:hAnsi="Times New Roman"/>
                <w:bCs/>
                <w:noProof/>
                <w:sz w:val="24"/>
                <w:szCs w:val="24"/>
              </w:rPr>
            </w:pPr>
          </w:p>
          <w:p>
            <w:pPr>
              <w:spacing w:after="240" w:line="240" w:lineRule="auto"/>
              <w:jc w:val="center"/>
              <w:rPr>
                <w:rFonts w:ascii="Times New Roman" w:hAnsi="Times New Roman"/>
                <w:b/>
                <w:noProof/>
                <w:sz w:val="24"/>
                <w:szCs w:val="24"/>
              </w:rPr>
            </w:pPr>
            <w:r>
              <w:rPr>
                <w:rFonts w:ascii="Times New Roman" w:hAnsi="Times New Roman"/>
                <w:noProof/>
                <w:sz w:val="24"/>
              </w:rPr>
              <w:t>4.10.2029</w:t>
            </w:r>
          </w:p>
        </w:tc>
        <w:tc>
          <w:tcPr>
            <w:tcW w:w="850" w:type="pct"/>
            <w:shd w:val="clear" w:color="auto" w:fill="auto"/>
          </w:tcPr>
          <w:p>
            <w:pPr>
              <w:spacing w:after="240" w:line="240" w:lineRule="auto"/>
              <w:jc w:val="center"/>
              <w:rPr>
                <w:rFonts w:ascii="Times New Roman" w:hAnsi="Times New Roman"/>
                <w:bCs/>
                <w:noProof/>
                <w:sz w:val="24"/>
                <w:szCs w:val="24"/>
              </w:rPr>
            </w:pPr>
          </w:p>
          <w:p>
            <w:pPr>
              <w:spacing w:after="240" w:line="240" w:lineRule="auto"/>
              <w:jc w:val="center"/>
              <w:rPr>
                <w:rFonts w:ascii="Times New Roman" w:hAnsi="Times New Roman"/>
                <w:b/>
                <w:noProof/>
                <w:sz w:val="24"/>
                <w:szCs w:val="24"/>
              </w:rPr>
            </w:pPr>
            <w:r>
              <w:rPr>
                <w:rFonts w:ascii="Times New Roman" w:hAnsi="Times New Roman"/>
                <w:noProof/>
                <w:sz w:val="24"/>
              </w:rPr>
              <w:t>80</w:t>
            </w:r>
          </w:p>
        </w:tc>
      </w:tr>
      <w:tr>
        <w:tc>
          <w:tcPr>
            <w:tcW w:w="827" w:type="pct"/>
            <w:shd w:val="clear" w:color="auto" w:fill="auto"/>
          </w:tcPr>
          <w:p>
            <w:pPr>
              <w:spacing w:after="240" w:line="240" w:lineRule="auto"/>
              <w:jc w:val="center"/>
              <w:rPr>
                <w:rFonts w:ascii="Times New Roman" w:hAnsi="Times New Roman"/>
                <w:noProof/>
                <w:sz w:val="24"/>
                <w:szCs w:val="24"/>
              </w:rPr>
            </w:pPr>
          </w:p>
          <w:p>
            <w:pPr>
              <w:spacing w:after="240" w:line="240" w:lineRule="auto"/>
              <w:jc w:val="center"/>
              <w:rPr>
                <w:rFonts w:ascii="Times New Roman" w:hAnsi="Times New Roman"/>
                <w:noProof/>
                <w:sz w:val="24"/>
                <w:szCs w:val="24"/>
              </w:rPr>
            </w:pPr>
            <w:r>
              <w:rPr>
                <w:rFonts w:ascii="Times New Roman" w:hAnsi="Times New Roman"/>
                <w:noProof/>
                <w:sz w:val="24"/>
              </w:rPr>
              <w:t>Kirgisian tasavalta</w:t>
            </w:r>
          </w:p>
        </w:tc>
        <w:tc>
          <w:tcPr>
            <w:tcW w:w="1367" w:type="pct"/>
            <w:shd w:val="clear" w:color="auto" w:fill="auto"/>
          </w:tcPr>
          <w:p>
            <w:pPr>
              <w:spacing w:after="0" w:line="240" w:lineRule="auto"/>
              <w:jc w:val="center"/>
              <w:rPr>
                <w:rFonts w:ascii="Times New Roman" w:hAnsi="Times New Roman"/>
                <w:bCs/>
                <w:noProof/>
                <w:sz w:val="24"/>
                <w:szCs w:val="24"/>
              </w:rPr>
            </w:pPr>
          </w:p>
          <w:p>
            <w:pPr>
              <w:spacing w:after="0" w:line="240" w:lineRule="auto"/>
              <w:jc w:val="center"/>
              <w:rPr>
                <w:rFonts w:ascii="Times New Roman" w:hAnsi="Times New Roman"/>
                <w:bCs/>
                <w:noProof/>
                <w:sz w:val="24"/>
                <w:szCs w:val="24"/>
              </w:rPr>
            </w:pPr>
            <w:r>
              <w:rPr>
                <w:rFonts w:ascii="Times New Roman" w:hAnsi="Times New Roman"/>
                <w:noProof/>
                <w:sz w:val="24"/>
              </w:rPr>
              <w:t>Kirgisian tasavalta</w:t>
            </w:r>
          </w:p>
          <w:p>
            <w:pPr>
              <w:spacing w:after="240" w:line="240" w:lineRule="auto"/>
              <w:jc w:val="center"/>
              <w:rPr>
                <w:rFonts w:ascii="Times New Roman" w:hAnsi="Times New Roman"/>
                <w:b/>
                <w:noProof/>
                <w:sz w:val="24"/>
                <w:szCs w:val="24"/>
              </w:rPr>
            </w:pPr>
            <w:r>
              <w:rPr>
                <w:rFonts w:ascii="Times New Roman" w:hAnsi="Times New Roman"/>
                <w:noProof/>
                <w:sz w:val="24"/>
              </w:rPr>
              <w:t>1. erä</w:t>
            </w:r>
          </w:p>
        </w:tc>
        <w:tc>
          <w:tcPr>
            <w:tcW w:w="847" w:type="pct"/>
            <w:shd w:val="clear" w:color="auto" w:fill="auto"/>
          </w:tcPr>
          <w:p>
            <w:pPr>
              <w:spacing w:after="240" w:line="240" w:lineRule="auto"/>
              <w:jc w:val="center"/>
              <w:rPr>
                <w:rFonts w:ascii="Times New Roman" w:hAnsi="Times New Roman"/>
                <w:bCs/>
                <w:noProof/>
                <w:sz w:val="24"/>
                <w:szCs w:val="24"/>
              </w:rPr>
            </w:pPr>
          </w:p>
          <w:p>
            <w:pPr>
              <w:spacing w:after="240" w:line="240" w:lineRule="auto"/>
              <w:jc w:val="center"/>
              <w:rPr>
                <w:rFonts w:ascii="Times New Roman" w:hAnsi="Times New Roman"/>
                <w:b/>
                <w:noProof/>
                <w:sz w:val="24"/>
                <w:szCs w:val="24"/>
              </w:rPr>
            </w:pPr>
            <w:r>
              <w:rPr>
                <w:rFonts w:ascii="Times New Roman" w:hAnsi="Times New Roman"/>
                <w:noProof/>
                <w:sz w:val="24"/>
              </w:rPr>
              <w:t>15.10.2015</w:t>
            </w:r>
          </w:p>
        </w:tc>
        <w:tc>
          <w:tcPr>
            <w:tcW w:w="1109" w:type="pct"/>
            <w:shd w:val="clear" w:color="auto" w:fill="auto"/>
          </w:tcPr>
          <w:p>
            <w:pPr>
              <w:spacing w:after="240" w:line="240" w:lineRule="auto"/>
              <w:jc w:val="center"/>
              <w:rPr>
                <w:rFonts w:ascii="Times New Roman" w:hAnsi="Times New Roman"/>
                <w:bCs/>
                <w:noProof/>
                <w:sz w:val="24"/>
                <w:szCs w:val="24"/>
              </w:rPr>
            </w:pPr>
          </w:p>
          <w:p>
            <w:pPr>
              <w:spacing w:after="240" w:line="240" w:lineRule="auto"/>
              <w:jc w:val="center"/>
              <w:rPr>
                <w:rFonts w:ascii="Times New Roman" w:hAnsi="Times New Roman"/>
                <w:b/>
                <w:noProof/>
                <w:sz w:val="24"/>
                <w:szCs w:val="24"/>
              </w:rPr>
            </w:pPr>
            <w:r>
              <w:rPr>
                <w:rFonts w:ascii="Times New Roman" w:hAnsi="Times New Roman"/>
                <w:noProof/>
                <w:sz w:val="24"/>
              </w:rPr>
              <w:t>4.10.2029</w:t>
            </w:r>
          </w:p>
        </w:tc>
        <w:tc>
          <w:tcPr>
            <w:tcW w:w="850" w:type="pct"/>
            <w:shd w:val="clear" w:color="auto" w:fill="auto"/>
          </w:tcPr>
          <w:p>
            <w:pPr>
              <w:spacing w:after="240" w:line="240" w:lineRule="auto"/>
              <w:jc w:val="center"/>
              <w:rPr>
                <w:rFonts w:ascii="Times New Roman" w:hAnsi="Times New Roman"/>
                <w:bCs/>
                <w:noProof/>
                <w:sz w:val="24"/>
                <w:szCs w:val="24"/>
              </w:rPr>
            </w:pPr>
          </w:p>
          <w:p>
            <w:pPr>
              <w:spacing w:after="240" w:line="240" w:lineRule="auto"/>
              <w:jc w:val="center"/>
              <w:rPr>
                <w:rFonts w:ascii="Times New Roman" w:hAnsi="Times New Roman"/>
                <w:b/>
                <w:noProof/>
                <w:sz w:val="24"/>
                <w:szCs w:val="24"/>
              </w:rPr>
            </w:pPr>
            <w:r>
              <w:rPr>
                <w:rFonts w:ascii="Times New Roman" w:hAnsi="Times New Roman"/>
                <w:noProof/>
                <w:sz w:val="24"/>
              </w:rPr>
              <w:t>5</w:t>
            </w:r>
          </w:p>
        </w:tc>
      </w:tr>
      <w:tr>
        <w:tc>
          <w:tcPr>
            <w:tcW w:w="827" w:type="pct"/>
            <w:shd w:val="clear" w:color="auto" w:fill="auto"/>
          </w:tcPr>
          <w:p>
            <w:pPr>
              <w:spacing w:after="240" w:line="240" w:lineRule="auto"/>
              <w:jc w:val="center"/>
              <w:rPr>
                <w:rFonts w:ascii="Times New Roman" w:hAnsi="Times New Roman"/>
                <w:noProof/>
                <w:sz w:val="24"/>
                <w:szCs w:val="24"/>
              </w:rPr>
            </w:pPr>
          </w:p>
          <w:p>
            <w:pPr>
              <w:spacing w:after="240" w:line="240" w:lineRule="auto"/>
              <w:jc w:val="center"/>
              <w:rPr>
                <w:rFonts w:ascii="Times New Roman" w:hAnsi="Times New Roman"/>
                <w:noProof/>
                <w:sz w:val="24"/>
                <w:szCs w:val="24"/>
              </w:rPr>
            </w:pPr>
            <w:r>
              <w:rPr>
                <w:rFonts w:ascii="Times New Roman" w:hAnsi="Times New Roman"/>
                <w:noProof/>
                <w:sz w:val="24"/>
              </w:rPr>
              <w:t>Tunisia</w:t>
            </w:r>
          </w:p>
        </w:tc>
        <w:tc>
          <w:tcPr>
            <w:tcW w:w="1367" w:type="pct"/>
            <w:shd w:val="clear" w:color="auto" w:fill="auto"/>
          </w:tcPr>
          <w:p>
            <w:pPr>
              <w:spacing w:after="0" w:line="240" w:lineRule="auto"/>
              <w:jc w:val="center"/>
              <w:rPr>
                <w:rFonts w:ascii="Times New Roman" w:hAnsi="Times New Roman"/>
                <w:bCs/>
                <w:noProof/>
                <w:sz w:val="24"/>
                <w:szCs w:val="24"/>
              </w:rPr>
            </w:pPr>
          </w:p>
          <w:p>
            <w:pPr>
              <w:spacing w:after="0" w:line="240" w:lineRule="auto"/>
              <w:jc w:val="center"/>
              <w:rPr>
                <w:rFonts w:ascii="Times New Roman" w:hAnsi="Times New Roman"/>
                <w:bCs/>
                <w:noProof/>
                <w:sz w:val="24"/>
                <w:szCs w:val="24"/>
              </w:rPr>
            </w:pPr>
            <w:r>
              <w:rPr>
                <w:rFonts w:ascii="Times New Roman" w:hAnsi="Times New Roman"/>
                <w:noProof/>
                <w:sz w:val="24"/>
              </w:rPr>
              <w:t>Tunisia</w:t>
            </w:r>
          </w:p>
          <w:p>
            <w:pPr>
              <w:spacing w:after="240" w:line="240" w:lineRule="auto"/>
              <w:jc w:val="center"/>
              <w:rPr>
                <w:rFonts w:ascii="Times New Roman" w:hAnsi="Times New Roman"/>
                <w:b/>
                <w:noProof/>
                <w:sz w:val="24"/>
                <w:szCs w:val="24"/>
              </w:rPr>
            </w:pPr>
            <w:r>
              <w:rPr>
                <w:rFonts w:ascii="Times New Roman" w:hAnsi="Times New Roman"/>
                <w:noProof/>
                <w:sz w:val="24"/>
              </w:rPr>
              <w:t>2. erä</w:t>
            </w:r>
          </w:p>
        </w:tc>
        <w:tc>
          <w:tcPr>
            <w:tcW w:w="847" w:type="pct"/>
            <w:shd w:val="clear" w:color="auto" w:fill="auto"/>
          </w:tcPr>
          <w:p>
            <w:pPr>
              <w:spacing w:after="240" w:line="240" w:lineRule="auto"/>
              <w:jc w:val="center"/>
              <w:rPr>
                <w:rFonts w:ascii="Times New Roman" w:hAnsi="Times New Roman"/>
                <w:noProof/>
                <w:sz w:val="24"/>
                <w:szCs w:val="24"/>
              </w:rPr>
            </w:pPr>
          </w:p>
          <w:p>
            <w:pPr>
              <w:spacing w:after="240" w:line="240" w:lineRule="auto"/>
              <w:jc w:val="center"/>
              <w:rPr>
                <w:rFonts w:ascii="Times New Roman" w:hAnsi="Times New Roman"/>
                <w:noProof/>
                <w:sz w:val="24"/>
                <w:szCs w:val="24"/>
              </w:rPr>
            </w:pPr>
            <w:r>
              <w:rPr>
                <w:rFonts w:ascii="Times New Roman" w:hAnsi="Times New Roman"/>
                <w:noProof/>
                <w:sz w:val="24"/>
              </w:rPr>
              <w:t>1.12.2015</w:t>
            </w:r>
          </w:p>
        </w:tc>
        <w:tc>
          <w:tcPr>
            <w:tcW w:w="1109" w:type="pct"/>
            <w:shd w:val="clear" w:color="auto" w:fill="auto"/>
          </w:tcPr>
          <w:p>
            <w:pPr>
              <w:spacing w:after="240" w:line="240" w:lineRule="auto"/>
              <w:jc w:val="center"/>
              <w:rPr>
                <w:rFonts w:ascii="Times New Roman" w:hAnsi="Times New Roman"/>
                <w:noProof/>
                <w:sz w:val="24"/>
                <w:szCs w:val="24"/>
              </w:rPr>
            </w:pPr>
          </w:p>
          <w:p>
            <w:pPr>
              <w:spacing w:after="240" w:line="240" w:lineRule="auto"/>
              <w:jc w:val="center"/>
              <w:rPr>
                <w:rFonts w:ascii="Times New Roman" w:hAnsi="Times New Roman"/>
                <w:noProof/>
                <w:sz w:val="24"/>
                <w:szCs w:val="24"/>
              </w:rPr>
            </w:pPr>
            <w:r>
              <w:rPr>
                <w:rFonts w:ascii="Times New Roman" w:hAnsi="Times New Roman"/>
                <w:noProof/>
                <w:sz w:val="24"/>
              </w:rPr>
              <w:t>1.12.2028</w:t>
            </w:r>
          </w:p>
        </w:tc>
        <w:tc>
          <w:tcPr>
            <w:tcW w:w="850" w:type="pct"/>
            <w:shd w:val="clear" w:color="auto" w:fill="auto"/>
          </w:tcPr>
          <w:p>
            <w:pPr>
              <w:spacing w:after="240" w:line="240" w:lineRule="auto"/>
              <w:jc w:val="center"/>
              <w:rPr>
                <w:rFonts w:ascii="Times New Roman" w:hAnsi="Times New Roman"/>
                <w:noProof/>
                <w:sz w:val="24"/>
                <w:szCs w:val="24"/>
              </w:rPr>
            </w:pPr>
          </w:p>
          <w:p>
            <w:pPr>
              <w:spacing w:after="240" w:line="240" w:lineRule="auto"/>
              <w:jc w:val="center"/>
              <w:rPr>
                <w:rFonts w:ascii="Times New Roman" w:hAnsi="Times New Roman"/>
                <w:noProof/>
                <w:sz w:val="24"/>
                <w:szCs w:val="24"/>
              </w:rPr>
            </w:pPr>
            <w:r>
              <w:rPr>
                <w:rFonts w:ascii="Times New Roman" w:hAnsi="Times New Roman"/>
                <w:noProof/>
                <w:sz w:val="24"/>
              </w:rPr>
              <w:t>100</w:t>
            </w:r>
          </w:p>
        </w:tc>
      </w:tr>
      <w:tr>
        <w:tc>
          <w:tcPr>
            <w:tcW w:w="827" w:type="pct"/>
            <w:shd w:val="clear" w:color="auto" w:fill="auto"/>
          </w:tcPr>
          <w:p>
            <w:pPr>
              <w:spacing w:after="240" w:line="240" w:lineRule="auto"/>
              <w:jc w:val="center"/>
              <w:rPr>
                <w:rFonts w:ascii="Times New Roman" w:hAnsi="Times New Roman"/>
                <w:b/>
                <w:noProof/>
                <w:sz w:val="24"/>
                <w:szCs w:val="24"/>
              </w:rPr>
            </w:pPr>
          </w:p>
          <w:p>
            <w:pPr>
              <w:spacing w:after="240" w:line="240" w:lineRule="auto"/>
              <w:jc w:val="center"/>
              <w:rPr>
                <w:rFonts w:ascii="Times New Roman" w:hAnsi="Times New Roman"/>
                <w:b/>
                <w:noProof/>
                <w:sz w:val="24"/>
                <w:szCs w:val="24"/>
              </w:rPr>
            </w:pPr>
            <w:r>
              <w:rPr>
                <w:rFonts w:ascii="Times New Roman" w:hAnsi="Times New Roman"/>
                <w:b/>
                <w:noProof/>
                <w:sz w:val="24"/>
              </w:rPr>
              <w:t>Yhteensä</w:t>
            </w:r>
          </w:p>
        </w:tc>
        <w:tc>
          <w:tcPr>
            <w:tcW w:w="1367" w:type="pct"/>
            <w:shd w:val="clear" w:color="auto" w:fill="auto"/>
          </w:tcPr>
          <w:p>
            <w:pPr>
              <w:spacing w:after="240" w:line="240" w:lineRule="auto"/>
              <w:jc w:val="center"/>
              <w:rPr>
                <w:rFonts w:ascii="Times New Roman" w:hAnsi="Times New Roman"/>
                <w:b/>
                <w:noProof/>
                <w:sz w:val="24"/>
                <w:szCs w:val="24"/>
              </w:rPr>
            </w:pPr>
          </w:p>
        </w:tc>
        <w:tc>
          <w:tcPr>
            <w:tcW w:w="847" w:type="pct"/>
            <w:shd w:val="clear" w:color="auto" w:fill="auto"/>
          </w:tcPr>
          <w:p>
            <w:pPr>
              <w:spacing w:after="240" w:line="240" w:lineRule="auto"/>
              <w:jc w:val="center"/>
              <w:rPr>
                <w:rFonts w:ascii="Times New Roman" w:hAnsi="Times New Roman"/>
                <w:b/>
                <w:noProof/>
                <w:sz w:val="24"/>
                <w:szCs w:val="24"/>
              </w:rPr>
            </w:pPr>
          </w:p>
        </w:tc>
        <w:tc>
          <w:tcPr>
            <w:tcW w:w="1109" w:type="pct"/>
            <w:shd w:val="clear" w:color="auto" w:fill="auto"/>
          </w:tcPr>
          <w:p>
            <w:pPr>
              <w:spacing w:after="240" w:line="240" w:lineRule="auto"/>
              <w:jc w:val="center"/>
              <w:rPr>
                <w:rFonts w:ascii="Times New Roman" w:hAnsi="Times New Roman"/>
                <w:b/>
                <w:noProof/>
                <w:sz w:val="24"/>
                <w:szCs w:val="24"/>
              </w:rPr>
            </w:pPr>
          </w:p>
        </w:tc>
        <w:tc>
          <w:tcPr>
            <w:tcW w:w="850" w:type="pct"/>
            <w:shd w:val="clear" w:color="auto" w:fill="auto"/>
          </w:tcPr>
          <w:p>
            <w:pPr>
              <w:spacing w:after="240" w:line="240" w:lineRule="auto"/>
              <w:jc w:val="center"/>
              <w:rPr>
                <w:rFonts w:ascii="Times New Roman" w:hAnsi="Times New Roman"/>
                <w:b/>
                <w:noProof/>
                <w:sz w:val="24"/>
                <w:szCs w:val="24"/>
              </w:rPr>
            </w:pPr>
          </w:p>
          <w:p>
            <w:pPr>
              <w:spacing w:after="240" w:line="240" w:lineRule="auto"/>
              <w:jc w:val="center"/>
              <w:rPr>
                <w:rFonts w:ascii="Times New Roman" w:hAnsi="Times New Roman"/>
                <w:b/>
                <w:noProof/>
                <w:sz w:val="24"/>
                <w:szCs w:val="24"/>
              </w:rPr>
            </w:pPr>
            <w:r>
              <w:rPr>
                <w:rFonts w:ascii="Times New Roman" w:hAnsi="Times New Roman"/>
                <w:b/>
                <w:noProof/>
                <w:sz w:val="24"/>
              </w:rPr>
              <w:t>1 245</w:t>
            </w:r>
          </w:p>
        </w:tc>
      </w:tr>
    </w:tbl>
    <w:p>
      <w:pPr>
        <w:pStyle w:val="ManualHeading2"/>
        <w:spacing w:after="240"/>
        <w:ind w:left="851" w:hanging="851"/>
        <w:outlineLvl w:val="0"/>
        <w:rPr>
          <w:noProof/>
        </w:rPr>
      </w:pPr>
      <w:bookmarkStart w:id="98" w:name="_Toc388883949"/>
      <w:bookmarkStart w:id="99" w:name="_Toc393808501"/>
    </w:p>
    <w:p>
      <w:pPr>
        <w:pStyle w:val="ManualHeading2"/>
        <w:spacing w:before="240" w:after="240"/>
        <w:ind w:left="851" w:hanging="851"/>
        <w:outlineLvl w:val="0"/>
        <w:rPr>
          <w:noProof/>
        </w:rPr>
      </w:pPr>
      <w:bookmarkStart w:id="100" w:name="_Toc451257937"/>
      <w:bookmarkStart w:id="101" w:name="_Toc452361678"/>
      <w:r>
        <w:rPr>
          <w:noProof/>
        </w:rPr>
        <w:t>3.4.</w:t>
      </w:r>
      <w:r>
        <w:rPr>
          <w:noProof/>
        </w:rPr>
        <w:tab/>
        <w:t>Euratom</w:t>
      </w:r>
      <w:bookmarkEnd w:id="95"/>
      <w:bookmarkEnd w:id="96"/>
      <w:bookmarkEnd w:id="97"/>
      <w:bookmarkEnd w:id="98"/>
      <w:bookmarkEnd w:id="99"/>
      <w:r>
        <w:rPr>
          <w:noProof/>
        </w:rPr>
        <w:t>-järjestely</w:t>
      </w:r>
      <w:bookmarkEnd w:id="100"/>
      <w:bookmarkEnd w:id="101"/>
    </w:p>
    <w:p>
      <w:pPr>
        <w:spacing w:after="240" w:line="240" w:lineRule="auto"/>
        <w:jc w:val="both"/>
        <w:rPr>
          <w:rFonts w:ascii="Times New Roman" w:hAnsi="Times New Roman"/>
          <w:noProof/>
          <w:sz w:val="24"/>
          <w:szCs w:val="24"/>
        </w:rPr>
      </w:pPr>
      <w:r>
        <w:rPr>
          <w:rFonts w:ascii="Times New Roman" w:hAnsi="Times New Roman"/>
          <w:noProof/>
          <w:sz w:val="24"/>
        </w:rPr>
        <w:t>Vuonna 2015 ei toteutettu yhtään Euratomiin liittyvää lainanotto-operaatiota.</w:t>
      </w:r>
    </w:p>
    <w:p>
      <w:pPr>
        <w:pStyle w:val="ManualHeading1"/>
        <w:spacing w:after="240"/>
        <w:ind w:left="851" w:hanging="851"/>
        <w:rPr>
          <w:noProof/>
        </w:rPr>
      </w:pPr>
      <w:bookmarkStart w:id="102" w:name="_Toc325641150"/>
      <w:bookmarkStart w:id="103" w:name="_Toc330157552"/>
      <w:bookmarkStart w:id="104" w:name="_Toc361393262"/>
      <w:bookmarkStart w:id="105" w:name="_Toc388883950"/>
      <w:bookmarkStart w:id="106" w:name="_Toc393808502"/>
      <w:bookmarkStart w:id="107" w:name="_Toc451257938"/>
      <w:bookmarkStart w:id="108" w:name="_Toc452361679"/>
      <w:r>
        <w:rPr>
          <w:noProof/>
        </w:rPr>
        <w:t>4.</w:t>
      </w:r>
      <w:r>
        <w:rPr>
          <w:noProof/>
        </w:rPr>
        <w:tab/>
        <w:t>Euroopan investointipankki</w:t>
      </w:r>
      <w:bookmarkEnd w:id="102"/>
      <w:bookmarkEnd w:id="103"/>
      <w:bookmarkEnd w:id="104"/>
      <w:bookmarkEnd w:id="105"/>
      <w:bookmarkEnd w:id="106"/>
      <w:bookmarkEnd w:id="107"/>
      <w:bookmarkEnd w:id="108"/>
      <w:r>
        <w:rPr>
          <w:noProof/>
        </w:rPr>
        <w:t xml:space="preserve"> </w:t>
      </w:r>
    </w:p>
    <w:p>
      <w:pPr>
        <w:pStyle w:val="ManualHeading2"/>
        <w:spacing w:after="240"/>
        <w:ind w:left="851" w:hanging="851"/>
        <w:rPr>
          <w:noProof/>
        </w:rPr>
      </w:pPr>
      <w:bookmarkStart w:id="109" w:name="_Toc325641151"/>
      <w:bookmarkStart w:id="110" w:name="_Toc330157553"/>
      <w:bookmarkStart w:id="111" w:name="_Toc361393263"/>
      <w:bookmarkStart w:id="112" w:name="_Toc388883951"/>
      <w:bookmarkStart w:id="113" w:name="_Toc393808503"/>
      <w:bookmarkStart w:id="114" w:name="_Toc451257939"/>
      <w:bookmarkStart w:id="115" w:name="_Toc452361680"/>
      <w:r>
        <w:rPr>
          <w:noProof/>
        </w:rPr>
        <w:t>4.1.</w:t>
      </w:r>
      <w:r>
        <w:rPr>
          <w:noProof/>
        </w:rPr>
        <w:tab/>
        <w:t>Euroopan investointipankin lainanantotoiminta</w:t>
      </w:r>
      <w:bookmarkEnd w:id="109"/>
      <w:bookmarkEnd w:id="110"/>
      <w:bookmarkEnd w:id="111"/>
      <w:bookmarkEnd w:id="112"/>
      <w:bookmarkEnd w:id="113"/>
      <w:bookmarkEnd w:id="114"/>
      <w:bookmarkEnd w:id="115"/>
    </w:p>
    <w:p>
      <w:pPr>
        <w:spacing w:after="120" w:line="240" w:lineRule="auto"/>
        <w:jc w:val="both"/>
        <w:rPr>
          <w:rFonts w:ascii="Times New Roman" w:hAnsi="Times New Roman"/>
          <w:noProof/>
          <w:sz w:val="24"/>
          <w:szCs w:val="24"/>
        </w:rPr>
      </w:pPr>
      <w:r>
        <w:rPr>
          <w:rFonts w:ascii="Times New Roman" w:hAnsi="Times New Roman"/>
          <w:noProof/>
          <w:sz w:val="24"/>
        </w:rPr>
        <w:t xml:space="preserve">EIP:n myöntämillä lainoilla rahoitetaan joko </w:t>
      </w:r>
      <w:r>
        <w:rPr>
          <w:rFonts w:ascii="Times New Roman" w:hAnsi="Times New Roman"/>
          <w:i/>
          <w:noProof/>
          <w:sz w:val="24"/>
        </w:rPr>
        <w:t>suoraan</w:t>
      </w:r>
      <w:r>
        <w:rPr>
          <w:rFonts w:ascii="Times New Roman" w:hAnsi="Times New Roman"/>
          <w:noProof/>
          <w:sz w:val="24"/>
        </w:rPr>
        <w:t xml:space="preserve"> yksittäisiä investointihankkeita tai </w:t>
      </w:r>
      <w:r>
        <w:rPr>
          <w:rFonts w:ascii="Times New Roman" w:hAnsi="Times New Roman"/>
          <w:i/>
          <w:noProof/>
          <w:sz w:val="24"/>
        </w:rPr>
        <w:t>rahoituksenvälittäjien kautta</w:t>
      </w:r>
      <w:r>
        <w:rPr>
          <w:rFonts w:ascii="Times New Roman" w:hAnsi="Times New Roman"/>
          <w:noProof/>
          <w:sz w:val="24"/>
        </w:rPr>
        <w:t xml:space="preserve"> pienempiä hankkeita, joita pk-yritykset tai paikallisviranomaiset ja kunnat toteuttavat. EIP-ryhmä, johon kuuluu myös Euroopan investointirahasto (EIR), tarjoaa myös lainatakauksia, teknistä apua ja riskipääomaa.</w:t>
      </w:r>
    </w:p>
    <w:p>
      <w:pPr>
        <w:spacing w:after="120" w:line="240" w:lineRule="auto"/>
        <w:jc w:val="both"/>
        <w:rPr>
          <w:rFonts w:ascii="Times New Roman" w:hAnsi="Times New Roman"/>
          <w:noProof/>
          <w:sz w:val="24"/>
          <w:szCs w:val="24"/>
        </w:rPr>
      </w:pPr>
      <w:r>
        <w:rPr>
          <w:rFonts w:ascii="Times New Roman" w:hAnsi="Times New Roman"/>
          <w:noProof/>
          <w:sz w:val="24"/>
        </w:rPr>
        <w:t>Vuonna 2015 EIP myönsi rahoitusta kaikkiaan 77,5 miljardia euroa (77 miljardia euroa vuonna 2014). Kun mukaan lasketaan EIR:n toiminta, EIP-ryhmä rahoitti hankkeita 84,5 miljardilla eurolla. Tukea annettiin 462 hankkeelle 68 maassa eri puolilla maailmaa, ja näin saatiin liikkeelle lähes 230 miljardin euron investoinnit.</w:t>
      </w:r>
    </w:p>
    <w:p>
      <w:pPr>
        <w:spacing w:after="120" w:line="240" w:lineRule="auto"/>
        <w:jc w:val="both"/>
        <w:rPr>
          <w:rFonts w:ascii="Times New Roman" w:hAnsi="Times New Roman"/>
          <w:noProof/>
          <w:sz w:val="24"/>
          <w:szCs w:val="24"/>
        </w:rPr>
      </w:pPr>
      <w:r>
        <w:rPr>
          <w:rFonts w:ascii="Times New Roman" w:hAnsi="Times New Roman"/>
          <w:noProof/>
          <w:sz w:val="24"/>
        </w:rPr>
        <w:t>Lisäksi vuoden 2015 loppuun mennessä EIP-ryhmä oli myöntänyt yli 100 lainaa ja takausta Euroopan strategisten investointien rahaston (ESIR)</w:t>
      </w:r>
      <w:r>
        <w:rPr>
          <w:rStyle w:val="FootnoteReference"/>
          <w:rFonts w:ascii="Times New Roman" w:hAnsi="Times New Roman"/>
          <w:noProof/>
          <w:sz w:val="24"/>
        </w:rPr>
        <w:footnoteReference w:id="22"/>
      </w:r>
      <w:r>
        <w:rPr>
          <w:rFonts w:ascii="Times New Roman" w:hAnsi="Times New Roman"/>
          <w:noProof/>
          <w:sz w:val="24"/>
        </w:rPr>
        <w:t xml:space="preserve"> kautta osana Euroopan investointiohjelmaa. EIP:n ESIR-rahaston kautta toteuttamat rahoitus- ja sijoitusoperaatiot taataan EU:n talousarviosta. Operaatioihin sidotut varat olivat yhteensä 7,5 miljardia euroa, josta 5,7 miljardia euroa tuli EIP:stä ja 1,8 miljardia euroa EIR:stä. Varoilla käynnistettiin yhteensä 50 miljardin euron investoinnit.</w:t>
      </w:r>
    </w:p>
    <w:p>
      <w:pPr>
        <w:spacing w:after="120" w:line="240" w:lineRule="auto"/>
        <w:jc w:val="both"/>
        <w:rPr>
          <w:rFonts w:ascii="Times New Roman" w:hAnsi="Times New Roman"/>
          <w:noProof/>
          <w:sz w:val="24"/>
          <w:szCs w:val="24"/>
        </w:rPr>
      </w:pPr>
      <w:r>
        <w:rPr>
          <w:rFonts w:ascii="Times New Roman" w:hAnsi="Times New Roman"/>
          <w:noProof/>
          <w:sz w:val="24"/>
        </w:rPr>
        <w:t>EIP:n rahoitusoperaatiot vaikuttavat EU:n talousarvioon siinä tapauksessa, että ne taataan EU:n talousarviosta tai niissä käytetään muita EU:n talousarviovaroja. ESIR-rahaston lisäksi tämä koskee seuraavia operaatioita:</w:t>
      </w:r>
    </w:p>
    <w:p>
      <w:pPr>
        <w:numPr>
          <w:ilvl w:val="0"/>
          <w:numId w:val="25"/>
        </w:numPr>
        <w:spacing w:after="120" w:line="240" w:lineRule="auto"/>
        <w:ind w:left="284" w:hanging="284"/>
        <w:jc w:val="both"/>
        <w:rPr>
          <w:rFonts w:ascii="Times New Roman" w:hAnsi="Times New Roman"/>
          <w:noProof/>
          <w:sz w:val="24"/>
          <w:szCs w:val="24"/>
        </w:rPr>
      </w:pPr>
      <w:r>
        <w:rPr>
          <w:rFonts w:ascii="Times New Roman" w:hAnsi="Times New Roman"/>
          <w:noProof/>
          <w:sz w:val="24"/>
        </w:rPr>
        <w:t>rahoitusoperaatiot, jotka EIP toteuttaa ulkoisilla lainanantovaltuuksillaan ja joiden kohteena ovat liittymistä valmistelevat maat, naapuruuspolitiikan kohdemaat, kumppanuusmaat, Aasia, Latinalainen Amerikka ja Etelä-Afrikka. Tämän rahoituksen poliittiset ja muut valtioon liittyvät riskit taataan EU:n talousarviosta.</w:t>
      </w:r>
      <w:r>
        <w:rPr>
          <w:rStyle w:val="FootnoteReference"/>
          <w:rFonts w:ascii="Times New Roman" w:hAnsi="Times New Roman"/>
          <w:noProof/>
          <w:sz w:val="24"/>
        </w:rPr>
        <w:footnoteReference w:id="23"/>
      </w:r>
      <w:r>
        <w:rPr>
          <w:rFonts w:ascii="Times New Roman" w:hAnsi="Times New Roman"/>
          <w:noProof/>
          <w:sz w:val="24"/>
        </w:rPr>
        <w:t xml:space="preserve"> Komissio antaa vuoden 2016 toisella vuosipuoliskolla erillisen kertomuksen rahoitusoperaatioista, jotka EIP on toteuttanut ulkoisilla lainanantovaltuuksillaan;</w:t>
      </w:r>
    </w:p>
    <w:p>
      <w:pPr>
        <w:numPr>
          <w:ilvl w:val="0"/>
          <w:numId w:val="25"/>
        </w:numPr>
        <w:spacing w:after="120" w:line="240" w:lineRule="auto"/>
        <w:ind w:left="284" w:hanging="284"/>
        <w:jc w:val="both"/>
        <w:rPr>
          <w:rFonts w:ascii="Times New Roman" w:hAnsi="Times New Roman"/>
          <w:noProof/>
          <w:sz w:val="24"/>
          <w:szCs w:val="24"/>
        </w:rPr>
      </w:pPr>
      <w:r>
        <w:rPr>
          <w:rFonts w:ascii="Times New Roman" w:hAnsi="Times New Roman"/>
          <w:noProof/>
          <w:sz w:val="24"/>
        </w:rPr>
        <w:t>riskinjakojärjestelyt, joiden yhteydessä EU:n talousarviota käytetään EU:n politiikan tukemiseen (esim. tutkimus- ja kehittämishankkeiden riskinjakorahoitusväline ja hankejoukkolainoja koskeva aloite).</w:t>
      </w:r>
    </w:p>
    <w:p>
      <w:pPr>
        <w:spacing w:after="120" w:line="240" w:lineRule="auto"/>
        <w:jc w:val="both"/>
        <w:rPr>
          <w:rFonts w:ascii="Times New Roman" w:hAnsi="Times New Roman"/>
          <w:noProof/>
          <w:sz w:val="24"/>
          <w:szCs w:val="24"/>
        </w:rPr>
      </w:pPr>
      <w:r>
        <w:rPr>
          <w:rFonts w:ascii="Times New Roman" w:hAnsi="Times New Roman"/>
          <w:noProof/>
          <w:sz w:val="24"/>
        </w:rPr>
        <w:t>Vuonna 2015 EU:n jäsenvaltioihin suuntautuneen EIP:n rahoituksen määrä oli 69,7 miljardia euroa eli 90 prosenttia EIP:n yhteenlasketusta lainanannosta. EU:n ulkopuolelle suuntautuneiden EIP:n lainananto-operaatioiden määrä oli 7,8 miljardia euroa. Tästä 4,8 miljardia euroa oli operaatioita, joiden poliittiset ja muut valtioon liittyvät riskit taattiin EU:n talousarviosta.</w:t>
      </w:r>
    </w:p>
    <w:p>
      <w:pPr>
        <w:spacing w:after="120" w:line="240" w:lineRule="auto"/>
        <w:jc w:val="both"/>
        <w:rPr>
          <w:rFonts w:ascii="Times New Roman" w:hAnsi="Times New Roman"/>
          <w:noProof/>
          <w:sz w:val="24"/>
          <w:szCs w:val="24"/>
        </w:rPr>
      </w:pPr>
      <w:r>
        <w:rPr>
          <w:rFonts w:ascii="Times New Roman" w:hAnsi="Times New Roman"/>
          <w:noProof/>
          <w:sz w:val="24"/>
        </w:rPr>
        <w:t>Ulkoisten lainanantovaltuuksien määrä on 27 miljardia euroa, johon vielä lisätään valinnainen 3 miljardin euron määrä. Euroopan parlamentti ja neuvosto päättävät valinnaisen määrän käyttöönotosta. Määrä otetaan käyttöön joko kokonaan tai osittain. Päätös tehdään ulkoisia lainanantovaltuuksia koskevan väliarvioinnin tulosten pohjalta tavanomaista lainsäätämisjärjestystä noudattaen.</w:t>
      </w:r>
    </w:p>
    <w:p>
      <w:pPr>
        <w:pStyle w:val="ManualHeading2"/>
        <w:spacing w:before="240" w:after="240"/>
        <w:ind w:left="851" w:hanging="851"/>
        <w:rPr>
          <w:noProof/>
        </w:rPr>
      </w:pPr>
      <w:bookmarkStart w:id="116" w:name="_Toc325641152"/>
      <w:bookmarkStart w:id="117" w:name="_Toc330157554"/>
      <w:bookmarkStart w:id="118" w:name="_Toc361393264"/>
      <w:bookmarkStart w:id="119" w:name="_Toc388883952"/>
      <w:bookmarkStart w:id="120" w:name="_Toc393808504"/>
      <w:bookmarkStart w:id="121" w:name="_Toc451257940"/>
      <w:bookmarkStart w:id="122" w:name="_Toc452361681"/>
      <w:r>
        <w:rPr>
          <w:noProof/>
        </w:rPr>
        <w:t>4.2.</w:t>
      </w:r>
      <w:r>
        <w:rPr>
          <w:noProof/>
        </w:rPr>
        <w:tab/>
        <w:t>Euroopan investointipankin lainanottotoiminta</w:t>
      </w:r>
      <w:bookmarkEnd w:id="116"/>
      <w:bookmarkEnd w:id="117"/>
      <w:bookmarkEnd w:id="118"/>
      <w:bookmarkEnd w:id="119"/>
      <w:bookmarkEnd w:id="120"/>
      <w:bookmarkEnd w:id="121"/>
      <w:bookmarkEnd w:id="122"/>
    </w:p>
    <w:p>
      <w:pPr>
        <w:spacing w:after="120" w:line="240" w:lineRule="auto"/>
        <w:jc w:val="both"/>
        <w:rPr>
          <w:rFonts w:ascii="Times New Roman" w:hAnsi="Times New Roman"/>
          <w:noProof/>
          <w:sz w:val="24"/>
          <w:szCs w:val="24"/>
        </w:rPr>
      </w:pPr>
      <w:bookmarkStart w:id="123" w:name="_CopyToNewDocument_"/>
      <w:bookmarkStart w:id="124" w:name="_Toc330157555"/>
      <w:bookmarkStart w:id="125" w:name="_Toc361393265"/>
      <w:bookmarkEnd w:id="123"/>
      <w:r>
        <w:rPr>
          <w:rFonts w:ascii="Times New Roman" w:hAnsi="Times New Roman"/>
          <w:noProof/>
          <w:sz w:val="24"/>
        </w:rPr>
        <w:t>EIP:n lainananto-operaatiot rahoitetaan pääosin laskemalla liikkeeseen joukkovelkakirjoja kansainvälisillä pääomamarkkinoilla. EIP:n varainhankintastrategian yleisenä tavoitteena on optimoida kestävästi varainhankinnan hinta. EIP:n varainhankintastrategiassa yhdistyy kaksi elementtiä: suuret ja likvidit joukkovelkakirjalainat, jotka lasketaan liikkeeseen yleisimmin käytetyillä valuutoilla, sekä kohdennetut ja räätälöidyt joukkovelkakirjalainat, jotka lasketaan liikkeeseen muilla valuutoilla.</w:t>
      </w:r>
    </w:p>
    <w:p>
      <w:pPr>
        <w:spacing w:after="120" w:line="240" w:lineRule="auto"/>
        <w:jc w:val="both"/>
        <w:rPr>
          <w:rFonts w:ascii="Times New Roman" w:hAnsi="Times New Roman"/>
          <w:noProof/>
          <w:sz w:val="24"/>
          <w:szCs w:val="24"/>
        </w:rPr>
      </w:pPr>
      <w:r>
        <w:rPr>
          <w:rFonts w:ascii="Times New Roman" w:hAnsi="Times New Roman"/>
          <w:noProof/>
          <w:sz w:val="24"/>
        </w:rPr>
        <w:t>Vuonna 2015 EIP:n lainanoton määrä</w:t>
      </w:r>
      <w:r>
        <w:rPr>
          <w:rStyle w:val="FootnoteReference"/>
          <w:noProof/>
        </w:rPr>
        <w:t xml:space="preserve"> </w:t>
      </w:r>
      <w:r>
        <w:rPr>
          <w:rFonts w:ascii="Times New Roman" w:hAnsi="Times New Roman"/>
          <w:noProof/>
          <w:sz w:val="24"/>
        </w:rPr>
        <w:t>oli yhteensä 62,4 miljardia euroa ja lainojen keskimääräinen juoksuaika 6,4 vuotta.</w:t>
      </w:r>
      <w:bookmarkEnd w:id="124"/>
      <w:bookmarkEnd w:id="125"/>
    </w:p>
    <w:sectPr>
      <w:headerReference w:type="even" r:id="rId22"/>
      <w:headerReference w:type="default" r:id="rId23"/>
      <w:footerReference w:type="even" r:id="rId24"/>
      <w:footerReference w:type="default" r:id="rId25"/>
      <w:headerReference w:type="first" r:id="rId26"/>
      <w:footerReference w:type="first" r:id="rId27"/>
      <w:pgSz w:w="11907" w:h="16839"/>
      <w:pgMar w:top="1134" w:right="1417" w:bottom="1134" w:left="1417" w:header="709" w:footer="7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535"/>
        <w:tab w:val="left" w:pos="127"/>
        <w:tab w:val="center" w:pos="4536"/>
      </w:tabs>
    </w:pPr>
    <w:r>
      <w:tab/>
    </w:r>
    <w:r>
      <w:tab/>
    </w:r>
    <w:r>
      <w:fldChar w:fldCharType="begin"/>
    </w:r>
    <w:r>
      <w:instrText xml:space="preserve"> PAGE   \* MERGEFORMAT </w:instrText>
    </w:r>
    <w:r>
      <w:fldChar w:fldCharType="separate"/>
    </w:r>
    <w:r>
      <w:rPr>
        <w:noProof/>
      </w:rPr>
      <w:t>3</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ab/>
        <w:t>Komission lainanotto- ja lainanantotoimintaa esitellään yksityiskohtaisesti osoitteessa http://ec.europa.eu/economy_finance/eu_borrower/index_fi.htm</w:t>
      </w:r>
    </w:p>
  </w:footnote>
  <w:footnote w:id="2">
    <w:p>
      <w:pPr>
        <w:pStyle w:val="FootnoteText"/>
        <w:ind w:left="709" w:hanging="709"/>
      </w:pPr>
      <w:r>
        <w:rPr>
          <w:rStyle w:val="FootnoteReference"/>
        </w:rPr>
        <w:footnoteRef/>
      </w:r>
      <w:r>
        <w:tab/>
        <w:t>EYVL L 53, 23.2.2002, s. 1.</w:t>
      </w:r>
    </w:p>
  </w:footnote>
  <w:footnote w:id="3">
    <w:p>
      <w:pPr>
        <w:pStyle w:val="FootnoteText"/>
      </w:pPr>
      <w:r>
        <w:rPr>
          <w:rStyle w:val="FootnoteReference"/>
        </w:rPr>
        <w:footnoteRef/>
      </w:r>
      <w:r>
        <w:tab/>
        <w:t>Neuvoston päätös 2013/531/EU, annettu 22 päivänä lokakuuta 2013, unionin keskipitkän ajan ennalta varautuvan rahoitustuen myöntämisestä Romanialle (EUVL L 286, 29.10.2013, s. 1).</w:t>
      </w:r>
    </w:p>
  </w:footnote>
  <w:footnote w:id="4">
    <w:p>
      <w:pPr>
        <w:spacing w:after="240" w:line="240" w:lineRule="auto"/>
        <w:ind w:left="709" w:hanging="709"/>
      </w:pPr>
      <w:r>
        <w:rPr>
          <w:rStyle w:val="FootnoteReference"/>
        </w:rPr>
        <w:footnoteRef/>
      </w:r>
      <w:r>
        <w:t xml:space="preserve"> </w:t>
      </w:r>
      <w:r>
        <w:tab/>
      </w:r>
      <w:r>
        <w:rPr>
          <w:rFonts w:ascii="Times New Roman" w:hAnsi="Times New Roman"/>
          <w:sz w:val="20"/>
        </w:rPr>
        <w:t>Tarkempia tietoja maksutasejärjestelystä on osoitteessa http://ec.europa.eu/economy_finance/eu_borrower/balance_of_payments/index_en.htm</w:t>
      </w:r>
    </w:p>
  </w:footnote>
  <w:footnote w:id="5">
    <w:p>
      <w:pPr>
        <w:pStyle w:val="FootnoteText"/>
      </w:pPr>
      <w:r>
        <w:rPr>
          <w:rStyle w:val="FootnoteReference"/>
        </w:rPr>
        <w:footnoteRef/>
      </w:r>
      <w:r>
        <w:t xml:space="preserve"> </w:t>
      </w:r>
      <w:r>
        <w:tab/>
        <w:t>Sellaisena kuin se on muutettuna 4 päivänä elokuuta 2015 annetulla neuvoston asetuksella (EU) 2015/1360 (EUVL L 210, 7.8.2015, s. 1).</w:t>
      </w:r>
    </w:p>
  </w:footnote>
  <w:footnote w:id="6">
    <w:p>
      <w:pPr>
        <w:pStyle w:val="FootnoteText"/>
      </w:pPr>
      <w:r>
        <w:rPr>
          <w:rStyle w:val="FootnoteReference"/>
        </w:rPr>
        <w:footnoteRef/>
      </w:r>
      <w:r>
        <w:tab/>
        <w:t>SEUT-sopimuksen 122 artiklan 2 kohdan nojalla jäsenvaltioille voidaan myöntää taloudellista apua, jos poikkeukselliset olosuhteet, joihin jäsenvaltiot eivät voi vaikuttaa, ovat aiheuttaneet niille vaikeuksia.</w:t>
      </w:r>
    </w:p>
  </w:footnote>
  <w:footnote w:id="7">
    <w:p>
      <w:pPr>
        <w:pStyle w:val="FootnoteText"/>
        <w:jc w:val="left"/>
      </w:pPr>
      <w:r>
        <w:rPr>
          <w:rStyle w:val="FootnoteReference"/>
        </w:rPr>
        <w:footnoteRef/>
      </w:r>
      <w:r>
        <w:t xml:space="preserve"> </w:t>
      </w:r>
      <w:r>
        <w:tab/>
        <w:t>Tarkempia tietoja ERVM-operaatioista on osoitteessa http://ec.europa.eu/economy_finance/eu_borrower/efsm/index_en.htm</w:t>
      </w:r>
    </w:p>
  </w:footnote>
  <w:footnote w:id="8">
    <w:p>
      <w:pPr>
        <w:pStyle w:val="FootnoteText"/>
      </w:pPr>
      <w:r>
        <w:rPr>
          <w:rStyle w:val="FootnoteReference"/>
        </w:rPr>
        <w:footnoteRef/>
      </w:r>
      <w:r>
        <w:tab/>
        <w:t>Neuvoston täytäntöönpanopäätös 2011/77/EU, annettu 7 päivänä joulukuuta 2010, unionin Irlannille myöntämästä rahoitustuesta (EUVL L 30, 4.2.2011, s. 34).</w:t>
      </w:r>
    </w:p>
  </w:footnote>
  <w:footnote w:id="9">
    <w:p>
      <w:pPr>
        <w:pStyle w:val="FootnoteText"/>
      </w:pPr>
      <w:r>
        <w:rPr>
          <w:rStyle w:val="FootnoteReference"/>
        </w:rPr>
        <w:footnoteRef/>
      </w:r>
      <w:r>
        <w:tab/>
        <w:t>Neuvoston täytäntöönpanopäätös 2011/344/EU, annettu 30 päivänä toukokuuta 2011, unionin Portugalille myöntämästä rahoitustuesta (EUVL L 159, 17.6.2011, s. 88).</w:t>
      </w:r>
    </w:p>
  </w:footnote>
  <w:footnote w:id="10">
    <w:p>
      <w:pPr>
        <w:pStyle w:val="FootnoteText"/>
      </w:pPr>
      <w:r>
        <w:rPr>
          <w:rStyle w:val="FootnoteReference"/>
        </w:rPr>
        <w:footnoteRef/>
      </w:r>
      <w:r>
        <w:t xml:space="preserve"> </w:t>
      </w:r>
      <w:r>
        <w:tab/>
        <w:t>Neuvoston täytäntöönpanopäätös (EU) 2015/1181, annettu 17 päivänä heinäkuuta 2015, unionin Kreikalle myöntämästä lyhytaikaisesta rahoitustuesta (EUVL L 192, 18.7.2015, s. 15).</w:t>
      </w:r>
    </w:p>
  </w:footnote>
  <w:footnote w:id="11">
    <w:p>
      <w:pPr>
        <w:pStyle w:val="FootnoteText"/>
      </w:pPr>
      <w:r>
        <w:rPr>
          <w:rStyle w:val="FootnoteReference"/>
        </w:rPr>
        <w:footnoteRef/>
      </w:r>
      <w:r>
        <w:t xml:space="preserve"> </w:t>
      </w:r>
      <w:r>
        <w:tab/>
        <w:t>Yksityiskohtaista tietoa makrotaloudellisesta rahoitusavusta on osoitteessa http://ec.europa.eu/economy_finance/eu_borrower/macro-financial_assistance/index_en.htm</w:t>
      </w:r>
    </w:p>
  </w:footnote>
  <w:footnote w:id="12">
    <w:p>
      <w:pPr>
        <w:pStyle w:val="FootnoteText"/>
      </w:pPr>
      <w:r>
        <w:rPr>
          <w:rStyle w:val="FootnoteReference"/>
        </w:rPr>
        <w:footnoteRef/>
      </w:r>
      <w:r>
        <w:tab/>
        <w:t>Ks. neuvoston asetus (EY, Euratom) N:o 480/2009 takuurahaston perustamisesta ulkosuhteisiin liittyville hankkeille (kodifioitu toisinto) (EUVL L 145, 10.6.2009, s. 10). Tähän mennessä yhtään makrotaloudellisena rahoitusapuna myönnettyä lainaa ei ole jätetty maksamatta takaisin.</w:t>
      </w:r>
    </w:p>
  </w:footnote>
  <w:footnote w:id="13">
    <w:p>
      <w:pPr>
        <w:pStyle w:val="FootnoteText"/>
      </w:pPr>
      <w:r>
        <w:rPr>
          <w:rStyle w:val="FootnoteReference"/>
        </w:rPr>
        <w:footnoteRef/>
      </w:r>
      <w:r>
        <w:tab/>
        <w:t xml:space="preserve">Vaikka komission ottaman lainan takaisinmaksu taataan viime kädessä EU:n talousarviosta, takuurahasto toimii maksuvalmiuspuskurina, joka suojaa EU:n talousarviota maksulaiminlyöntien riskiltä. Ks. rahaston toimintaa koskeva kattava kertomus (COM(2014) 214) ja sen liitteenä oleva komission yksiköiden valmisteluasiakirja (SWD(2014) 129). </w:t>
      </w:r>
    </w:p>
  </w:footnote>
  <w:footnote w:id="14">
    <w:p>
      <w:pPr>
        <w:pStyle w:val="FootnoteText"/>
      </w:pPr>
      <w:r>
        <w:rPr>
          <w:rStyle w:val="FootnoteReference"/>
        </w:rPr>
        <w:footnoteRef/>
      </w:r>
      <w:r>
        <w:tab/>
        <w:t>Euroopan parlamentin ja neuvoston päätös (EU) 2015/601, annettu 15 päivänä huhtikuuta 2015, makrotaloudellisen rahoitusavun myöntämisestä Ukrainalle (EUVL L 100, 17.4.2015, s. 1).</w:t>
      </w:r>
    </w:p>
  </w:footnote>
  <w:footnote w:id="15">
    <w:p>
      <w:pPr>
        <w:pStyle w:val="FootnoteText"/>
      </w:pPr>
      <w:r>
        <w:rPr>
          <w:rStyle w:val="FootnoteReference"/>
        </w:rPr>
        <w:footnoteRef/>
      </w:r>
      <w:r>
        <w:t xml:space="preserve"> </w:t>
      </w:r>
      <w:r>
        <w:tab/>
        <w:t>Neuvoston päätös 2002/639/EY, tehty 12 päivänä heinäkuuta 2002, täydentävän makrotaloudellisen rahoitusavun myöntämisestä Ukrainalle (EYVL L 209, 6.8.2002, s. 22).</w:t>
      </w:r>
    </w:p>
  </w:footnote>
  <w:footnote w:id="16">
    <w:p>
      <w:pPr>
        <w:pStyle w:val="FootnoteText"/>
        <w:rPr>
          <w:sz w:val="18"/>
          <w:szCs w:val="18"/>
        </w:rPr>
      </w:pPr>
      <w:r>
        <w:rPr>
          <w:rStyle w:val="FootnoteReference"/>
        </w:rPr>
        <w:footnoteRef/>
      </w:r>
      <w:r>
        <w:rPr>
          <w:rStyle w:val="FootnoteReference"/>
        </w:rPr>
        <w:t xml:space="preserve"> </w:t>
      </w:r>
      <w:r>
        <w:tab/>
        <w:t>Euroopan parlamentin ja neuvoston päätös N:o 388/2010/EU, annettu 7 päivänä heinäkuuta 2010, makrotaloudellisen rahoitusavun myöntämisestä Ukrainalle (EUVL L 179, 14.7.2010, s. 1).</w:t>
      </w:r>
    </w:p>
  </w:footnote>
  <w:footnote w:id="17">
    <w:p>
      <w:pPr>
        <w:pStyle w:val="FootnoteText"/>
      </w:pPr>
      <w:r>
        <w:rPr>
          <w:rStyle w:val="FootnoteReference"/>
        </w:rPr>
        <w:footnoteRef/>
      </w:r>
      <w:r>
        <w:tab/>
        <w:t>Euroopan parlamentin ja neuvoston päätös N:o 534/2014/EU, annettu 15 päivänä toukokuuta 2014, makrotaloudellisen avun myöntämisestä Tunisian tasavallalle (EUVL L 151, 21.5.2014, s. 9).</w:t>
      </w:r>
    </w:p>
  </w:footnote>
  <w:footnote w:id="18">
    <w:p>
      <w:pPr>
        <w:pStyle w:val="FootnoteText"/>
      </w:pPr>
      <w:r>
        <w:rPr>
          <w:rStyle w:val="FootnoteReference"/>
        </w:rPr>
        <w:footnoteRef/>
      </w:r>
      <w:r>
        <w:tab/>
        <w:t>Euroopan parlamentin ja neuvoston päätös N:o 1351/2013/EU, annettu 11 päivänä joulukuuta 2013, makrotaloudellisen rahoitusavun myöntämisestä Jordanian hašemiittiselle kuningaskunnalle (EUVL L 341, 18.12.2013, s. 4).</w:t>
      </w:r>
    </w:p>
  </w:footnote>
  <w:footnote w:id="19">
    <w:p>
      <w:pPr>
        <w:pStyle w:val="FootnoteText"/>
      </w:pPr>
      <w:r>
        <w:rPr>
          <w:rStyle w:val="FootnoteReference"/>
        </w:rPr>
        <w:footnoteRef/>
      </w:r>
      <w:r>
        <w:tab/>
        <w:t>Euroopan parlamentin ja neuvoston päätös N:o 778/2013/EU, annettu 12 päivänä elokuuta 2013, makrotaloudellisen lisärahoitusavun myöntämisestä Georgialle (EUVL L 218, 14.8.2013, s. 15).</w:t>
      </w:r>
    </w:p>
  </w:footnote>
  <w:footnote w:id="20">
    <w:p>
      <w:pPr>
        <w:pStyle w:val="FootnoteText"/>
      </w:pPr>
      <w:r>
        <w:rPr>
          <w:rStyle w:val="FootnoteReference"/>
        </w:rPr>
        <w:footnoteRef/>
      </w:r>
      <w:r>
        <w:tab/>
        <w:t>Euroopan parlamentin ja neuvoston päätös N:o 1025/2013/EU, annettu 22 päivänä lokakuuta 2013, makrotaloudellisen rahoitusavun myöntämisestä Kirgisian tasavallalle (EUVL L 283, 25.10.2013, s. 1).</w:t>
      </w:r>
    </w:p>
  </w:footnote>
  <w:footnote w:id="21">
    <w:p>
      <w:pPr>
        <w:pStyle w:val="FootnoteText"/>
      </w:pPr>
      <w:r>
        <w:rPr>
          <w:rStyle w:val="FootnoteReference"/>
        </w:rPr>
        <w:footnoteRef/>
      </w:r>
      <w:r>
        <w:tab/>
      </w:r>
      <w:hyperlink r:id="rId1">
        <w:r>
          <w:rPr>
            <w:rStyle w:val="Hyperlink"/>
            <w:color w:val="000000"/>
            <w:u w:val="none"/>
          </w:rPr>
          <w:t>ERVM-asetuksessa</w:t>
        </w:r>
      </w:hyperlink>
      <w:r>
        <w:rPr>
          <w:color w:val="000000"/>
        </w:rPr>
        <w:t xml:space="preserve"> sallitaan turvautuminen ennakkorahoitukseen, sillä komissio valtuutetaan siinä ”</w:t>
      </w:r>
      <w:r>
        <w:rPr>
          <w:i/>
          <w:color w:val="000000"/>
        </w:rPr>
        <w:t>ottamaan lainaa pääomamarkkinoilta tai rahoituslaitoksilta tarkoituksenmukaisimpana ajankohtana suunniteltujen maksuerien välillä</w:t>
      </w:r>
      <w:r>
        <w:rPr>
          <w:i/>
        </w:rPr>
        <w:t>, jotta rahoituskulut saataisiin optimoitua ja komission maine unionin liikkeeseenlaskijana markkinoilla säilyisi”.</w:t>
      </w:r>
      <w:r>
        <w:t xml:space="preserve"> Mahdolliset lainapositiosta johtuvat </w:t>
      </w:r>
      <w:r>
        <w:br/>
      </w:r>
      <w:r>
        <w:rPr>
          <w:i/>
        </w:rPr>
        <w:t>cost of carry</w:t>
      </w:r>
      <w:r>
        <w:t xml:space="preserve"> -kustannukset kantaa kuitenkin lainanottaja.</w:t>
      </w:r>
    </w:p>
  </w:footnote>
  <w:footnote w:id="22">
    <w:p>
      <w:pPr>
        <w:pStyle w:val="FootnoteText"/>
      </w:pPr>
      <w:r>
        <w:rPr>
          <w:rStyle w:val="FootnoteReference"/>
        </w:rPr>
        <w:footnoteRef/>
      </w:r>
      <w:r>
        <w:t xml:space="preserve"> </w:t>
      </w:r>
      <w:r>
        <w:tab/>
        <w:t>Euroopan parlamentin ja neuvoston asetus (EU) 2015/1017, annettu 25 päivänä kesäkuuta 2015, Euroopan strategisten investointien rahastosta, Euroopan investointineuvontakeskuksesta ja Euroopan investointihankeportaalista sekä asetusten (EU) N:o 1291/2013 ja (EU) N:o 1316/2013 muuttamisesta – Euroopan strategisten investointien rahasto (EUVL L 169, 1.7.2015, s. 1).</w:t>
      </w:r>
    </w:p>
  </w:footnote>
  <w:footnote w:id="23">
    <w:p>
      <w:pPr>
        <w:pStyle w:val="FootnoteText"/>
      </w:pPr>
      <w:r>
        <w:rPr>
          <w:rStyle w:val="FootnoteReference"/>
        </w:rPr>
        <w:footnoteRef/>
      </w:r>
      <w:r>
        <w:t xml:space="preserve"> </w:t>
      </w:r>
      <w:r>
        <w:tab/>
        <w:t>Euroopan parlamentin ja neuvoston päätös N:o 466/2014/EU, annettu 16 päivänä huhtikuuta 2014, EU:n takuun myöntämisestä Euroopan investointipankille unionin ulkopuolella toteutettavia investointihankkeita tukevista rahoitustoimista mahdollisesti aiheutuvien tappioiden varalta (EUVL L 135, 8.5.2014,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BEC5532"/>
    <w:lvl w:ilvl="0">
      <w:start w:val="1"/>
      <w:numFmt w:val="decimal"/>
      <w:pStyle w:val="ListNumber4"/>
      <w:lvlText w:val="%1."/>
      <w:lvlJc w:val="left"/>
      <w:pPr>
        <w:tabs>
          <w:tab w:val="num" w:pos="1209"/>
        </w:tabs>
        <w:ind w:left="1209" w:hanging="360"/>
      </w:pPr>
      <w:rPr>
        <w:rFonts w:cs="Times New Roman"/>
      </w:rPr>
    </w:lvl>
  </w:abstractNum>
  <w:abstractNum w:abstractNumId="1">
    <w:nsid w:val="FFFFFF7F"/>
    <w:multiLevelType w:val="singleLevel"/>
    <w:tmpl w:val="5224AC40"/>
    <w:lvl w:ilvl="0">
      <w:start w:val="1"/>
      <w:numFmt w:val="decimal"/>
      <w:pStyle w:val="ListNumber2"/>
      <w:lvlText w:val="%1."/>
      <w:lvlJc w:val="left"/>
      <w:pPr>
        <w:tabs>
          <w:tab w:val="num" w:pos="643"/>
        </w:tabs>
        <w:ind w:left="643" w:hanging="360"/>
      </w:pPr>
      <w:rPr>
        <w:rFonts w:cs="Times New Roman"/>
      </w:rPr>
    </w:lvl>
  </w:abstractNum>
  <w:abstractNum w:abstractNumId="2">
    <w:nsid w:val="FFFFFF81"/>
    <w:multiLevelType w:val="singleLevel"/>
    <w:tmpl w:val="1F4E5312"/>
    <w:lvl w:ilvl="0">
      <w:start w:val="1"/>
      <w:numFmt w:val="bullet"/>
      <w:pStyle w:val="ListBullet4"/>
      <w:lvlText w:val=""/>
      <w:lvlJc w:val="left"/>
      <w:pPr>
        <w:tabs>
          <w:tab w:val="num" w:pos="1209"/>
        </w:tabs>
        <w:ind w:left="1209" w:hanging="360"/>
      </w:pPr>
      <w:rPr>
        <w:rFonts w:ascii="Symbol" w:hAnsi="Symbol" w:hint="default"/>
      </w:rPr>
    </w:lvl>
  </w:abstractNum>
  <w:abstractNum w:abstractNumId="3">
    <w:nsid w:val="FFFFFF82"/>
    <w:multiLevelType w:val="singleLevel"/>
    <w:tmpl w:val="A536889E"/>
    <w:lvl w:ilvl="0">
      <w:start w:val="1"/>
      <w:numFmt w:val="bullet"/>
      <w:pStyle w:val="ListBullet3"/>
      <w:lvlText w:val=""/>
      <w:lvlJc w:val="left"/>
      <w:pPr>
        <w:tabs>
          <w:tab w:val="num" w:pos="926"/>
        </w:tabs>
        <w:ind w:left="926" w:hanging="360"/>
      </w:pPr>
      <w:rPr>
        <w:rFonts w:ascii="Symbol" w:hAnsi="Symbol" w:hint="default"/>
      </w:rPr>
    </w:lvl>
  </w:abstractNum>
  <w:abstractNum w:abstractNumId="4">
    <w:nsid w:val="FFFFFF89"/>
    <w:multiLevelType w:val="singleLevel"/>
    <w:tmpl w:val="7462546E"/>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14D308E8"/>
    <w:multiLevelType w:val="hybridMultilevel"/>
    <w:tmpl w:val="B980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7">
    <w:nsid w:val="3A5459E8"/>
    <w:multiLevelType w:val="singleLevel"/>
    <w:tmpl w:val="2188C922"/>
    <w:name w:val="LegalNumbering"/>
    <w:lvl w:ilvl="0">
      <w:start w:val="1"/>
      <w:numFmt w:val="bullet"/>
      <w:lvlRestart w:val="0"/>
      <w:pStyle w:val="Tiret1"/>
      <w:lvlText w:val="–"/>
      <w:lvlJc w:val="left"/>
      <w:pPr>
        <w:tabs>
          <w:tab w:val="num" w:pos="1417"/>
        </w:tabs>
        <w:ind w:left="1417" w:hanging="567"/>
      </w:pPr>
    </w:lvl>
  </w:abstractNum>
  <w:abstractNum w:abstractNumId="8">
    <w:nsid w:val="3BA736C9"/>
    <w:multiLevelType w:val="singleLevel"/>
    <w:tmpl w:val="F00A6C0C"/>
    <w:name w:val="Bullet 1"/>
    <w:lvl w:ilvl="0">
      <w:start w:val="1"/>
      <w:numFmt w:val="bullet"/>
      <w:lvlRestart w:val="0"/>
      <w:pStyle w:val="Tiret0"/>
      <w:lvlText w:val="–"/>
      <w:lvlJc w:val="left"/>
      <w:pPr>
        <w:tabs>
          <w:tab w:val="num" w:pos="850"/>
        </w:tabs>
        <w:ind w:left="850" w:hanging="850"/>
      </w:pPr>
    </w:lvl>
  </w:abstractNum>
  <w:abstractNum w:abstractNumId="9">
    <w:nsid w:val="3C90278F"/>
    <w:multiLevelType w:val="singleLevel"/>
    <w:tmpl w:val="0FE08974"/>
    <w:name w:val="Tiret 1"/>
    <w:lvl w:ilvl="0">
      <w:start w:val="1"/>
      <w:numFmt w:val="bullet"/>
      <w:lvlRestart w:val="0"/>
      <w:pStyle w:val="Tiret3"/>
      <w:lvlText w:val="–"/>
      <w:lvlJc w:val="left"/>
      <w:pPr>
        <w:tabs>
          <w:tab w:val="num" w:pos="2551"/>
        </w:tabs>
        <w:ind w:left="2551" w:hanging="567"/>
      </w:pPr>
    </w:lvl>
  </w:abstractNum>
  <w:abstractNum w:abstractNumId="10">
    <w:nsid w:val="40315490"/>
    <w:multiLevelType w:val="singleLevel"/>
    <w:tmpl w:val="1F86C700"/>
    <w:name w:val="Tiret 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1">
    <w:nsid w:val="45883E8B"/>
    <w:multiLevelType w:val="hybridMultilevel"/>
    <w:tmpl w:val="3ED255F4"/>
    <w:lvl w:ilvl="0" w:tplc="B5506BB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842C30"/>
    <w:multiLevelType w:val="singleLevel"/>
    <w:tmpl w:val="4FA60B90"/>
    <w:name w:val="Tiret 3"/>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nsid w:val="54593082"/>
    <w:multiLevelType w:val="singleLevel"/>
    <w:tmpl w:val="EDE069AC"/>
    <w:name w:val="Bullet 4"/>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568864DC"/>
    <w:multiLevelType w:val="singleLevel"/>
    <w:tmpl w:val="485EBDAC"/>
    <w:name w:val="Default"/>
    <w:lvl w:ilvl="0">
      <w:start w:val="1"/>
      <w:numFmt w:val="bullet"/>
      <w:lvlRestart w:val="0"/>
      <w:pStyle w:val="Tiret4"/>
      <w:lvlText w:val="–"/>
      <w:lvlJc w:val="left"/>
      <w:pPr>
        <w:tabs>
          <w:tab w:val="num" w:pos="3118"/>
        </w:tabs>
        <w:ind w:left="3118" w:hanging="567"/>
      </w:pPr>
    </w:lvl>
  </w:abstractNum>
  <w:abstractNum w:abstractNumId="15">
    <w:nsid w:val="59CC3BD0"/>
    <w:multiLevelType w:val="multilevel"/>
    <w:tmpl w:val="132A782E"/>
    <w:name w:val="Heading__3"/>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F342530"/>
    <w:multiLevelType w:val="singleLevel"/>
    <w:tmpl w:val="D5444702"/>
    <w:name w:val="Bullet 0"/>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7">
    <w:nsid w:val="5F8C3B69"/>
    <w:multiLevelType w:val="multilevel"/>
    <w:tmpl w:val="9B14DAA8"/>
    <w:name w:val="Tiret 4"/>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5F9C40AA"/>
    <w:multiLevelType w:val="singleLevel"/>
    <w:tmpl w:val="B89CB5A2"/>
    <w:name w:val="Bullet 3"/>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62970F71"/>
    <w:multiLevelType w:val="singleLevel"/>
    <w:tmpl w:val="5AFA8C72"/>
    <w:name w:val="List Number"/>
    <w:lvl w:ilvl="0">
      <w:start w:val="1"/>
      <w:numFmt w:val="bullet"/>
      <w:lvlRestart w:val="0"/>
      <w:pStyle w:val="Tiret2"/>
      <w:lvlText w:val="–"/>
      <w:lvlJc w:val="left"/>
      <w:pPr>
        <w:tabs>
          <w:tab w:val="num" w:pos="1984"/>
        </w:tabs>
        <w:ind w:left="1984" w:hanging="567"/>
      </w:pPr>
    </w:lvl>
  </w:abstractNum>
  <w:abstractNum w:abstractNumId="20">
    <w:nsid w:val="6507794E"/>
    <w:multiLevelType w:val="singleLevel"/>
    <w:tmpl w:val="FD3464B4"/>
    <w:name w:val="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21">
    <w:nsid w:val="69995580"/>
    <w:multiLevelType w:val="singleLevel"/>
    <w:tmpl w:val="75CC7CBA"/>
    <w:name w:val="Tiret 2"/>
    <w:lvl w:ilvl="0">
      <w:start w:val="1"/>
      <w:numFmt w:val="decimal"/>
      <w:lvlRestart w:val="0"/>
      <w:pStyle w:val="Considrant"/>
      <w:lvlText w:val="(%1)"/>
      <w:lvlJc w:val="left"/>
      <w:pPr>
        <w:tabs>
          <w:tab w:val="num" w:pos="709"/>
        </w:tabs>
        <w:ind w:left="709" w:hanging="709"/>
      </w:pPr>
      <w:rPr>
        <w:rFonts w:cs="Times New Roman"/>
      </w:rPr>
    </w:lvl>
  </w:abstractNum>
  <w:abstractNum w:abstractNumId="22">
    <w:nsid w:val="6C5D7131"/>
    <w:multiLevelType w:val="multilevel"/>
    <w:tmpl w:val="65ACEFCE"/>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3">
    <w:nsid w:val="709E37A3"/>
    <w:multiLevelType w:val="multilevel"/>
    <w:tmpl w:val="2E5612EE"/>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711167E2"/>
    <w:multiLevelType w:val="multilevel"/>
    <w:tmpl w:val="C3843A7A"/>
    <w:name w:val="Heading__2"/>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8"/>
  </w:num>
  <w:num w:numId="2">
    <w:abstractNumId w:val="7"/>
  </w:num>
  <w:num w:numId="3">
    <w:abstractNumId w:val="19"/>
  </w:num>
  <w:num w:numId="4">
    <w:abstractNumId w:val="9"/>
  </w:num>
  <w:num w:numId="5">
    <w:abstractNumId w:val="14"/>
  </w:num>
  <w:num w:numId="6">
    <w:abstractNumId w:val="24"/>
  </w:num>
  <w:num w:numId="7">
    <w:abstractNumId w:val="13"/>
  </w:num>
  <w:num w:numId="8">
    <w:abstractNumId w:val="6"/>
  </w:num>
  <w:num w:numId="9">
    <w:abstractNumId w:val="18"/>
  </w:num>
  <w:num w:numId="10">
    <w:abstractNumId w:val="16"/>
  </w:num>
  <w:num w:numId="11">
    <w:abstractNumId w:val="12"/>
  </w:num>
  <w:num w:numId="12">
    <w:abstractNumId w:val="21"/>
  </w:num>
  <w:num w:numId="13">
    <w:abstractNumId w:val="23"/>
  </w:num>
  <w:num w:numId="14">
    <w:abstractNumId w:val="20"/>
  </w:num>
  <w:num w:numId="15">
    <w:abstractNumId w:val="1"/>
  </w:num>
  <w:num w:numId="16">
    <w:abstractNumId w:val="0"/>
  </w:num>
  <w:num w:numId="17">
    <w:abstractNumId w:val="4"/>
  </w:num>
  <w:num w:numId="18">
    <w:abstractNumId w:val="3"/>
  </w:num>
  <w:num w:numId="19">
    <w:abstractNumId w:val="2"/>
  </w:num>
  <w:num w:numId="20">
    <w:abstractNumId w:val="17"/>
  </w:num>
  <w:num w:numId="21">
    <w:abstractNumId w:val="10"/>
  </w:num>
  <w:num w:numId="22">
    <w:abstractNumId w:val="15"/>
  </w:num>
  <w:num w:numId="23">
    <w:abstractNumId w:val="22"/>
  </w:num>
  <w:num w:numId="24">
    <w:abstractNumId w:val="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revisionView w:markup="0"/>
  <w:defaultTabStop w:val="720"/>
  <w:hyphenationZone w:val="425"/>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AD37E8444F04487B9C3C414D855522E0"/>
    <w:docVar w:name="LW_CROSSREFERENCE" w:val="&lt;UNUSED&gt;"/>
    <w:docVar w:name="LW_DocType" w:val="NORMAL"/>
    <w:docVar w:name="LW_EMISSION" w:val="15.6.2016"/>
    <w:docVar w:name="LW_EMISSION_ISODATE" w:val="2016-06-15"/>
    <w:docVar w:name="LW_EMISSION_LOCATION" w:val="BRX"/>
    <w:docVar w:name="LW_EMISSION_PREFIX" w:val="Bryssel "/>
    <w:docVar w:name="LW_EMISSION_SUFFIX" w:val=" "/>
    <w:docVar w:name="LW_ID_DOCTYPE_NONLW" w:val="CP-006"/>
    <w:docVar w:name="LW_LANGUE" w:val="FI"/>
    <w:docVar w:name="LW_MARKING" w:val="&lt;UNUSED&g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16) 387"/>
    <w:docVar w:name="LW_REF.INTERNE" w:val="&lt;UNUSED&gt;"/>
    <w:docVar w:name="LW_SOUS.TITRE.OBJ.CP" w:val="&lt;UNUSED&gt;"/>
    <w:docVar w:name="LW_SUPERTITRE" w:val="&lt;UNUSED&gt;"/>
    <w:docVar w:name="LW_TITRE.OBJ.CP" w:val="EUROOPAN UNIONIN LAINANANTO- JA LAINANOTTOTOIMINTA VUONNA 2015"/>
    <w:docVar w:name="LW_TYPE.DOC.CP" w:val="KOMISSION KERTOMUS EUROOPAN PARLAMENTILLE JA NEUVOSTOLL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fi-FI"/>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qFormat="1"/>
    <w:lsdException w:name="table of figures" w:uiPriority="0"/>
    <w:lsdException w:name="footnote reference"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Text1"/>
    <w:link w:val="Heading1Char"/>
    <w:qFormat/>
    <w:pPr>
      <w:keepNext/>
      <w:numPr>
        <w:numId w:val="22"/>
      </w:numPr>
      <w:spacing w:before="360" w:after="120" w:line="240" w:lineRule="auto"/>
      <w:jc w:val="both"/>
      <w:outlineLvl w:val="0"/>
    </w:pPr>
    <w:rPr>
      <w:rFonts w:ascii="Times New Roman" w:eastAsia="Times New Roman" w:hAnsi="Times New Roman"/>
      <w:b/>
      <w:bCs/>
      <w:smallCaps/>
      <w:sz w:val="24"/>
      <w:szCs w:val="32"/>
    </w:rPr>
  </w:style>
  <w:style w:type="paragraph" w:styleId="Heading2">
    <w:name w:val="heading 2"/>
    <w:basedOn w:val="Normal"/>
    <w:next w:val="Text1"/>
    <w:link w:val="Heading2Char"/>
    <w:qFormat/>
    <w:pPr>
      <w:keepNext/>
      <w:numPr>
        <w:ilvl w:val="1"/>
        <w:numId w:val="22"/>
      </w:numPr>
      <w:spacing w:after="240" w:line="240" w:lineRule="auto"/>
      <w:jc w:val="both"/>
      <w:outlineLvl w:val="1"/>
    </w:pPr>
    <w:rPr>
      <w:rFonts w:ascii="Times New Roman" w:eastAsia="Times New Roman" w:hAnsi="Times New Roman"/>
      <w:b/>
      <w:bCs/>
      <w:iCs/>
      <w:noProof/>
      <w:sz w:val="24"/>
      <w:szCs w:val="24"/>
    </w:rPr>
  </w:style>
  <w:style w:type="paragraph" w:styleId="Heading3">
    <w:name w:val="heading 3"/>
    <w:basedOn w:val="Normal"/>
    <w:next w:val="Text1"/>
    <w:link w:val="Heading3Char"/>
    <w:qFormat/>
    <w:pPr>
      <w:keepNext/>
      <w:numPr>
        <w:ilvl w:val="2"/>
        <w:numId w:val="22"/>
      </w:numPr>
      <w:spacing w:before="120" w:after="120" w:line="240" w:lineRule="auto"/>
      <w:jc w:val="both"/>
      <w:outlineLvl w:val="2"/>
    </w:pPr>
    <w:rPr>
      <w:rFonts w:ascii="Times New Roman" w:eastAsia="Times New Roman" w:hAnsi="Times New Roman"/>
      <w:bCs/>
      <w:i/>
      <w:sz w:val="24"/>
      <w:szCs w:val="26"/>
    </w:rPr>
  </w:style>
  <w:style w:type="paragraph" w:styleId="Heading4">
    <w:name w:val="heading 4"/>
    <w:basedOn w:val="Normal"/>
    <w:next w:val="Text1"/>
    <w:link w:val="Heading4Char"/>
    <w:qFormat/>
    <w:pPr>
      <w:keepNext/>
      <w:numPr>
        <w:ilvl w:val="3"/>
        <w:numId w:val="22"/>
      </w:numPr>
      <w:spacing w:before="120" w:after="120" w:line="240" w:lineRule="auto"/>
      <w:jc w:val="both"/>
      <w:outlineLvl w:val="3"/>
    </w:pPr>
    <w:rPr>
      <w:rFonts w:ascii="Times New Roman" w:eastAsia="Times New Roman" w:hAnsi="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b/>
      <w:bCs/>
      <w:smallCaps/>
      <w:sz w:val="24"/>
      <w:szCs w:val="32"/>
      <w:lang w:eastAsia="fi-FI"/>
    </w:rPr>
  </w:style>
  <w:style w:type="character" w:customStyle="1" w:styleId="Heading2Char">
    <w:name w:val="Heading 2 Char"/>
    <w:link w:val="Heading2"/>
    <w:rPr>
      <w:rFonts w:ascii="Times New Roman" w:eastAsia="Times New Roman" w:hAnsi="Times New Roman"/>
      <w:b/>
      <w:bCs/>
      <w:iCs/>
      <w:noProof/>
      <w:sz w:val="24"/>
      <w:szCs w:val="24"/>
      <w:lang w:eastAsia="fi-FI"/>
    </w:rPr>
  </w:style>
  <w:style w:type="character" w:customStyle="1" w:styleId="Heading3Char">
    <w:name w:val="Heading 3 Char"/>
    <w:link w:val="Heading3"/>
    <w:rPr>
      <w:rFonts w:ascii="Times New Roman" w:eastAsia="Times New Roman" w:hAnsi="Times New Roman"/>
      <w:bCs/>
      <w:i/>
      <w:sz w:val="24"/>
      <w:szCs w:val="26"/>
      <w:lang w:eastAsia="fi-FI"/>
    </w:rPr>
  </w:style>
  <w:style w:type="character" w:customStyle="1" w:styleId="Heading4Char">
    <w:name w:val="Heading 4 Char"/>
    <w:link w:val="Heading4"/>
    <w:rPr>
      <w:rFonts w:ascii="Times New Roman" w:eastAsia="Times New Roman" w:hAnsi="Times New Roman"/>
      <w:bCs/>
      <w:sz w:val="24"/>
      <w:szCs w:val="28"/>
      <w:lang w:eastAsia="fi-FI"/>
    </w:rPr>
  </w:style>
  <w:style w:type="paragraph" w:styleId="Header">
    <w:name w:val="header"/>
    <w:basedOn w:val="Normal"/>
    <w:link w:val="HeaderChar"/>
    <w:uiPriority w:val="99"/>
    <w:pPr>
      <w:tabs>
        <w:tab w:val="center" w:pos="4535"/>
        <w:tab w:val="right" w:pos="9071"/>
      </w:tabs>
      <w:spacing w:before="120" w:after="120" w:line="240" w:lineRule="auto"/>
      <w:jc w:val="both"/>
    </w:pPr>
    <w:rPr>
      <w:rFonts w:ascii="Times New Roman" w:eastAsia="Times New Roman" w:hAnsi="Times New Roman"/>
      <w:sz w:val="24"/>
      <w:szCs w:val="24"/>
    </w:rPr>
  </w:style>
  <w:style w:type="character" w:customStyle="1" w:styleId="HeaderChar">
    <w:name w:val="Header Char"/>
    <w:link w:val="Header"/>
    <w:uiPriority w:val="99"/>
    <w:rPr>
      <w:rFonts w:ascii="Times New Roman" w:eastAsia="Times New Roman" w:hAnsi="Times New Roman"/>
      <w:sz w:val="24"/>
      <w:szCs w:val="24"/>
      <w:lang w:eastAsia="fi-FI"/>
    </w:rPr>
  </w:style>
  <w:style w:type="paragraph" w:styleId="Footer">
    <w:name w:val="footer"/>
    <w:basedOn w:val="Normal"/>
    <w:link w:val="FooterChar"/>
    <w:uiPriority w:val="99"/>
    <w:pPr>
      <w:tabs>
        <w:tab w:val="center" w:pos="4535"/>
        <w:tab w:val="right" w:pos="9071"/>
        <w:tab w:val="right" w:pos="9921"/>
      </w:tabs>
      <w:spacing w:before="360" w:after="0" w:line="240" w:lineRule="auto"/>
      <w:ind w:left="-850" w:right="-850"/>
    </w:pPr>
    <w:rPr>
      <w:rFonts w:ascii="Times New Roman" w:eastAsia="Times New Roman" w:hAnsi="Times New Roman"/>
      <w:sz w:val="24"/>
      <w:szCs w:val="24"/>
    </w:rPr>
  </w:style>
  <w:style w:type="character" w:customStyle="1" w:styleId="FooterChar">
    <w:name w:val="Footer Char"/>
    <w:link w:val="Footer"/>
    <w:uiPriority w:val="99"/>
    <w:rPr>
      <w:rFonts w:ascii="Times New Roman" w:eastAsia="Times New Roman" w:hAnsi="Times New Roman"/>
      <w:sz w:val="24"/>
      <w:szCs w:val="24"/>
      <w:lang w:eastAsia="fi-FI"/>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
    <w:basedOn w:val="Normal"/>
    <w:link w:val="FootnoteTextChar"/>
    <w:uiPriority w:val="99"/>
    <w:pPr>
      <w:spacing w:after="0" w:line="240" w:lineRule="auto"/>
      <w:ind w:left="720" w:hanging="720"/>
      <w:jc w:val="both"/>
    </w:pPr>
    <w:rPr>
      <w:rFonts w:ascii="Times New Roman" w:eastAsia="Times New Roman" w:hAnsi="Times New Roman"/>
      <w:sz w:val="20"/>
      <w:szCs w:val="20"/>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
    <w:link w:val="FootnoteText"/>
    <w:uiPriority w:val="99"/>
    <w:rPr>
      <w:rFonts w:ascii="Times New Roman" w:eastAsia="Times New Roman" w:hAnsi="Times New Roman"/>
      <w:lang w:eastAsia="fi-FI"/>
    </w:rPr>
  </w:style>
  <w:style w:type="paragraph" w:styleId="TOC1">
    <w:name w:val="toc 1"/>
    <w:basedOn w:val="Normal"/>
    <w:next w:val="Normal"/>
    <w:uiPriority w:val="39"/>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2">
    <w:name w:val="toc 2"/>
    <w:basedOn w:val="Normal"/>
    <w:next w:val="Normal"/>
    <w:uiPriority w:val="39"/>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3">
    <w:name w:val="toc 3"/>
    <w:basedOn w:val="Normal"/>
    <w:next w:val="Normal"/>
    <w:uiPriority w:val="39"/>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4">
    <w:name w:val="toc 4"/>
    <w:basedOn w:val="Normal"/>
    <w:next w:val="Normal"/>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5">
    <w:name w:val="toc 5"/>
    <w:basedOn w:val="Normal"/>
    <w:next w:val="Normal"/>
    <w:semiHidden/>
    <w:pPr>
      <w:tabs>
        <w:tab w:val="right" w:leader="dot" w:pos="9071"/>
      </w:tabs>
      <w:spacing w:before="300" w:after="120" w:line="240" w:lineRule="auto"/>
    </w:pPr>
    <w:rPr>
      <w:rFonts w:ascii="Times New Roman" w:eastAsia="Times New Roman" w:hAnsi="Times New Roman"/>
      <w:sz w:val="24"/>
      <w:szCs w:val="24"/>
    </w:rPr>
  </w:style>
  <w:style w:type="paragraph" w:styleId="TOC6">
    <w:name w:val="toc 6"/>
    <w:basedOn w:val="Normal"/>
    <w:next w:val="Normal"/>
    <w:semiHidden/>
    <w:pPr>
      <w:tabs>
        <w:tab w:val="right" w:leader="dot" w:pos="9071"/>
      </w:tabs>
      <w:spacing w:before="240" w:after="120" w:line="240" w:lineRule="auto"/>
    </w:pPr>
    <w:rPr>
      <w:rFonts w:ascii="Times New Roman" w:eastAsia="Times New Roman" w:hAnsi="Times New Roman"/>
      <w:sz w:val="24"/>
      <w:szCs w:val="24"/>
    </w:rPr>
  </w:style>
  <w:style w:type="paragraph" w:styleId="TOC7">
    <w:name w:val="toc 7"/>
    <w:basedOn w:val="Normal"/>
    <w:next w:val="Normal"/>
    <w:semiHidden/>
    <w:pPr>
      <w:tabs>
        <w:tab w:val="right" w:leader="dot" w:pos="9071"/>
      </w:tabs>
      <w:spacing w:before="180" w:after="120" w:line="240" w:lineRule="auto"/>
    </w:pPr>
    <w:rPr>
      <w:rFonts w:ascii="Times New Roman" w:eastAsia="Times New Roman" w:hAnsi="Times New Roman"/>
      <w:sz w:val="24"/>
      <w:szCs w:val="24"/>
    </w:rPr>
  </w:style>
  <w:style w:type="paragraph" w:styleId="TOC8">
    <w:name w:val="toc 8"/>
    <w:basedOn w:val="Normal"/>
    <w:next w:val="Normal"/>
    <w:semiHidden/>
    <w:pPr>
      <w:tabs>
        <w:tab w:val="right" w:leader="dot" w:pos="9071"/>
      </w:tabs>
      <w:spacing w:before="120" w:after="120" w:line="240" w:lineRule="auto"/>
    </w:pPr>
    <w:rPr>
      <w:rFonts w:ascii="Times New Roman" w:eastAsia="Times New Roman" w:hAnsi="Times New Roman"/>
      <w:sz w:val="24"/>
      <w:szCs w:val="24"/>
    </w:rPr>
  </w:style>
  <w:style w:type="paragraph" w:styleId="TOC9">
    <w:name w:val="toc 9"/>
    <w:basedOn w:val="Normal"/>
    <w:next w:val="Normal"/>
    <w:semiHidden/>
    <w:pPr>
      <w:tabs>
        <w:tab w:val="right" w:leader="dot" w:pos="9071"/>
      </w:tabs>
      <w:spacing w:before="120" w:after="120" w:line="240" w:lineRule="auto"/>
      <w:jc w:val="both"/>
    </w:pPr>
    <w:rPr>
      <w:rFonts w:ascii="Times New Roman" w:eastAsia="Times New Roman" w:hAnsi="Times New Roman"/>
      <w:sz w:val="24"/>
      <w:szCs w:val="24"/>
    </w:rPr>
  </w:style>
  <w:style w:type="paragraph" w:customStyle="1" w:styleId="HeaderLandscape">
    <w:name w:val="HeaderLandscape"/>
    <w:basedOn w:val="Normal"/>
    <w:pPr>
      <w:tabs>
        <w:tab w:val="center" w:pos="7285"/>
        <w:tab w:val="right" w:pos="14003"/>
      </w:tabs>
      <w:spacing w:before="120" w:after="120" w:line="240" w:lineRule="auto"/>
      <w:jc w:val="both"/>
    </w:pPr>
    <w:rPr>
      <w:rFonts w:ascii="Times New Roman" w:eastAsia="Times New Roman" w:hAnsi="Times New Roman"/>
      <w:sz w:val="24"/>
      <w:szCs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sz w:val="24"/>
      <w:szCs w:val="24"/>
    </w:rPr>
  </w:style>
  <w:style w:type="character" w:styleId="FootnoteReference">
    <w:name w:val="footnote reference"/>
    <w:aliases w:val="BVI fnr"/>
    <w:semiHidden/>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sz w:val="24"/>
      <w:szCs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sz w:val="24"/>
      <w:szCs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sz w:val="24"/>
      <w:szCs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sz w:val="24"/>
      <w:szCs w:val="24"/>
    </w:rPr>
  </w:style>
  <w:style w:type="paragraph" w:customStyle="1" w:styleId="NormalLeft">
    <w:name w:val="Normal Left"/>
    <w:basedOn w:val="Normal"/>
    <w:pPr>
      <w:spacing w:before="120" w:after="120" w:line="240" w:lineRule="auto"/>
    </w:pPr>
    <w:rPr>
      <w:rFonts w:ascii="Times New Roman" w:eastAsia="Times New Roman" w:hAnsi="Times New Roman"/>
      <w:sz w:val="24"/>
      <w:szCs w:val="24"/>
    </w:rPr>
  </w:style>
  <w:style w:type="paragraph" w:customStyle="1" w:styleId="NormalRight">
    <w:name w:val="Normal Right"/>
    <w:basedOn w:val="Normal"/>
    <w:pPr>
      <w:spacing w:before="120" w:after="120" w:line="240" w:lineRule="auto"/>
      <w:jc w:val="right"/>
    </w:pPr>
    <w:rPr>
      <w:rFonts w:ascii="Times New Roman" w:eastAsia="Times New Roman" w:hAnsi="Times New Roman"/>
      <w:sz w:val="24"/>
      <w:szCs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sz w:val="24"/>
      <w:szCs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sz w:val="24"/>
      <w:szCs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sz w:val="24"/>
      <w:szCs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sz w:val="24"/>
      <w:szCs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sz w:val="24"/>
      <w:szCs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sz w:val="24"/>
      <w:szCs w:val="24"/>
    </w:r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sz w:val="24"/>
      <w:szCs w:val="24"/>
    </w:rPr>
  </w:style>
  <w:style w:type="paragraph" w:customStyle="1" w:styleId="NumPar1">
    <w:name w:val="NumPar 1"/>
    <w:basedOn w:val="Normal"/>
    <w:next w:val="Text1"/>
    <w:pPr>
      <w:numPr>
        <w:numId w:val="6"/>
      </w:numPr>
      <w:spacing w:before="120" w:after="120" w:line="240" w:lineRule="auto"/>
      <w:jc w:val="both"/>
    </w:pPr>
    <w:rPr>
      <w:rFonts w:ascii="Times New Roman" w:eastAsia="Times New Roman" w:hAnsi="Times New Roman"/>
      <w:sz w:val="24"/>
      <w:szCs w:val="24"/>
    </w:rPr>
  </w:style>
  <w:style w:type="paragraph" w:customStyle="1" w:styleId="NumPar2">
    <w:name w:val="NumPar 2"/>
    <w:basedOn w:val="Normal"/>
    <w:next w:val="Text1"/>
    <w:pPr>
      <w:numPr>
        <w:ilvl w:val="1"/>
        <w:numId w:val="6"/>
      </w:numPr>
      <w:spacing w:before="120" w:after="120" w:line="240" w:lineRule="auto"/>
      <w:jc w:val="both"/>
    </w:pPr>
    <w:rPr>
      <w:rFonts w:ascii="Times New Roman" w:eastAsia="Times New Roman" w:hAnsi="Times New Roman"/>
      <w:sz w:val="24"/>
      <w:szCs w:val="24"/>
    </w:rPr>
  </w:style>
  <w:style w:type="paragraph" w:customStyle="1" w:styleId="NumPar3">
    <w:name w:val="NumPar 3"/>
    <w:basedOn w:val="Normal"/>
    <w:next w:val="Text1"/>
    <w:pPr>
      <w:numPr>
        <w:ilvl w:val="2"/>
        <w:numId w:val="6"/>
      </w:numPr>
      <w:spacing w:before="120" w:after="120" w:line="240" w:lineRule="auto"/>
      <w:jc w:val="both"/>
    </w:pPr>
    <w:rPr>
      <w:rFonts w:ascii="Times New Roman" w:eastAsia="Times New Roman" w:hAnsi="Times New Roman"/>
      <w:sz w:val="24"/>
      <w:szCs w:val="24"/>
    </w:rPr>
  </w:style>
  <w:style w:type="paragraph" w:customStyle="1" w:styleId="NumPar4">
    <w:name w:val="NumPar 4"/>
    <w:basedOn w:val="Normal"/>
    <w:next w:val="Text1"/>
    <w:pPr>
      <w:numPr>
        <w:ilvl w:val="3"/>
        <w:numId w:val="6"/>
      </w:numPr>
      <w:spacing w:before="120" w:after="120" w:line="240" w:lineRule="auto"/>
      <w:jc w:val="both"/>
    </w:pPr>
    <w:rPr>
      <w:rFonts w:ascii="Times New Roman" w:eastAsia="Times New Roman" w:hAnsi="Times New Roman"/>
      <w:sz w:val="24"/>
      <w:szCs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i/>
      <w:sz w:val="24"/>
      <w:szCs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b/>
      <w:sz w:val="36"/>
      <w:szCs w:val="24"/>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b/>
      <w:smallCaps/>
      <w:sz w:val="28"/>
      <w:szCs w:val="24"/>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b/>
      <w:sz w:val="24"/>
      <w:szCs w:val="24"/>
    </w:rPr>
  </w:style>
  <w:style w:type="character" w:customStyle="1" w:styleId="Marker">
    <w:name w:val="Marker"/>
    <w:rPr>
      <w:rFonts w:cs="Times New Roman"/>
      <w:color w:val="0000FF"/>
      <w:shd w:val="clear" w:color="auto" w:fill="auto"/>
    </w:rPr>
  </w:style>
  <w:style w:type="character" w:customStyle="1" w:styleId="Marker1">
    <w:name w:val="Marker1"/>
    <w:rPr>
      <w:rFonts w:cs="Times New Roman"/>
      <w:color w:val="008000"/>
      <w:shd w:val="clear" w:color="auto" w:fill="auto"/>
    </w:rPr>
  </w:style>
  <w:style w:type="character" w:customStyle="1" w:styleId="Marker2">
    <w:name w:val="Marker2"/>
    <w:rPr>
      <w:rFonts w:cs="Times New Roman"/>
      <w:color w:val="FF0000"/>
      <w:shd w:val="clear" w:color="auto" w:fill="auto"/>
    </w:rPr>
  </w:style>
  <w:style w:type="paragraph" w:styleId="TOCHeading">
    <w:name w:val="TOC Heading"/>
    <w:basedOn w:val="Normal"/>
    <w:next w:val="Normal"/>
    <w:link w:val="TOCHeadingChar"/>
    <w:uiPriority w:val="39"/>
    <w:qFormat/>
    <w:pPr>
      <w:spacing w:before="120" w:after="240" w:line="240" w:lineRule="auto"/>
      <w:jc w:val="center"/>
    </w:pPr>
    <w:rPr>
      <w:rFonts w:ascii="Times New Roman" w:eastAsia="Times New Roman" w:hAnsi="Times New Roman"/>
      <w:b/>
      <w:sz w:val="28"/>
      <w:szCs w:val="24"/>
    </w:rPr>
  </w:style>
  <w:style w:type="paragraph" w:customStyle="1" w:styleId="Point0number">
    <w:name w:val="Point 0 (number)"/>
    <w:basedOn w:val="Normal"/>
    <w:pPr>
      <w:numPr>
        <w:numId w:val="23"/>
      </w:numPr>
      <w:spacing w:before="120" w:after="120" w:line="240" w:lineRule="auto"/>
      <w:jc w:val="both"/>
    </w:pPr>
    <w:rPr>
      <w:rFonts w:ascii="Times New Roman" w:eastAsia="Times New Roman" w:hAnsi="Times New Roman"/>
      <w:sz w:val="24"/>
      <w:szCs w:val="24"/>
    </w:rPr>
  </w:style>
  <w:style w:type="paragraph" w:customStyle="1" w:styleId="Point1number">
    <w:name w:val="Point 1 (number)"/>
    <w:basedOn w:val="Normal"/>
    <w:pPr>
      <w:numPr>
        <w:ilvl w:val="2"/>
        <w:numId w:val="23"/>
      </w:numPr>
      <w:spacing w:before="120" w:after="120" w:line="240" w:lineRule="auto"/>
      <w:jc w:val="both"/>
    </w:pPr>
    <w:rPr>
      <w:rFonts w:ascii="Times New Roman" w:eastAsia="Times New Roman" w:hAnsi="Times New Roman"/>
      <w:sz w:val="24"/>
      <w:szCs w:val="24"/>
    </w:rPr>
  </w:style>
  <w:style w:type="paragraph" w:customStyle="1" w:styleId="Point2number">
    <w:name w:val="Point 2 (number)"/>
    <w:basedOn w:val="Normal"/>
    <w:pPr>
      <w:numPr>
        <w:ilvl w:val="4"/>
        <w:numId w:val="23"/>
      </w:numPr>
      <w:spacing w:before="120" w:after="120" w:line="240" w:lineRule="auto"/>
      <w:jc w:val="both"/>
    </w:pPr>
    <w:rPr>
      <w:rFonts w:ascii="Times New Roman" w:eastAsia="Times New Roman" w:hAnsi="Times New Roman"/>
      <w:sz w:val="24"/>
      <w:szCs w:val="24"/>
    </w:rPr>
  </w:style>
  <w:style w:type="paragraph" w:customStyle="1" w:styleId="Point3number">
    <w:name w:val="Point 3 (number)"/>
    <w:basedOn w:val="Normal"/>
    <w:pPr>
      <w:numPr>
        <w:ilvl w:val="6"/>
        <w:numId w:val="23"/>
      </w:numPr>
      <w:spacing w:before="120" w:after="120" w:line="240" w:lineRule="auto"/>
      <w:jc w:val="both"/>
    </w:pPr>
    <w:rPr>
      <w:rFonts w:ascii="Times New Roman" w:eastAsia="Times New Roman" w:hAnsi="Times New Roman"/>
      <w:sz w:val="24"/>
      <w:szCs w:val="24"/>
    </w:rPr>
  </w:style>
  <w:style w:type="paragraph" w:customStyle="1" w:styleId="Point0letter">
    <w:name w:val="Point 0 (letter)"/>
    <w:basedOn w:val="Normal"/>
    <w:pPr>
      <w:numPr>
        <w:ilvl w:val="1"/>
        <w:numId w:val="23"/>
      </w:numPr>
      <w:spacing w:before="120" w:after="120" w:line="240" w:lineRule="auto"/>
      <w:jc w:val="both"/>
    </w:pPr>
    <w:rPr>
      <w:rFonts w:ascii="Times New Roman" w:eastAsia="Times New Roman" w:hAnsi="Times New Roman"/>
      <w:sz w:val="24"/>
      <w:szCs w:val="24"/>
    </w:rPr>
  </w:style>
  <w:style w:type="paragraph" w:customStyle="1" w:styleId="Point1letter">
    <w:name w:val="Point 1 (letter)"/>
    <w:basedOn w:val="Normal"/>
    <w:pPr>
      <w:numPr>
        <w:ilvl w:val="3"/>
        <w:numId w:val="23"/>
      </w:numPr>
      <w:spacing w:before="120" w:after="120" w:line="240" w:lineRule="auto"/>
      <w:jc w:val="both"/>
    </w:pPr>
    <w:rPr>
      <w:rFonts w:ascii="Times New Roman" w:eastAsia="Times New Roman" w:hAnsi="Times New Roman"/>
      <w:sz w:val="24"/>
      <w:szCs w:val="24"/>
    </w:rPr>
  </w:style>
  <w:style w:type="paragraph" w:customStyle="1" w:styleId="Point2letter">
    <w:name w:val="Point 2 (letter)"/>
    <w:basedOn w:val="Normal"/>
    <w:pPr>
      <w:numPr>
        <w:ilvl w:val="5"/>
        <w:numId w:val="23"/>
      </w:numPr>
      <w:spacing w:before="120" w:after="120" w:line="240" w:lineRule="auto"/>
      <w:jc w:val="both"/>
    </w:pPr>
    <w:rPr>
      <w:rFonts w:ascii="Times New Roman" w:eastAsia="Times New Roman" w:hAnsi="Times New Roman"/>
      <w:sz w:val="24"/>
      <w:szCs w:val="24"/>
    </w:rPr>
  </w:style>
  <w:style w:type="paragraph" w:customStyle="1" w:styleId="Point3letter">
    <w:name w:val="Point 3 (letter)"/>
    <w:basedOn w:val="Normal"/>
    <w:pPr>
      <w:numPr>
        <w:ilvl w:val="7"/>
        <w:numId w:val="23"/>
      </w:numPr>
      <w:spacing w:before="120" w:after="120" w:line="240" w:lineRule="auto"/>
      <w:jc w:val="both"/>
    </w:pPr>
    <w:rPr>
      <w:rFonts w:ascii="Times New Roman" w:eastAsia="Times New Roman" w:hAnsi="Times New Roman"/>
      <w:sz w:val="24"/>
      <w:szCs w:val="24"/>
    </w:rPr>
  </w:style>
  <w:style w:type="paragraph" w:customStyle="1" w:styleId="Point4letter">
    <w:name w:val="Point 4 (letter)"/>
    <w:basedOn w:val="Normal"/>
    <w:pPr>
      <w:numPr>
        <w:ilvl w:val="8"/>
        <w:numId w:val="23"/>
      </w:numPr>
      <w:spacing w:before="120" w:after="120" w:line="240" w:lineRule="auto"/>
      <w:jc w:val="both"/>
    </w:pPr>
    <w:rPr>
      <w:rFonts w:ascii="Times New Roman" w:eastAsia="Times New Roman" w:hAnsi="Times New Roman"/>
      <w:sz w:val="24"/>
      <w:szCs w:val="24"/>
    </w:rPr>
  </w:style>
  <w:style w:type="paragraph" w:customStyle="1" w:styleId="Bullet0">
    <w:name w:val="Bullet 0"/>
    <w:basedOn w:val="Normal"/>
    <w:pPr>
      <w:numPr>
        <w:numId w:val="7"/>
      </w:numPr>
      <w:spacing w:before="120" w:after="120" w:line="240" w:lineRule="auto"/>
      <w:jc w:val="both"/>
    </w:pPr>
    <w:rPr>
      <w:rFonts w:ascii="Times New Roman" w:eastAsia="Times New Roman" w:hAnsi="Times New Roman"/>
      <w:sz w:val="24"/>
      <w:szCs w:val="24"/>
    </w:rPr>
  </w:style>
  <w:style w:type="paragraph" w:customStyle="1" w:styleId="Bullet1">
    <w:name w:val="Bullet 1"/>
    <w:basedOn w:val="Normal"/>
    <w:pPr>
      <w:numPr>
        <w:numId w:val="8"/>
      </w:numPr>
      <w:spacing w:before="120" w:after="120" w:line="240" w:lineRule="auto"/>
      <w:jc w:val="both"/>
    </w:pPr>
    <w:rPr>
      <w:rFonts w:ascii="Times New Roman" w:eastAsia="Times New Roman" w:hAnsi="Times New Roman"/>
      <w:sz w:val="24"/>
      <w:szCs w:val="24"/>
    </w:rPr>
  </w:style>
  <w:style w:type="paragraph" w:customStyle="1" w:styleId="Bullet2">
    <w:name w:val="Bullet 2"/>
    <w:basedOn w:val="Normal"/>
    <w:pPr>
      <w:numPr>
        <w:numId w:val="9"/>
      </w:numPr>
      <w:spacing w:before="120" w:after="120" w:line="240" w:lineRule="auto"/>
      <w:jc w:val="both"/>
    </w:pPr>
    <w:rPr>
      <w:rFonts w:ascii="Times New Roman" w:eastAsia="Times New Roman" w:hAnsi="Times New Roman"/>
      <w:sz w:val="24"/>
      <w:szCs w:val="24"/>
    </w:rPr>
  </w:style>
  <w:style w:type="paragraph" w:customStyle="1" w:styleId="Bullet3">
    <w:name w:val="Bullet 3"/>
    <w:basedOn w:val="Normal"/>
    <w:pPr>
      <w:numPr>
        <w:numId w:val="10"/>
      </w:numPr>
      <w:spacing w:before="120" w:after="120" w:line="240" w:lineRule="auto"/>
      <w:jc w:val="both"/>
    </w:pPr>
    <w:rPr>
      <w:rFonts w:ascii="Times New Roman" w:eastAsia="Times New Roman" w:hAnsi="Times New Roman"/>
      <w:sz w:val="24"/>
      <w:szCs w:val="24"/>
    </w:rPr>
  </w:style>
  <w:style w:type="paragraph" w:customStyle="1" w:styleId="Bullet4">
    <w:name w:val="Bullet 4"/>
    <w:basedOn w:val="Normal"/>
    <w:pPr>
      <w:numPr>
        <w:numId w:val="11"/>
      </w:numPr>
      <w:spacing w:before="120" w:after="120" w:line="240" w:lineRule="auto"/>
      <w:jc w:val="both"/>
    </w:pPr>
    <w:rPr>
      <w:rFonts w:ascii="Times New Roman" w:eastAsia="Times New Roman" w:hAnsi="Times New Roman"/>
      <w:sz w:val="24"/>
      <w:szCs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sz w:val="24"/>
      <w:szCs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sz w:val="24"/>
      <w:szCs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sz w:val="24"/>
      <w:szCs w:val="24"/>
    </w:rPr>
  </w:style>
  <w:style w:type="paragraph" w:customStyle="1" w:styleId="Confidentialit">
    <w:name w:val="Confidentialité"/>
    <w:basedOn w:val="Normal"/>
    <w:next w:val="TypedudocumentPagedecouverture"/>
    <w:pPr>
      <w:spacing w:before="240" w:after="240" w:line="240" w:lineRule="auto"/>
      <w:ind w:left="5103"/>
      <w:jc w:val="both"/>
    </w:pPr>
    <w:rPr>
      <w:rFonts w:ascii="Times New Roman" w:eastAsia="Times New Roman" w:hAnsi="Times New Roman"/>
      <w:i/>
      <w:sz w:val="32"/>
      <w:szCs w:val="24"/>
    </w:rPr>
  </w:style>
  <w:style w:type="paragraph" w:customStyle="1" w:styleId="Considrant">
    <w:name w:val="Considérant"/>
    <w:basedOn w:val="Normal"/>
    <w:pPr>
      <w:numPr>
        <w:numId w:val="12"/>
      </w:numPr>
      <w:spacing w:before="120" w:after="120" w:line="240" w:lineRule="auto"/>
      <w:jc w:val="both"/>
    </w:pPr>
    <w:rPr>
      <w:rFonts w:ascii="Times New Roman" w:eastAsia="Times New Roman" w:hAnsi="Times New Roman"/>
      <w:sz w:val="24"/>
      <w:szCs w:val="24"/>
    </w:rPr>
  </w:style>
  <w:style w:type="paragraph" w:customStyle="1" w:styleId="Corrigendum">
    <w:name w:val="Corrigendum"/>
    <w:basedOn w:val="Normal"/>
    <w:next w:val="Normal"/>
    <w:pPr>
      <w:spacing w:after="240" w:line="240" w:lineRule="auto"/>
    </w:pPr>
    <w:rPr>
      <w:rFonts w:ascii="Times New Roman" w:eastAsia="Times New Roman" w:hAnsi="Times New Roman"/>
      <w:sz w:val="24"/>
      <w:szCs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b/>
      <w:sz w:val="24"/>
      <w:szCs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sz w:val="24"/>
      <w:szCs w:val="24"/>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sz w:val="24"/>
      <w:szCs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i/>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b/>
      <w:caps/>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sz w:val="24"/>
      <w:szCs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i/>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sz w:val="24"/>
      <w:szCs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sz w:val="24"/>
      <w:szCs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sz w:val="24"/>
      <w:szCs w:val="24"/>
    </w:rPr>
  </w:style>
  <w:style w:type="paragraph" w:customStyle="1" w:styleId="Sous-titreobjet">
    <w:name w:val="Sous-titre objet"/>
    <w:basedOn w:val="Normal"/>
    <w:pPr>
      <w:spacing w:after="0" w:line="240" w:lineRule="auto"/>
      <w:jc w:val="center"/>
    </w:pPr>
    <w:rPr>
      <w:rFonts w:ascii="Times New Roman" w:eastAsia="Times New Roman" w:hAnsi="Times New Roman"/>
      <w:b/>
      <w:sz w:val="24"/>
      <w:szCs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sz w:val="24"/>
      <w:szCs w:val="24"/>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i/>
      <w:sz w:val="24"/>
      <w:szCs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b/>
      <w:sz w:val="24"/>
      <w:szCs w:val="24"/>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b/>
      <w:sz w:val="24"/>
      <w:szCs w:val="24"/>
    </w:rPr>
  </w:style>
  <w:style w:type="character" w:customStyle="1" w:styleId="Added">
    <w:name w:val="Added"/>
    <w:rPr>
      <w:rFonts w:cs="Times New Roman"/>
      <w:b/>
      <w:u w:val="single"/>
      <w:shd w:val="clear" w:color="auto" w:fill="auto"/>
    </w:rPr>
  </w:style>
  <w:style w:type="character" w:customStyle="1" w:styleId="Deleted">
    <w:name w:val="Deleted"/>
    <w:rPr>
      <w:rFonts w:cs="Times New Roman"/>
      <w:strik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sz w:val="24"/>
      <w:szCs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i/>
      <w:caps/>
      <w:sz w:val="24"/>
      <w:szCs w:val="24"/>
    </w:rPr>
  </w:style>
  <w:style w:type="paragraph" w:customStyle="1" w:styleId="Pagedecouverture">
    <w:name w:val="Page de couverture"/>
    <w:basedOn w:val="Normal"/>
    <w:next w:val="Normal"/>
    <w:pPr>
      <w:spacing w:before="120" w:after="120" w:line="240" w:lineRule="auto"/>
      <w:jc w:val="both"/>
    </w:pPr>
    <w:rPr>
      <w:rFonts w:ascii="Times New Roman" w:eastAsia="Times New Roman" w:hAnsi="Times New Roman"/>
      <w:sz w:val="24"/>
      <w:szCs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b/>
      <w:sz w:val="24"/>
      <w:szCs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sz w:val="24"/>
      <w:szCs w:val="24"/>
    </w:rPr>
  </w:style>
  <w:style w:type="paragraph" w:customStyle="1" w:styleId="Rfrencecroise">
    <w:name w:val="Référence croisée"/>
    <w:basedOn w:val="Normal"/>
    <w:pPr>
      <w:spacing w:after="0" w:line="240" w:lineRule="auto"/>
      <w:jc w:val="center"/>
    </w:pPr>
    <w:rPr>
      <w:rFonts w:ascii="Times New Roman" w:eastAsia="Times New Roman" w:hAnsi="Times New Roman"/>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sz w:val="24"/>
      <w:szCs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b/>
      <w:i/>
      <w:sz w:val="24"/>
      <w:szCs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b/>
      <w:sz w:val="24"/>
      <w:szCs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b/>
      <w:sz w:val="24"/>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sz w:val="24"/>
      <w:szCs w:val="24"/>
    </w:rPr>
  </w:style>
  <w:style w:type="paragraph" w:styleId="ListBullet2">
    <w:name w:val="List Bullet 2"/>
    <w:basedOn w:val="Normal"/>
    <w:pPr>
      <w:numPr>
        <w:numId w:val="14"/>
      </w:numPr>
      <w:spacing w:before="120" w:after="120" w:line="240" w:lineRule="auto"/>
      <w:jc w:val="both"/>
    </w:pPr>
    <w:rPr>
      <w:rFonts w:ascii="Times New Roman" w:eastAsia="Times New Roman" w:hAnsi="Times New Roman"/>
      <w:sz w:val="24"/>
      <w:szCs w:val="24"/>
    </w:rPr>
  </w:style>
  <w:style w:type="paragraph" w:styleId="ListNumber3">
    <w:name w:val="List Number 3"/>
    <w:basedOn w:val="Normal"/>
    <w:pPr>
      <w:numPr>
        <w:numId w:val="13"/>
      </w:numPr>
      <w:spacing w:before="120" w:after="120" w:line="240" w:lineRule="auto"/>
      <w:jc w:val="both"/>
    </w:pPr>
    <w:rPr>
      <w:rFonts w:ascii="Times New Roman" w:eastAsia="Times New Roman" w:hAnsi="Times New Roman"/>
      <w:sz w:val="24"/>
      <w:szCs w:val="24"/>
    </w:rPr>
  </w:style>
  <w:style w:type="paragraph" w:customStyle="1" w:styleId="ListNumber3Level2">
    <w:name w:val="List Number 3 (Level 2)"/>
    <w:basedOn w:val="Text3"/>
    <w:pPr>
      <w:numPr>
        <w:ilvl w:val="1"/>
        <w:numId w:val="13"/>
      </w:numPr>
    </w:pPr>
  </w:style>
  <w:style w:type="paragraph" w:customStyle="1" w:styleId="ListNumber3Level3">
    <w:name w:val="List Number 3 (Level 3)"/>
    <w:basedOn w:val="Text3"/>
    <w:pPr>
      <w:numPr>
        <w:ilvl w:val="2"/>
        <w:numId w:val="13"/>
      </w:numPr>
    </w:pPr>
  </w:style>
  <w:style w:type="paragraph" w:customStyle="1" w:styleId="ListNumber3Level4">
    <w:name w:val="List Number 3 (Level 4)"/>
    <w:basedOn w:val="Text3"/>
    <w:pPr>
      <w:numPr>
        <w:ilvl w:val="3"/>
        <w:numId w:val="13"/>
      </w:numPr>
    </w:pPr>
  </w:style>
  <w:style w:type="paragraph" w:styleId="BalloonText">
    <w:name w:val="Balloon Text"/>
    <w:basedOn w:val="Normal"/>
    <w:link w:val="BalloonTextChar"/>
    <w:semiHidden/>
    <w:pPr>
      <w:spacing w:before="120" w:after="120" w:line="240" w:lineRule="auto"/>
      <w:jc w:val="both"/>
    </w:pPr>
    <w:rPr>
      <w:rFonts w:ascii="Tahoma" w:eastAsia="Times New Roman" w:hAnsi="Tahoma" w:cs="Tahoma"/>
      <w:sz w:val="16"/>
      <w:szCs w:val="16"/>
    </w:rPr>
  </w:style>
  <w:style w:type="character" w:customStyle="1" w:styleId="BalloonTextChar">
    <w:name w:val="Balloon Text Char"/>
    <w:link w:val="BalloonText"/>
    <w:semiHidden/>
    <w:rPr>
      <w:rFonts w:ascii="Tahoma" w:eastAsia="Times New Roman" w:hAnsi="Tahoma" w:cs="Tahoma"/>
      <w:sz w:val="16"/>
      <w:szCs w:val="16"/>
      <w:lang w:eastAsia="fi-FI"/>
    </w:rPr>
  </w:style>
  <w:style w:type="character" w:styleId="Hyperlink">
    <w:name w:val="Hyperlink"/>
    <w:uiPriority w:val="99"/>
    <w:rPr>
      <w:rFonts w:cs="Times New Roman"/>
      <w:color w:val="0000FF"/>
      <w:u w:val="single"/>
      <w:shd w:val="clear" w:color="auto" w:fill="auto"/>
    </w:rPr>
  </w:style>
  <w:style w:type="paragraph" w:styleId="DocumentMap">
    <w:name w:val="Document Map"/>
    <w:basedOn w:val="Normal"/>
    <w:link w:val="DocumentMapChar"/>
    <w:semiHidden/>
    <w:pPr>
      <w:shd w:val="clear" w:color="auto" w:fill="000080"/>
      <w:spacing w:before="120" w:after="120" w:line="240" w:lineRule="auto"/>
      <w:jc w:val="both"/>
    </w:pPr>
    <w:rPr>
      <w:rFonts w:ascii="Tahoma" w:eastAsia="Times New Roman" w:hAnsi="Tahoma" w:cs="Tahoma"/>
      <w:sz w:val="20"/>
      <w:szCs w:val="20"/>
    </w:rPr>
  </w:style>
  <w:style w:type="character" w:customStyle="1" w:styleId="DocumentMapChar">
    <w:name w:val="Document Map Char"/>
    <w:link w:val="DocumentMap"/>
    <w:semiHidden/>
    <w:rPr>
      <w:rFonts w:ascii="Tahoma" w:eastAsia="Times New Roman" w:hAnsi="Tahoma" w:cs="Tahoma"/>
      <w:shd w:val="clear" w:color="auto" w:fill="000080"/>
      <w:lang w:eastAsia="fi-FI"/>
    </w:rPr>
  </w:style>
  <w:style w:type="table" w:styleId="TableGrid">
    <w:name w:val="Table Grid"/>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pPr>
      <w:numPr>
        <w:numId w:val="20"/>
      </w:numPr>
      <w:spacing w:before="120" w:after="120" w:line="240" w:lineRule="auto"/>
      <w:jc w:val="both"/>
    </w:pPr>
    <w:rPr>
      <w:rFonts w:ascii="Times New Roman" w:eastAsia="Times New Roman" w:hAnsi="Times New Roman"/>
      <w:sz w:val="24"/>
      <w:szCs w:val="24"/>
    </w:rPr>
  </w:style>
  <w:style w:type="paragraph" w:styleId="ListNumber2">
    <w:name w:val="List Number 2"/>
    <w:basedOn w:val="Normal"/>
    <w:pPr>
      <w:numPr>
        <w:numId w:val="15"/>
      </w:numPr>
      <w:spacing w:before="120" w:after="120" w:line="240" w:lineRule="auto"/>
      <w:jc w:val="both"/>
    </w:pPr>
    <w:rPr>
      <w:rFonts w:ascii="Times New Roman" w:eastAsia="Times New Roman" w:hAnsi="Times New Roman"/>
      <w:sz w:val="24"/>
      <w:szCs w:val="24"/>
    </w:rPr>
  </w:style>
  <w:style w:type="paragraph" w:styleId="ListNumber4">
    <w:name w:val="List Number 4"/>
    <w:basedOn w:val="Normal"/>
    <w:pPr>
      <w:numPr>
        <w:numId w:val="16"/>
      </w:numPr>
      <w:spacing w:before="120" w:after="120" w:line="240" w:lineRule="auto"/>
      <w:jc w:val="both"/>
    </w:pPr>
    <w:rPr>
      <w:rFonts w:ascii="Times New Roman" w:eastAsia="Times New Roman" w:hAnsi="Times New Roman"/>
      <w:sz w:val="24"/>
      <w:szCs w:val="24"/>
    </w:rPr>
  </w:style>
  <w:style w:type="paragraph" w:styleId="ListBullet">
    <w:name w:val="List Bullet"/>
    <w:basedOn w:val="Normal"/>
    <w:pPr>
      <w:numPr>
        <w:numId w:val="17"/>
      </w:numPr>
      <w:spacing w:before="120" w:after="120" w:line="240" w:lineRule="auto"/>
      <w:jc w:val="both"/>
    </w:pPr>
    <w:rPr>
      <w:rFonts w:ascii="Times New Roman" w:eastAsia="Times New Roman" w:hAnsi="Times New Roman"/>
      <w:sz w:val="24"/>
      <w:szCs w:val="24"/>
    </w:rPr>
  </w:style>
  <w:style w:type="paragraph" w:styleId="ListBullet3">
    <w:name w:val="List Bullet 3"/>
    <w:basedOn w:val="Normal"/>
    <w:pPr>
      <w:numPr>
        <w:numId w:val="18"/>
      </w:numPr>
      <w:spacing w:before="120" w:after="120" w:line="240" w:lineRule="auto"/>
      <w:jc w:val="both"/>
    </w:pPr>
    <w:rPr>
      <w:rFonts w:ascii="Times New Roman" w:eastAsia="Times New Roman" w:hAnsi="Times New Roman"/>
      <w:sz w:val="24"/>
      <w:szCs w:val="24"/>
    </w:rPr>
  </w:style>
  <w:style w:type="paragraph" w:styleId="ListBullet4">
    <w:name w:val="List Bullet 4"/>
    <w:basedOn w:val="Normal"/>
    <w:pPr>
      <w:numPr>
        <w:numId w:val="19"/>
      </w:numPr>
      <w:spacing w:before="120" w:after="120" w:line="240" w:lineRule="auto"/>
      <w:jc w:val="both"/>
    </w:pPr>
    <w:rPr>
      <w:rFonts w:ascii="Times New Roman" w:eastAsia="Times New Roman" w:hAnsi="Times New Roman"/>
      <w:sz w:val="24"/>
      <w:szCs w:val="24"/>
    </w:rPr>
  </w:style>
  <w:style w:type="character" w:styleId="CommentReference">
    <w:name w:val="annotation reference"/>
    <w:semiHidden/>
    <w:rPr>
      <w:rFonts w:cs="Times New Roman"/>
      <w:sz w:val="16"/>
      <w:szCs w:val="16"/>
      <w:shd w:val="clear" w:color="auto" w:fill="auto"/>
    </w:rPr>
  </w:style>
  <w:style w:type="paragraph" w:styleId="CommentText">
    <w:name w:val="annotation text"/>
    <w:basedOn w:val="Normal"/>
    <w:link w:val="CommentTextChar"/>
    <w:uiPriority w:val="99"/>
    <w:pPr>
      <w:spacing w:before="120" w:after="120" w:line="240" w:lineRule="auto"/>
      <w:jc w:val="both"/>
    </w:pPr>
    <w:rPr>
      <w:rFonts w:ascii="Times New Roman" w:eastAsia="Times New Roman" w:hAnsi="Times New Roman"/>
      <w:sz w:val="20"/>
      <w:szCs w:val="20"/>
    </w:rPr>
  </w:style>
  <w:style w:type="character" w:customStyle="1" w:styleId="CommentTextChar">
    <w:name w:val="Comment Text Char"/>
    <w:link w:val="CommentText"/>
    <w:uiPriority w:val="99"/>
    <w:rPr>
      <w:rFonts w:ascii="Times New Roman" w:eastAsia="Times New Roman" w:hAnsi="Times New Roman"/>
      <w:lang w:eastAsia="fi-FI"/>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rPr>
      <w:rFonts w:ascii="Times New Roman" w:eastAsia="Times New Roman" w:hAnsi="Times New Roman"/>
      <w:b/>
      <w:bCs/>
      <w:lang w:eastAsia="fi-FI"/>
    </w:rPr>
  </w:style>
  <w:style w:type="paragraph" w:styleId="Caption">
    <w:name w:val="caption"/>
    <w:basedOn w:val="Normal"/>
    <w:next w:val="Normal"/>
    <w:qFormat/>
    <w:pPr>
      <w:spacing w:before="120" w:after="120" w:line="240" w:lineRule="auto"/>
      <w:jc w:val="both"/>
    </w:pPr>
    <w:rPr>
      <w:rFonts w:ascii="Times New Roman" w:eastAsia="Times New Roman" w:hAnsi="Times New Roman"/>
      <w:b/>
      <w:bCs/>
      <w:sz w:val="20"/>
      <w:szCs w:val="20"/>
    </w:rPr>
  </w:style>
  <w:style w:type="paragraph" w:styleId="TableofFigures">
    <w:name w:val="table of figures"/>
    <w:basedOn w:val="Normal"/>
    <w:next w:val="Normal"/>
    <w:semiHidden/>
    <w:pPr>
      <w:spacing w:before="120" w:after="120" w:line="240" w:lineRule="auto"/>
      <w:jc w:val="both"/>
    </w:pPr>
    <w:rPr>
      <w:rFonts w:ascii="Times New Roman" w:eastAsia="Times New Roman" w:hAnsi="Times New Roman"/>
      <w:sz w:val="24"/>
      <w:szCs w:val="24"/>
    </w:rPr>
  </w:style>
  <w:style w:type="paragraph" w:customStyle="1" w:styleId="a3520normal">
    <w:name w:val="a___35__20_normal"/>
    <w:basedOn w:val="Normal"/>
    <w:pPr>
      <w:spacing w:after="120" w:line="240" w:lineRule="auto"/>
      <w:jc w:val="both"/>
    </w:pPr>
    <w:rPr>
      <w:rFonts w:ascii="Times New Roman" w:eastAsia="Times New Roman" w:hAnsi="Times New Roman"/>
      <w:sz w:val="24"/>
      <w:szCs w:val="24"/>
    </w:rPr>
  </w:style>
  <w:style w:type="paragraph" w:customStyle="1" w:styleId="ListNumberLevel2">
    <w:name w:val="List Number (Level 2)"/>
    <w:basedOn w:val="Normal"/>
    <w:pPr>
      <w:numPr>
        <w:ilvl w:val="1"/>
        <w:numId w:val="20"/>
      </w:numPr>
      <w:spacing w:before="120" w:after="120" w:line="240" w:lineRule="auto"/>
      <w:jc w:val="both"/>
    </w:pPr>
    <w:rPr>
      <w:rFonts w:ascii="Times New Roman" w:eastAsia="Times New Roman" w:hAnsi="Times New Roman"/>
      <w:sz w:val="24"/>
      <w:szCs w:val="24"/>
    </w:rPr>
  </w:style>
  <w:style w:type="paragraph" w:customStyle="1" w:styleId="ListDash">
    <w:name w:val="List Dash"/>
    <w:basedOn w:val="Normal"/>
    <w:pPr>
      <w:numPr>
        <w:numId w:val="21"/>
      </w:numPr>
      <w:spacing w:before="120" w:after="120" w:line="240" w:lineRule="auto"/>
      <w:jc w:val="both"/>
    </w:pPr>
    <w:rPr>
      <w:rFonts w:ascii="Times New Roman" w:eastAsia="Times New Roman" w:hAnsi="Times New Roman"/>
      <w:sz w:val="24"/>
      <w:szCs w:val="24"/>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customStyle="1" w:styleId="Text">
    <w:name w:val="Text"/>
    <w:basedOn w:val="Normal"/>
    <w:pPr>
      <w:spacing w:after="240" w:line="240" w:lineRule="auto"/>
      <w:jc w:val="both"/>
    </w:pPr>
    <w:rPr>
      <w:rFonts w:ascii="Times New Roman" w:eastAsia="Times New Roman" w:hAnsi="Times New Roman"/>
      <w:sz w:val="24"/>
      <w:szCs w:val="24"/>
    </w:rPr>
  </w:style>
  <w:style w:type="paragraph" w:customStyle="1" w:styleId="H3">
    <w:name w:val="H3"/>
    <w:basedOn w:val="Normal"/>
    <w:next w:val="Normal"/>
    <w:pPr>
      <w:keepNext/>
      <w:autoSpaceDE w:val="0"/>
      <w:autoSpaceDN w:val="0"/>
      <w:adjustRightInd w:val="0"/>
      <w:spacing w:before="100" w:after="100" w:line="240" w:lineRule="auto"/>
      <w:outlineLvl w:val="3"/>
    </w:pPr>
    <w:rPr>
      <w:rFonts w:ascii="Times New Roman" w:eastAsia="Times New Roman" w:hAnsi="Times New Roman"/>
      <w:b/>
      <w:bCs/>
      <w:sz w:val="28"/>
      <w:szCs w:val="28"/>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qFormat/>
    <w:rPr>
      <w:i/>
      <w:iC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TOCHeadingChar">
    <w:name w:val="TOC Heading Char"/>
    <w:link w:val="TOCHeading"/>
    <w:rPr>
      <w:rFonts w:ascii="Times New Roman" w:eastAsia="Times New Roman" w:hAnsi="Times New Roman"/>
      <w:b/>
      <w:sz w:val="28"/>
      <w:szCs w:val="24"/>
      <w:lang w:eastAsia="fi-FI"/>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paragraph" w:styleId="Revision">
    <w:name w:val="Revision"/>
    <w:hidden/>
    <w:uiPriority w:val="99"/>
    <w:semiHidden/>
    <w:rPr>
      <w:sz w:val="22"/>
      <w:szCs w:val="22"/>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fi-FI"/>
    </w:rPr>
  </w:style>
  <w:style w:type="character" w:styleId="EndnoteReference">
    <w:name w:val="endnote reference"/>
    <w:uiPriority w:val="99"/>
    <w:semiHidden/>
    <w:unhideWhenUsed/>
    <w:rPr>
      <w:vertAlign w:val="superscript"/>
    </w:rPr>
  </w:style>
  <w:style w:type="character" w:styleId="Strong">
    <w:name w:val="Strong"/>
    <w:uiPriority w:val="22"/>
    <w:qFormat/>
    <w:rPr>
      <w:b/>
      <w:bCs/>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i-FI" w:eastAsia="fi-FI" w:bidi="fi-FI"/>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qFormat="1"/>
    <w:lsdException w:name="table of figures" w:uiPriority="0"/>
    <w:lsdException w:name="footnote reference"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Text1"/>
    <w:link w:val="Heading1Char"/>
    <w:qFormat/>
    <w:pPr>
      <w:keepNext/>
      <w:numPr>
        <w:numId w:val="22"/>
      </w:numPr>
      <w:spacing w:before="360" w:after="120" w:line="240" w:lineRule="auto"/>
      <w:jc w:val="both"/>
      <w:outlineLvl w:val="0"/>
    </w:pPr>
    <w:rPr>
      <w:rFonts w:ascii="Times New Roman" w:eastAsia="Times New Roman" w:hAnsi="Times New Roman"/>
      <w:b/>
      <w:bCs/>
      <w:smallCaps/>
      <w:sz w:val="24"/>
      <w:szCs w:val="32"/>
    </w:rPr>
  </w:style>
  <w:style w:type="paragraph" w:styleId="Heading2">
    <w:name w:val="heading 2"/>
    <w:basedOn w:val="Normal"/>
    <w:next w:val="Text1"/>
    <w:link w:val="Heading2Char"/>
    <w:qFormat/>
    <w:pPr>
      <w:keepNext/>
      <w:numPr>
        <w:ilvl w:val="1"/>
        <w:numId w:val="22"/>
      </w:numPr>
      <w:spacing w:after="240" w:line="240" w:lineRule="auto"/>
      <w:jc w:val="both"/>
      <w:outlineLvl w:val="1"/>
    </w:pPr>
    <w:rPr>
      <w:rFonts w:ascii="Times New Roman" w:eastAsia="Times New Roman" w:hAnsi="Times New Roman"/>
      <w:b/>
      <w:bCs/>
      <w:iCs/>
      <w:noProof/>
      <w:sz w:val="24"/>
      <w:szCs w:val="24"/>
    </w:rPr>
  </w:style>
  <w:style w:type="paragraph" w:styleId="Heading3">
    <w:name w:val="heading 3"/>
    <w:basedOn w:val="Normal"/>
    <w:next w:val="Text1"/>
    <w:link w:val="Heading3Char"/>
    <w:qFormat/>
    <w:pPr>
      <w:keepNext/>
      <w:numPr>
        <w:ilvl w:val="2"/>
        <w:numId w:val="22"/>
      </w:numPr>
      <w:spacing w:before="120" w:after="120" w:line="240" w:lineRule="auto"/>
      <w:jc w:val="both"/>
      <w:outlineLvl w:val="2"/>
    </w:pPr>
    <w:rPr>
      <w:rFonts w:ascii="Times New Roman" w:eastAsia="Times New Roman" w:hAnsi="Times New Roman"/>
      <w:bCs/>
      <w:i/>
      <w:sz w:val="24"/>
      <w:szCs w:val="26"/>
    </w:rPr>
  </w:style>
  <w:style w:type="paragraph" w:styleId="Heading4">
    <w:name w:val="heading 4"/>
    <w:basedOn w:val="Normal"/>
    <w:next w:val="Text1"/>
    <w:link w:val="Heading4Char"/>
    <w:qFormat/>
    <w:pPr>
      <w:keepNext/>
      <w:numPr>
        <w:ilvl w:val="3"/>
        <w:numId w:val="22"/>
      </w:numPr>
      <w:spacing w:before="120" w:after="120" w:line="240" w:lineRule="auto"/>
      <w:jc w:val="both"/>
      <w:outlineLvl w:val="3"/>
    </w:pPr>
    <w:rPr>
      <w:rFonts w:ascii="Times New Roman" w:eastAsia="Times New Roman" w:hAnsi="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b/>
      <w:bCs/>
      <w:smallCaps/>
      <w:sz w:val="24"/>
      <w:szCs w:val="32"/>
      <w:lang w:eastAsia="fi-FI"/>
    </w:rPr>
  </w:style>
  <w:style w:type="character" w:customStyle="1" w:styleId="Heading2Char">
    <w:name w:val="Heading 2 Char"/>
    <w:link w:val="Heading2"/>
    <w:rPr>
      <w:rFonts w:ascii="Times New Roman" w:eastAsia="Times New Roman" w:hAnsi="Times New Roman"/>
      <w:b/>
      <w:bCs/>
      <w:iCs/>
      <w:noProof/>
      <w:sz w:val="24"/>
      <w:szCs w:val="24"/>
      <w:lang w:eastAsia="fi-FI"/>
    </w:rPr>
  </w:style>
  <w:style w:type="character" w:customStyle="1" w:styleId="Heading3Char">
    <w:name w:val="Heading 3 Char"/>
    <w:link w:val="Heading3"/>
    <w:rPr>
      <w:rFonts w:ascii="Times New Roman" w:eastAsia="Times New Roman" w:hAnsi="Times New Roman"/>
      <w:bCs/>
      <w:i/>
      <w:sz w:val="24"/>
      <w:szCs w:val="26"/>
      <w:lang w:eastAsia="fi-FI"/>
    </w:rPr>
  </w:style>
  <w:style w:type="character" w:customStyle="1" w:styleId="Heading4Char">
    <w:name w:val="Heading 4 Char"/>
    <w:link w:val="Heading4"/>
    <w:rPr>
      <w:rFonts w:ascii="Times New Roman" w:eastAsia="Times New Roman" w:hAnsi="Times New Roman"/>
      <w:bCs/>
      <w:sz w:val="24"/>
      <w:szCs w:val="28"/>
      <w:lang w:eastAsia="fi-FI"/>
    </w:rPr>
  </w:style>
  <w:style w:type="paragraph" w:styleId="Header">
    <w:name w:val="header"/>
    <w:basedOn w:val="Normal"/>
    <w:link w:val="HeaderChar"/>
    <w:uiPriority w:val="99"/>
    <w:pPr>
      <w:tabs>
        <w:tab w:val="center" w:pos="4535"/>
        <w:tab w:val="right" w:pos="9071"/>
      </w:tabs>
      <w:spacing w:before="120" w:after="120" w:line="240" w:lineRule="auto"/>
      <w:jc w:val="both"/>
    </w:pPr>
    <w:rPr>
      <w:rFonts w:ascii="Times New Roman" w:eastAsia="Times New Roman" w:hAnsi="Times New Roman"/>
      <w:sz w:val="24"/>
      <w:szCs w:val="24"/>
    </w:rPr>
  </w:style>
  <w:style w:type="character" w:customStyle="1" w:styleId="HeaderChar">
    <w:name w:val="Header Char"/>
    <w:link w:val="Header"/>
    <w:uiPriority w:val="99"/>
    <w:rPr>
      <w:rFonts w:ascii="Times New Roman" w:eastAsia="Times New Roman" w:hAnsi="Times New Roman"/>
      <w:sz w:val="24"/>
      <w:szCs w:val="24"/>
      <w:lang w:eastAsia="fi-FI"/>
    </w:rPr>
  </w:style>
  <w:style w:type="paragraph" w:styleId="Footer">
    <w:name w:val="footer"/>
    <w:basedOn w:val="Normal"/>
    <w:link w:val="FooterChar"/>
    <w:uiPriority w:val="99"/>
    <w:pPr>
      <w:tabs>
        <w:tab w:val="center" w:pos="4535"/>
        <w:tab w:val="right" w:pos="9071"/>
        <w:tab w:val="right" w:pos="9921"/>
      </w:tabs>
      <w:spacing w:before="360" w:after="0" w:line="240" w:lineRule="auto"/>
      <w:ind w:left="-850" w:right="-850"/>
    </w:pPr>
    <w:rPr>
      <w:rFonts w:ascii="Times New Roman" w:eastAsia="Times New Roman" w:hAnsi="Times New Roman"/>
      <w:sz w:val="24"/>
      <w:szCs w:val="24"/>
    </w:rPr>
  </w:style>
  <w:style w:type="character" w:customStyle="1" w:styleId="FooterChar">
    <w:name w:val="Footer Char"/>
    <w:link w:val="Footer"/>
    <w:uiPriority w:val="99"/>
    <w:rPr>
      <w:rFonts w:ascii="Times New Roman" w:eastAsia="Times New Roman" w:hAnsi="Times New Roman"/>
      <w:sz w:val="24"/>
      <w:szCs w:val="24"/>
      <w:lang w:eastAsia="fi-FI"/>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
    <w:basedOn w:val="Normal"/>
    <w:link w:val="FootnoteTextChar"/>
    <w:uiPriority w:val="99"/>
    <w:pPr>
      <w:spacing w:after="0" w:line="240" w:lineRule="auto"/>
      <w:ind w:left="720" w:hanging="720"/>
      <w:jc w:val="both"/>
    </w:pPr>
    <w:rPr>
      <w:rFonts w:ascii="Times New Roman" w:eastAsia="Times New Roman" w:hAnsi="Times New Roman"/>
      <w:sz w:val="20"/>
      <w:szCs w:val="20"/>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
    <w:link w:val="FootnoteText"/>
    <w:uiPriority w:val="99"/>
    <w:rPr>
      <w:rFonts w:ascii="Times New Roman" w:eastAsia="Times New Roman" w:hAnsi="Times New Roman"/>
      <w:lang w:eastAsia="fi-FI"/>
    </w:rPr>
  </w:style>
  <w:style w:type="paragraph" w:styleId="TOC1">
    <w:name w:val="toc 1"/>
    <w:basedOn w:val="Normal"/>
    <w:next w:val="Normal"/>
    <w:uiPriority w:val="39"/>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2">
    <w:name w:val="toc 2"/>
    <w:basedOn w:val="Normal"/>
    <w:next w:val="Normal"/>
    <w:uiPriority w:val="39"/>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3">
    <w:name w:val="toc 3"/>
    <w:basedOn w:val="Normal"/>
    <w:next w:val="Normal"/>
    <w:uiPriority w:val="39"/>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4">
    <w:name w:val="toc 4"/>
    <w:basedOn w:val="Normal"/>
    <w:next w:val="Normal"/>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5">
    <w:name w:val="toc 5"/>
    <w:basedOn w:val="Normal"/>
    <w:next w:val="Normal"/>
    <w:semiHidden/>
    <w:pPr>
      <w:tabs>
        <w:tab w:val="right" w:leader="dot" w:pos="9071"/>
      </w:tabs>
      <w:spacing w:before="300" w:after="120" w:line="240" w:lineRule="auto"/>
    </w:pPr>
    <w:rPr>
      <w:rFonts w:ascii="Times New Roman" w:eastAsia="Times New Roman" w:hAnsi="Times New Roman"/>
      <w:sz w:val="24"/>
      <w:szCs w:val="24"/>
    </w:rPr>
  </w:style>
  <w:style w:type="paragraph" w:styleId="TOC6">
    <w:name w:val="toc 6"/>
    <w:basedOn w:val="Normal"/>
    <w:next w:val="Normal"/>
    <w:semiHidden/>
    <w:pPr>
      <w:tabs>
        <w:tab w:val="right" w:leader="dot" w:pos="9071"/>
      </w:tabs>
      <w:spacing w:before="240" w:after="120" w:line="240" w:lineRule="auto"/>
    </w:pPr>
    <w:rPr>
      <w:rFonts w:ascii="Times New Roman" w:eastAsia="Times New Roman" w:hAnsi="Times New Roman"/>
      <w:sz w:val="24"/>
      <w:szCs w:val="24"/>
    </w:rPr>
  </w:style>
  <w:style w:type="paragraph" w:styleId="TOC7">
    <w:name w:val="toc 7"/>
    <w:basedOn w:val="Normal"/>
    <w:next w:val="Normal"/>
    <w:semiHidden/>
    <w:pPr>
      <w:tabs>
        <w:tab w:val="right" w:leader="dot" w:pos="9071"/>
      </w:tabs>
      <w:spacing w:before="180" w:after="120" w:line="240" w:lineRule="auto"/>
    </w:pPr>
    <w:rPr>
      <w:rFonts w:ascii="Times New Roman" w:eastAsia="Times New Roman" w:hAnsi="Times New Roman"/>
      <w:sz w:val="24"/>
      <w:szCs w:val="24"/>
    </w:rPr>
  </w:style>
  <w:style w:type="paragraph" w:styleId="TOC8">
    <w:name w:val="toc 8"/>
    <w:basedOn w:val="Normal"/>
    <w:next w:val="Normal"/>
    <w:semiHidden/>
    <w:pPr>
      <w:tabs>
        <w:tab w:val="right" w:leader="dot" w:pos="9071"/>
      </w:tabs>
      <w:spacing w:before="120" w:after="120" w:line="240" w:lineRule="auto"/>
    </w:pPr>
    <w:rPr>
      <w:rFonts w:ascii="Times New Roman" w:eastAsia="Times New Roman" w:hAnsi="Times New Roman"/>
      <w:sz w:val="24"/>
      <w:szCs w:val="24"/>
    </w:rPr>
  </w:style>
  <w:style w:type="paragraph" w:styleId="TOC9">
    <w:name w:val="toc 9"/>
    <w:basedOn w:val="Normal"/>
    <w:next w:val="Normal"/>
    <w:semiHidden/>
    <w:pPr>
      <w:tabs>
        <w:tab w:val="right" w:leader="dot" w:pos="9071"/>
      </w:tabs>
      <w:spacing w:before="120" w:after="120" w:line="240" w:lineRule="auto"/>
      <w:jc w:val="both"/>
    </w:pPr>
    <w:rPr>
      <w:rFonts w:ascii="Times New Roman" w:eastAsia="Times New Roman" w:hAnsi="Times New Roman"/>
      <w:sz w:val="24"/>
      <w:szCs w:val="24"/>
    </w:rPr>
  </w:style>
  <w:style w:type="paragraph" w:customStyle="1" w:styleId="HeaderLandscape">
    <w:name w:val="HeaderLandscape"/>
    <w:basedOn w:val="Normal"/>
    <w:pPr>
      <w:tabs>
        <w:tab w:val="center" w:pos="7285"/>
        <w:tab w:val="right" w:pos="14003"/>
      </w:tabs>
      <w:spacing w:before="120" w:after="120" w:line="240" w:lineRule="auto"/>
      <w:jc w:val="both"/>
    </w:pPr>
    <w:rPr>
      <w:rFonts w:ascii="Times New Roman" w:eastAsia="Times New Roman" w:hAnsi="Times New Roman"/>
      <w:sz w:val="24"/>
      <w:szCs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sz w:val="24"/>
      <w:szCs w:val="24"/>
    </w:rPr>
  </w:style>
  <w:style w:type="character" w:styleId="FootnoteReference">
    <w:name w:val="footnote reference"/>
    <w:aliases w:val="BVI fnr"/>
    <w:semiHidden/>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sz w:val="24"/>
      <w:szCs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sz w:val="24"/>
      <w:szCs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sz w:val="24"/>
      <w:szCs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sz w:val="24"/>
      <w:szCs w:val="24"/>
    </w:rPr>
  </w:style>
  <w:style w:type="paragraph" w:customStyle="1" w:styleId="NormalLeft">
    <w:name w:val="Normal Left"/>
    <w:basedOn w:val="Normal"/>
    <w:pPr>
      <w:spacing w:before="120" w:after="120" w:line="240" w:lineRule="auto"/>
    </w:pPr>
    <w:rPr>
      <w:rFonts w:ascii="Times New Roman" w:eastAsia="Times New Roman" w:hAnsi="Times New Roman"/>
      <w:sz w:val="24"/>
      <w:szCs w:val="24"/>
    </w:rPr>
  </w:style>
  <w:style w:type="paragraph" w:customStyle="1" w:styleId="NormalRight">
    <w:name w:val="Normal Right"/>
    <w:basedOn w:val="Normal"/>
    <w:pPr>
      <w:spacing w:before="120" w:after="120" w:line="240" w:lineRule="auto"/>
      <w:jc w:val="right"/>
    </w:pPr>
    <w:rPr>
      <w:rFonts w:ascii="Times New Roman" w:eastAsia="Times New Roman" w:hAnsi="Times New Roman"/>
      <w:sz w:val="24"/>
      <w:szCs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sz w:val="24"/>
      <w:szCs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sz w:val="24"/>
      <w:szCs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sz w:val="24"/>
      <w:szCs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sz w:val="24"/>
      <w:szCs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sz w:val="24"/>
      <w:szCs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sz w:val="24"/>
      <w:szCs w:val="24"/>
    </w:r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sz w:val="24"/>
      <w:szCs w:val="24"/>
    </w:rPr>
  </w:style>
  <w:style w:type="paragraph" w:customStyle="1" w:styleId="NumPar1">
    <w:name w:val="NumPar 1"/>
    <w:basedOn w:val="Normal"/>
    <w:next w:val="Text1"/>
    <w:pPr>
      <w:numPr>
        <w:numId w:val="6"/>
      </w:numPr>
      <w:spacing w:before="120" w:after="120" w:line="240" w:lineRule="auto"/>
      <w:jc w:val="both"/>
    </w:pPr>
    <w:rPr>
      <w:rFonts w:ascii="Times New Roman" w:eastAsia="Times New Roman" w:hAnsi="Times New Roman"/>
      <w:sz w:val="24"/>
      <w:szCs w:val="24"/>
    </w:rPr>
  </w:style>
  <w:style w:type="paragraph" w:customStyle="1" w:styleId="NumPar2">
    <w:name w:val="NumPar 2"/>
    <w:basedOn w:val="Normal"/>
    <w:next w:val="Text1"/>
    <w:pPr>
      <w:numPr>
        <w:ilvl w:val="1"/>
        <w:numId w:val="6"/>
      </w:numPr>
      <w:spacing w:before="120" w:after="120" w:line="240" w:lineRule="auto"/>
      <w:jc w:val="both"/>
    </w:pPr>
    <w:rPr>
      <w:rFonts w:ascii="Times New Roman" w:eastAsia="Times New Roman" w:hAnsi="Times New Roman"/>
      <w:sz w:val="24"/>
      <w:szCs w:val="24"/>
    </w:rPr>
  </w:style>
  <w:style w:type="paragraph" w:customStyle="1" w:styleId="NumPar3">
    <w:name w:val="NumPar 3"/>
    <w:basedOn w:val="Normal"/>
    <w:next w:val="Text1"/>
    <w:pPr>
      <w:numPr>
        <w:ilvl w:val="2"/>
        <w:numId w:val="6"/>
      </w:numPr>
      <w:spacing w:before="120" w:after="120" w:line="240" w:lineRule="auto"/>
      <w:jc w:val="both"/>
    </w:pPr>
    <w:rPr>
      <w:rFonts w:ascii="Times New Roman" w:eastAsia="Times New Roman" w:hAnsi="Times New Roman"/>
      <w:sz w:val="24"/>
      <w:szCs w:val="24"/>
    </w:rPr>
  </w:style>
  <w:style w:type="paragraph" w:customStyle="1" w:styleId="NumPar4">
    <w:name w:val="NumPar 4"/>
    <w:basedOn w:val="Normal"/>
    <w:next w:val="Text1"/>
    <w:pPr>
      <w:numPr>
        <w:ilvl w:val="3"/>
        <w:numId w:val="6"/>
      </w:numPr>
      <w:spacing w:before="120" w:after="120" w:line="240" w:lineRule="auto"/>
      <w:jc w:val="both"/>
    </w:pPr>
    <w:rPr>
      <w:rFonts w:ascii="Times New Roman" w:eastAsia="Times New Roman" w:hAnsi="Times New Roman"/>
      <w:sz w:val="24"/>
      <w:szCs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i/>
      <w:sz w:val="24"/>
      <w:szCs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b/>
      <w:sz w:val="36"/>
      <w:szCs w:val="24"/>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b/>
      <w:smallCaps/>
      <w:sz w:val="28"/>
      <w:szCs w:val="24"/>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b/>
      <w:sz w:val="24"/>
      <w:szCs w:val="24"/>
    </w:rPr>
  </w:style>
  <w:style w:type="character" w:customStyle="1" w:styleId="Marker">
    <w:name w:val="Marker"/>
    <w:rPr>
      <w:rFonts w:cs="Times New Roman"/>
      <w:color w:val="0000FF"/>
      <w:shd w:val="clear" w:color="auto" w:fill="auto"/>
    </w:rPr>
  </w:style>
  <w:style w:type="character" w:customStyle="1" w:styleId="Marker1">
    <w:name w:val="Marker1"/>
    <w:rPr>
      <w:rFonts w:cs="Times New Roman"/>
      <w:color w:val="008000"/>
      <w:shd w:val="clear" w:color="auto" w:fill="auto"/>
    </w:rPr>
  </w:style>
  <w:style w:type="character" w:customStyle="1" w:styleId="Marker2">
    <w:name w:val="Marker2"/>
    <w:rPr>
      <w:rFonts w:cs="Times New Roman"/>
      <w:color w:val="FF0000"/>
      <w:shd w:val="clear" w:color="auto" w:fill="auto"/>
    </w:rPr>
  </w:style>
  <w:style w:type="paragraph" w:styleId="TOCHeading">
    <w:name w:val="TOC Heading"/>
    <w:basedOn w:val="Normal"/>
    <w:next w:val="Normal"/>
    <w:link w:val="TOCHeadingChar"/>
    <w:uiPriority w:val="39"/>
    <w:qFormat/>
    <w:pPr>
      <w:spacing w:before="120" w:after="240" w:line="240" w:lineRule="auto"/>
      <w:jc w:val="center"/>
    </w:pPr>
    <w:rPr>
      <w:rFonts w:ascii="Times New Roman" w:eastAsia="Times New Roman" w:hAnsi="Times New Roman"/>
      <w:b/>
      <w:sz w:val="28"/>
      <w:szCs w:val="24"/>
    </w:rPr>
  </w:style>
  <w:style w:type="paragraph" w:customStyle="1" w:styleId="Point0number">
    <w:name w:val="Point 0 (number)"/>
    <w:basedOn w:val="Normal"/>
    <w:pPr>
      <w:numPr>
        <w:numId w:val="23"/>
      </w:numPr>
      <w:spacing w:before="120" w:after="120" w:line="240" w:lineRule="auto"/>
      <w:jc w:val="both"/>
    </w:pPr>
    <w:rPr>
      <w:rFonts w:ascii="Times New Roman" w:eastAsia="Times New Roman" w:hAnsi="Times New Roman"/>
      <w:sz w:val="24"/>
      <w:szCs w:val="24"/>
    </w:rPr>
  </w:style>
  <w:style w:type="paragraph" w:customStyle="1" w:styleId="Point1number">
    <w:name w:val="Point 1 (number)"/>
    <w:basedOn w:val="Normal"/>
    <w:pPr>
      <w:numPr>
        <w:ilvl w:val="2"/>
        <w:numId w:val="23"/>
      </w:numPr>
      <w:spacing w:before="120" w:after="120" w:line="240" w:lineRule="auto"/>
      <w:jc w:val="both"/>
    </w:pPr>
    <w:rPr>
      <w:rFonts w:ascii="Times New Roman" w:eastAsia="Times New Roman" w:hAnsi="Times New Roman"/>
      <w:sz w:val="24"/>
      <w:szCs w:val="24"/>
    </w:rPr>
  </w:style>
  <w:style w:type="paragraph" w:customStyle="1" w:styleId="Point2number">
    <w:name w:val="Point 2 (number)"/>
    <w:basedOn w:val="Normal"/>
    <w:pPr>
      <w:numPr>
        <w:ilvl w:val="4"/>
        <w:numId w:val="23"/>
      </w:numPr>
      <w:spacing w:before="120" w:after="120" w:line="240" w:lineRule="auto"/>
      <w:jc w:val="both"/>
    </w:pPr>
    <w:rPr>
      <w:rFonts w:ascii="Times New Roman" w:eastAsia="Times New Roman" w:hAnsi="Times New Roman"/>
      <w:sz w:val="24"/>
      <w:szCs w:val="24"/>
    </w:rPr>
  </w:style>
  <w:style w:type="paragraph" w:customStyle="1" w:styleId="Point3number">
    <w:name w:val="Point 3 (number)"/>
    <w:basedOn w:val="Normal"/>
    <w:pPr>
      <w:numPr>
        <w:ilvl w:val="6"/>
        <w:numId w:val="23"/>
      </w:numPr>
      <w:spacing w:before="120" w:after="120" w:line="240" w:lineRule="auto"/>
      <w:jc w:val="both"/>
    </w:pPr>
    <w:rPr>
      <w:rFonts w:ascii="Times New Roman" w:eastAsia="Times New Roman" w:hAnsi="Times New Roman"/>
      <w:sz w:val="24"/>
      <w:szCs w:val="24"/>
    </w:rPr>
  </w:style>
  <w:style w:type="paragraph" w:customStyle="1" w:styleId="Point0letter">
    <w:name w:val="Point 0 (letter)"/>
    <w:basedOn w:val="Normal"/>
    <w:pPr>
      <w:numPr>
        <w:ilvl w:val="1"/>
        <w:numId w:val="23"/>
      </w:numPr>
      <w:spacing w:before="120" w:after="120" w:line="240" w:lineRule="auto"/>
      <w:jc w:val="both"/>
    </w:pPr>
    <w:rPr>
      <w:rFonts w:ascii="Times New Roman" w:eastAsia="Times New Roman" w:hAnsi="Times New Roman"/>
      <w:sz w:val="24"/>
      <w:szCs w:val="24"/>
    </w:rPr>
  </w:style>
  <w:style w:type="paragraph" w:customStyle="1" w:styleId="Point1letter">
    <w:name w:val="Point 1 (letter)"/>
    <w:basedOn w:val="Normal"/>
    <w:pPr>
      <w:numPr>
        <w:ilvl w:val="3"/>
        <w:numId w:val="23"/>
      </w:numPr>
      <w:spacing w:before="120" w:after="120" w:line="240" w:lineRule="auto"/>
      <w:jc w:val="both"/>
    </w:pPr>
    <w:rPr>
      <w:rFonts w:ascii="Times New Roman" w:eastAsia="Times New Roman" w:hAnsi="Times New Roman"/>
      <w:sz w:val="24"/>
      <w:szCs w:val="24"/>
    </w:rPr>
  </w:style>
  <w:style w:type="paragraph" w:customStyle="1" w:styleId="Point2letter">
    <w:name w:val="Point 2 (letter)"/>
    <w:basedOn w:val="Normal"/>
    <w:pPr>
      <w:numPr>
        <w:ilvl w:val="5"/>
        <w:numId w:val="23"/>
      </w:numPr>
      <w:spacing w:before="120" w:after="120" w:line="240" w:lineRule="auto"/>
      <w:jc w:val="both"/>
    </w:pPr>
    <w:rPr>
      <w:rFonts w:ascii="Times New Roman" w:eastAsia="Times New Roman" w:hAnsi="Times New Roman"/>
      <w:sz w:val="24"/>
      <w:szCs w:val="24"/>
    </w:rPr>
  </w:style>
  <w:style w:type="paragraph" w:customStyle="1" w:styleId="Point3letter">
    <w:name w:val="Point 3 (letter)"/>
    <w:basedOn w:val="Normal"/>
    <w:pPr>
      <w:numPr>
        <w:ilvl w:val="7"/>
        <w:numId w:val="23"/>
      </w:numPr>
      <w:spacing w:before="120" w:after="120" w:line="240" w:lineRule="auto"/>
      <w:jc w:val="both"/>
    </w:pPr>
    <w:rPr>
      <w:rFonts w:ascii="Times New Roman" w:eastAsia="Times New Roman" w:hAnsi="Times New Roman"/>
      <w:sz w:val="24"/>
      <w:szCs w:val="24"/>
    </w:rPr>
  </w:style>
  <w:style w:type="paragraph" w:customStyle="1" w:styleId="Point4letter">
    <w:name w:val="Point 4 (letter)"/>
    <w:basedOn w:val="Normal"/>
    <w:pPr>
      <w:numPr>
        <w:ilvl w:val="8"/>
        <w:numId w:val="23"/>
      </w:numPr>
      <w:spacing w:before="120" w:after="120" w:line="240" w:lineRule="auto"/>
      <w:jc w:val="both"/>
    </w:pPr>
    <w:rPr>
      <w:rFonts w:ascii="Times New Roman" w:eastAsia="Times New Roman" w:hAnsi="Times New Roman"/>
      <w:sz w:val="24"/>
      <w:szCs w:val="24"/>
    </w:rPr>
  </w:style>
  <w:style w:type="paragraph" w:customStyle="1" w:styleId="Bullet0">
    <w:name w:val="Bullet 0"/>
    <w:basedOn w:val="Normal"/>
    <w:pPr>
      <w:numPr>
        <w:numId w:val="7"/>
      </w:numPr>
      <w:spacing w:before="120" w:after="120" w:line="240" w:lineRule="auto"/>
      <w:jc w:val="both"/>
    </w:pPr>
    <w:rPr>
      <w:rFonts w:ascii="Times New Roman" w:eastAsia="Times New Roman" w:hAnsi="Times New Roman"/>
      <w:sz w:val="24"/>
      <w:szCs w:val="24"/>
    </w:rPr>
  </w:style>
  <w:style w:type="paragraph" w:customStyle="1" w:styleId="Bullet1">
    <w:name w:val="Bullet 1"/>
    <w:basedOn w:val="Normal"/>
    <w:pPr>
      <w:numPr>
        <w:numId w:val="8"/>
      </w:numPr>
      <w:spacing w:before="120" w:after="120" w:line="240" w:lineRule="auto"/>
      <w:jc w:val="both"/>
    </w:pPr>
    <w:rPr>
      <w:rFonts w:ascii="Times New Roman" w:eastAsia="Times New Roman" w:hAnsi="Times New Roman"/>
      <w:sz w:val="24"/>
      <w:szCs w:val="24"/>
    </w:rPr>
  </w:style>
  <w:style w:type="paragraph" w:customStyle="1" w:styleId="Bullet2">
    <w:name w:val="Bullet 2"/>
    <w:basedOn w:val="Normal"/>
    <w:pPr>
      <w:numPr>
        <w:numId w:val="9"/>
      </w:numPr>
      <w:spacing w:before="120" w:after="120" w:line="240" w:lineRule="auto"/>
      <w:jc w:val="both"/>
    </w:pPr>
    <w:rPr>
      <w:rFonts w:ascii="Times New Roman" w:eastAsia="Times New Roman" w:hAnsi="Times New Roman"/>
      <w:sz w:val="24"/>
      <w:szCs w:val="24"/>
    </w:rPr>
  </w:style>
  <w:style w:type="paragraph" w:customStyle="1" w:styleId="Bullet3">
    <w:name w:val="Bullet 3"/>
    <w:basedOn w:val="Normal"/>
    <w:pPr>
      <w:numPr>
        <w:numId w:val="10"/>
      </w:numPr>
      <w:spacing w:before="120" w:after="120" w:line="240" w:lineRule="auto"/>
      <w:jc w:val="both"/>
    </w:pPr>
    <w:rPr>
      <w:rFonts w:ascii="Times New Roman" w:eastAsia="Times New Roman" w:hAnsi="Times New Roman"/>
      <w:sz w:val="24"/>
      <w:szCs w:val="24"/>
    </w:rPr>
  </w:style>
  <w:style w:type="paragraph" w:customStyle="1" w:styleId="Bullet4">
    <w:name w:val="Bullet 4"/>
    <w:basedOn w:val="Normal"/>
    <w:pPr>
      <w:numPr>
        <w:numId w:val="11"/>
      </w:numPr>
      <w:spacing w:before="120" w:after="120" w:line="240" w:lineRule="auto"/>
      <w:jc w:val="both"/>
    </w:pPr>
    <w:rPr>
      <w:rFonts w:ascii="Times New Roman" w:eastAsia="Times New Roman" w:hAnsi="Times New Roman"/>
      <w:sz w:val="24"/>
      <w:szCs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sz w:val="24"/>
      <w:szCs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sz w:val="24"/>
      <w:szCs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sz w:val="24"/>
      <w:szCs w:val="24"/>
    </w:rPr>
  </w:style>
  <w:style w:type="paragraph" w:customStyle="1" w:styleId="Confidentialit">
    <w:name w:val="Confidentialité"/>
    <w:basedOn w:val="Normal"/>
    <w:next w:val="TypedudocumentPagedecouverture"/>
    <w:pPr>
      <w:spacing w:before="240" w:after="240" w:line="240" w:lineRule="auto"/>
      <w:ind w:left="5103"/>
      <w:jc w:val="both"/>
    </w:pPr>
    <w:rPr>
      <w:rFonts w:ascii="Times New Roman" w:eastAsia="Times New Roman" w:hAnsi="Times New Roman"/>
      <w:i/>
      <w:sz w:val="32"/>
      <w:szCs w:val="24"/>
    </w:rPr>
  </w:style>
  <w:style w:type="paragraph" w:customStyle="1" w:styleId="Considrant">
    <w:name w:val="Considérant"/>
    <w:basedOn w:val="Normal"/>
    <w:pPr>
      <w:numPr>
        <w:numId w:val="12"/>
      </w:numPr>
      <w:spacing w:before="120" w:after="120" w:line="240" w:lineRule="auto"/>
      <w:jc w:val="both"/>
    </w:pPr>
    <w:rPr>
      <w:rFonts w:ascii="Times New Roman" w:eastAsia="Times New Roman" w:hAnsi="Times New Roman"/>
      <w:sz w:val="24"/>
      <w:szCs w:val="24"/>
    </w:rPr>
  </w:style>
  <w:style w:type="paragraph" w:customStyle="1" w:styleId="Corrigendum">
    <w:name w:val="Corrigendum"/>
    <w:basedOn w:val="Normal"/>
    <w:next w:val="Normal"/>
    <w:pPr>
      <w:spacing w:after="240" w:line="240" w:lineRule="auto"/>
    </w:pPr>
    <w:rPr>
      <w:rFonts w:ascii="Times New Roman" w:eastAsia="Times New Roman" w:hAnsi="Times New Roman"/>
      <w:sz w:val="24"/>
      <w:szCs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b/>
      <w:sz w:val="24"/>
      <w:szCs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sz w:val="24"/>
      <w:szCs w:val="24"/>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sz w:val="24"/>
      <w:szCs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i/>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b/>
      <w:caps/>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sz w:val="24"/>
      <w:szCs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i/>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sz w:val="24"/>
      <w:szCs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sz w:val="24"/>
      <w:szCs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sz w:val="24"/>
      <w:szCs w:val="24"/>
    </w:rPr>
  </w:style>
  <w:style w:type="paragraph" w:customStyle="1" w:styleId="Sous-titreobjet">
    <w:name w:val="Sous-titre objet"/>
    <w:basedOn w:val="Normal"/>
    <w:pPr>
      <w:spacing w:after="0" w:line="240" w:lineRule="auto"/>
      <w:jc w:val="center"/>
    </w:pPr>
    <w:rPr>
      <w:rFonts w:ascii="Times New Roman" w:eastAsia="Times New Roman" w:hAnsi="Times New Roman"/>
      <w:b/>
      <w:sz w:val="24"/>
      <w:szCs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sz w:val="24"/>
      <w:szCs w:val="24"/>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i/>
      <w:sz w:val="24"/>
      <w:szCs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b/>
      <w:sz w:val="24"/>
      <w:szCs w:val="24"/>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b/>
      <w:sz w:val="24"/>
      <w:szCs w:val="24"/>
    </w:rPr>
  </w:style>
  <w:style w:type="character" w:customStyle="1" w:styleId="Added">
    <w:name w:val="Added"/>
    <w:rPr>
      <w:rFonts w:cs="Times New Roman"/>
      <w:b/>
      <w:u w:val="single"/>
      <w:shd w:val="clear" w:color="auto" w:fill="auto"/>
    </w:rPr>
  </w:style>
  <w:style w:type="character" w:customStyle="1" w:styleId="Deleted">
    <w:name w:val="Deleted"/>
    <w:rPr>
      <w:rFonts w:cs="Times New Roman"/>
      <w:strik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sz w:val="24"/>
      <w:szCs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i/>
      <w:caps/>
      <w:sz w:val="24"/>
      <w:szCs w:val="24"/>
    </w:rPr>
  </w:style>
  <w:style w:type="paragraph" w:customStyle="1" w:styleId="Pagedecouverture">
    <w:name w:val="Page de couverture"/>
    <w:basedOn w:val="Normal"/>
    <w:next w:val="Normal"/>
    <w:pPr>
      <w:spacing w:before="120" w:after="120" w:line="240" w:lineRule="auto"/>
      <w:jc w:val="both"/>
    </w:pPr>
    <w:rPr>
      <w:rFonts w:ascii="Times New Roman" w:eastAsia="Times New Roman" w:hAnsi="Times New Roman"/>
      <w:sz w:val="24"/>
      <w:szCs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b/>
      <w:sz w:val="24"/>
      <w:szCs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sz w:val="24"/>
      <w:szCs w:val="24"/>
    </w:rPr>
  </w:style>
  <w:style w:type="paragraph" w:customStyle="1" w:styleId="Rfrencecroise">
    <w:name w:val="Référence croisée"/>
    <w:basedOn w:val="Normal"/>
    <w:pPr>
      <w:spacing w:after="0" w:line="240" w:lineRule="auto"/>
      <w:jc w:val="center"/>
    </w:pPr>
    <w:rPr>
      <w:rFonts w:ascii="Times New Roman" w:eastAsia="Times New Roman" w:hAnsi="Times New Roman"/>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sz w:val="24"/>
      <w:szCs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b/>
      <w:i/>
      <w:sz w:val="24"/>
      <w:szCs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b/>
      <w:sz w:val="24"/>
      <w:szCs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b/>
      <w:sz w:val="24"/>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sz w:val="24"/>
      <w:szCs w:val="24"/>
    </w:rPr>
  </w:style>
  <w:style w:type="paragraph" w:styleId="ListBullet2">
    <w:name w:val="List Bullet 2"/>
    <w:basedOn w:val="Normal"/>
    <w:pPr>
      <w:numPr>
        <w:numId w:val="14"/>
      </w:numPr>
      <w:spacing w:before="120" w:after="120" w:line="240" w:lineRule="auto"/>
      <w:jc w:val="both"/>
    </w:pPr>
    <w:rPr>
      <w:rFonts w:ascii="Times New Roman" w:eastAsia="Times New Roman" w:hAnsi="Times New Roman"/>
      <w:sz w:val="24"/>
      <w:szCs w:val="24"/>
    </w:rPr>
  </w:style>
  <w:style w:type="paragraph" w:styleId="ListNumber3">
    <w:name w:val="List Number 3"/>
    <w:basedOn w:val="Normal"/>
    <w:pPr>
      <w:numPr>
        <w:numId w:val="13"/>
      </w:numPr>
      <w:spacing w:before="120" w:after="120" w:line="240" w:lineRule="auto"/>
      <w:jc w:val="both"/>
    </w:pPr>
    <w:rPr>
      <w:rFonts w:ascii="Times New Roman" w:eastAsia="Times New Roman" w:hAnsi="Times New Roman"/>
      <w:sz w:val="24"/>
      <w:szCs w:val="24"/>
    </w:rPr>
  </w:style>
  <w:style w:type="paragraph" w:customStyle="1" w:styleId="ListNumber3Level2">
    <w:name w:val="List Number 3 (Level 2)"/>
    <w:basedOn w:val="Text3"/>
    <w:pPr>
      <w:numPr>
        <w:ilvl w:val="1"/>
        <w:numId w:val="13"/>
      </w:numPr>
    </w:pPr>
  </w:style>
  <w:style w:type="paragraph" w:customStyle="1" w:styleId="ListNumber3Level3">
    <w:name w:val="List Number 3 (Level 3)"/>
    <w:basedOn w:val="Text3"/>
    <w:pPr>
      <w:numPr>
        <w:ilvl w:val="2"/>
        <w:numId w:val="13"/>
      </w:numPr>
    </w:pPr>
  </w:style>
  <w:style w:type="paragraph" w:customStyle="1" w:styleId="ListNumber3Level4">
    <w:name w:val="List Number 3 (Level 4)"/>
    <w:basedOn w:val="Text3"/>
    <w:pPr>
      <w:numPr>
        <w:ilvl w:val="3"/>
        <w:numId w:val="13"/>
      </w:numPr>
    </w:pPr>
  </w:style>
  <w:style w:type="paragraph" w:styleId="BalloonText">
    <w:name w:val="Balloon Text"/>
    <w:basedOn w:val="Normal"/>
    <w:link w:val="BalloonTextChar"/>
    <w:semiHidden/>
    <w:pPr>
      <w:spacing w:before="120" w:after="120" w:line="240" w:lineRule="auto"/>
      <w:jc w:val="both"/>
    </w:pPr>
    <w:rPr>
      <w:rFonts w:ascii="Tahoma" w:eastAsia="Times New Roman" w:hAnsi="Tahoma" w:cs="Tahoma"/>
      <w:sz w:val="16"/>
      <w:szCs w:val="16"/>
    </w:rPr>
  </w:style>
  <w:style w:type="character" w:customStyle="1" w:styleId="BalloonTextChar">
    <w:name w:val="Balloon Text Char"/>
    <w:link w:val="BalloonText"/>
    <w:semiHidden/>
    <w:rPr>
      <w:rFonts w:ascii="Tahoma" w:eastAsia="Times New Roman" w:hAnsi="Tahoma" w:cs="Tahoma"/>
      <w:sz w:val="16"/>
      <w:szCs w:val="16"/>
      <w:lang w:eastAsia="fi-FI"/>
    </w:rPr>
  </w:style>
  <w:style w:type="character" w:styleId="Hyperlink">
    <w:name w:val="Hyperlink"/>
    <w:uiPriority w:val="99"/>
    <w:rPr>
      <w:rFonts w:cs="Times New Roman"/>
      <w:color w:val="0000FF"/>
      <w:u w:val="single"/>
      <w:shd w:val="clear" w:color="auto" w:fill="auto"/>
    </w:rPr>
  </w:style>
  <w:style w:type="paragraph" w:styleId="DocumentMap">
    <w:name w:val="Document Map"/>
    <w:basedOn w:val="Normal"/>
    <w:link w:val="DocumentMapChar"/>
    <w:semiHidden/>
    <w:pPr>
      <w:shd w:val="clear" w:color="auto" w:fill="000080"/>
      <w:spacing w:before="120" w:after="120" w:line="240" w:lineRule="auto"/>
      <w:jc w:val="both"/>
    </w:pPr>
    <w:rPr>
      <w:rFonts w:ascii="Tahoma" w:eastAsia="Times New Roman" w:hAnsi="Tahoma" w:cs="Tahoma"/>
      <w:sz w:val="20"/>
      <w:szCs w:val="20"/>
    </w:rPr>
  </w:style>
  <w:style w:type="character" w:customStyle="1" w:styleId="DocumentMapChar">
    <w:name w:val="Document Map Char"/>
    <w:link w:val="DocumentMap"/>
    <w:semiHidden/>
    <w:rPr>
      <w:rFonts w:ascii="Tahoma" w:eastAsia="Times New Roman" w:hAnsi="Tahoma" w:cs="Tahoma"/>
      <w:shd w:val="clear" w:color="auto" w:fill="000080"/>
      <w:lang w:eastAsia="fi-FI"/>
    </w:rPr>
  </w:style>
  <w:style w:type="table" w:styleId="TableGrid">
    <w:name w:val="Table Grid"/>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pPr>
      <w:numPr>
        <w:numId w:val="20"/>
      </w:numPr>
      <w:spacing w:before="120" w:after="120" w:line="240" w:lineRule="auto"/>
      <w:jc w:val="both"/>
    </w:pPr>
    <w:rPr>
      <w:rFonts w:ascii="Times New Roman" w:eastAsia="Times New Roman" w:hAnsi="Times New Roman"/>
      <w:sz w:val="24"/>
      <w:szCs w:val="24"/>
    </w:rPr>
  </w:style>
  <w:style w:type="paragraph" w:styleId="ListNumber2">
    <w:name w:val="List Number 2"/>
    <w:basedOn w:val="Normal"/>
    <w:pPr>
      <w:numPr>
        <w:numId w:val="15"/>
      </w:numPr>
      <w:spacing w:before="120" w:after="120" w:line="240" w:lineRule="auto"/>
      <w:jc w:val="both"/>
    </w:pPr>
    <w:rPr>
      <w:rFonts w:ascii="Times New Roman" w:eastAsia="Times New Roman" w:hAnsi="Times New Roman"/>
      <w:sz w:val="24"/>
      <w:szCs w:val="24"/>
    </w:rPr>
  </w:style>
  <w:style w:type="paragraph" w:styleId="ListNumber4">
    <w:name w:val="List Number 4"/>
    <w:basedOn w:val="Normal"/>
    <w:pPr>
      <w:numPr>
        <w:numId w:val="16"/>
      </w:numPr>
      <w:spacing w:before="120" w:after="120" w:line="240" w:lineRule="auto"/>
      <w:jc w:val="both"/>
    </w:pPr>
    <w:rPr>
      <w:rFonts w:ascii="Times New Roman" w:eastAsia="Times New Roman" w:hAnsi="Times New Roman"/>
      <w:sz w:val="24"/>
      <w:szCs w:val="24"/>
    </w:rPr>
  </w:style>
  <w:style w:type="paragraph" w:styleId="ListBullet">
    <w:name w:val="List Bullet"/>
    <w:basedOn w:val="Normal"/>
    <w:pPr>
      <w:numPr>
        <w:numId w:val="17"/>
      </w:numPr>
      <w:spacing w:before="120" w:after="120" w:line="240" w:lineRule="auto"/>
      <w:jc w:val="both"/>
    </w:pPr>
    <w:rPr>
      <w:rFonts w:ascii="Times New Roman" w:eastAsia="Times New Roman" w:hAnsi="Times New Roman"/>
      <w:sz w:val="24"/>
      <w:szCs w:val="24"/>
    </w:rPr>
  </w:style>
  <w:style w:type="paragraph" w:styleId="ListBullet3">
    <w:name w:val="List Bullet 3"/>
    <w:basedOn w:val="Normal"/>
    <w:pPr>
      <w:numPr>
        <w:numId w:val="18"/>
      </w:numPr>
      <w:spacing w:before="120" w:after="120" w:line="240" w:lineRule="auto"/>
      <w:jc w:val="both"/>
    </w:pPr>
    <w:rPr>
      <w:rFonts w:ascii="Times New Roman" w:eastAsia="Times New Roman" w:hAnsi="Times New Roman"/>
      <w:sz w:val="24"/>
      <w:szCs w:val="24"/>
    </w:rPr>
  </w:style>
  <w:style w:type="paragraph" w:styleId="ListBullet4">
    <w:name w:val="List Bullet 4"/>
    <w:basedOn w:val="Normal"/>
    <w:pPr>
      <w:numPr>
        <w:numId w:val="19"/>
      </w:numPr>
      <w:spacing w:before="120" w:after="120" w:line="240" w:lineRule="auto"/>
      <w:jc w:val="both"/>
    </w:pPr>
    <w:rPr>
      <w:rFonts w:ascii="Times New Roman" w:eastAsia="Times New Roman" w:hAnsi="Times New Roman"/>
      <w:sz w:val="24"/>
      <w:szCs w:val="24"/>
    </w:rPr>
  </w:style>
  <w:style w:type="character" w:styleId="CommentReference">
    <w:name w:val="annotation reference"/>
    <w:semiHidden/>
    <w:rPr>
      <w:rFonts w:cs="Times New Roman"/>
      <w:sz w:val="16"/>
      <w:szCs w:val="16"/>
      <w:shd w:val="clear" w:color="auto" w:fill="auto"/>
    </w:rPr>
  </w:style>
  <w:style w:type="paragraph" w:styleId="CommentText">
    <w:name w:val="annotation text"/>
    <w:basedOn w:val="Normal"/>
    <w:link w:val="CommentTextChar"/>
    <w:uiPriority w:val="99"/>
    <w:pPr>
      <w:spacing w:before="120" w:after="120" w:line="240" w:lineRule="auto"/>
      <w:jc w:val="both"/>
    </w:pPr>
    <w:rPr>
      <w:rFonts w:ascii="Times New Roman" w:eastAsia="Times New Roman" w:hAnsi="Times New Roman"/>
      <w:sz w:val="20"/>
      <w:szCs w:val="20"/>
    </w:rPr>
  </w:style>
  <w:style w:type="character" w:customStyle="1" w:styleId="CommentTextChar">
    <w:name w:val="Comment Text Char"/>
    <w:link w:val="CommentText"/>
    <w:uiPriority w:val="99"/>
    <w:rPr>
      <w:rFonts w:ascii="Times New Roman" w:eastAsia="Times New Roman" w:hAnsi="Times New Roman"/>
      <w:lang w:eastAsia="fi-FI"/>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rPr>
      <w:rFonts w:ascii="Times New Roman" w:eastAsia="Times New Roman" w:hAnsi="Times New Roman"/>
      <w:b/>
      <w:bCs/>
      <w:lang w:eastAsia="fi-FI"/>
    </w:rPr>
  </w:style>
  <w:style w:type="paragraph" w:styleId="Caption">
    <w:name w:val="caption"/>
    <w:basedOn w:val="Normal"/>
    <w:next w:val="Normal"/>
    <w:qFormat/>
    <w:pPr>
      <w:spacing w:before="120" w:after="120" w:line="240" w:lineRule="auto"/>
      <w:jc w:val="both"/>
    </w:pPr>
    <w:rPr>
      <w:rFonts w:ascii="Times New Roman" w:eastAsia="Times New Roman" w:hAnsi="Times New Roman"/>
      <w:b/>
      <w:bCs/>
      <w:sz w:val="20"/>
      <w:szCs w:val="20"/>
    </w:rPr>
  </w:style>
  <w:style w:type="paragraph" w:styleId="TableofFigures">
    <w:name w:val="table of figures"/>
    <w:basedOn w:val="Normal"/>
    <w:next w:val="Normal"/>
    <w:semiHidden/>
    <w:pPr>
      <w:spacing w:before="120" w:after="120" w:line="240" w:lineRule="auto"/>
      <w:jc w:val="both"/>
    </w:pPr>
    <w:rPr>
      <w:rFonts w:ascii="Times New Roman" w:eastAsia="Times New Roman" w:hAnsi="Times New Roman"/>
      <w:sz w:val="24"/>
      <w:szCs w:val="24"/>
    </w:rPr>
  </w:style>
  <w:style w:type="paragraph" w:customStyle="1" w:styleId="a3520normal">
    <w:name w:val="a___35__20_normal"/>
    <w:basedOn w:val="Normal"/>
    <w:pPr>
      <w:spacing w:after="120" w:line="240" w:lineRule="auto"/>
      <w:jc w:val="both"/>
    </w:pPr>
    <w:rPr>
      <w:rFonts w:ascii="Times New Roman" w:eastAsia="Times New Roman" w:hAnsi="Times New Roman"/>
      <w:sz w:val="24"/>
      <w:szCs w:val="24"/>
    </w:rPr>
  </w:style>
  <w:style w:type="paragraph" w:customStyle="1" w:styleId="ListNumberLevel2">
    <w:name w:val="List Number (Level 2)"/>
    <w:basedOn w:val="Normal"/>
    <w:pPr>
      <w:numPr>
        <w:ilvl w:val="1"/>
        <w:numId w:val="20"/>
      </w:numPr>
      <w:spacing w:before="120" w:after="120" w:line="240" w:lineRule="auto"/>
      <w:jc w:val="both"/>
    </w:pPr>
    <w:rPr>
      <w:rFonts w:ascii="Times New Roman" w:eastAsia="Times New Roman" w:hAnsi="Times New Roman"/>
      <w:sz w:val="24"/>
      <w:szCs w:val="24"/>
    </w:rPr>
  </w:style>
  <w:style w:type="paragraph" w:customStyle="1" w:styleId="ListDash">
    <w:name w:val="List Dash"/>
    <w:basedOn w:val="Normal"/>
    <w:pPr>
      <w:numPr>
        <w:numId w:val="21"/>
      </w:numPr>
      <w:spacing w:before="120" w:after="120" w:line="240" w:lineRule="auto"/>
      <w:jc w:val="both"/>
    </w:pPr>
    <w:rPr>
      <w:rFonts w:ascii="Times New Roman" w:eastAsia="Times New Roman" w:hAnsi="Times New Roman"/>
      <w:sz w:val="24"/>
      <w:szCs w:val="24"/>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customStyle="1" w:styleId="Text">
    <w:name w:val="Text"/>
    <w:basedOn w:val="Normal"/>
    <w:pPr>
      <w:spacing w:after="240" w:line="240" w:lineRule="auto"/>
      <w:jc w:val="both"/>
    </w:pPr>
    <w:rPr>
      <w:rFonts w:ascii="Times New Roman" w:eastAsia="Times New Roman" w:hAnsi="Times New Roman"/>
      <w:sz w:val="24"/>
      <w:szCs w:val="24"/>
    </w:rPr>
  </w:style>
  <w:style w:type="paragraph" w:customStyle="1" w:styleId="H3">
    <w:name w:val="H3"/>
    <w:basedOn w:val="Normal"/>
    <w:next w:val="Normal"/>
    <w:pPr>
      <w:keepNext/>
      <w:autoSpaceDE w:val="0"/>
      <w:autoSpaceDN w:val="0"/>
      <w:adjustRightInd w:val="0"/>
      <w:spacing w:before="100" w:after="100" w:line="240" w:lineRule="auto"/>
      <w:outlineLvl w:val="3"/>
    </w:pPr>
    <w:rPr>
      <w:rFonts w:ascii="Times New Roman" w:eastAsia="Times New Roman" w:hAnsi="Times New Roman"/>
      <w:b/>
      <w:bCs/>
      <w:sz w:val="28"/>
      <w:szCs w:val="28"/>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qFormat/>
    <w:rPr>
      <w:i/>
      <w:iC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TOCHeadingChar">
    <w:name w:val="TOC Heading Char"/>
    <w:link w:val="TOCHeading"/>
    <w:rPr>
      <w:rFonts w:ascii="Times New Roman" w:eastAsia="Times New Roman" w:hAnsi="Times New Roman"/>
      <w:b/>
      <w:sz w:val="28"/>
      <w:szCs w:val="24"/>
      <w:lang w:eastAsia="fi-FI"/>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paragraph" w:styleId="Revision">
    <w:name w:val="Revision"/>
    <w:hidden/>
    <w:uiPriority w:val="99"/>
    <w:semiHidden/>
    <w:rPr>
      <w:sz w:val="22"/>
      <w:szCs w:val="22"/>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fi-FI"/>
    </w:rPr>
  </w:style>
  <w:style w:type="character" w:styleId="EndnoteReference">
    <w:name w:val="endnote reference"/>
    <w:uiPriority w:val="99"/>
    <w:semiHidden/>
    <w:unhideWhenUsed/>
    <w:rPr>
      <w:vertAlign w:val="superscript"/>
    </w:rPr>
  </w:style>
  <w:style w:type="character" w:styleId="Strong">
    <w:name w:val="Strong"/>
    <w:uiPriority w:val="22"/>
    <w:qFormat/>
    <w:rPr>
      <w:b/>
      <w:bCs/>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36747">
      <w:bodyDiv w:val="1"/>
      <w:marLeft w:val="0"/>
      <w:marRight w:val="0"/>
      <w:marTop w:val="0"/>
      <w:marBottom w:val="0"/>
      <w:divBdr>
        <w:top w:val="none" w:sz="0" w:space="0" w:color="auto"/>
        <w:left w:val="none" w:sz="0" w:space="0" w:color="auto"/>
        <w:bottom w:val="none" w:sz="0" w:space="0" w:color="auto"/>
        <w:right w:val="none" w:sz="0" w:space="0" w:color="auto"/>
      </w:divBdr>
    </w:div>
    <w:div w:id="159778159">
      <w:bodyDiv w:val="1"/>
      <w:marLeft w:val="0"/>
      <w:marRight w:val="0"/>
      <w:marTop w:val="0"/>
      <w:marBottom w:val="0"/>
      <w:divBdr>
        <w:top w:val="none" w:sz="0" w:space="0" w:color="auto"/>
        <w:left w:val="none" w:sz="0" w:space="0" w:color="auto"/>
        <w:bottom w:val="none" w:sz="0" w:space="0" w:color="auto"/>
        <w:right w:val="none" w:sz="0" w:space="0" w:color="auto"/>
      </w:divBdr>
      <w:divsChild>
        <w:div w:id="1407992964">
          <w:marLeft w:val="0"/>
          <w:marRight w:val="0"/>
          <w:marTop w:val="0"/>
          <w:marBottom w:val="0"/>
          <w:divBdr>
            <w:top w:val="none" w:sz="0" w:space="0" w:color="auto"/>
            <w:left w:val="none" w:sz="0" w:space="0" w:color="auto"/>
            <w:bottom w:val="none" w:sz="0" w:space="0" w:color="auto"/>
            <w:right w:val="none" w:sz="0" w:space="0" w:color="auto"/>
          </w:divBdr>
          <w:divsChild>
            <w:div w:id="833452650">
              <w:marLeft w:val="0"/>
              <w:marRight w:val="0"/>
              <w:marTop w:val="0"/>
              <w:marBottom w:val="0"/>
              <w:divBdr>
                <w:top w:val="none" w:sz="0" w:space="0" w:color="auto"/>
                <w:left w:val="none" w:sz="0" w:space="0" w:color="auto"/>
                <w:bottom w:val="none" w:sz="0" w:space="0" w:color="auto"/>
                <w:right w:val="none" w:sz="0" w:space="0" w:color="auto"/>
              </w:divBdr>
              <w:divsChild>
                <w:div w:id="4068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85188">
      <w:bodyDiv w:val="1"/>
      <w:marLeft w:val="0"/>
      <w:marRight w:val="0"/>
      <w:marTop w:val="0"/>
      <w:marBottom w:val="0"/>
      <w:divBdr>
        <w:top w:val="none" w:sz="0" w:space="0" w:color="auto"/>
        <w:left w:val="none" w:sz="0" w:space="0" w:color="auto"/>
        <w:bottom w:val="none" w:sz="0" w:space="0" w:color="auto"/>
        <w:right w:val="none" w:sz="0" w:space="0" w:color="auto"/>
      </w:divBdr>
    </w:div>
    <w:div w:id="343946674">
      <w:bodyDiv w:val="1"/>
      <w:marLeft w:val="0"/>
      <w:marRight w:val="0"/>
      <w:marTop w:val="0"/>
      <w:marBottom w:val="0"/>
      <w:divBdr>
        <w:top w:val="none" w:sz="0" w:space="0" w:color="auto"/>
        <w:left w:val="none" w:sz="0" w:space="0" w:color="auto"/>
        <w:bottom w:val="none" w:sz="0" w:space="0" w:color="auto"/>
        <w:right w:val="none" w:sz="0" w:space="0" w:color="auto"/>
      </w:divBdr>
      <w:divsChild>
        <w:div w:id="911500446">
          <w:marLeft w:val="0"/>
          <w:marRight w:val="0"/>
          <w:marTop w:val="0"/>
          <w:marBottom w:val="0"/>
          <w:divBdr>
            <w:top w:val="none" w:sz="0" w:space="0" w:color="auto"/>
            <w:left w:val="none" w:sz="0" w:space="0" w:color="auto"/>
            <w:bottom w:val="none" w:sz="0" w:space="0" w:color="auto"/>
            <w:right w:val="none" w:sz="0" w:space="0" w:color="auto"/>
          </w:divBdr>
          <w:divsChild>
            <w:div w:id="2054226702">
              <w:marLeft w:val="0"/>
              <w:marRight w:val="0"/>
              <w:marTop w:val="0"/>
              <w:marBottom w:val="0"/>
              <w:divBdr>
                <w:top w:val="none" w:sz="0" w:space="0" w:color="auto"/>
                <w:left w:val="none" w:sz="0" w:space="0" w:color="auto"/>
                <w:bottom w:val="none" w:sz="0" w:space="0" w:color="auto"/>
                <w:right w:val="none" w:sz="0" w:space="0" w:color="auto"/>
              </w:divBdr>
              <w:divsChild>
                <w:div w:id="938484438">
                  <w:marLeft w:val="0"/>
                  <w:marRight w:val="0"/>
                  <w:marTop w:val="0"/>
                  <w:marBottom w:val="0"/>
                  <w:divBdr>
                    <w:top w:val="none" w:sz="0" w:space="0" w:color="auto"/>
                    <w:left w:val="none" w:sz="0" w:space="0" w:color="auto"/>
                    <w:bottom w:val="none" w:sz="0" w:space="0" w:color="auto"/>
                    <w:right w:val="none" w:sz="0" w:space="0" w:color="auto"/>
                  </w:divBdr>
                  <w:divsChild>
                    <w:div w:id="7730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63042">
      <w:bodyDiv w:val="1"/>
      <w:marLeft w:val="0"/>
      <w:marRight w:val="0"/>
      <w:marTop w:val="0"/>
      <w:marBottom w:val="0"/>
      <w:divBdr>
        <w:top w:val="none" w:sz="0" w:space="0" w:color="auto"/>
        <w:left w:val="none" w:sz="0" w:space="0" w:color="auto"/>
        <w:bottom w:val="none" w:sz="0" w:space="0" w:color="auto"/>
        <w:right w:val="none" w:sz="0" w:space="0" w:color="auto"/>
      </w:divBdr>
      <w:divsChild>
        <w:div w:id="894968088">
          <w:marLeft w:val="0"/>
          <w:marRight w:val="0"/>
          <w:marTop w:val="0"/>
          <w:marBottom w:val="0"/>
          <w:divBdr>
            <w:top w:val="none" w:sz="0" w:space="0" w:color="auto"/>
            <w:left w:val="none" w:sz="0" w:space="0" w:color="auto"/>
            <w:bottom w:val="none" w:sz="0" w:space="0" w:color="auto"/>
            <w:right w:val="none" w:sz="0" w:space="0" w:color="auto"/>
          </w:divBdr>
          <w:divsChild>
            <w:div w:id="1879857697">
              <w:marLeft w:val="0"/>
              <w:marRight w:val="0"/>
              <w:marTop w:val="0"/>
              <w:marBottom w:val="0"/>
              <w:divBdr>
                <w:top w:val="none" w:sz="0" w:space="0" w:color="auto"/>
                <w:left w:val="none" w:sz="0" w:space="0" w:color="auto"/>
                <w:bottom w:val="none" w:sz="0" w:space="0" w:color="auto"/>
                <w:right w:val="none" w:sz="0" w:space="0" w:color="auto"/>
              </w:divBdr>
              <w:divsChild>
                <w:div w:id="65883928">
                  <w:marLeft w:val="0"/>
                  <w:marRight w:val="0"/>
                  <w:marTop w:val="0"/>
                  <w:marBottom w:val="0"/>
                  <w:divBdr>
                    <w:top w:val="none" w:sz="0" w:space="0" w:color="auto"/>
                    <w:left w:val="none" w:sz="0" w:space="0" w:color="auto"/>
                    <w:bottom w:val="none" w:sz="0" w:space="0" w:color="auto"/>
                    <w:right w:val="none" w:sz="0" w:space="0" w:color="auto"/>
                  </w:divBdr>
                  <w:divsChild>
                    <w:div w:id="15887851">
                      <w:marLeft w:val="0"/>
                      <w:marRight w:val="0"/>
                      <w:marTop w:val="0"/>
                      <w:marBottom w:val="0"/>
                      <w:divBdr>
                        <w:top w:val="none" w:sz="0" w:space="0" w:color="auto"/>
                        <w:left w:val="none" w:sz="0" w:space="0" w:color="auto"/>
                        <w:bottom w:val="none" w:sz="0" w:space="0" w:color="auto"/>
                        <w:right w:val="none" w:sz="0" w:space="0" w:color="auto"/>
                      </w:divBdr>
                      <w:divsChild>
                        <w:div w:id="246496303">
                          <w:marLeft w:val="0"/>
                          <w:marRight w:val="0"/>
                          <w:marTop w:val="0"/>
                          <w:marBottom w:val="0"/>
                          <w:divBdr>
                            <w:top w:val="none" w:sz="0" w:space="0" w:color="auto"/>
                            <w:left w:val="none" w:sz="0" w:space="0" w:color="auto"/>
                            <w:bottom w:val="none" w:sz="0" w:space="0" w:color="auto"/>
                            <w:right w:val="none" w:sz="0" w:space="0" w:color="auto"/>
                          </w:divBdr>
                          <w:divsChild>
                            <w:div w:id="483156492">
                              <w:marLeft w:val="0"/>
                              <w:marRight w:val="0"/>
                              <w:marTop w:val="0"/>
                              <w:marBottom w:val="0"/>
                              <w:divBdr>
                                <w:top w:val="none" w:sz="0" w:space="0" w:color="auto"/>
                                <w:left w:val="none" w:sz="0" w:space="0" w:color="auto"/>
                                <w:bottom w:val="none" w:sz="0" w:space="0" w:color="auto"/>
                                <w:right w:val="none" w:sz="0" w:space="0" w:color="auto"/>
                              </w:divBdr>
                              <w:divsChild>
                                <w:div w:id="101915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266993">
      <w:bodyDiv w:val="1"/>
      <w:marLeft w:val="0"/>
      <w:marRight w:val="0"/>
      <w:marTop w:val="0"/>
      <w:marBottom w:val="0"/>
      <w:divBdr>
        <w:top w:val="none" w:sz="0" w:space="0" w:color="auto"/>
        <w:left w:val="none" w:sz="0" w:space="0" w:color="auto"/>
        <w:bottom w:val="none" w:sz="0" w:space="0" w:color="auto"/>
        <w:right w:val="none" w:sz="0" w:space="0" w:color="auto"/>
      </w:divBdr>
      <w:divsChild>
        <w:div w:id="1120605767">
          <w:marLeft w:val="0"/>
          <w:marRight w:val="0"/>
          <w:marTop w:val="0"/>
          <w:marBottom w:val="0"/>
          <w:divBdr>
            <w:top w:val="none" w:sz="0" w:space="0" w:color="auto"/>
            <w:left w:val="none" w:sz="0" w:space="0" w:color="auto"/>
            <w:bottom w:val="none" w:sz="0" w:space="0" w:color="auto"/>
            <w:right w:val="none" w:sz="0" w:space="0" w:color="auto"/>
          </w:divBdr>
          <w:divsChild>
            <w:div w:id="255485984">
              <w:marLeft w:val="-300"/>
              <w:marRight w:val="0"/>
              <w:marTop w:val="0"/>
              <w:marBottom w:val="270"/>
              <w:divBdr>
                <w:top w:val="none" w:sz="0" w:space="0" w:color="auto"/>
                <w:left w:val="none" w:sz="0" w:space="0" w:color="auto"/>
                <w:bottom w:val="none" w:sz="0" w:space="0" w:color="auto"/>
                <w:right w:val="none" w:sz="0" w:space="0" w:color="auto"/>
              </w:divBdr>
              <w:divsChild>
                <w:div w:id="527179358">
                  <w:marLeft w:val="0"/>
                  <w:marRight w:val="0"/>
                  <w:marTop w:val="0"/>
                  <w:marBottom w:val="0"/>
                  <w:divBdr>
                    <w:top w:val="none" w:sz="0" w:space="0" w:color="auto"/>
                    <w:left w:val="none" w:sz="0" w:space="0" w:color="auto"/>
                    <w:bottom w:val="none" w:sz="0" w:space="0" w:color="auto"/>
                    <w:right w:val="none" w:sz="0" w:space="0" w:color="auto"/>
                  </w:divBdr>
                  <w:divsChild>
                    <w:div w:id="15687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563990">
      <w:bodyDiv w:val="1"/>
      <w:marLeft w:val="0"/>
      <w:marRight w:val="0"/>
      <w:marTop w:val="0"/>
      <w:marBottom w:val="0"/>
      <w:divBdr>
        <w:top w:val="none" w:sz="0" w:space="0" w:color="auto"/>
        <w:left w:val="none" w:sz="0" w:space="0" w:color="auto"/>
        <w:bottom w:val="none" w:sz="0" w:space="0" w:color="auto"/>
        <w:right w:val="none" w:sz="0" w:space="0" w:color="auto"/>
      </w:divBdr>
      <w:divsChild>
        <w:div w:id="256133283">
          <w:marLeft w:val="0"/>
          <w:marRight w:val="0"/>
          <w:marTop w:val="0"/>
          <w:marBottom w:val="0"/>
          <w:divBdr>
            <w:top w:val="none" w:sz="0" w:space="0" w:color="auto"/>
            <w:left w:val="none" w:sz="0" w:space="0" w:color="auto"/>
            <w:bottom w:val="none" w:sz="0" w:space="0" w:color="auto"/>
            <w:right w:val="none" w:sz="0" w:space="0" w:color="auto"/>
          </w:divBdr>
          <w:divsChild>
            <w:div w:id="264459831">
              <w:marLeft w:val="-300"/>
              <w:marRight w:val="0"/>
              <w:marTop w:val="0"/>
              <w:marBottom w:val="270"/>
              <w:divBdr>
                <w:top w:val="none" w:sz="0" w:space="0" w:color="auto"/>
                <w:left w:val="none" w:sz="0" w:space="0" w:color="auto"/>
                <w:bottom w:val="none" w:sz="0" w:space="0" w:color="auto"/>
                <w:right w:val="none" w:sz="0" w:space="0" w:color="auto"/>
              </w:divBdr>
              <w:divsChild>
                <w:div w:id="309792165">
                  <w:marLeft w:val="0"/>
                  <w:marRight w:val="0"/>
                  <w:marTop w:val="0"/>
                  <w:marBottom w:val="0"/>
                  <w:divBdr>
                    <w:top w:val="none" w:sz="0" w:space="0" w:color="auto"/>
                    <w:left w:val="none" w:sz="0" w:space="0" w:color="auto"/>
                    <w:bottom w:val="none" w:sz="0" w:space="0" w:color="auto"/>
                    <w:right w:val="none" w:sz="0" w:space="0" w:color="auto"/>
                  </w:divBdr>
                  <w:divsChild>
                    <w:div w:id="1472477976">
                      <w:marLeft w:val="0"/>
                      <w:marRight w:val="0"/>
                      <w:marTop w:val="0"/>
                      <w:marBottom w:val="270"/>
                      <w:divBdr>
                        <w:top w:val="none" w:sz="0" w:space="0" w:color="auto"/>
                        <w:left w:val="none" w:sz="0" w:space="0" w:color="auto"/>
                        <w:bottom w:val="none" w:sz="0" w:space="0" w:color="auto"/>
                        <w:right w:val="none" w:sz="0" w:space="0" w:color="auto"/>
                      </w:divBdr>
                      <w:divsChild>
                        <w:div w:id="2064792853">
                          <w:marLeft w:val="0"/>
                          <w:marRight w:val="0"/>
                          <w:marTop w:val="0"/>
                          <w:marBottom w:val="0"/>
                          <w:divBdr>
                            <w:top w:val="none" w:sz="0" w:space="0" w:color="auto"/>
                            <w:left w:val="none" w:sz="0" w:space="0" w:color="auto"/>
                            <w:bottom w:val="none" w:sz="0" w:space="0" w:color="auto"/>
                            <w:right w:val="none" w:sz="0" w:space="0" w:color="auto"/>
                          </w:divBdr>
                          <w:divsChild>
                            <w:div w:id="284849914">
                              <w:marLeft w:val="0"/>
                              <w:marRight w:val="0"/>
                              <w:marTop w:val="0"/>
                              <w:marBottom w:val="0"/>
                              <w:divBdr>
                                <w:top w:val="none" w:sz="0" w:space="0" w:color="auto"/>
                                <w:left w:val="none" w:sz="0" w:space="0" w:color="auto"/>
                                <w:bottom w:val="none" w:sz="0" w:space="0" w:color="auto"/>
                                <w:right w:val="none" w:sz="0" w:space="0" w:color="auto"/>
                              </w:divBdr>
                              <w:divsChild>
                                <w:div w:id="1260063708">
                                  <w:marLeft w:val="0"/>
                                  <w:marRight w:val="0"/>
                                  <w:marTop w:val="0"/>
                                  <w:marBottom w:val="0"/>
                                  <w:divBdr>
                                    <w:top w:val="none" w:sz="0" w:space="0" w:color="auto"/>
                                    <w:left w:val="none" w:sz="0" w:space="0" w:color="auto"/>
                                    <w:bottom w:val="none" w:sz="0" w:space="0" w:color="auto"/>
                                    <w:right w:val="none" w:sz="0" w:space="0" w:color="auto"/>
                                  </w:divBdr>
                                  <w:divsChild>
                                    <w:div w:id="31406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691531">
      <w:bodyDiv w:val="1"/>
      <w:marLeft w:val="0"/>
      <w:marRight w:val="0"/>
      <w:marTop w:val="0"/>
      <w:marBottom w:val="0"/>
      <w:divBdr>
        <w:top w:val="none" w:sz="0" w:space="0" w:color="auto"/>
        <w:left w:val="none" w:sz="0" w:space="0" w:color="auto"/>
        <w:bottom w:val="none" w:sz="0" w:space="0" w:color="auto"/>
        <w:right w:val="none" w:sz="0" w:space="0" w:color="auto"/>
      </w:divBdr>
    </w:div>
    <w:div w:id="818109871">
      <w:bodyDiv w:val="1"/>
      <w:marLeft w:val="0"/>
      <w:marRight w:val="0"/>
      <w:marTop w:val="0"/>
      <w:marBottom w:val="0"/>
      <w:divBdr>
        <w:top w:val="none" w:sz="0" w:space="0" w:color="auto"/>
        <w:left w:val="none" w:sz="0" w:space="0" w:color="auto"/>
        <w:bottom w:val="none" w:sz="0" w:space="0" w:color="auto"/>
        <w:right w:val="none" w:sz="0" w:space="0" w:color="auto"/>
      </w:divBdr>
    </w:div>
    <w:div w:id="1721710539">
      <w:bodyDiv w:val="1"/>
      <w:marLeft w:val="0"/>
      <w:marRight w:val="0"/>
      <w:marTop w:val="0"/>
      <w:marBottom w:val="0"/>
      <w:divBdr>
        <w:top w:val="none" w:sz="0" w:space="0" w:color="auto"/>
        <w:left w:val="none" w:sz="0" w:space="0" w:color="auto"/>
        <w:bottom w:val="none" w:sz="0" w:space="0" w:color="auto"/>
        <w:right w:val="none" w:sz="0" w:space="0" w:color="auto"/>
      </w:divBdr>
    </w:div>
    <w:div w:id="1739664756">
      <w:bodyDiv w:val="1"/>
      <w:marLeft w:val="0"/>
      <w:marRight w:val="0"/>
      <w:marTop w:val="0"/>
      <w:marBottom w:val="0"/>
      <w:divBdr>
        <w:top w:val="none" w:sz="0" w:space="0" w:color="auto"/>
        <w:left w:val="none" w:sz="0" w:space="0" w:color="auto"/>
        <w:bottom w:val="none" w:sz="0" w:space="0" w:color="auto"/>
        <w:right w:val="none" w:sz="0" w:space="0" w:color="auto"/>
      </w:divBdr>
      <w:divsChild>
        <w:div w:id="1647855003">
          <w:marLeft w:val="0"/>
          <w:marRight w:val="0"/>
          <w:marTop w:val="0"/>
          <w:marBottom w:val="0"/>
          <w:divBdr>
            <w:top w:val="none" w:sz="0" w:space="0" w:color="auto"/>
            <w:left w:val="none" w:sz="0" w:space="0" w:color="auto"/>
            <w:bottom w:val="none" w:sz="0" w:space="0" w:color="auto"/>
            <w:right w:val="none" w:sz="0" w:space="0" w:color="auto"/>
          </w:divBdr>
          <w:divsChild>
            <w:div w:id="1875457681">
              <w:marLeft w:val="0"/>
              <w:marRight w:val="0"/>
              <w:marTop w:val="0"/>
              <w:marBottom w:val="0"/>
              <w:divBdr>
                <w:top w:val="none" w:sz="0" w:space="0" w:color="auto"/>
                <w:left w:val="none" w:sz="0" w:space="0" w:color="auto"/>
                <w:bottom w:val="none" w:sz="0" w:space="0" w:color="auto"/>
                <w:right w:val="none" w:sz="0" w:space="0" w:color="auto"/>
              </w:divBdr>
              <w:divsChild>
                <w:div w:id="1752237273">
                  <w:marLeft w:val="0"/>
                  <w:marRight w:val="0"/>
                  <w:marTop w:val="0"/>
                  <w:marBottom w:val="0"/>
                  <w:divBdr>
                    <w:top w:val="none" w:sz="0" w:space="0" w:color="auto"/>
                    <w:left w:val="none" w:sz="0" w:space="0" w:color="auto"/>
                    <w:bottom w:val="none" w:sz="0" w:space="0" w:color="auto"/>
                    <w:right w:val="none" w:sz="0" w:space="0" w:color="auto"/>
                  </w:divBdr>
                  <w:divsChild>
                    <w:div w:id="1131555235">
                      <w:marLeft w:val="0"/>
                      <w:marRight w:val="0"/>
                      <w:marTop w:val="0"/>
                      <w:marBottom w:val="0"/>
                      <w:divBdr>
                        <w:top w:val="none" w:sz="0" w:space="0" w:color="auto"/>
                        <w:left w:val="none" w:sz="0" w:space="0" w:color="auto"/>
                        <w:bottom w:val="none" w:sz="0" w:space="0" w:color="auto"/>
                        <w:right w:val="none" w:sz="0" w:space="0" w:color="auto"/>
                      </w:divBdr>
                      <w:divsChild>
                        <w:div w:id="1507552105">
                          <w:marLeft w:val="0"/>
                          <w:marRight w:val="0"/>
                          <w:marTop w:val="0"/>
                          <w:marBottom w:val="0"/>
                          <w:divBdr>
                            <w:top w:val="none" w:sz="0" w:space="0" w:color="auto"/>
                            <w:left w:val="none" w:sz="0" w:space="0" w:color="auto"/>
                            <w:bottom w:val="none" w:sz="0" w:space="0" w:color="auto"/>
                            <w:right w:val="none" w:sz="0" w:space="0" w:color="auto"/>
                          </w:divBdr>
                          <w:divsChild>
                            <w:div w:id="1307587937">
                              <w:marLeft w:val="0"/>
                              <w:marRight w:val="0"/>
                              <w:marTop w:val="0"/>
                              <w:marBottom w:val="0"/>
                              <w:divBdr>
                                <w:top w:val="none" w:sz="0" w:space="0" w:color="auto"/>
                                <w:left w:val="none" w:sz="0" w:space="0" w:color="auto"/>
                                <w:bottom w:val="none" w:sz="0" w:space="0" w:color="auto"/>
                                <w:right w:val="none" w:sz="0" w:space="0" w:color="auto"/>
                              </w:divBdr>
                              <w:divsChild>
                                <w:div w:id="121720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74585">
      <w:bodyDiv w:val="1"/>
      <w:marLeft w:val="0"/>
      <w:marRight w:val="0"/>
      <w:marTop w:val="0"/>
      <w:marBottom w:val="0"/>
      <w:divBdr>
        <w:top w:val="none" w:sz="0" w:space="0" w:color="auto"/>
        <w:left w:val="none" w:sz="0" w:space="0" w:color="auto"/>
        <w:bottom w:val="none" w:sz="0" w:space="0" w:color="auto"/>
        <w:right w:val="none" w:sz="0" w:space="0" w:color="auto"/>
      </w:divBdr>
    </w:div>
    <w:div w:id="205141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_rels/footnotes.xml.rels><?xml version="1.0" encoding="UTF-8" standalone="yes"?>
<Relationships xmlns="http://schemas.openxmlformats.org/package/2006/relationships"><Relationship Id="rId1" Type="http://schemas.openxmlformats.org/officeDocument/2006/relationships/hyperlink" Target="file:///\\net1.cec.eu.int\homes\032\valtosa\AppData\Local\Microsoft\Windows\Temporary%20Internet%20Files\AppData\Local\Microsoft\Documents%20and%20Settings\skrynna\Local%20Settings\Temporary%20Internet%20Files\Documents%20and%20Settings\sippool\Local%20Settings\Temporary%20Internet%20Files\OLK3\Reg%20407%20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D78DE-76C2-45E5-9944-FCE76BC97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2474</Words>
  <Characters>19251</Characters>
  <Application>Microsoft Office Word</Application>
  <DocSecurity>0</DocSecurity>
  <Lines>663</Lines>
  <Paragraphs>394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21331</CharactersWithSpaces>
  <SharedDoc>false</SharedDoc>
  <HLinks>
    <vt:vector size="90" baseType="variant">
      <vt:variant>
        <vt:i4>1245241</vt:i4>
      </vt:variant>
      <vt:variant>
        <vt:i4>80</vt:i4>
      </vt:variant>
      <vt:variant>
        <vt:i4>0</vt:i4>
      </vt:variant>
      <vt:variant>
        <vt:i4>5</vt:i4>
      </vt:variant>
      <vt:variant>
        <vt:lpwstr/>
      </vt:variant>
      <vt:variant>
        <vt:lpwstr>_Toc451257940</vt:lpwstr>
      </vt:variant>
      <vt:variant>
        <vt:i4>1310777</vt:i4>
      </vt:variant>
      <vt:variant>
        <vt:i4>74</vt:i4>
      </vt:variant>
      <vt:variant>
        <vt:i4>0</vt:i4>
      </vt:variant>
      <vt:variant>
        <vt:i4>5</vt:i4>
      </vt:variant>
      <vt:variant>
        <vt:lpwstr/>
      </vt:variant>
      <vt:variant>
        <vt:lpwstr>_Toc451257939</vt:lpwstr>
      </vt:variant>
      <vt:variant>
        <vt:i4>1310777</vt:i4>
      </vt:variant>
      <vt:variant>
        <vt:i4>68</vt:i4>
      </vt:variant>
      <vt:variant>
        <vt:i4>0</vt:i4>
      </vt:variant>
      <vt:variant>
        <vt:i4>5</vt:i4>
      </vt:variant>
      <vt:variant>
        <vt:lpwstr/>
      </vt:variant>
      <vt:variant>
        <vt:lpwstr>_Toc451257938</vt:lpwstr>
      </vt:variant>
      <vt:variant>
        <vt:i4>1310777</vt:i4>
      </vt:variant>
      <vt:variant>
        <vt:i4>62</vt:i4>
      </vt:variant>
      <vt:variant>
        <vt:i4>0</vt:i4>
      </vt:variant>
      <vt:variant>
        <vt:i4>5</vt:i4>
      </vt:variant>
      <vt:variant>
        <vt:lpwstr/>
      </vt:variant>
      <vt:variant>
        <vt:lpwstr>_Toc451257937</vt:lpwstr>
      </vt:variant>
      <vt:variant>
        <vt:i4>1310777</vt:i4>
      </vt:variant>
      <vt:variant>
        <vt:i4>56</vt:i4>
      </vt:variant>
      <vt:variant>
        <vt:i4>0</vt:i4>
      </vt:variant>
      <vt:variant>
        <vt:i4>5</vt:i4>
      </vt:variant>
      <vt:variant>
        <vt:lpwstr/>
      </vt:variant>
      <vt:variant>
        <vt:lpwstr>_Toc451257936</vt:lpwstr>
      </vt:variant>
      <vt:variant>
        <vt:i4>1310777</vt:i4>
      </vt:variant>
      <vt:variant>
        <vt:i4>50</vt:i4>
      </vt:variant>
      <vt:variant>
        <vt:i4>0</vt:i4>
      </vt:variant>
      <vt:variant>
        <vt:i4>5</vt:i4>
      </vt:variant>
      <vt:variant>
        <vt:lpwstr/>
      </vt:variant>
      <vt:variant>
        <vt:lpwstr>_Toc451257935</vt:lpwstr>
      </vt:variant>
      <vt:variant>
        <vt:i4>1310777</vt:i4>
      </vt:variant>
      <vt:variant>
        <vt:i4>44</vt:i4>
      </vt:variant>
      <vt:variant>
        <vt:i4>0</vt:i4>
      </vt:variant>
      <vt:variant>
        <vt:i4>5</vt:i4>
      </vt:variant>
      <vt:variant>
        <vt:lpwstr/>
      </vt:variant>
      <vt:variant>
        <vt:lpwstr>_Toc451257934</vt:lpwstr>
      </vt:variant>
      <vt:variant>
        <vt:i4>1310777</vt:i4>
      </vt:variant>
      <vt:variant>
        <vt:i4>38</vt:i4>
      </vt:variant>
      <vt:variant>
        <vt:i4>0</vt:i4>
      </vt:variant>
      <vt:variant>
        <vt:i4>5</vt:i4>
      </vt:variant>
      <vt:variant>
        <vt:lpwstr/>
      </vt:variant>
      <vt:variant>
        <vt:lpwstr>_Toc451257933</vt:lpwstr>
      </vt:variant>
      <vt:variant>
        <vt:i4>1310777</vt:i4>
      </vt:variant>
      <vt:variant>
        <vt:i4>32</vt:i4>
      </vt:variant>
      <vt:variant>
        <vt:i4>0</vt:i4>
      </vt:variant>
      <vt:variant>
        <vt:i4>5</vt:i4>
      </vt:variant>
      <vt:variant>
        <vt:lpwstr/>
      </vt:variant>
      <vt:variant>
        <vt:lpwstr>_Toc451257932</vt:lpwstr>
      </vt:variant>
      <vt:variant>
        <vt:i4>1310777</vt:i4>
      </vt:variant>
      <vt:variant>
        <vt:i4>26</vt:i4>
      </vt:variant>
      <vt:variant>
        <vt:i4>0</vt:i4>
      </vt:variant>
      <vt:variant>
        <vt:i4>5</vt:i4>
      </vt:variant>
      <vt:variant>
        <vt:lpwstr/>
      </vt:variant>
      <vt:variant>
        <vt:lpwstr>_Toc451257931</vt:lpwstr>
      </vt:variant>
      <vt:variant>
        <vt:i4>1310777</vt:i4>
      </vt:variant>
      <vt:variant>
        <vt:i4>20</vt:i4>
      </vt:variant>
      <vt:variant>
        <vt:i4>0</vt:i4>
      </vt:variant>
      <vt:variant>
        <vt:i4>5</vt:i4>
      </vt:variant>
      <vt:variant>
        <vt:lpwstr/>
      </vt:variant>
      <vt:variant>
        <vt:lpwstr>_Toc451257930</vt:lpwstr>
      </vt:variant>
      <vt:variant>
        <vt:i4>1376313</vt:i4>
      </vt:variant>
      <vt:variant>
        <vt:i4>14</vt:i4>
      </vt:variant>
      <vt:variant>
        <vt:i4>0</vt:i4>
      </vt:variant>
      <vt:variant>
        <vt:i4>5</vt:i4>
      </vt:variant>
      <vt:variant>
        <vt:lpwstr/>
      </vt:variant>
      <vt:variant>
        <vt:lpwstr>_Toc451257929</vt:lpwstr>
      </vt:variant>
      <vt:variant>
        <vt:i4>1376313</vt:i4>
      </vt:variant>
      <vt:variant>
        <vt:i4>8</vt:i4>
      </vt:variant>
      <vt:variant>
        <vt:i4>0</vt:i4>
      </vt:variant>
      <vt:variant>
        <vt:i4>5</vt:i4>
      </vt:variant>
      <vt:variant>
        <vt:lpwstr/>
      </vt:variant>
      <vt:variant>
        <vt:lpwstr>_Toc451257928</vt:lpwstr>
      </vt:variant>
      <vt:variant>
        <vt:i4>1376313</vt:i4>
      </vt:variant>
      <vt:variant>
        <vt:i4>2</vt:i4>
      </vt:variant>
      <vt:variant>
        <vt:i4>0</vt:i4>
      </vt:variant>
      <vt:variant>
        <vt:i4>5</vt:i4>
      </vt:variant>
      <vt:variant>
        <vt:lpwstr/>
      </vt:variant>
      <vt:variant>
        <vt:lpwstr>_Toc451257927</vt:lpwstr>
      </vt:variant>
      <vt:variant>
        <vt:i4>8192023</vt:i4>
      </vt:variant>
      <vt:variant>
        <vt:i4>0</vt:i4>
      </vt:variant>
      <vt:variant>
        <vt:i4>0</vt:i4>
      </vt:variant>
      <vt:variant>
        <vt:i4>5</vt:i4>
      </vt:variant>
      <vt:variant>
        <vt:lpwstr>file://\\net1.cec.eu.int\homes\032\valtosa\AppData\Local\Microsoft\Windows\Temporary Internet Files\AppData\Local\Microsoft\Documents and Settings\skrynna\Local Settings\Temporary Internet Files\Documents and Settings\sippool\Local Settings\Temporary Internet Files\OLK3\Reg 407 2010.pdf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15</cp:revision>
  <cp:lastPrinted>2016-05-30T06:56:00Z</cp:lastPrinted>
  <dcterms:created xsi:type="dcterms:W3CDTF">2016-06-02T14:35:00Z</dcterms:created>
  <dcterms:modified xsi:type="dcterms:W3CDTF">2016-06-14T14:11:00Z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ies>
</file>