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BF66822F64B842CFBBED5D586C56D368" style="width:450.75pt;height:334.6pt">
            <v:imagedata r:id="rId9" o:title=""/>
          </v:shape>
        </w:pict>
      </w:r>
    </w:p>
    <w:bookmarkEnd w:id="0"/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Heading1"/>
        <w:numPr>
          <w:ilvl w:val="0"/>
          <w:numId w:val="2"/>
        </w:numPr>
        <w:spacing w:before="0" w:after="240"/>
        <w:ind w:left="426" w:hanging="426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bookmarkStart w:id="1" w:name="_GoBack"/>
      <w:bookmarkEnd w:id="1"/>
      <w:r>
        <w:rPr>
          <w:rFonts w:ascii="Times New Roman" w:hAnsi="Times New Roman"/>
          <w:noProof/>
          <w:sz w:val="24"/>
          <w:shd w:val="clear" w:color="auto" w:fill="FFFFFF"/>
        </w:rPr>
        <w:lastRenderedPageBreak/>
        <w:t>ВЪВЕДЕНИЕ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Настоящият доклад касае оценката на три директиви, които съставляват правната рамка за предварително опакованите продукти:</w:t>
      </w:r>
    </w:p>
    <w:p>
      <w:pPr>
        <w:pStyle w:val="ListParagraph"/>
        <w:numPr>
          <w:ilvl w:val="0"/>
          <w:numId w:val="5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Директива 75/107/EИО</w:t>
      </w:r>
      <w:r>
        <w:rPr>
          <w:rStyle w:val="FootnoteReference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за бутилките, използвани като измервателни съдове, която осигурява свободното движение на бутилките с маркировка „3“;</w:t>
      </w:r>
    </w:p>
    <w:p>
      <w:pPr>
        <w:pStyle w:val="ListParagraph"/>
        <w:numPr>
          <w:ilvl w:val="0"/>
          <w:numId w:val="5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Директива 76/211/ЕИО</w:t>
      </w:r>
      <w:r>
        <w:rPr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за определяне на теглото или обема на някои продукти в готови опаковки се отнася за количеството, посочено на продуктите в готови опаковки и гарантира свободното движение на готовите опаковки с маркировка „е“; и</w:t>
      </w:r>
    </w:p>
    <w:p>
      <w:pPr>
        <w:pStyle w:val="ListParagraph"/>
        <w:numPr>
          <w:ilvl w:val="0"/>
          <w:numId w:val="5"/>
        </w:numPr>
        <w:spacing w:after="240"/>
        <w:ind w:left="851" w:hanging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Директива 2007/45/ЕО</w:t>
      </w:r>
      <w:r>
        <w:rPr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 xml:space="preserve"> за номиналните количества за предварително опакованите продукти, с която се забранява на държавите членки да регламентират размерите на опаковките/бутилките до 10 l или 10 kg и се определят задължителни размери на ЕС за вината и спиртните напитки; тя се прилага към всички предварително опаковани продукти.</w:t>
      </w:r>
    </w:p>
    <w:p>
      <w:pPr>
        <w:spacing w:after="24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Съгласно член 9, параграф 1 от Директива 2007/45/ЕО се изисква Комисията да представя на Европейския парламент, Съвета и Европейския икономически и социален комитет доклад за прилагането и ефекта от Директивата. Тъй като трите директиви са тясно свързани, се реши да се извърши оценка на действието им и степента, в която отговарят на целите си, под формата на пакет законодателни документи по Програмата на Комисията за пригодност и резултатност на регулаторната рамка (REFIT) през 2014 г.</w:t>
      </w:r>
      <w:r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</w:t>
      </w:r>
    </w:p>
    <w:p>
      <w:pPr>
        <w:spacing w:after="240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Директива 75/107/ЕИО никога не е била оценявана. Директива 76/211/ЕИО бе оценена през 2005 г. Директива 2007/45/ЕО беше приета след оценката на директиви 75/106/EИО и 80/232/ЕИО, които бяха отменени с нея.</w:t>
      </w:r>
    </w:p>
    <w:p>
      <w:pPr>
        <w:pStyle w:val="Heading1"/>
        <w:numPr>
          <w:ilvl w:val="0"/>
          <w:numId w:val="2"/>
        </w:numPr>
        <w:spacing w:before="0" w:after="240"/>
        <w:ind w:left="426" w:hanging="426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hd w:val="clear" w:color="auto" w:fill="FFFFFF"/>
        </w:rPr>
        <w:t>РАЗМЕР НА ПАЗАРА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Според оценките предварително опакованите продукти генерират оборот от 170 млрд. EUR и добавена стойност на нивото на ЕС от около 34 млрд. EUR. Това представлява 12 % от общата добавена стойност в основните сектори, където се използва (храни и напитки, храни за домашни любимци, химикали, бои и торове, детергенти, козметични продукти и производство на стъклени бутилки), или с други думи се равнява на 0,3 % от БВП на ЕС. В тези сектори развиват дейност около 300 000 предприятия, повечето от които са малки и средни предприятия (МСП), във всяко едно от които работят средно 17,7 служители. Оценките сочат, че в тези отрасли 640 000 човека работят на пълен работен ден в сферата на предварително опакованите продукти, което е 0,3 % от заетостта в ЕС.</w:t>
      </w:r>
    </w:p>
    <w:p>
      <w:pPr>
        <w:pStyle w:val="Heading1"/>
        <w:numPr>
          <w:ilvl w:val="0"/>
          <w:numId w:val="2"/>
        </w:numPr>
        <w:spacing w:before="0" w:after="240"/>
        <w:ind w:left="426" w:hanging="426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hd w:val="clear" w:color="auto" w:fill="FFFFFF"/>
        </w:rPr>
        <w:t>ОЦЕНЕНИ ДИРЕКТИВИ</w:t>
      </w:r>
    </w:p>
    <w:p>
      <w:pPr>
        <w:spacing w:after="240"/>
        <w:jc w:val="both"/>
        <w:rPr>
          <w:rStyle w:val="Corpsdutexte"/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Style w:val="Corpsdutexte"/>
          <w:rFonts w:ascii="Times New Roman" w:hAnsi="Times New Roman" w:cs="Times New Roman"/>
          <w:noProof/>
          <w:color w:val="000000"/>
          <w:sz w:val="24"/>
          <w:szCs w:val="24"/>
        </w:rPr>
        <w:t xml:space="preserve">С трите директиви се цели да се гарантира свободното движение на предварително опакованите продукти, като така се допринася за растежа на пазара и увеличението на конкурентоспособността на промишлеността на ЕС. </w:t>
      </w:r>
      <w:r>
        <w:rPr>
          <w:rFonts w:ascii="Times New Roman" w:hAnsi="Times New Roman" w:cs="Times New Roman"/>
          <w:noProof/>
          <w:sz w:val="24"/>
          <w:szCs w:val="24"/>
        </w:rPr>
        <w:t>Координираният надзор на пазара осигурява, че купувачите получават количеството, посочено на опаковката, спомагайки по този начин за благосъстоянието на потребителите.</w:t>
      </w:r>
      <w:r>
        <w:rPr>
          <w:rStyle w:val="CorpsdutexteGras"/>
          <w:rFonts w:ascii="Times New Roman" w:hAnsi="Times New Roman" w:cs="Times New Roman"/>
          <w:b w:val="0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Премахването на регулациите във връзка с размерите подобри избора на потребителите, като въведеното изключение за фиксираните от ЕС размери за вината и спиртните напитки защитава МСП от твърде голямо търсене на други размери бутилки, увеличавайки съответно конкуренцията.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Corpsdutexte"/>
          <w:rFonts w:ascii="Times New Roman" w:hAnsi="Times New Roman"/>
          <w:noProof/>
          <w:color w:val="000000"/>
          <w:sz w:val="24"/>
        </w:rPr>
        <w:t>Директива 75/107/ЕИО се отнася до бутилките, използвани като измервателни съдове за (алкохолни) напитки. Тя предполага „незадължителна хармонизация“, т.е. производителите могат да изберат дали да я прилагат.  С нея се изисква от производителите да се регистрират предварително в съответните органи, определят се задължения по отношение на точността и маркировката и се осигурява на органите за надзор на пазара статистическа процедура за изпитване на съдържанието на бутилките. Тя гарантира свободното движение на бутилките, маркирани с „обърнат епсилон“ (знака „3“), и се използва широко за стъклени бутилки и буркани.</w:t>
      </w:r>
    </w:p>
    <w:p>
      <w:pPr>
        <w:spacing w:after="240"/>
        <w:jc w:val="both"/>
        <w:rPr>
          <w:rStyle w:val="Corpsdutexte"/>
          <w:rFonts w:ascii="Times New Roman" w:eastAsiaTheme="majorEastAsia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Style w:val="Corpsdutexte"/>
          <w:rFonts w:ascii="Times New Roman" w:hAnsi="Times New Roman"/>
          <w:noProof/>
          <w:color w:val="000000"/>
          <w:sz w:val="24"/>
        </w:rPr>
        <w:t>Директива 76/211/ЕИО се отнася до количествата, посочени на предварително опакованите продукти в отсъствието на потребителите. Тя също предполага „незадължителна хармонизация“, тъй като опаковчикът/вносителят избира дали да я прилага. С нея се определят задължения по отношение на точността и маркировката и се осигурява на органите за надзор на пазара статистическа процедура за изпитване на количеството в предварително опакованите продукти. С нея се гарантира свободното движение на предварително опакованите продукти с маркировка „е“ и тя се използва широко за опаковки и бутилки, продавани в супермаркети и магазини от типа „Направи си сам“.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Style w:val="Corpsdutexte"/>
          <w:rFonts w:ascii="Times New Roman" w:hAnsi="Times New Roman"/>
          <w:noProof/>
          <w:color w:val="000000"/>
          <w:sz w:val="24"/>
        </w:rPr>
        <w:t>С Директива 2007/45/ЕО се забранява на държавите членки да регламентират размерите на опаковките/бутилките до 10 l или 10 kg и се определят задължителни размери на ЕС за обикновено продаваните вина и спиртни напитки. Периодът за постепенна отмяна на националните разпоредби за размерите на опаковките/бутилките за определени продукти приключи през 2013 г.</w:t>
      </w:r>
    </w:p>
    <w:p>
      <w:pPr>
        <w:pStyle w:val="Heading1"/>
        <w:numPr>
          <w:ilvl w:val="0"/>
          <w:numId w:val="2"/>
        </w:numPr>
        <w:spacing w:before="0" w:after="240"/>
        <w:ind w:left="426" w:hanging="426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hd w:val="clear" w:color="auto" w:fill="FFFFFF"/>
        </w:rPr>
        <w:t>ОЦЕНКА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Комисията възложи на външен изпълнител оценката на действието на директивите, като той извърши проучване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въз основа на:</w:t>
      </w:r>
    </w:p>
    <w:p>
      <w:pPr>
        <w:pStyle w:val="ListParagraph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интервюта с широк кръг заинтересовани страни (организации на потребители, браншови сдружения и национални органи);</w:t>
      </w:r>
    </w:p>
    <w:p>
      <w:pPr>
        <w:pStyle w:val="ListParagraph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онлайн обществена консултация;</w:t>
      </w:r>
    </w:p>
    <w:p>
      <w:pPr>
        <w:pStyle w:val="ListParagraph"/>
        <w:numPr>
          <w:ilvl w:val="0"/>
          <w:numId w:val="8"/>
        </w:numPr>
        <w:spacing w:after="120"/>
        <w:ind w:left="851" w:hanging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целево проучване на индивидуални потребители, предприятия и експерти; и</w:t>
      </w:r>
    </w:p>
    <w:p>
      <w:pPr>
        <w:pStyle w:val="ListParagraph"/>
        <w:numPr>
          <w:ilvl w:val="0"/>
          <w:numId w:val="8"/>
        </w:numPr>
        <w:spacing w:after="240"/>
        <w:ind w:left="851" w:hanging="425"/>
        <w:contextualSpacing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документално проучване.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При оценката се използваха стандартните критерии на Комисията за извършването на оценки: ефективност, ефикасност, съгласуваност, относимост и добавена стойност за ЕС.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Придружаващият работен документ на службите на Комисията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 xml:space="preserve"> се основава на оценката на консултанта и в него е застъпено мнението, че настоящата правна рамка има широка подкрепа сред промишлеността и националните органи, а потребителите я считат за приемлива. Директивите подпомагат развитието на вътрешния пазар, тъй като насърчават конкуренцията в сектора на предварително опакованите продукти, като осигуряват цялостна правна рамка и основа за административното сътрудничество. Благодарение на тях се увеличи доверието между органите за надзор на пазара.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Фактът, че използването на измервателните съдове (маркировка „3“) и предварително опакованите продукти с фиксиран обем (маркировка „е“) е доброволно, означава, че предприятията могат да изберат най-удачното за нуждите си. Много малки предприятия, които произвеждат основно за вътрешния пазар на съответната държава, одобряват взаимното признаване, което се използва, когато не се прилагат директивите. </w:t>
      </w:r>
    </w:p>
    <w:p>
      <w:pPr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Задължителното естество на Директивата за размера на опаковките гарантира свободата на избора и доведе до разнообразяване на размерите на опаковките. За вината и спиртните напитки фиксираните от ЕС размери защитиха МСП, които не разполагат с пазарна сила. Постепенната отмяна на националните разпоредби не създаде проблеми.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Всички държави членки транспонираха и напълно прилагат директивите. Разликите по отношение на прилагането в отделните държави публично се документират — те касаят административните процеси и процесите по контрол на производството, които не водят до различни резултати по отношение на хармонизираните продукти, пуснати на пазара.</w:t>
      </w:r>
    </w:p>
    <w:p>
      <w:pPr>
        <w:pStyle w:val="NormalIndent"/>
        <w:spacing w:line="276" w:lineRule="auto"/>
        <w:ind w:left="0"/>
        <w:rPr>
          <w:noProof/>
          <w:szCs w:val="24"/>
        </w:rPr>
      </w:pPr>
      <w:r>
        <w:rPr>
          <w:noProof/>
        </w:rPr>
        <w:t>При оценката се установи, че трите директиви продължават да са относими и като цяло се считат за ефикасни и ефективни, със значителна добавена стойност за всички групи заинтересовани страни (потребители, промишленост и национали органи). Никоя от тях не поражда значителни административни разходи или разходи във връзка с осигуряване на съответствието. Счита се, че те са от полза по отношение на приноса им за защита на потребителите, увеличаване на конкурентоспособността и подкрепа на единния пазар. Те са също съгласувани с другите законодателни актове на ЕС и на държавите членки и ги допълват. Вследствие на това те получават широка подкрепа от всички групи заинтересовани страни. Комисията споделя заключението на консултанта, че директивите отговарят на целите си и не налагат фундаментални промени.</w:t>
      </w:r>
    </w:p>
    <w:p>
      <w:pPr>
        <w:pStyle w:val="NormalIndent"/>
        <w:spacing w:line="276" w:lineRule="auto"/>
        <w:ind w:left="0"/>
        <w:rPr>
          <w:noProof/>
          <w:szCs w:val="24"/>
        </w:rPr>
      </w:pPr>
      <w:r>
        <w:rPr>
          <w:noProof/>
        </w:rPr>
        <w:t>Наред с тази като цяло позитивна оценка бяха повдигнати известен брой специфични за съответните сектори технически въпроси: продуктите, продавани на дължина, площ или брой, отцеденото тегло, определянето на по-големи партиди, разпоредбите за темпа на производство и вземането на пробите, вискозните продукти по маса или обем и амбалажите, включени в предварително опакованите продукти. Някои от тези въпроси са извън обхвата на директивите, а други все още не са намерили решение на международно ниво.</w:t>
      </w:r>
    </w:p>
    <w:p>
      <w:pPr>
        <w:pStyle w:val="Heading1"/>
        <w:numPr>
          <w:ilvl w:val="0"/>
          <w:numId w:val="2"/>
        </w:numPr>
        <w:spacing w:before="0" w:after="240"/>
        <w:ind w:left="426" w:hanging="426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sz w:val="24"/>
          <w:shd w:val="clear" w:color="auto" w:fill="FFFFFF"/>
        </w:rPr>
        <w:t>ЗАКЛЮЧЕНИЕ И ПОСЛЕДВАЩИ ДЕЙСТВИЯ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При оценката се установи, че правната рамка на ЕС за предварително опакованите продукти отговаря на целите си и че директивите са ефективни, ефикасни, относими, съгласувани с другите политики на ЕС и имат добавена стойност за ЕС. Въпреки че Комисията счита, че няма нужда да се предлагат изменения, тя ще обсъди резултатите от оценката със заинтересованите страни и ще предприеме последващи действия, за да се подобри прилагането на директивите.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С оглед на разликите при прилагането в отделните държави Комисията ще се стреми също така да насърчава обмена на добри практики между заинтересованите страни и да разработи насоки.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За да гарантира ефективността на надзора на пазара, по-конкретно по отношение на вноса, ще се подобри административното сътрудничество във връзка с директивите чрез финансова подкрепа от ЕС за заседанията на компетентните органи в съответствие </w:t>
      </w:r>
      <w:r>
        <w:rPr>
          <w:rFonts w:ascii="Times New Roman" w:hAnsi="Times New Roman" w:cs="Times New Roman"/>
          <w:noProof/>
          <w:sz w:val="24"/>
          <w:szCs w:val="24"/>
        </w:rPr>
        <w:t>с Регламент (ЕО) № 765/2008.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Комисията ще обсъди със заинтересованите страни въпросите, които бяха поставени по отношение на техническите аспекти и съответните международни стандарти, и ще предприеме целесъобразните действия, като например разработване на насоки.</w:t>
      </w:r>
    </w:p>
    <w:p>
      <w:pPr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За да са по-добре осведомени потребителите, Комисията ще предоставя повече информация за значението на маркировката „3“ и „е“.</w:t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207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spacing w:after="120"/>
        <w:ind w:left="284" w:hanging="284"/>
        <w:jc w:val="both"/>
        <w:rPr>
          <w:color w:val="auto"/>
        </w:rPr>
      </w:pPr>
      <w:r>
        <w:rPr>
          <w:rStyle w:val="FootnoteReference"/>
          <w:color w:val="auto"/>
        </w:rPr>
        <w:footnoteRef/>
      </w:r>
      <w:r>
        <w:rPr>
          <w:color w:val="auto"/>
        </w:rPr>
        <w:t xml:space="preserve"> </w:t>
      </w:r>
      <w:r>
        <w:tab/>
      </w:r>
      <w:r>
        <w:rPr>
          <w:rStyle w:val="Strong"/>
          <w:b w:val="0"/>
          <w:color w:val="auto"/>
        </w:rPr>
        <w:t xml:space="preserve">Директива 75/107/EИО на Съвета от 19 декември 1974 г. </w:t>
      </w:r>
      <w:r>
        <w:rPr>
          <w:rStyle w:val="Strong"/>
          <w:b w:val="0"/>
          <w:color w:val="auto"/>
        </w:rPr>
        <w:br/>
        <w:t>относно сближаване на законодателствата на държавите членки по отношение на бутилки, използвани като измервателни съдове.</w:t>
      </w:r>
    </w:p>
  </w:footnote>
  <w:footnote w:id="2">
    <w:p>
      <w:pPr>
        <w:pStyle w:val="FootnoteText"/>
        <w:spacing w:after="120"/>
        <w:ind w:left="284" w:hanging="284"/>
        <w:jc w:val="both"/>
        <w:rPr>
          <w:color w:val="auto"/>
        </w:rPr>
      </w:pPr>
      <w:r>
        <w:rPr>
          <w:rStyle w:val="FootnoteReference"/>
          <w:color w:val="auto"/>
        </w:rPr>
        <w:footnoteRef/>
      </w:r>
      <w:r>
        <w:rPr>
          <w:color w:val="auto"/>
        </w:rPr>
        <w:t xml:space="preserve"> </w:t>
      </w:r>
      <w:r>
        <w:tab/>
      </w:r>
      <w:r>
        <w:rPr>
          <w:color w:val="auto"/>
        </w:rPr>
        <w:t>Директива 76/211/EИО на Съвета от 20 януари 1976 г. относно сближаване на законодателствата на държавите членки относно определянето на теглото и обема на някои продукти в готови опаковки.</w:t>
      </w:r>
    </w:p>
  </w:footnote>
  <w:footnote w:id="3">
    <w:p>
      <w:pPr>
        <w:pStyle w:val="FootnoteText"/>
        <w:spacing w:after="120"/>
        <w:ind w:left="284" w:hanging="284"/>
        <w:jc w:val="both"/>
        <w:rPr>
          <w:color w:val="auto"/>
        </w:rPr>
      </w:pPr>
      <w:r>
        <w:rPr>
          <w:rStyle w:val="FootnoteReference"/>
          <w:color w:val="auto"/>
        </w:rPr>
        <w:footnoteRef/>
      </w:r>
      <w:r>
        <w:rPr>
          <w:color w:val="auto"/>
        </w:rPr>
        <w:t xml:space="preserve"> </w:t>
      </w:r>
      <w:r>
        <w:tab/>
      </w:r>
      <w:r>
        <w:rPr>
          <w:color w:val="auto"/>
        </w:rPr>
        <w:t>Директива 2007/45/ЕО на Европейския парламент и на Съвета от 5 септември 2007 г. за определяне на правила за номиналните количества за предварително опаковани продукти, за отмяна на директиви 75/106/ЕИО и 80/232/ЕИО на Съвета и за изменение на Директива 76/211/ЕИО на Съвета.</w:t>
      </w:r>
    </w:p>
  </w:footnote>
  <w:footnote w:id="4">
    <w:p>
      <w:pPr>
        <w:pStyle w:val="FootnoteText"/>
        <w:spacing w:after="120"/>
        <w:ind w:left="284" w:hanging="284"/>
        <w:jc w:val="both"/>
        <w:rPr>
          <w:lang w:val="en-GB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tab/>
        <w:t>COM(2014) 368 и SWD(2014) 192.</w:t>
      </w:r>
    </w:p>
  </w:footnote>
  <w:footnote w:id="5">
    <w:p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[http://ec.europa.eu/growth/single-market/goods/building-blocks/legal-metrology/index_en.htm].</w:t>
      </w:r>
    </w:p>
  </w:footnote>
  <w:footnote w:id="6">
    <w:p>
      <w:pPr>
        <w:pStyle w:val="FootnoteText"/>
        <w:spacing w:after="120"/>
        <w:ind w:left="284" w:hanging="284"/>
        <w:jc w:val="both"/>
        <w:rPr>
          <w:lang w:val="en-GB"/>
        </w:rPr>
      </w:pPr>
      <w:r>
        <w:rPr>
          <w:rStyle w:val="FootnoteReference"/>
          <w:color w:val="auto"/>
        </w:rPr>
        <w:footnoteRef/>
      </w:r>
      <w:r>
        <w:rPr>
          <w:color w:val="auto"/>
        </w:rPr>
        <w:t xml:space="preserve"> [SWD </w:t>
      </w:r>
      <w:r>
        <w:rPr>
          <w:color w:val="auto"/>
          <w:lang w:val="en-GB"/>
        </w:rPr>
        <w:t>2016/219</w:t>
      </w:r>
      <w:r>
        <w:rPr>
          <w:color w:val="auto"/>
        </w:rPr>
        <w:t>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95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25334B"/>
    <w:multiLevelType w:val="multilevel"/>
    <w:tmpl w:val="738E9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39B87843"/>
    <w:multiLevelType w:val="hybridMultilevel"/>
    <w:tmpl w:val="0E44C7A6"/>
    <w:lvl w:ilvl="0" w:tplc="3DF2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4">
    <w:nsid w:val="44400D4B"/>
    <w:multiLevelType w:val="hybridMultilevel"/>
    <w:tmpl w:val="F070AD76"/>
    <w:lvl w:ilvl="0" w:tplc="17B25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E20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C4D242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8860805"/>
    <w:multiLevelType w:val="hybridMultilevel"/>
    <w:tmpl w:val="BB00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hideSpellingErrors/>
  <w:hideGrammaticalErrors/>
  <w:revisionView w:markup="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BF66822F64B842CFBBED5D586C56D368"/>
    <w:docVar w:name="LW_CROSSREFERENCE" w:val="{SWD(2016) 219 final}"/>
    <w:docVar w:name="LW_DocType" w:val="NORMAL"/>
    <w:docVar w:name="LW_EMISSION" w:val="4.7.2016"/>
    <w:docVar w:name="LW_EMISSION_ISODATE" w:val="2016-07-04"/>
    <w:docVar w:name="LW_EMISSION_LOCATION" w:val="BRX"/>
    <w:docVar w:name="LW_EMISSION_PREFIX" w:val="Брюксел, "/>
    <w:docVar w:name="LW_EMISSION_SUFFIX" w:val=" \u1075?."/>
    <w:docVar w:name="LW_ID_DOCTYPE_NONLW" w:val="CP-00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6) 438"/>
    <w:docVar w:name="LW_REF.INTERNE" w:val="&lt;UNUSED&gt;"/>
    <w:docVar w:name="LW_SOUS.TITRE.OBJ.CP" w:val="&lt;UNUSED&gt;"/>
    <w:docVar w:name="LW_SUPERTITRE" w:val="&lt;UNUSED&gt;"/>
    <w:docVar w:name="LW_TITRE.OBJ.CP" w:val="\u1086?\u1090?\u1085?\u1086?\u1089?\u1085?\u1086? \u1087?\u1088?\u1080?\u1083?\u1072?\u1075?\u1072?\u1085?\u1077?\u1090?\u1086? \u1085?\u1072? \u1087?\u1088?\u1072?\u1074?\u1085?\u1072?\u1090?\u1072? \u1088?\u1072?\u1084?\u1082?\u1072? \u1079?\u1072? \u1087?\u1088?\u1077?\u1076?\u1074?\u1072?\u1088?\u1080?\u1090?\u1077?\u1083?\u1085?\u1086? \u1086?\u1087?\u1072?\u1082?\u1086?\u1074?\u1072?\u1085?\u1080?\u1090?\u1077? \u1087?\u1088?\u1086?\u1076?\u1091?\u1082?\u1090?\u1080?: \u1076?\u1080?\u1088?\u1077?\u1082?\u1090?\u1080?\u1074?\u1080? 75/107/E\u1048?\u1054?, 76/211/E\u1048?\u1054? \u1080? 2007/45/E\u1054?"/>
    <w:docVar w:name="LW_TYPE.DOC.CP" w:val="\u1044?\u1054?\u1050?\u1051?\u1040?\u1044? \u1053?\u1040? \u1050?\u1054?\u1052?\u1048?\u1057?\u1048?\u1071?\u1058?\u1040? \u1044?\u1054? \u1045?\u1042?\u1056?\u1054?\u1055?\u1045?\u1049?\u1057?\u1050?\u1048?\u1071? \u1055?\u1040?\u1056?\u1051?\u1040?\u1052?\u1045?\u1053?\u1058?, \u1057?\u1066?\u1042?\u1045?\u1058?\u1040? \u1048? \u1045?\u1042?\u1056?\u1054?\u1055?\u1045?\u1049?\u1057?\u1050?\u1048?\u1071? \u1048?\u1050?\u1054?\u1053?\u1054?\u1052?\u1048?\u1063?\u1045?\u1057?\u1050?\u1048? \u1048? \u1057?\u1054?\u1062?\u1048?\u1040?\u1051?\u1045?\u1053? \u1050?\u1054?\u1052?\u1048?\u1058?\u1045?\u1058?"/>
    <w:docVar w:name="Stamp" w:val="\\dossiers.dgt.cec.eu.int\dossiers\GROW\GROW-2016-00440\GROW-2016-00440-00-00-EN-REV-00.DOCX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rpsdutexte">
    <w:name w:val="Corps du texte_"/>
    <w:link w:val="Corpsdutexte1"/>
    <w:uiPriority w:val="99"/>
    <w:locked/>
    <w:rPr>
      <w:rFonts w:ascii="Arial" w:hAnsi="Arial" w:cs="Arial"/>
      <w:sz w:val="18"/>
      <w:szCs w:val="18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pPr>
      <w:widowControl w:val="0"/>
      <w:shd w:val="clear" w:color="auto" w:fill="FFFFFF"/>
      <w:spacing w:before="360" w:after="120" w:line="230" w:lineRule="exact"/>
      <w:ind w:hanging="400"/>
      <w:jc w:val="both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aliases w:val="Footnote Char,Fußnote Char,fn Char,Carattere Char,Footnotes Char,Footnote ak Char,Footnote Text Char Char Char,fn Char Char Char,footnote text Char Char Char,Footnotes Char Char Char,Footnote ak Char Char Char,fn Char1 Char,ft Char"/>
    <w:basedOn w:val="DefaultParagraphFont"/>
    <w:rPr>
      <w:rFonts w:ascii="Times New Roman" w:eastAsia="Times New Roman" w:hAnsi="Times New Roman" w:cs="Times New Roman"/>
      <w:color w:val="000000"/>
      <w:sz w:val="20"/>
      <w:szCs w:val="20"/>
      <w:lang w:val="bg-BG"/>
    </w:rPr>
  </w:style>
  <w:style w:type="character" w:styleId="FootnoteReference">
    <w:name w:val="footnote reference"/>
    <w:aliases w:val="FR,footnumber,Footnotemark,Footnotemark1,Footnotemark2,FR1,Footnotemark3,FR2,Footnotemark4,FR3,Footnotemark5,FR4,Footnotemark6,Footnotemark7,Footnotemark8,FR5,Footnotemark11,Footnotemark21,FR11,Footnotemark31,FR21,FR31,Footnotemark41"/>
    <w:unhideWhenUsed/>
    <w:rPr>
      <w:rFonts w:cs="Times New Roman"/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NormalIndent">
    <w:name w:val="Normal Indent"/>
    <w:basedOn w:val="Normal"/>
    <w:link w:val="NormalIndentChar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IndentChar">
    <w:name w:val="Normal Indent Char"/>
    <w:link w:val="NormalIndent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CorpsdutexteGras">
    <w:name w:val="Corps du texte + Gras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CorpsdutexteGras9">
    <w:name w:val="Corps du texte + Gras9"/>
    <w:uiPriority w:val="99"/>
    <w:rPr>
      <w:rFonts w:ascii="Arial" w:hAnsi="Arial" w:cs="Arial"/>
      <w:b/>
      <w:bCs/>
      <w:sz w:val="18"/>
      <w:szCs w:val="18"/>
      <w:u w:val="none"/>
    </w:rPr>
  </w:style>
  <w:style w:type="paragraph" w:styleId="ListBullet">
    <w:name w:val="List Bullet"/>
    <w:aliases w:val="First Tier Bullet,résumé,UL,List Bullet2,List Bullet Char,List Bullet Char1 Char,List Bullet Char Char Char,List Bullet Char1 Char Char Char,List Bullet Char Char Char Char Char,List Bullet Char Char1"/>
    <w:basedOn w:val="Normal"/>
    <w:uiPriority w:val="99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rpsdutexte">
    <w:name w:val="Corps du texte_"/>
    <w:link w:val="Corpsdutexte1"/>
    <w:uiPriority w:val="99"/>
    <w:locked/>
    <w:rPr>
      <w:rFonts w:ascii="Arial" w:hAnsi="Arial" w:cs="Arial"/>
      <w:sz w:val="18"/>
      <w:szCs w:val="18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pPr>
      <w:widowControl w:val="0"/>
      <w:shd w:val="clear" w:color="auto" w:fill="FFFFFF"/>
      <w:spacing w:before="360" w:after="120" w:line="230" w:lineRule="exact"/>
      <w:ind w:hanging="400"/>
      <w:jc w:val="both"/>
    </w:pPr>
    <w:rPr>
      <w:rFonts w:ascii="Arial" w:hAnsi="Arial" w:cs="Arial"/>
      <w:sz w:val="18"/>
      <w:szCs w:val="18"/>
    </w:rPr>
  </w:style>
  <w:style w:type="paragraph" w:styleId="FootnoteText">
    <w:name w:val="footnote text"/>
    <w:basedOn w:val="Normal"/>
    <w:unhideWhenUsed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aliases w:val="Footnote Char,Fußnote Char,fn Char,Carattere Char,Footnotes Char,Footnote ak Char,Footnote Text Char Char Char,fn Char Char Char,footnote text Char Char Char,Footnotes Char Char Char,Footnote ak Char Char Char,fn Char1 Char,ft Char"/>
    <w:basedOn w:val="DefaultParagraphFont"/>
    <w:rPr>
      <w:rFonts w:ascii="Times New Roman" w:eastAsia="Times New Roman" w:hAnsi="Times New Roman" w:cs="Times New Roman"/>
      <w:color w:val="000000"/>
      <w:sz w:val="20"/>
      <w:szCs w:val="20"/>
      <w:lang w:val="bg-BG"/>
    </w:rPr>
  </w:style>
  <w:style w:type="character" w:styleId="FootnoteReference">
    <w:name w:val="footnote reference"/>
    <w:aliases w:val="FR,footnumber,Footnotemark,Footnotemark1,Footnotemark2,FR1,Footnotemark3,FR2,Footnotemark4,FR3,Footnotemark5,FR4,Footnotemark6,Footnotemark7,Footnotemark8,FR5,Footnotemark11,Footnotemark21,FR11,Footnotemark31,FR21,FR31,Footnotemark41"/>
    <w:unhideWhenUsed/>
    <w:rPr>
      <w:rFonts w:cs="Times New Roman"/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NormalIndent">
    <w:name w:val="Normal Indent"/>
    <w:basedOn w:val="Normal"/>
    <w:link w:val="NormalIndentChar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IndentChar">
    <w:name w:val="Normal Indent Char"/>
    <w:link w:val="NormalIndent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CorpsdutexteGras">
    <w:name w:val="Corps du texte + Gras"/>
    <w:uiPriority w:val="99"/>
    <w:rPr>
      <w:rFonts w:ascii="Arial" w:hAnsi="Arial" w:cs="Arial"/>
      <w:b/>
      <w:bCs/>
      <w:sz w:val="18"/>
      <w:szCs w:val="18"/>
      <w:u w:val="none"/>
    </w:rPr>
  </w:style>
  <w:style w:type="character" w:customStyle="1" w:styleId="CorpsdutexteGras9">
    <w:name w:val="Corps du texte + Gras9"/>
    <w:uiPriority w:val="99"/>
    <w:rPr>
      <w:rFonts w:ascii="Arial" w:hAnsi="Arial" w:cs="Arial"/>
      <w:b/>
      <w:bCs/>
      <w:sz w:val="18"/>
      <w:szCs w:val="18"/>
      <w:u w:val="none"/>
    </w:rPr>
  </w:style>
  <w:style w:type="paragraph" w:styleId="ListBullet">
    <w:name w:val="List Bullet"/>
    <w:aliases w:val="First Tier Bullet,résumé,UL,List Bullet2,List Bullet Char,List Bullet Char1 Char,List Bullet Char Char Char,List Bullet Char1 Char Char Char,List Bullet Char Char Char Char Char,List Bullet Char Char1"/>
    <w:basedOn w:val="Normal"/>
    <w:uiPriority w:val="99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7CE2-F394-4D9D-8431-472E7CBE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1330</Words>
  <Characters>8023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23</cp:revision>
  <cp:lastPrinted>2016-03-07T13:57:00Z</cp:lastPrinted>
  <dcterms:created xsi:type="dcterms:W3CDTF">2016-03-09T08:10:00Z</dcterms:created>
  <dcterms:modified xsi:type="dcterms:W3CDTF">2016-06-27T11:10:00Z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DocStatus">
    <vt:lpwstr>Green</vt:lpwstr>
  </property>
</Properties>
</file>