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3B557DB4CE44E6AB7AF7D67AD01FAEA" style="width:450.8pt;height:408.2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Povzetek</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Ocena učinka Uredbe o spremembi Uredbe (EU) št. 345/2013 o evropskih skladih tveganega kapitala (EuVECA) in Uredbe št. 346/2013 o evropskih skladih za socialno podjetništvo (EuSEF).</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Potreba po ukrepanju</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Zakaj? V čem je težava?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Z uredbama o EuVECA in EuSEF sta se uvedli oznaki „Evropski skladi tveganega kapitala“ oziroma „Evropski skladi za socialno podjetništvo“, ki ju lahko uporabljajo skladi EuVECA in EuSEF, ki podpirajo mlada in inovativna podjetja z namenom ustvarjanja pozitivnega družbenega učinka. Uredbi omogočata čezmejno trženje teh skladov brez dodatnih ovir za namene izpolnjevanja njihovih naložbenih potreb. Pregled uredb o EuVECA in EuSEF je tesno povezan s cilji unije kapitalskih trgov (CMU), ki so usmerjeni v olajšanje financiranja MSP, razpršitev virov financiranja in okrepitev čezmejnega pretoka kapitala. Povezan je tudi s prvim in drugim stebrom naložbenega načrta, ki se osredotočata na zagotavljanje dodatnega financiranja EU za MSP in lastniške finančne instrumente v okviru Programa za konkurenčnost podjetij in MSP (COSME) ter v okviru programa Obzorje 2020. Uredbi sta usklajeni z drugimi ukrepi za vzpostavitev unije kapitalskih trgov, kot je skupni načrt Komisije in Evropskega investicijskega sklada za sponzoriranje vseevropskega sklada skladov tveganega kapitala, ki bi investiral v kombinacijo skladov tveganega kapitala v začetni fazi, poznejših fazah in širitveni fazi.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Poročilo o oceni učinka je pripravljeno na podlagi rezultatov pregleda, ki je temelji na programu REFIT.</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Kaj naj bi prinesla ta pobuda?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Predlagani ukrep bo povečal naložbe v tvegani kapital in socialna podjetja prek skladov EuVECA in EuSEF z (i) odpravo omejitev za večje upravitelje skladov EuVECA in EuSEF ter podvojenih zahtev po registraciji, (ii) zmanjšanjem stroškov skladov EuVECA in EuSEF ter (iii) razširitvijo obsega upravičenih sredstev, v katera lahko investirajo skladi EuVECA.</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Kaj je dodana vrednost ukrepanja na ravni EU?</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S spremembo uredb o EuVECA in EuSEF bosta ti dve vrsti specializiranih skladov postali privlačnejši, s tem pa se bo odpravila potreba po preučevanju režimov 28 držav članic, zmanjšali stroški in ustvarile ekonomije obsega. Spremenjena pravila bodo dodatno sprostila pretok kapitala, kar bo privedlo do večjega zaupanja pri čezmejnih naložbah in boljšega delovanja notranjega trga. Potreba po ukrepanju EU temelji na dejstvu, da države članice nimajo na voljo načinov, na katere bi lahko posamično odpravile pomanjkljivosti trenutno veljavnih uredb o EuVECA in EuSEF. Ukrepi posameznih držav članic bi bili lahko usmerjeni samo na pravila izven področja uporabe obeh uredb in bi bili omejeni na ukrepe, dovoljene v skladu z Direktivo 2011/61/EU o upraviteljih alternativnih investicijskih skladov. </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Rešitve</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Katere zakonodajne in nezakonodajne možnosti politike so se upoštevale? Ali ima katera od njih prednost? Zakaj?</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Za doseganje želenih ciljev se predlaga:</w:t>
            </w:r>
          </w:p>
          <w:p>
            <w:pPr>
              <w:pStyle w:val="ListParagraph"/>
              <w:numPr>
                <w:ilvl w:val="0"/>
                <w:numId w:val="1"/>
              </w:numPr>
              <w:jc w:val="both"/>
              <w:rPr>
                <w:rFonts w:ascii="Arial" w:hAnsi="Arial" w:cs="Arial"/>
                <w:noProof/>
                <w:sz w:val="20"/>
                <w:szCs w:val="20"/>
              </w:rPr>
            </w:pPr>
            <w:r>
              <w:rPr>
                <w:rFonts w:ascii="Arial" w:hAnsi="Arial"/>
                <w:noProof/>
                <w:sz w:val="20"/>
              </w:rPr>
              <w:t xml:space="preserve">povečanje števila upraviteljev, skladov in sredstev EuVECA in EuSEF v upravljanju tako, da se upravljanje skladov EuVECA in EuSEF omogoči za upravitelje večjega premoženja, tj. tiste, ki imajo dovoljenje v skladu z Direktivo 2011/61/EU o upraviteljih alternativnih investicijskih skladov; </w:t>
            </w:r>
          </w:p>
          <w:p>
            <w:pPr>
              <w:pStyle w:val="ListParagraph"/>
              <w:numPr>
                <w:ilvl w:val="0"/>
                <w:numId w:val="1"/>
              </w:numPr>
              <w:jc w:val="both"/>
              <w:rPr>
                <w:rFonts w:ascii="Arial" w:hAnsi="Arial" w:cs="Arial"/>
                <w:noProof/>
                <w:sz w:val="20"/>
                <w:szCs w:val="20"/>
              </w:rPr>
            </w:pPr>
            <w:r>
              <w:rPr>
                <w:rFonts w:ascii="Arial" w:hAnsi="Arial"/>
                <w:noProof/>
                <w:sz w:val="20"/>
              </w:rPr>
              <w:t>razširitev upravičenih sredstev EuVECA prek trenutne opredelitve MSP (podjetja, ki ne kotirajo na borzi in imajo manj kot 250 zaposlenih + letni promet manj od 50 milijonov EUR ali letno bilanco stanja manjšo od 43 milijonov EUR) tako, da se dodajo (a) mala podjetja s srednje veliko tržno kapitalizacijo (tj. podjetja, ki niso MSP, z do 499 zaposlenimi), kot je zastavljeno v programih EU, ki jih upravlja Evropski investicijski sklad, (b) MSP, ki kotirajo na zagonskih trgih MSP, kot so opredeljeni v Direktivi 2014/65/EU o trgih finančnih instrumentov, ter (c) omogočijo nadaljnje naložbe;</w:t>
            </w:r>
          </w:p>
          <w:p>
            <w:pPr>
              <w:pStyle w:val="ListParagraph"/>
              <w:numPr>
                <w:ilvl w:val="0"/>
                <w:numId w:val="1"/>
              </w:numPr>
              <w:jc w:val="both"/>
              <w:rPr>
                <w:rFonts w:ascii="Arial" w:hAnsi="Arial" w:cs="Arial"/>
                <w:noProof/>
                <w:sz w:val="20"/>
                <w:szCs w:val="20"/>
              </w:rPr>
            </w:pPr>
            <w:r>
              <w:rPr>
                <w:rFonts w:ascii="Arial" w:hAnsi="Arial"/>
                <w:noProof/>
                <w:sz w:val="20"/>
              </w:rPr>
              <w:t>zmanjšanje stroškov pri določanju lastnih sredstev upraviteljev, izrecna prepoved pristojbin, naloženih s strani pristojnih organov držav članic gostiteljic, in poenostavitev postopka registracije.</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Kdo podpira katero možnost?</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Pri posvetovanju o pregledu uredb o EuVECA in EuSEF so vprašani, vključno z državami članicami, močno podprli možnost, da se večjim upraviteljem, ki imajo dovoljenje v skladu z Direktivo 2011/61/EU o upraviteljih alternativnih investicijskih skladov, dovoli upravljanje in trženje skladov EuVECA in EuSEF. V okviru posvetovanja so bile prejete tudi kritike glede opredelitve upravičenih sredstev EuVECA, ki naj bi bila preveč omejevalna. Vprašani so pri posvetovanju poudarili, da več držav članic pri razlagi in uporabi uredb o EuVECA in EuSEF ni upoštevalo velikosti upraviteljev EuVECA in EuSEF, predvsem ker zaračunavajo pristojbine in nalagajo dodatne zahteve ali enako raven zahtev, kot je predvidena za večje upravitelje, ki imajo dovoljenje v skladu z Direktivo 2011/61/EU o upraviteljih alternativnih investicijskih skladov.</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Učinki prednostne možnosti</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Kakšne so koristi prednostne možnosti (če obstaja, sicer glavnih možnosti)?</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Predlagane spremembe bodo povečale financiranje iz skladov EuVECA in EuSEF za MSP in za socialna podjetja, tako da bodo ta manj odvisna od omejitev v bančnem sektorju, s čimer bodo zmanjšale učinek zavračanja vlog za kredit s strani bank. Veliki upravitelji, ki imajo dovoljenje v skladu z Direktivo 2011/61/EU o upraviteljih alternativnih investicijskih skladov, bodo imeli možnost svojim strankam ponuditi celoten nabor produktov in ker se opirajo na večje ekonomije obsega, bo to posledično koristno za investitorje. Omogočanje uporabe obeh oznak za velike upravitelje, ki upravljajo večje portfelje, bi lahko nadalje pospešilo uporabljanje oznak in s tem povečalo njuno prepoznavnost med investitorji ter privedlo do večje količine razpoložljivih sredstev za gospodarstvo. Skladi EuVECA imajo lahko ključno vlogo pri razvoju zagonskega trga MSP in bodo lahko financirali več subjektov, zlasti bolj delovno intenzivne. Do neke mere bodo tveganja za investitorje zmanjšana, saj bodo na voljo bolj raznolike naložbene možnosti. Podjetjem v poznejših fazah razvoja bodo koristile tudi nadaljnje naložbe.</w:t>
            </w:r>
          </w:p>
          <w:p>
            <w:pPr>
              <w:jc w:val="both"/>
              <w:rPr>
                <w:rFonts w:ascii="Arial" w:hAnsi="Arial" w:cs="Arial"/>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Kakšni so stroški prednostne možnosti (če obstaja, sicer glavnih možnosti)?</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Relevantnih socialnih in gospodarskih stroškov ne bo, pravzaprav bo prednostna možnost prek teh skladov zmanjšala stroške za deležnike. Predlagane možnosti politike ne bodo imele nobenih neposrednih ali posrednih učinkov na okoljska vprašanja.</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Kakšen bo vpliv na podjetja, MSP ter mikropodjetja?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p>
          <w:p>
            <w:pPr>
              <w:spacing w:before="60" w:after="60"/>
              <w:jc w:val="both"/>
              <w:rPr>
                <w:rFonts w:ascii="Arial" w:hAnsi="Arial" w:cs="Arial"/>
                <w:i/>
                <w:noProof/>
                <w:sz w:val="20"/>
                <w:szCs w:val="20"/>
              </w:rPr>
            </w:pPr>
            <w:r>
              <w:rPr>
                <w:rFonts w:ascii="Arial" w:hAnsi="Arial"/>
                <w:noProof/>
                <w:sz w:val="20"/>
              </w:rPr>
              <w:t>Spremenjeni uredbi bosta izboljšali dostop malih podjetij, vključno s socialnimi podjetji, do kapitala za rast. Ti subjekti bodo imeli na voljo več alternativnih virov za pridobivanje kapitala. Izbirali bodo lahko med večjo ponudbo konkurenčnih in visoko specializiranih skladov EuVECA in EuSEF z ekonomijami obsega, zaradi česar bodo skladi stroškovno učinkovitejši. Večja domača in čezmejna konkurenca bo prinesla večjo dodano vrednost podpore za komercialni razvoj financiranih ciljnih podjetij in povečala zmogljivosti za inovacije, na katerih lahko ti subjekti rastejo.</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Ali bo prišlo do znatnih učinkov na nacionalne proračune in uprave?</w:t>
            </w:r>
          </w:p>
        </w:tc>
      </w:tr>
      <w:tr>
        <w:tc>
          <w:tcPr>
            <w:tcW w:w="10188" w:type="dxa"/>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Ne. Predlagane izboljšave ne bi smele povzročiti bistvenih stroškov za nacionalne proračune in uprave. Ravno nasprotno, pristojnim nacionalnim organom bi morala biti pojasnila v pomoč.</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Bo imela pobuda druge pomembnejše učinke?</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Ne.</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Spremljanje</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Kdaj se bo politika pregledala? </w:t>
            </w:r>
          </w:p>
        </w:tc>
      </w:tr>
      <w:tr>
        <w:tc>
          <w:tcPr>
            <w:tcW w:w="10188" w:type="dxa"/>
            <w:tcBorders>
              <w:bottom w:val="single" w:sz="4" w:space="0" w:color="auto"/>
            </w:tcBorders>
            <w:shd w:val="clear" w:color="auto" w:fill="auto"/>
          </w:tcPr>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Predlagana bo klavzula o pregledu, v skladu s katero se bo štiri leta po začetku veljavnosti spremenjenih predpisov preverilo, v kakšni meri so bili zgoraj navedeni cilji doseženi.</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A2E1D"/>
    <w:multiLevelType w:val="hybridMultilevel"/>
    <w:tmpl w:val="815C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Spremni dokument"/>
    <w:docVar w:name="LW_CONFIDENCE" w:val=" "/>
    <w:docVar w:name="LW_CONST_RESTREINT_UE" w:val="RESTREINT UE"/>
    <w:docVar w:name="LW_CORRIGENDUM" w:val="&lt;UNUSED&gt;"/>
    <w:docVar w:name="LW_COVERPAGE_GUID" w:val="A3B557DB4CE44E6AB7AF7D67AD01FAEA"/>
    <w:docVar w:name="LW_CROSSREFERENCE" w:val="{COM(2016) 461 final}_x000b_{SWD(2016) 228 final}"/>
    <w:docVar w:name="LW_DocType" w:val="NORMAL"/>
    <w:docVar w:name="LW_EMISSION" w:val="14.7.2016"/>
    <w:docVar w:name="LW_EMISSION_ISODATE" w:val="2016-07-14"/>
    <w:docVar w:name="LW_EMISSION_LOCATION" w:val="BRX"/>
    <w:docVar w:name="LW_EMISSION_PREFIX" w:val="Bruselj, "/>
    <w:docVar w:name="LW_EMISSION_SUFFIX" w:val=" "/>
    <w:docVar w:name="LW_ID_DOCTYPE_NONLW" w:val="CP-027"/>
    <w:docVar w:name="LW_LANGUE" w:val="SL"/>
    <w:docVar w:name="LW_MARKING" w:val="&lt;UNUSED&gt;"/>
    <w:docVar w:name="LW_NOM.INST" w:val="EVROPSKA KOMISIJA"/>
    <w:docVar w:name="LW_NOM.INST_JOINTDOC" w:val="&lt;EMPTY&gt;"/>
    <w:docVar w:name="LW_OBJETACTEPRINCIPAL.CP" w:val="o spremembi Uredbe (EU) \u353?t. 345/2013 o evropskih skladih tveganega kapitala in Uredbe (EU) \u353?t. 346/2013 o evropskih skladih za socialno podjetni\u353?tvo"/>
    <w:docVar w:name="LW_PART_NBR" w:val="1"/>
    <w:docVar w:name="LW_PART_NBR_TOTAL" w:val="1"/>
    <w:docVar w:name="LW_REF.INST.NEW" w:val="SWD"/>
    <w:docVar w:name="LW_REF.INST.NEW_ADOPTED" w:val="final"/>
    <w:docVar w:name="LW_REF.INST.NEW_TEXT" w:val="(2016) 229"/>
    <w:docVar w:name="LW_REF.INTERNE" w:val="&lt;UNUSED&gt;"/>
    <w:docVar w:name="LW_SUPERTITRE" w:val="&lt;UNUSED&gt;"/>
    <w:docVar w:name="LW_TITRE.OBJ.CP" w:val="&lt;UNUSED&gt;"/>
    <w:docVar w:name="LW_TYPE.DOC.CP" w:val="DELOVNI DOKUMENT SLU\u381?B KOMISIJE_x000b__x000b_POVZETEK OCENE U\u268?INKA_x000b_"/>
    <w:docVar w:name="LW_TYPEACTEPRINCIPAL.CP" w:val="k predlogu UREDBE EVROPSKEGA PARLAMENTA IN SVETA"/>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sl-SI"/>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sl-SI"/>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sl-SI"/>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normal1">
    <w:name w:val="normal1"/>
    <w:basedOn w:val="Normal"/>
    <w:pPr>
      <w:jc w:val="both"/>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sl-SI"/>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sl-SI"/>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sl-SI"/>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sl-SI"/>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normal1">
    <w:name w:val="normal1"/>
    <w:basedOn w:val="Normal"/>
    <w:pPr>
      <w:jc w:val="both"/>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sl-SI"/>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schemas.microsoft.com/office/2006/documentManagement/types"/>
    <ds:schemaRef ds:uri="http://schemas.microsoft.com/sharepoint/v3"/>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0DFC3CB-876A-498F-ADA0-1024322B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1087</Words>
  <Characters>6522</Characters>
  <Application>Microsoft Office Word</Application>
  <DocSecurity>0</DocSecurity>
  <Lines>106</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2016-06-27T15:50:00Z</dcterms:created>
  <dcterms:modified xsi:type="dcterms:W3CDTF">2016-07-18T14:03:00Z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0x010100AB6DCF41F10D214DBDDF7E1F5EB8F7C1</vt:lpwstr>
  </property>
  <property fmtid="{D5CDD505-2E9C-101B-9397-08002B2CF9AE}" pid="11" name="TemplateUrl">
    <vt:lpwstr/>
  </property>
</Properties>
</file>