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74360515AFC4A34AC34084672E803A7" style="width:450.75pt;height:321pt">
            <v:imagedata r:id="rId9" o:title=""/>
          </v:shape>
        </w:pict>
      </w:r>
    </w:p>
    <w:bookmarkEnd w:id="0"/>
    <w:p>
      <w:pPr>
        <w:pStyle w:val="ManualHeading1"/>
        <w:ind w:left="0" w:firstLine="0"/>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KOMISSION KERTOMUS</w:t>
      </w:r>
    </w:p>
    <w:p>
      <w:pPr>
        <w:pStyle w:val="Titreobjet"/>
        <w:rPr>
          <w:noProof/>
        </w:rPr>
      </w:pPr>
      <w:r>
        <w:rPr>
          <w:noProof/>
        </w:rPr>
        <w:t>ihmisille tarkoitettuja lääkkeitä koskevasta jäsenvaltioiden ja Euroopan lääkeviraston lääketurvatoiminnasta (2012–2014)</w:t>
      </w:r>
    </w:p>
    <w:p>
      <w:pPr>
        <w:pStyle w:val="ManualHeading1"/>
        <w:jc w:val="center"/>
        <w:rPr>
          <w:noProof/>
        </w:rPr>
      </w:pPr>
    </w:p>
    <w:p>
      <w:pPr>
        <w:pStyle w:val="ManualHeading1"/>
        <w:jc w:val="center"/>
        <w:rPr>
          <w:noProof/>
        </w:rPr>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cols w:space="708"/>
          <w:docGrid w:linePitch="360"/>
        </w:sectPr>
      </w:pPr>
    </w:p>
    <w:p>
      <w:pPr>
        <w:pStyle w:val="ManualHeading1"/>
        <w:rPr>
          <w:noProof/>
        </w:rPr>
      </w:pPr>
      <w:r>
        <w:rPr>
          <w:noProof/>
        </w:rPr>
        <w:lastRenderedPageBreak/>
        <w:t>1.</w:t>
      </w:r>
      <w:r>
        <w:rPr>
          <w:noProof/>
        </w:rPr>
        <w:tab/>
        <w:t>Johdanto</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Ihmisille tarkoitettujen lääkkeiden laatua, tehoa ja turvallisuutta testataan ja arvioidaan Euroopan unionissa (EU) tiukasti, ennen kuin niille myönnetään lupa joko jäsenvaltion tai EU:n tasolla. Myyntiluvan saamisen jälkeen niitä valvotaan lääketurvatoiminnalla.</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Lääketurvatoiminnalla tarkoitetaan Maailman terveysjärjestön (WHO) määritelmän mukaisesti haittavaikutusten tai muun lääkkeisiin liittyvän ongelman havaitsemista, arvioimista, ymmärtämistä ja ehkäisemistä.</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Joitakin sivuvaikutuksia tai haittavaikutuksia ei ehkä havaita, ennen kuin suuri määrä ihmisiä on todellisessa käytössä saanut lääkettä. Siitä syystä on olennaisen tärkeää, että kaikkien lääkkeiden turvallisuutta seurataan koko sen ajan, kun niitä käytetään terveydenhoidossa.</w:t>
      </w:r>
    </w:p>
    <w:p>
      <w:pPr>
        <w:widowControl w:val="0"/>
        <w:autoSpaceDE w:val="0"/>
        <w:autoSpaceDN w:val="0"/>
        <w:adjustRightInd w:val="0"/>
        <w:jc w:val="both"/>
        <w:rPr>
          <w:rFonts w:ascii="Times New Roman" w:hAnsi="Times New Roman" w:cs="Times New Roman"/>
          <w:noProof/>
          <w:sz w:val="24"/>
          <w:szCs w:val="24"/>
        </w:rPr>
      </w:pPr>
      <w:r>
        <w:rPr>
          <w:rFonts w:ascii="Times New Roman" w:hAnsi="Times New Roman"/>
          <w:noProof/>
          <w:sz w:val="24"/>
        </w:rPr>
        <w:t>Ihmisille tarkoitettujen lääkkeiden lääketurvatoiminnan oikeudellisen kehyksen muodostavat unionissa asetus (EY) N:o 726/2004</w:t>
      </w:r>
      <w:r>
        <w:rPr>
          <w:rFonts w:ascii="Times New Roman" w:hAnsi="Times New Roman"/>
          <w:noProof/>
          <w:sz w:val="24"/>
          <w:vertAlign w:val="superscript"/>
        </w:rPr>
        <w:footnoteReference w:id="1"/>
      </w:r>
      <w:r>
        <w:rPr>
          <w:rFonts w:ascii="Times New Roman" w:hAnsi="Times New Roman"/>
          <w:noProof/>
          <w:sz w:val="24"/>
        </w:rPr>
        <w:t xml:space="preserve"> ja direktiivi 2001/83/EY</w:t>
      </w:r>
      <w:r>
        <w:rPr>
          <w:rFonts w:ascii="Times New Roman" w:hAnsi="Times New Roman"/>
          <w:noProof/>
          <w:sz w:val="24"/>
          <w:vertAlign w:val="superscript"/>
        </w:rPr>
        <w:footnoteReference w:id="2"/>
      </w:r>
      <w:r>
        <w:rPr>
          <w:rFonts w:ascii="Times New Roman" w:hAnsi="Times New Roman"/>
          <w:noProof/>
          <w:sz w:val="24"/>
        </w:rPr>
        <w:t>. Lainsäädäntöä on muutettu vuosina 2010</w:t>
      </w:r>
      <w:r>
        <w:rPr>
          <w:rFonts w:ascii="Times New Roman" w:hAnsi="Times New Roman"/>
          <w:noProof/>
          <w:sz w:val="24"/>
          <w:vertAlign w:val="superscript"/>
        </w:rPr>
        <w:footnoteReference w:id="3"/>
      </w:r>
      <w:r>
        <w:rPr>
          <w:rFonts w:ascii="Times New Roman" w:hAnsi="Times New Roman"/>
          <w:noProof/>
          <w:sz w:val="24"/>
        </w:rPr>
        <w:t xml:space="preserve"> ja 2012</w:t>
      </w:r>
      <w:r>
        <w:rPr>
          <w:rFonts w:ascii="Times New Roman" w:hAnsi="Times New Roman"/>
          <w:noProof/>
          <w:sz w:val="24"/>
          <w:vertAlign w:val="superscript"/>
        </w:rPr>
        <w:footnoteReference w:id="4"/>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Asetuksen (EY N:o 726/2004 29 artiklassa edellytetään, että Euroopan lääkeviraston (EMA) toteuttamista lääketurvatoiminnan tehtävistä raportoidaan säännöllisesti, ja direktiivin 2001/83/EY 108 b artiklassa edellytetään vastaavaa raportointia jäsenvaltioiden toteuttamista lääketurvatoiminnan tehtävistä.</w:t>
      </w:r>
    </w:p>
    <w:p>
      <w:pPr>
        <w:jc w:val="both"/>
        <w:rPr>
          <w:rFonts w:ascii="Times New Roman" w:hAnsi="Times New Roman" w:cs="Times New Roman"/>
          <w:noProof/>
          <w:sz w:val="24"/>
          <w:szCs w:val="24"/>
        </w:rPr>
      </w:pPr>
      <w:r>
        <w:rPr>
          <w:rFonts w:ascii="Times New Roman" w:hAnsi="Times New Roman"/>
          <w:noProof/>
          <w:sz w:val="24"/>
        </w:rPr>
        <w:t>Tässä raportissa ja siihen liittyvässä komission yksiköiden valmisteluasiakirjassa</w:t>
      </w:r>
      <w:r>
        <w:rPr>
          <w:rStyle w:val="FootnoteReference"/>
          <w:rFonts w:ascii="Times New Roman" w:hAnsi="Times New Roman"/>
          <w:noProof/>
          <w:sz w:val="24"/>
        </w:rPr>
        <w:footnoteReference w:id="5"/>
      </w:r>
      <w:r>
        <w:rPr>
          <w:rFonts w:ascii="Times New Roman" w:hAnsi="Times New Roman"/>
          <w:noProof/>
          <w:sz w:val="24"/>
        </w:rPr>
        <w:t xml:space="preserve"> kuvaillaan ihmisille tarkoitettujen lääkkeiden turvallisuuden seurantaa ja valvontaa käsittelevän EU:n yhteistoimintaverkoston toimintaa. Ensisijaisesti tarkastellaan uuden lainsäädännön mukaisesti aloitettua toimintaa vuodesta 2012 vuoden 2014 loppuun saakka. Lisäksi annetaan tietoja joistakin tehtävistä ja prosesseista, jotka on aloitettu viimeistään heinäkuussa 2015.</w:t>
      </w:r>
    </w:p>
    <w:p>
      <w:pPr>
        <w:rPr>
          <w:rFonts w:ascii="Times New Roman" w:eastAsia="MS Mincho" w:hAnsi="Times New Roman" w:cs="Times New Roman"/>
          <w:b/>
          <w:smallCaps/>
          <w:noProof/>
          <w:sz w:val="24"/>
          <w:szCs w:val="24"/>
        </w:rPr>
      </w:pPr>
      <w:r>
        <w:rPr>
          <w:noProof/>
        </w:rPr>
        <w:br w:type="page"/>
      </w:r>
    </w:p>
    <w:p>
      <w:pPr>
        <w:pStyle w:val="ManualHeading1"/>
        <w:rPr>
          <w:noProof/>
        </w:rPr>
      </w:pPr>
      <w:r>
        <w:rPr>
          <w:noProof/>
        </w:rPr>
        <w:t>2.</w:t>
      </w:r>
      <w:r>
        <w:rPr>
          <w:noProof/>
        </w:rPr>
        <w:tab/>
        <w:t>Euroopan sääntelyviranomaisten vahva yhteistyö</w:t>
      </w:r>
    </w:p>
    <w:p>
      <w:pPr>
        <w:jc w:val="both"/>
        <w:rPr>
          <w:rFonts w:ascii="Times New Roman" w:hAnsi="Times New Roman" w:cs="Times New Roman"/>
          <w:noProof/>
          <w:sz w:val="24"/>
          <w:szCs w:val="24"/>
        </w:rPr>
      </w:pPr>
      <w:r>
        <w:rPr>
          <w:rFonts w:ascii="Times New Roman" w:hAnsi="Times New Roman"/>
          <w:noProof/>
          <w:sz w:val="24"/>
        </w:rPr>
        <w:t>Uuden lääketurvatoimintalainsäädännön keskeinen tavoite on varmistaa, että sääntelyviranomaiset pystyvät vastaamaan uusiin tai kiireellisiin terveysongelmiin oikea-aikaisesti ja tehokkaasti. Sitä varten lääkealan sääntelyviranomaiset Euroopan talousalueen (ETA) 31 maassa, EMA ja Euroopan komissio tekevät läheistä yhteistyötä kumppaneina verkostossa, jossa keskustellaan uusista ongelmista ja ratkaistaan ne nopeasti, jotta potilaat voivat saada turvallisia ja tehokkaita lääkkeitä.</w:t>
      </w:r>
      <w:r>
        <w:rPr>
          <w:rStyle w:val="FootnoteReference"/>
          <w:rFonts w:ascii="Times New Roman" w:hAnsi="Times New Roman"/>
          <w:noProof/>
          <w:sz w:val="24"/>
        </w:rPr>
        <w:footnoteReference w:id="6"/>
      </w:r>
      <w:r>
        <w:rPr>
          <w:rFonts w:ascii="Times New Roman" w:hAnsi="Times New Roman"/>
          <w:noProof/>
          <w:sz w:val="24"/>
        </w:rPr>
        <w:t xml:space="preserve"> Valmiutta toteuttaa nopeita ja vaikuttavia sääntelytoimia tehostettiin lainsäädännössä perustamalla lääketurvallisuuden riskinarviointikomitea, lujittamalla tunnustamis- ja hajautetun menettelyn koordinointiryhmää (ihmislääkevalmisteet) sekä ottamalla käyttöön uusia nopeutettuja päätöksentekomenettelyjä, jos kansanterveys vaarantuu.</w:t>
      </w:r>
    </w:p>
    <w:p>
      <w:pPr>
        <w:pStyle w:val="ManualHeading2"/>
        <w:rPr>
          <w:noProof/>
        </w:rPr>
      </w:pPr>
      <w:r>
        <w:rPr>
          <w:noProof/>
        </w:rPr>
        <w:t>2.1</w:t>
      </w:r>
      <w:r>
        <w:rPr>
          <w:noProof/>
        </w:rPr>
        <w:tab/>
        <w:t>Jäsenvaltioiden tehtävät</w:t>
      </w:r>
    </w:p>
    <w:p>
      <w:pPr>
        <w:jc w:val="both"/>
        <w:rPr>
          <w:rFonts w:ascii="Times New Roman" w:hAnsi="Times New Roman" w:cs="Times New Roman"/>
          <w:noProof/>
          <w:sz w:val="24"/>
          <w:szCs w:val="24"/>
        </w:rPr>
      </w:pPr>
      <w:r>
        <w:rPr>
          <w:rFonts w:ascii="Times New Roman" w:hAnsi="Times New Roman"/>
          <w:noProof/>
          <w:sz w:val="24"/>
        </w:rPr>
        <w:t>ETAn yksittäiset jäsenvaltiot muodostavat koko lääketurvajärjestelmän kantavan voiman. Jäsenvaltiot tarjoavat suuren osan resursseista ja tietämyksestä, joita tarvitaan, kun arvioidaan signaaleja mahdollisista uusista sivuvaikutuksista, ja ne toimivat johtavassa asemassa tietojen arvioinnissa ja analysoinnissa, kun turvallisuusongelmia arvioidaan Euroopan tasolla. Ne pitävät yllä tarkastuslaitoksia, joissa varmistetaan, että EU:n markkinoilla olevat lääkkeet valmistetaan asianmukaisesti ja ovat laadukkaita ja että teollisuuden lääketurvajärjestelmät toimivat odotetulla tavalla.</w:t>
      </w:r>
    </w:p>
    <w:p>
      <w:pPr>
        <w:jc w:val="both"/>
        <w:rPr>
          <w:rFonts w:ascii="Times New Roman" w:hAnsi="Times New Roman" w:cs="Times New Roman"/>
          <w:noProof/>
          <w:sz w:val="24"/>
          <w:szCs w:val="24"/>
        </w:rPr>
      </w:pPr>
      <w:r>
        <w:rPr>
          <w:rFonts w:ascii="Times New Roman" w:hAnsi="Times New Roman"/>
          <w:noProof/>
          <w:sz w:val="24"/>
        </w:rPr>
        <w:t>Silloin, kun ei ole kyse keskitetyn menettelyn mukaisesti luvan saaneista lääkkeistä, toimivalta johtaa päätöksentekoa annetaan lainsäädännössä ETAn kansallisia sääntelyviranomaisia edustavalle elimelle, ihmislääkevalmisteista vastaavalle tunnustamis- ja hajautetun menettelyn koordinointiryhmälle</w:t>
      </w:r>
      <w:r>
        <w:rPr>
          <w:rStyle w:val="FootnoteReference"/>
          <w:rFonts w:ascii="Times New Roman" w:hAnsi="Times New Roman"/>
          <w:noProof/>
          <w:sz w:val="24"/>
        </w:rPr>
        <w:footnoteReference w:id="7"/>
      </w:r>
      <w:r>
        <w:rPr>
          <w:rFonts w:ascii="Times New Roman" w:hAnsi="Times New Roman"/>
          <w:noProof/>
          <w:sz w:val="24"/>
        </w:rPr>
        <w:t xml:space="preserve">. </w:t>
      </w:r>
    </w:p>
    <w:p>
      <w:pPr>
        <w:pStyle w:val="ManualHeading2"/>
        <w:rPr>
          <w:noProof/>
        </w:rPr>
      </w:pPr>
      <w:r>
        <w:rPr>
          <w:noProof/>
        </w:rPr>
        <w:t>2.2</w:t>
      </w:r>
      <w:r>
        <w:rPr>
          <w:noProof/>
        </w:rPr>
        <w:tab/>
        <w:t>Euroopan lääkeviraston tehtävät</w:t>
      </w:r>
    </w:p>
    <w:p>
      <w:pPr>
        <w:jc w:val="both"/>
        <w:rPr>
          <w:rFonts w:ascii="Times New Roman" w:hAnsi="Times New Roman" w:cs="Times New Roman"/>
          <w:noProof/>
          <w:sz w:val="24"/>
          <w:szCs w:val="24"/>
        </w:rPr>
      </w:pPr>
      <w:r>
        <w:rPr>
          <w:rFonts w:ascii="Times New Roman" w:hAnsi="Times New Roman"/>
          <w:noProof/>
          <w:sz w:val="24"/>
        </w:rPr>
        <w:t xml:space="preserve">Euroopan lääkevirastolla on EU:n järjestelmässä keskeinen tehtävä. Se koordinoi järjestelmän toimintaa ja antaa teknistä, sääntelyyn liittyvää ja tieteellistä tukea jäsenvaltioille ja teollisuudelle. </w:t>
      </w:r>
    </w:p>
    <w:p>
      <w:pPr>
        <w:jc w:val="both"/>
        <w:rPr>
          <w:rFonts w:ascii="Times New Roman" w:hAnsi="Times New Roman" w:cs="Times New Roman"/>
          <w:noProof/>
          <w:sz w:val="24"/>
          <w:szCs w:val="24"/>
        </w:rPr>
      </w:pPr>
      <w:r>
        <w:rPr>
          <w:rFonts w:ascii="Times New Roman" w:hAnsi="Times New Roman"/>
          <w:noProof/>
          <w:sz w:val="24"/>
        </w:rPr>
        <w:t xml:space="preserve">Uusi tieteellinen komitea, lääketurvallisuuden riskinarviointikomitea, perustettiin heinäkuussa 2012. Komitean toimeksianto käsittää kaikki ihmisille tarkoitettujen lääkkeiden riskinhallinnan näkökohdat. Komitean jäseniin kuuluu lääketurvatoiminnan ja sääntelyn asiantuntijoita EU:n jäsenvaltioista sekä Euroopan komission nimittämiä tieteellisiä asiantuntijoita ja terveydenhuollon ammattihenkilöiden ja potilasjärjestöjen edustajia. Liitteessä olevassa kaaviossa 1 esitetään riskinarviointikomitean esityslistalla heinäkuun 2012 ja joulukuun 2014 välisenä aikana olleiden tärkeiden lääketurva-asioiden suhteelliset osuudet. </w:t>
      </w:r>
    </w:p>
    <w:p>
      <w:pPr>
        <w:pStyle w:val="ManualHeading2"/>
        <w:rPr>
          <w:noProof/>
        </w:rPr>
      </w:pPr>
      <w:r>
        <w:rPr>
          <w:noProof/>
        </w:rPr>
        <w:t>2.3</w:t>
      </w:r>
      <w:r>
        <w:rPr>
          <w:noProof/>
        </w:rPr>
        <w:tab/>
        <w:t>Komission tehtävät</w:t>
      </w:r>
    </w:p>
    <w:p>
      <w:pPr>
        <w:jc w:val="both"/>
        <w:rPr>
          <w:rFonts w:ascii="Times New Roman" w:hAnsi="Times New Roman" w:cs="Times New Roman"/>
          <w:noProof/>
          <w:sz w:val="24"/>
          <w:szCs w:val="24"/>
        </w:rPr>
      </w:pPr>
      <w:r>
        <w:rPr>
          <w:rFonts w:ascii="Times New Roman" w:hAnsi="Times New Roman"/>
          <w:noProof/>
          <w:sz w:val="24"/>
        </w:rPr>
        <w:t>Euroopan komissio on keskitetyn lupamenettelyn piirissä olevia lääkkeitä käsittelevä toimivaltainen viranomainen ja EU:n lääketurvajärjestelmää tukeva oikeudellinen viranomainen.</w:t>
      </w:r>
    </w:p>
    <w:p>
      <w:pPr>
        <w:pStyle w:val="ManualHeading1"/>
        <w:rPr>
          <w:noProof/>
        </w:rPr>
      </w:pPr>
      <w:r>
        <w:rPr>
          <w:noProof/>
        </w:rPr>
        <w:t>3.</w:t>
      </w:r>
      <w:r>
        <w:rPr>
          <w:noProof/>
        </w:rPr>
        <w:tab/>
        <w:t>Tärkeimmät lääketurvatoimintaan liittyvät tehtävät ja toiminnat</w:t>
      </w:r>
    </w:p>
    <w:p>
      <w:pPr>
        <w:jc w:val="both"/>
        <w:rPr>
          <w:rFonts w:ascii="Times New Roman" w:hAnsi="Times New Roman" w:cs="Times New Roman"/>
          <w:noProof/>
          <w:sz w:val="24"/>
          <w:szCs w:val="24"/>
        </w:rPr>
      </w:pPr>
      <w:r>
        <w:rPr>
          <w:rFonts w:ascii="Times New Roman" w:hAnsi="Times New Roman"/>
          <w:noProof/>
          <w:sz w:val="24"/>
        </w:rPr>
        <w:t>Koko lääketurvaprosessi on erittäin hyvin koordinoitu koko sääntelyverkostossa, lääketeollisuudessa ja terveydenhoitojärjestelmissä alkaen järjestelmistä, joilla seurataan ja havaitaan mahdollisia haittavaikutuksia, aina sääntelytoimintaan riskien lievittämiseksi. Järjestelmään syötetään paljon tietoa, ja sitä saadaan myös EU:n ulkopuolisilta sääntelyviranomaisilta, yliopistomaailmalta, terveydenhuollon ammattihenkilöstöltä ja potilailta.</w:t>
      </w:r>
    </w:p>
    <w:p>
      <w:pPr>
        <w:jc w:val="both"/>
        <w:rPr>
          <w:rFonts w:ascii="Times New Roman" w:hAnsi="Times New Roman" w:cs="Times New Roman"/>
          <w:noProof/>
          <w:sz w:val="24"/>
          <w:szCs w:val="24"/>
        </w:rPr>
      </w:pPr>
      <w:r>
        <w:rPr>
          <w:rFonts w:ascii="Times New Roman" w:hAnsi="Times New Roman"/>
          <w:noProof/>
          <w:sz w:val="24"/>
        </w:rPr>
        <w:t>Lääketurvaprosessi voidaan jakaa seuraaviin keskeisiin tehtäviin:</w:t>
      </w:r>
    </w:p>
    <w:p>
      <w:pPr>
        <w:numPr>
          <w:ilvl w:val="0"/>
          <w:numId w:val="1"/>
        </w:numPr>
        <w:jc w:val="both"/>
        <w:rPr>
          <w:rFonts w:ascii="Times New Roman" w:hAnsi="Times New Roman" w:cs="Times New Roman"/>
          <w:noProof/>
          <w:sz w:val="24"/>
          <w:szCs w:val="24"/>
        </w:rPr>
      </w:pPr>
      <w:r>
        <w:rPr>
          <w:rFonts w:ascii="Times New Roman" w:hAnsi="Times New Roman"/>
          <w:b/>
          <w:noProof/>
          <w:sz w:val="24"/>
        </w:rPr>
        <w:t xml:space="preserve">Riskinhallinnan suunnittelu </w:t>
      </w:r>
      <w:r>
        <w:rPr>
          <w:rFonts w:ascii="Times New Roman" w:hAnsi="Times New Roman"/>
          <w:noProof/>
          <w:sz w:val="24"/>
        </w:rPr>
        <w:t>– jokaisen uuden lääkkeen riskit arvioidaan, ja kyseisten riskien minimoimiseksi ja tietojen keräämiseksi laaditaan suunnitelma. Lääketurvallisuuden riskinarviointikomitea tarkasteli 48:aa riskinhallintasuunnitelmaa heinä–joulukuussa 2012, 637:ää vuonna 2013 ja 597:ää suunnitelmaa vuonna 2014. Jäsenvaltiot ottivat vastaan kansallisen lupamenettelyn piirissä olevia lääkkeitä koskevat riskinhallintasuunnitelmat. Niitä oli yhteensä noin 3 500 vuonna 2012, 7 500 vuonna 2013 ja 9 000 vuonna 2014.</w:t>
      </w:r>
    </w:p>
    <w:p>
      <w:pPr>
        <w:numPr>
          <w:ilvl w:val="0"/>
          <w:numId w:val="1"/>
        </w:numPr>
        <w:jc w:val="both"/>
        <w:rPr>
          <w:rFonts w:ascii="Times New Roman" w:hAnsi="Times New Roman" w:cs="Times New Roman"/>
          <w:noProof/>
          <w:sz w:val="24"/>
          <w:szCs w:val="24"/>
        </w:rPr>
      </w:pPr>
      <w:r>
        <w:rPr>
          <w:rFonts w:ascii="Times New Roman" w:hAnsi="Times New Roman"/>
          <w:noProof/>
          <w:sz w:val="24"/>
        </w:rPr>
        <w:t xml:space="preserve">Mahdollisia sivuvaikutuksia eli </w:t>
      </w:r>
      <w:r>
        <w:rPr>
          <w:rFonts w:ascii="Times New Roman" w:hAnsi="Times New Roman"/>
          <w:b/>
          <w:noProof/>
          <w:sz w:val="24"/>
        </w:rPr>
        <w:t>lääkkeiden haittavaikutuksia</w:t>
      </w:r>
      <w:r>
        <w:rPr>
          <w:rFonts w:ascii="Times New Roman" w:hAnsi="Times New Roman"/>
          <w:noProof/>
          <w:sz w:val="24"/>
        </w:rPr>
        <w:t xml:space="preserve"> koskevien tapauskertomusten kerääminen ja hallinnointi. Liitteessä olevassa kaaviossa 2 esitetään vakavia epätoivottuja vaikutuksia koskevien tapauskertomusten määrä vuosina 2011–2014.</w:t>
      </w:r>
    </w:p>
    <w:p>
      <w:pPr>
        <w:numPr>
          <w:ilvl w:val="0"/>
          <w:numId w:val="1"/>
        </w:numPr>
        <w:jc w:val="both"/>
        <w:rPr>
          <w:rFonts w:ascii="Times New Roman" w:hAnsi="Times New Roman" w:cs="Times New Roman"/>
          <w:noProof/>
          <w:sz w:val="24"/>
          <w:szCs w:val="24"/>
        </w:rPr>
      </w:pPr>
      <w:r>
        <w:rPr>
          <w:rFonts w:ascii="Times New Roman" w:hAnsi="Times New Roman"/>
          <w:b/>
          <w:noProof/>
          <w:sz w:val="24"/>
        </w:rPr>
        <w:t>Tietojen havaitseminen ja hallinta</w:t>
      </w:r>
      <w:r>
        <w:rPr>
          <w:rFonts w:ascii="Times New Roman" w:hAnsi="Times New Roman"/>
          <w:noProof/>
          <w:sz w:val="24"/>
        </w:rPr>
        <w:t xml:space="preserve"> – epäilyttäviä sivuvaikutuksia koskevien raporttien analysointi signaalien tunnistamiseksi. Lääketurvallisuuden riskinarviointikomitea on arvioinut syyskuun 2012 ja joulukuun 2014 välisenä aikana yhteensä 193 yksilöllistä signaalia. Liitteessä olevassa kaaviossa 3 esitetään niiden keskustelujen lukumäärä, joita riskinarviointikomiteassa on käyty joko uusista signaaleista tai niiden seurannasta, ja kaaviossa 4 esitetään yleiskatsaus signaalien arviointia seuranneisiin sääntelytoimiin.</w:t>
      </w:r>
    </w:p>
    <w:p>
      <w:pPr>
        <w:numPr>
          <w:ilvl w:val="0"/>
          <w:numId w:val="1"/>
        </w:numPr>
        <w:jc w:val="both"/>
        <w:rPr>
          <w:rFonts w:ascii="Times New Roman" w:hAnsi="Times New Roman" w:cs="Times New Roman"/>
          <w:noProof/>
          <w:sz w:val="24"/>
          <w:szCs w:val="24"/>
        </w:rPr>
      </w:pPr>
      <w:r>
        <w:rPr>
          <w:rFonts w:ascii="Times New Roman" w:hAnsi="Times New Roman"/>
          <w:noProof/>
          <w:sz w:val="24"/>
        </w:rPr>
        <w:t xml:space="preserve">Lääkkeiden rutiinimainen riski-hyötysuhteen seuranta </w:t>
      </w:r>
      <w:r>
        <w:rPr>
          <w:rFonts w:ascii="Times New Roman" w:hAnsi="Times New Roman"/>
          <w:b/>
          <w:noProof/>
          <w:sz w:val="24"/>
        </w:rPr>
        <w:t>määräaikaisten turvallisuuskatsausten</w:t>
      </w:r>
      <w:r>
        <w:rPr>
          <w:rFonts w:ascii="Times New Roman" w:hAnsi="Times New Roman"/>
          <w:noProof/>
          <w:sz w:val="24"/>
        </w:rPr>
        <w:t xml:space="preserve"> avulla ja niiden antamista koskevan aikataulun (EURD-luettelon) ylläpitäminen. Riskinarviointikomitean tarkastelemien määräaikaisten turvallisuuskatsausten lukumäärä oli 20 heinä–joulukuussa 2012, 436 vuonna 2013 ja 471 vuonna 2014. Liitteessä olevassa kaaviossa 5 esitetään yleiskatsaus määräaikaisten turvallisuuskatsausten arvioinnin jälkeisiin sääntelytoimiin. Lisäksi kansallisille toimivaltaisille viranomaisille toimitettiin puhtaasti kansallista arviointia varten noin 5 000 määräaikaista turvallisuuskatsausta vuonna 2012, 3 500 vuonna 2013 ja 3 000 vuonna 2014, ja työnjakomenettelyssä käsiteltiin samoina ajanjaksoina 62, 151 ja 116 määräaikaista turvallisuuskatsausta.</w:t>
      </w:r>
    </w:p>
    <w:p>
      <w:pPr>
        <w:numPr>
          <w:ilvl w:val="0"/>
          <w:numId w:val="1"/>
        </w:numPr>
        <w:jc w:val="both"/>
        <w:rPr>
          <w:rFonts w:ascii="Times New Roman" w:hAnsi="Times New Roman" w:cs="Times New Roman"/>
          <w:noProof/>
          <w:sz w:val="24"/>
          <w:szCs w:val="24"/>
        </w:rPr>
      </w:pPr>
      <w:r>
        <w:rPr>
          <w:rFonts w:ascii="Times New Roman" w:hAnsi="Times New Roman"/>
          <w:b/>
          <w:noProof/>
          <w:sz w:val="24"/>
        </w:rPr>
        <w:t>Lausuntopyynnöt</w:t>
      </w:r>
      <w:r>
        <w:rPr>
          <w:noProof/>
        </w:rPr>
        <w:t xml:space="preserve"> </w:t>
      </w:r>
      <w:r>
        <w:rPr>
          <w:rFonts w:ascii="Times New Roman" w:hAnsi="Times New Roman"/>
          <w:noProof/>
          <w:sz w:val="24"/>
        </w:rPr>
        <w:t>– merkittävien turvallisuutta ja riski-hyötysuhdetta koskevien ongelmakohtien Euroopan laajuinen tarkastelu. Lääketurvallisuuden riskinarviointikomitealta pyydettiin heinäkuun 2012 ja joulukuun 2014 välisenä aikana 31 turvallisuuslausuntoa. Yhdeksän lausuntopyyntöä koski keskitetyn lupamenettelyn piirissä olevia lääkkeitä, ja lopuissa käsiteltiin yksinomaan kansallisessa lupamenettelyssä olevia lääkkeitä. (Ks. liitteessä oleva kaavio 6.) Lisäksi joistakin kansallisen tason turvallisuusepäilyistä keskusteltiin tunnustamis- ja hajautetun menettelyn koordinointiryhmässä (ihmislääkevalmisteet), jotta voitiin ratkaista, tarvitaanko arviointia EU:n tasolla. Keskustelut eivät lopulta johtaneet lausuntopyyntöön. Tällaisia koordinointiryhmän keskusteluja käytiin kaksi vuonna 2013 ja kuusi vuonna 2014.</w:t>
      </w:r>
    </w:p>
    <w:p>
      <w:pPr>
        <w:numPr>
          <w:ilvl w:val="0"/>
          <w:numId w:val="1"/>
        </w:numPr>
        <w:jc w:val="both"/>
        <w:rPr>
          <w:rFonts w:ascii="Times New Roman" w:hAnsi="Times New Roman" w:cs="Times New Roman"/>
          <w:noProof/>
          <w:sz w:val="24"/>
          <w:szCs w:val="24"/>
        </w:rPr>
      </w:pPr>
      <w:r>
        <w:rPr>
          <w:rFonts w:ascii="Times New Roman" w:hAnsi="Times New Roman"/>
          <w:b/>
          <w:noProof/>
          <w:sz w:val="24"/>
        </w:rPr>
        <w:t>Lisäseurannan</w:t>
      </w:r>
      <w:r>
        <w:rPr>
          <w:rFonts w:ascii="Times New Roman" w:hAnsi="Times New Roman"/>
          <w:noProof/>
          <w:sz w:val="24"/>
        </w:rPr>
        <w:t xml:space="preserve"> alaisia tuotteita ja tuotteita, joiden </w:t>
      </w:r>
      <w:r>
        <w:rPr>
          <w:rFonts w:ascii="Times New Roman" w:hAnsi="Times New Roman"/>
          <w:b/>
          <w:noProof/>
          <w:sz w:val="24"/>
        </w:rPr>
        <w:t>myyntilupa on peruutettu</w:t>
      </w:r>
      <w:r>
        <w:rPr>
          <w:rFonts w:ascii="Times New Roman" w:hAnsi="Times New Roman"/>
          <w:noProof/>
          <w:sz w:val="24"/>
        </w:rPr>
        <w:t>, koskevien tietojen hallinta. Vuoden 2014 lopulla lisäseurannan alaisten lääkkeiden luetteloon kuului 193 keskitetyn lupamenettelyn piirissä olevaa lääkettä ja kahdeksan ainetta 1 269:ssä kansallisen luvan saaneessa tuotteessa. Euroopan lääkevirasto sai 132 myyntiluvan peruuttamista koskevaa ilmoitusta vuonna 2014.</w:t>
      </w:r>
    </w:p>
    <w:p>
      <w:pPr>
        <w:numPr>
          <w:ilvl w:val="0"/>
          <w:numId w:val="1"/>
        </w:numPr>
        <w:jc w:val="both"/>
        <w:rPr>
          <w:rFonts w:ascii="Times New Roman" w:hAnsi="Times New Roman" w:cs="Times New Roman"/>
          <w:noProof/>
          <w:sz w:val="24"/>
          <w:szCs w:val="24"/>
        </w:rPr>
      </w:pPr>
      <w:r>
        <w:rPr>
          <w:rFonts w:ascii="Times New Roman" w:hAnsi="Times New Roman"/>
          <w:noProof/>
          <w:sz w:val="24"/>
        </w:rPr>
        <w:t xml:space="preserve">Tutkimusten arviointi ja koordinointi tuotteen myyntiluvan myöntämisen jälkeen käyttämällä </w:t>
      </w:r>
      <w:r>
        <w:rPr>
          <w:rFonts w:ascii="Times New Roman" w:hAnsi="Times New Roman"/>
          <w:b/>
          <w:noProof/>
          <w:sz w:val="24"/>
        </w:rPr>
        <w:t>myyntiluvan myöntämisen jälkeisiä turvallisuus- ja tehokkuustutkimuksia</w:t>
      </w:r>
      <w:r>
        <w:rPr>
          <w:rFonts w:ascii="Times New Roman" w:hAnsi="Times New Roman"/>
          <w:noProof/>
          <w:sz w:val="24"/>
        </w:rPr>
        <w:t>. Lääketurvallisuuden riskinarviointikomitea käsitteli heinäkuun 2012 ja joulukuun 2014 välisenä aikana määrättyjä myyntiluvan myöntämisen jälkeisiä turvallisuustutkimuksia, jotka eivät olleet interventiotutkimuksia. Käsiteltäviä tutkimusraportteja oli yhteensä 38. Lisäksi jäsenvaltiot arvioivat 17 edellä tarkoitettua raporttia, jotka koskivat kansallisen lupamenettelyn piirissä olevia lääkkeitä.</w:t>
      </w:r>
    </w:p>
    <w:p>
      <w:pPr>
        <w:numPr>
          <w:ilvl w:val="0"/>
          <w:numId w:val="1"/>
        </w:numPr>
        <w:jc w:val="both"/>
        <w:rPr>
          <w:rFonts w:ascii="Times New Roman" w:hAnsi="Times New Roman" w:cs="Times New Roman"/>
          <w:noProof/>
          <w:sz w:val="24"/>
          <w:szCs w:val="24"/>
        </w:rPr>
      </w:pPr>
      <w:r>
        <w:rPr>
          <w:rFonts w:ascii="Times New Roman" w:hAnsi="Times New Roman"/>
          <w:b/>
          <w:noProof/>
          <w:sz w:val="24"/>
        </w:rPr>
        <w:t>Tarkastukset</w:t>
      </w:r>
      <w:r>
        <w:rPr>
          <w:rFonts w:ascii="Times New Roman" w:hAnsi="Times New Roman"/>
          <w:noProof/>
          <w:sz w:val="24"/>
        </w:rPr>
        <w:t xml:space="preserve"> sen varmistamiseksi, että yhtiöiden lääketurvajärjestelmissä noudatetaan hyvää lääketurvatapaa. Tarkastuksia tehtiin 207 vuonna 2012, 195 vuonna 2013 ja 167 vuonna 2014, ja tarkastuksista 26 (2012), 37 (2013) ja 48 (2014) koski keskitetyn lupamenettelyn piirissä olevia lääkkeitä.</w:t>
      </w:r>
    </w:p>
    <w:p>
      <w:pPr>
        <w:numPr>
          <w:ilvl w:val="0"/>
          <w:numId w:val="1"/>
        </w:numPr>
        <w:jc w:val="both"/>
        <w:rPr>
          <w:rFonts w:ascii="Times New Roman" w:hAnsi="Times New Roman" w:cs="Times New Roman"/>
          <w:noProof/>
          <w:sz w:val="24"/>
          <w:szCs w:val="24"/>
        </w:rPr>
      </w:pPr>
      <w:r>
        <w:rPr>
          <w:rFonts w:ascii="Times New Roman" w:hAnsi="Times New Roman"/>
          <w:b/>
          <w:noProof/>
          <w:sz w:val="24"/>
        </w:rPr>
        <w:t>Tiedottaminen turvallisuuteen liittyvistä ongelmakohdista</w:t>
      </w:r>
      <w:r>
        <w:rPr>
          <w:rFonts w:ascii="Times New Roman" w:hAnsi="Times New Roman"/>
          <w:noProof/>
          <w:sz w:val="24"/>
        </w:rPr>
        <w:t xml:space="preserve"> sekä vuorovaikutus ja yhteistyö asiaankuuluvien sidosryhmien kanssa. Lääketurvallisuuden riskinarviointiryhmän kokousten esityslistat, pääkohdat ja pöytäkirjat julkaistaan, samoin kuin julkiset lääketurvatiedotteet merkittävistä kysymyksistä. Lääketurvatiedotteita julkaistiin 14 vuoden 2012 loppupuoliskolla, 78 vuonna 2013 ja 57 vuonna 2014.</w:t>
      </w:r>
    </w:p>
    <w:p>
      <w:pPr>
        <w:numPr>
          <w:ilvl w:val="0"/>
          <w:numId w:val="1"/>
        </w:numPr>
        <w:jc w:val="both"/>
        <w:rPr>
          <w:rFonts w:ascii="Times New Roman" w:hAnsi="Times New Roman" w:cs="Times New Roman"/>
          <w:noProof/>
          <w:sz w:val="24"/>
          <w:szCs w:val="24"/>
        </w:rPr>
      </w:pPr>
      <w:r>
        <w:rPr>
          <w:rFonts w:ascii="Times New Roman" w:hAnsi="Times New Roman"/>
          <w:b/>
          <w:noProof/>
          <w:sz w:val="24"/>
        </w:rPr>
        <w:t>Järjestelmien kehittäminen ja ohjeiden laatiminen</w:t>
      </w:r>
      <w:r>
        <w:rPr>
          <w:rFonts w:ascii="Times New Roman" w:hAnsi="Times New Roman"/>
          <w:noProof/>
          <w:sz w:val="24"/>
        </w:rPr>
        <w:t xml:space="preserve"> sekä tutkimuksen edistäminen tietämyksessä olevien aukkojen paikkaamiseksi.</w:t>
      </w:r>
    </w:p>
    <w:p>
      <w:pPr>
        <w:numPr>
          <w:ilvl w:val="0"/>
          <w:numId w:val="1"/>
        </w:numPr>
        <w:jc w:val="both"/>
        <w:rPr>
          <w:rFonts w:ascii="Times New Roman" w:hAnsi="Times New Roman" w:cs="Times New Roman"/>
          <w:noProof/>
          <w:sz w:val="24"/>
          <w:szCs w:val="24"/>
        </w:rPr>
      </w:pPr>
      <w:r>
        <w:rPr>
          <w:rFonts w:ascii="Times New Roman" w:hAnsi="Times New Roman"/>
          <w:b/>
          <w:noProof/>
          <w:sz w:val="24"/>
        </w:rPr>
        <w:t>Järjestelmän toiminnan</w:t>
      </w:r>
      <w:r>
        <w:rPr>
          <w:rFonts w:ascii="Times New Roman" w:hAnsi="Times New Roman"/>
          <w:noProof/>
          <w:sz w:val="24"/>
        </w:rPr>
        <w:t xml:space="preserve"> sekä laillisten velvoitteiden ja normien noudattamisen </w:t>
      </w:r>
      <w:r>
        <w:rPr>
          <w:rFonts w:ascii="Times New Roman" w:hAnsi="Times New Roman"/>
          <w:b/>
          <w:noProof/>
          <w:sz w:val="24"/>
        </w:rPr>
        <w:t>seuranta</w:t>
      </w:r>
      <w:r>
        <w:rPr>
          <w:rFonts w:ascii="Times New Roman" w:hAnsi="Times New Roman"/>
          <w:noProof/>
          <w:sz w:val="24"/>
        </w:rPr>
        <w:t>.</w:t>
      </w:r>
    </w:p>
    <w:p>
      <w:pPr>
        <w:numPr>
          <w:ilvl w:val="0"/>
          <w:numId w:val="1"/>
        </w:numPr>
        <w:jc w:val="both"/>
        <w:rPr>
          <w:rFonts w:ascii="Times New Roman" w:hAnsi="Times New Roman" w:cs="Times New Roman"/>
          <w:noProof/>
          <w:sz w:val="24"/>
          <w:szCs w:val="24"/>
        </w:rPr>
      </w:pPr>
      <w:r>
        <w:rPr>
          <w:rFonts w:ascii="Times New Roman" w:hAnsi="Times New Roman"/>
          <w:b/>
          <w:noProof/>
          <w:sz w:val="24"/>
        </w:rPr>
        <w:t>Koulutus ja valmiuksien kehittäminen.</w:t>
      </w:r>
    </w:p>
    <w:p>
      <w:pPr>
        <w:pStyle w:val="ManualHeading1"/>
        <w:rPr>
          <w:noProof/>
        </w:rPr>
      </w:pPr>
      <w:r>
        <w:rPr>
          <w:noProof/>
        </w:rPr>
        <w:t>4.</w:t>
      </w:r>
      <w:r>
        <w:rPr>
          <w:noProof/>
        </w:rPr>
        <w:tab/>
        <w:t>Järjestelmien ja palvelujen kehittäminen</w:t>
      </w:r>
    </w:p>
    <w:p>
      <w:pPr>
        <w:jc w:val="both"/>
        <w:rPr>
          <w:rFonts w:ascii="Times New Roman" w:hAnsi="Times New Roman" w:cs="Times New Roman"/>
          <w:noProof/>
          <w:sz w:val="24"/>
          <w:szCs w:val="24"/>
        </w:rPr>
      </w:pPr>
      <w:r>
        <w:rPr>
          <w:rFonts w:ascii="Times New Roman" w:hAnsi="Times New Roman"/>
          <w:noProof/>
          <w:sz w:val="24"/>
        </w:rPr>
        <w:t>Euroopan lääkeviraston tehtäviin kuuluu myös joidenkin sellaisten järjestelmien ja palvelujen tarjoaminen, joita lääketurvaverkosto tarvitsee toimiakseen. Uudessa lainsäädännössä on edellytetty joidenkin uusien järjestelmien ja palvelujen kehittämistä ja toisten tehostamista tai yksinkertaistamista. Jäsenvaltiot ja keskeiset sidosryhmät, lääketeollisuus mukaan luettuna, ovat merkittävällä tavalla vaikuttaneet näiden järjestelmien suunnitteluun ja kehittämiseen. Työhön on sisältynyt seuraavien järjestelmien ja palvelujen kehittäminen:</w:t>
      </w:r>
    </w:p>
    <w:p>
      <w:pPr>
        <w:numPr>
          <w:ilvl w:val="0"/>
          <w:numId w:val="2"/>
        </w:numPr>
        <w:jc w:val="both"/>
        <w:rPr>
          <w:rFonts w:ascii="Times New Roman" w:hAnsi="Times New Roman" w:cs="Times New Roman"/>
          <w:noProof/>
          <w:sz w:val="24"/>
          <w:szCs w:val="24"/>
        </w:rPr>
      </w:pPr>
      <w:r>
        <w:rPr>
          <w:rFonts w:ascii="Times New Roman" w:hAnsi="Times New Roman"/>
          <w:noProof/>
          <w:sz w:val="24"/>
        </w:rPr>
        <w:t xml:space="preserve">Kaikki EU:ssa (sekä keskitetyssä että kansallisessa menettelyssä) myyntiluvan saaneet lääkkeet on sisällytetty </w:t>
      </w:r>
      <w:r>
        <w:rPr>
          <w:rFonts w:ascii="Times New Roman" w:hAnsi="Times New Roman"/>
          <w:b/>
          <w:noProof/>
          <w:sz w:val="24"/>
        </w:rPr>
        <w:t>57 artiklan mukaiseen tietokantaan</w:t>
      </w:r>
      <w:r>
        <w:rPr>
          <w:rStyle w:val="FootnoteReference"/>
          <w:rFonts w:ascii="Times New Roman" w:hAnsi="Times New Roman"/>
          <w:noProof/>
          <w:sz w:val="24"/>
        </w:rPr>
        <w:footnoteReference w:id="8"/>
      </w:r>
      <w:r>
        <w:rPr>
          <w:rFonts w:ascii="Times New Roman" w:hAnsi="Times New Roman"/>
          <w:noProof/>
          <w:sz w:val="24"/>
        </w:rPr>
        <w:t>, jossa on tiedot yli 580 000 lääkkeestä lähes 4 300:lta myyntiluvan haltijalta.</w:t>
      </w:r>
    </w:p>
    <w:p>
      <w:pPr>
        <w:numPr>
          <w:ilvl w:val="0"/>
          <w:numId w:val="2"/>
        </w:numPr>
        <w:jc w:val="both"/>
        <w:rPr>
          <w:rFonts w:ascii="Times New Roman" w:hAnsi="Times New Roman" w:cs="Times New Roman"/>
          <w:noProof/>
          <w:sz w:val="24"/>
          <w:szCs w:val="24"/>
        </w:rPr>
      </w:pPr>
      <w:r>
        <w:rPr>
          <w:rFonts w:ascii="Times New Roman" w:hAnsi="Times New Roman"/>
          <w:b/>
          <w:noProof/>
          <w:sz w:val="24"/>
        </w:rPr>
        <w:t>Kirjallisuuden seurantapalvelu</w:t>
      </w:r>
      <w:r>
        <w:rPr>
          <w:rFonts w:ascii="Times New Roman" w:hAnsi="Times New Roman"/>
          <w:noProof/>
          <w:sz w:val="24"/>
        </w:rPr>
        <w:t xml:space="preserve"> – EMAn on seurattava lääketieteellistä kirjallisuusvalikoimaa ja etsittävä raportteja tiettyjen aktiivisten aineiden epäillyistä sivuvaikutuksista. Raportit tallennetaan Eudravigilance-tietokantaan yksittäistapausta koskevina turvallisuusraportteina. Palvelu aloitettiin kesäkuussa 2015.</w:t>
      </w:r>
    </w:p>
    <w:p>
      <w:pPr>
        <w:numPr>
          <w:ilvl w:val="0"/>
          <w:numId w:val="2"/>
        </w:numPr>
        <w:jc w:val="both"/>
        <w:rPr>
          <w:rFonts w:ascii="Times New Roman" w:hAnsi="Times New Roman" w:cs="Times New Roman"/>
          <w:noProof/>
          <w:sz w:val="24"/>
          <w:szCs w:val="24"/>
        </w:rPr>
      </w:pPr>
      <w:r>
        <w:rPr>
          <w:rFonts w:ascii="Times New Roman" w:hAnsi="Times New Roman"/>
          <w:b/>
          <w:noProof/>
          <w:sz w:val="24"/>
        </w:rPr>
        <w:t xml:space="preserve">Määräaikaisten turvallisuuskatsausten tietokanta </w:t>
      </w:r>
      <w:r>
        <w:rPr>
          <w:rFonts w:ascii="Times New Roman" w:hAnsi="Times New Roman"/>
          <w:noProof/>
          <w:sz w:val="24"/>
        </w:rPr>
        <w:t>on kehitetty ja saatu käyttöön raportointikauden aikana, ja sen toimivuus on onnistuneesti tarkastettu vuonna 2015.</w:t>
      </w:r>
    </w:p>
    <w:p>
      <w:pPr>
        <w:numPr>
          <w:ilvl w:val="0"/>
          <w:numId w:val="2"/>
        </w:numPr>
        <w:jc w:val="both"/>
        <w:rPr>
          <w:rFonts w:ascii="Times New Roman" w:hAnsi="Times New Roman" w:cs="Times New Roman"/>
          <w:noProof/>
          <w:sz w:val="24"/>
          <w:szCs w:val="24"/>
        </w:rPr>
      </w:pPr>
      <w:r>
        <w:rPr>
          <w:rFonts w:ascii="Times New Roman" w:hAnsi="Times New Roman"/>
          <w:noProof/>
          <w:sz w:val="24"/>
        </w:rPr>
        <w:t>Lainsäädännössä edellytetään</w:t>
      </w:r>
      <w:r>
        <w:rPr>
          <w:rFonts w:ascii="Times New Roman" w:hAnsi="Times New Roman"/>
          <w:b/>
          <w:noProof/>
          <w:sz w:val="24"/>
        </w:rPr>
        <w:t xml:space="preserve"> Eudravigilance-tietokannan</w:t>
      </w:r>
      <w:r>
        <w:rPr>
          <w:rFonts w:ascii="Times New Roman" w:hAnsi="Times New Roman"/>
          <w:noProof/>
          <w:sz w:val="24"/>
        </w:rPr>
        <w:t xml:space="preserve"> tehostamista siten, että siinä tuetaan yksinkertaistettua raportointia ja parannetaan haku-, analyysi- ja jäljitystoimintoja sekä tietojen laatua. Raportointikaudella on saatu aikaan kehitystä: muun muassa lääkkeiden haittavaikutuksista kertova verkkosivusto ja tukea signaalien havaitsemistoimintaan. Päivitetyn järjestelmän lopputarkastus lienee valmis vuoden 2018 alussa.</w:t>
      </w:r>
      <w:r>
        <w:rPr>
          <w:rStyle w:val="FootnoteReference"/>
          <w:rFonts w:ascii="Times New Roman" w:hAnsi="Times New Roman"/>
          <w:noProof/>
          <w:sz w:val="24"/>
        </w:rPr>
        <w:footnoteReference w:id="9"/>
      </w:r>
    </w:p>
    <w:p>
      <w:pPr>
        <w:pStyle w:val="ManualHeading1"/>
        <w:rPr>
          <w:noProof/>
        </w:rPr>
      </w:pPr>
      <w:r>
        <w:rPr>
          <w:noProof/>
        </w:rPr>
        <w:t>5.</w:t>
      </w:r>
      <w:r>
        <w:rPr>
          <w:noProof/>
        </w:rPr>
        <w:tab/>
        <w:t xml:space="preserve">Yhteistyö ja koordinointi </w:t>
      </w:r>
    </w:p>
    <w:p>
      <w:pPr>
        <w:jc w:val="both"/>
        <w:rPr>
          <w:rFonts w:ascii="Times New Roman" w:hAnsi="Times New Roman" w:cs="Times New Roman"/>
          <w:noProof/>
          <w:sz w:val="24"/>
          <w:szCs w:val="24"/>
        </w:rPr>
      </w:pPr>
      <w:r>
        <w:rPr>
          <w:rFonts w:ascii="Times New Roman" w:hAnsi="Times New Roman"/>
          <w:noProof/>
          <w:sz w:val="24"/>
        </w:rPr>
        <w:t>Komissio ja Euroopan lääkevirasto koordinoivat yli 30 kansallisen toimivaltaisen viranomaisen verkostoa, minkä lisäksi ne tekevät läheistä yhteistyötä muiden kansainvälisten sääntelyviranomaisten kanssa kahdenvälisissä järjestelyissä ja monenvälisillä foorumeilla, kuten ihmisten käyttöön tarkoitettujen lääkkeiden rekisteröintiä koskevia vaatimuksia käsittelevässä kansainvälisessä harmonisointineuvostossa (ICH). Kansainvälisen yhteistyön tavoite on lääkkeiden lupamenettelyjä koskevien yhteisten lähestymistapojen ja vakioitujen vaatimusten edistäminen.</w:t>
      </w:r>
    </w:p>
    <w:p>
      <w:pPr>
        <w:jc w:val="both"/>
        <w:rPr>
          <w:rFonts w:ascii="Times New Roman" w:hAnsi="Times New Roman" w:cs="Times New Roman"/>
          <w:noProof/>
          <w:sz w:val="24"/>
          <w:szCs w:val="24"/>
        </w:rPr>
      </w:pPr>
      <w:r>
        <w:rPr>
          <w:rFonts w:ascii="Times New Roman" w:hAnsi="Times New Roman"/>
          <w:noProof/>
          <w:sz w:val="24"/>
        </w:rPr>
        <w:t>Hyvä lääketurvatoiminta perustuu sidosryhmien väliseen yhteistyöhön, ja siihen onkin lainsäädännössä kannustettu. Potilaiden ja terveydenhuollon ammattihenkilöiden panos on äärimmäisen tärkeä koko lääkkeiden lupamenettelyn ajan ja lääketurvatoiminnassa. Siitä vastaavat lääketurvallisuuden riskinarviointikomitean jäseniä olevat kansalaisyhteiskunnan edustajat, joita kuullaan tietynlaisissa lausuntopyyntömenettelyissä erikseen.</w:t>
      </w:r>
    </w:p>
    <w:p>
      <w:pPr>
        <w:pStyle w:val="ManualHeading1"/>
        <w:rPr>
          <w:noProof/>
        </w:rPr>
      </w:pPr>
      <w:r>
        <w:rPr>
          <w:noProof/>
        </w:rPr>
        <w:t>6.</w:t>
      </w:r>
      <w:r>
        <w:rPr>
          <w:noProof/>
        </w:rPr>
        <w:tab/>
        <w:t>Verkoston jatkuva ja tuleva kehitystyö</w:t>
      </w:r>
    </w:p>
    <w:p>
      <w:pPr>
        <w:jc w:val="both"/>
        <w:rPr>
          <w:rFonts w:ascii="Times New Roman" w:hAnsi="Times New Roman" w:cs="Times New Roman"/>
          <w:noProof/>
          <w:sz w:val="24"/>
          <w:szCs w:val="24"/>
        </w:rPr>
      </w:pPr>
      <w:r>
        <w:rPr>
          <w:rFonts w:ascii="Times New Roman" w:hAnsi="Times New Roman"/>
          <w:noProof/>
          <w:sz w:val="24"/>
        </w:rPr>
        <w:t>Lääketurvaverkostossa on koko raportointikauden ja sen jälkeenkin keskitytty koulutukseen lääketurvatoimintaa ja sääntelyn tieteellisiä perusteita koskevan ymmärtämyksen kehittämiseksi. Siten voidaan jakaa parhaita toimintatapoja, kehittää prosessien tehokkuutta ja vaikuttavuutta sekä parantaa valmiuksia.</w:t>
      </w:r>
    </w:p>
    <w:p>
      <w:pPr>
        <w:jc w:val="both"/>
        <w:rPr>
          <w:rFonts w:ascii="Times New Roman" w:hAnsi="Times New Roman" w:cs="Times New Roman"/>
          <w:noProof/>
          <w:sz w:val="24"/>
          <w:szCs w:val="24"/>
        </w:rPr>
      </w:pPr>
      <w:r>
        <w:rPr>
          <w:rFonts w:ascii="Times New Roman" w:hAnsi="Times New Roman"/>
          <w:noProof/>
          <w:sz w:val="24"/>
        </w:rPr>
        <w:t>Jäsenvaltiot ja EMA tarjoavat kattavaa koulutusta sääntelyhenkilöstölle ja asiaankuuluville ulkoisille sidosryhmille. Lääketurvaprosessien tehokkuus ja vaikuttavuus ovatkin parantuneet. Lääketurvatoiminnan tieteellisten perusteiden ja käytäntöjen parantamiseksi on aloitettu hankkeita, kuten yhteinen toiminta lääketurvatoiminnan yhteistyön vahvistamiseksi Euroopassa (SCOPE), Euroopan farmakoepidemiologia- ja lääketurvatoimintakeskusten verkosto (</w:t>
      </w:r>
      <w:r>
        <w:rPr>
          <w:rFonts w:ascii="Times New Roman" w:hAnsi="Times New Roman"/>
          <w:i/>
          <w:noProof/>
          <w:sz w:val="24"/>
        </w:rPr>
        <w:t>European Network of Centres for Pharmacoepidemiology and Pharmacovigilance</w:t>
      </w:r>
      <w:r>
        <w:rPr>
          <w:rFonts w:ascii="Times New Roman" w:hAnsi="Times New Roman"/>
          <w:noProof/>
          <w:sz w:val="24"/>
        </w:rPr>
        <w:t>, ENCePP) ja PROTECT-hanke</w:t>
      </w:r>
      <w:r>
        <w:rPr>
          <w:rStyle w:val="FootnoteReference"/>
          <w:rFonts w:ascii="Times New Roman" w:hAnsi="Times New Roman"/>
          <w:noProof/>
          <w:sz w:val="24"/>
        </w:rPr>
        <w:footnoteReference w:id="10"/>
      </w:r>
      <w:r>
        <w:rPr>
          <w:rFonts w:ascii="Times New Roman" w:hAnsi="Times New Roman"/>
          <w:noProof/>
          <w:sz w:val="24"/>
        </w:rPr>
        <w:t>. Näiden hankkeiden tuloksista saadaan jo tietoa prosessin kehittämiseksi edelleen ja ohjeiden ajantasaistamiseksi.</w:t>
      </w:r>
    </w:p>
    <w:p>
      <w:pPr>
        <w:pStyle w:val="ManualHeading1"/>
        <w:rPr>
          <w:noProof/>
        </w:rPr>
      </w:pPr>
      <w:r>
        <w:rPr>
          <w:noProof/>
        </w:rPr>
        <w:t>7.</w:t>
      </w:r>
      <w:r>
        <w:rPr>
          <w:noProof/>
        </w:rPr>
        <w:tab/>
        <w:t>Päätelmät</w:t>
      </w:r>
    </w:p>
    <w:p>
      <w:pPr>
        <w:jc w:val="both"/>
        <w:rPr>
          <w:rFonts w:ascii="Times New Roman" w:hAnsi="Times New Roman" w:cs="Times New Roman"/>
          <w:noProof/>
          <w:sz w:val="24"/>
          <w:szCs w:val="24"/>
        </w:rPr>
      </w:pPr>
      <w:r>
        <w:rPr>
          <w:rFonts w:ascii="Times New Roman" w:hAnsi="Times New Roman"/>
          <w:noProof/>
          <w:sz w:val="24"/>
        </w:rPr>
        <w:t>Euroopan lääketurvaverkosto on esimerkki onnistuneesta yhteistyöstä Euroopan tasolla unionin kansalaisten eduksi. Verkostoituneen järjestelmän ansiosta osallistujat voivat jakaa parasta saatavilla olevaa asiantuntemusta ja näyttöä sekä koordinoida sääntelytoimet, jolloin saadaan kaikkien kannalta entistä tehokkaampia ja johdonmukaisempia tuloksia. Lääketurvallisuuteen on omaksuttu entistä ennakoivampi lähestymistapa, kun on saatu käyttöön tarkistetun lainsäädännön mukaiset sääntelyvälineet, kuten riskinhallintasuunnitelmat, myyntiluvan myöntämisen jälkeiset tutkimukset, signaalien havaitseminen ja hallinta EU:n tasolla, määräaikaiset turvallisuuskatsaukset ja lääkkeiden tarkastelu lausuntopyyntömenettelyssä. Todettujen lääketurvaepäilysten yhteydessä on lisäksi parannettu sääntelytoimia ja viestintää.</w:t>
      </w:r>
    </w:p>
    <w:p>
      <w:pPr>
        <w:jc w:val="both"/>
        <w:rPr>
          <w:rFonts w:ascii="Times New Roman" w:hAnsi="Times New Roman" w:cs="Times New Roman"/>
          <w:noProof/>
          <w:sz w:val="24"/>
          <w:szCs w:val="24"/>
        </w:rPr>
      </w:pPr>
      <w:r>
        <w:rPr>
          <w:rFonts w:ascii="Times New Roman" w:hAnsi="Times New Roman"/>
          <w:noProof/>
          <w:sz w:val="24"/>
        </w:rPr>
        <w:t>Järjestelmä toimii erittäin avoimesti, mikä on välttämätöntä, jotta siihen luotetaan yhteisössä, jota se palvelee. Erilaisin järjestelyin on pyritty varmistamaan, että unionin yleisö saa tarkat turvallisuustiedot oikeaan aikaan. Järjestelmään kuuluu olennaisena osana keskeisten sidosryhmien, kuten potilaiden ja terveydenhuollon ammattihenkilöiden, sitouttaminen sen toimintaan, myös siten, että potilaat raportoivat epäillyistä sivuvaikutuksista. Tulevaisuudessa osallistumista on tarkoitus syventää muun muassa järjestämällä julkisia kuulemisia kriittisistä turvallisuuskysymyksistä.</w:t>
      </w:r>
    </w:p>
    <w:p>
      <w:pPr>
        <w:jc w:val="both"/>
        <w:rPr>
          <w:rFonts w:ascii="Times New Roman" w:hAnsi="Times New Roman" w:cs="Times New Roman"/>
          <w:noProof/>
          <w:sz w:val="24"/>
          <w:szCs w:val="24"/>
        </w:rPr>
      </w:pPr>
      <w:r>
        <w:rPr>
          <w:rFonts w:ascii="Times New Roman" w:hAnsi="Times New Roman"/>
          <w:noProof/>
          <w:sz w:val="24"/>
        </w:rPr>
        <w:t>Järjestelmän jatkokehityksen tukeminen sekä nykyisten prosessien yksinkertaistaminen ja tehostaminen mahdollisuuksien mukaan edellyttävät infrastruktuuria, jota koskeva työ etenee. Sitä kautta kaikkien sidosryhmien sääntelyrasitus muodostuu mahdollisimman pieneksi. Tehokkuutta lisääviä ja sidosryhmien kannalta yksinkertaisempia menettelyjä tarjoavia uudistuksia ovat lääketieteellisen kirjallisuuden seurantapalvelu, uusi Eudravigilance-järjestelmä, määräaikaisten turvallisuuskatsausten tietokanta ja 57 artiklan mukaisen EU:n tuotetietokannan täysimääräinen käyttö. Työtä jatketaan muiden järjestelmien kehittämiseksi ja toteuttamiseksi. Tällaisia ovat muun muassa keskitetty haittavaikutusten ilmoittaminen Eudravigilance-tietokannan kautta. Tulevia parannuksia tukee myös sääntelyn tieteellisiä perusteita koskeva tutkimus, jota tuetaan muun muassa EU:n tutkimuspuiteohjelmista.</w:t>
      </w:r>
    </w:p>
    <w:p>
      <w:pPr>
        <w:pStyle w:val="ManualHeading1"/>
        <w:ind w:left="0" w:firstLine="0"/>
        <w:rPr>
          <w:noProof/>
        </w:rPr>
        <w:sectPr>
          <w:headerReference w:type="even" r:id="rId22"/>
          <w:headerReference w:type="default" r:id="rId23"/>
          <w:footerReference w:type="even" r:id="rId24"/>
          <w:footerReference w:type="default" r:id="rId25"/>
          <w:headerReference w:type="first" r:id="rId26"/>
          <w:footerReference w:type="first" r:id="rId27"/>
          <w:pgSz w:w="11907" w:h="16839"/>
          <w:pgMar w:top="1134" w:right="1417" w:bottom="1134" w:left="1417" w:header="709" w:footer="709" w:gutter="0"/>
          <w:pgNumType w:start="3"/>
          <w:cols w:space="708"/>
          <w:docGrid w:linePitch="360"/>
        </w:sectPr>
      </w:pPr>
    </w:p>
    <w:p>
      <w:pPr>
        <w:pStyle w:val="Annexetitre"/>
        <w:rPr>
          <w:noProof/>
        </w:rPr>
      </w:pPr>
      <w:r>
        <w:rPr>
          <w:noProof/>
        </w:rPr>
        <w:t>Lyhenteet</w:t>
      </w:r>
    </w:p>
    <w:tbl>
      <w:tblPr>
        <w:tblW w:w="0" w:type="auto"/>
        <w:tblLook w:val="04A0" w:firstRow="1" w:lastRow="0" w:firstColumn="1" w:lastColumn="0" w:noHBand="0" w:noVBand="1"/>
      </w:tblPr>
      <w:tblGrid>
        <w:gridCol w:w="1384"/>
        <w:gridCol w:w="7905"/>
      </w:tblGrid>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ADR</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lääkkeen haittavaikutus</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CHMP</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ihmisille tarkoitettuja lääkkeitä käsittelevä komitea</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CMDh</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tunnustamis- ja hajautetun menettelyn koordinointiryhmä (ihmislääkevalmisteet)</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ETA</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Euroopan talousalue</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EMA</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Euroopan lääkevirasto</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EU</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Euroopan unioni</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EURD</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unionin viitepäiviä ja määräaikaisten turvallisuuskatsausten toimitustiheyttä koskeva luettelo</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ICSR</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yksittäistapausta koskeva turvallisuusraportti</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PASS</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myyntiluvan myöntämisen jälkeinen turvallisuustutkimus</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PRAC</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lääketurvallisuuden riskinarviointikomitea</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PSUR</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määräaikainen turvallisuuskatsaus</w:t>
            </w:r>
          </w:p>
        </w:tc>
      </w:tr>
      <w:tr>
        <w:tc>
          <w:tcPr>
            <w:tcW w:w="1384" w:type="dxa"/>
            <w:shd w:val="clear" w:color="auto" w:fill="auto"/>
          </w:tcPr>
          <w:p>
            <w:pPr>
              <w:spacing w:before="60" w:after="60"/>
              <w:ind w:left="142"/>
              <w:rPr>
                <w:rFonts w:ascii="Times New Roman" w:hAnsi="Times New Roman" w:cs="Times New Roman"/>
                <w:noProof/>
                <w:sz w:val="24"/>
                <w:szCs w:val="24"/>
              </w:rPr>
            </w:pPr>
            <w:r>
              <w:rPr>
                <w:rFonts w:ascii="Times New Roman" w:hAnsi="Times New Roman"/>
                <w:noProof/>
                <w:sz w:val="24"/>
              </w:rPr>
              <w:t>RMP</w:t>
            </w:r>
          </w:p>
        </w:tc>
        <w:tc>
          <w:tcPr>
            <w:tcW w:w="7905" w:type="dxa"/>
            <w:shd w:val="clear" w:color="auto" w:fill="auto"/>
          </w:tcPr>
          <w:p>
            <w:pPr>
              <w:spacing w:before="60" w:after="60"/>
              <w:rPr>
                <w:rFonts w:ascii="Times New Roman" w:hAnsi="Times New Roman" w:cs="Times New Roman"/>
                <w:noProof/>
                <w:sz w:val="24"/>
                <w:szCs w:val="24"/>
              </w:rPr>
            </w:pPr>
            <w:r>
              <w:rPr>
                <w:rFonts w:ascii="Times New Roman" w:hAnsi="Times New Roman"/>
                <w:noProof/>
                <w:sz w:val="24"/>
              </w:rPr>
              <w:t>riskinhallintasuunnitelma</w:t>
            </w:r>
          </w:p>
        </w:tc>
      </w:tr>
    </w:tbl>
    <w:p>
      <w:pPr>
        <w:pStyle w:val="ManualHeading1"/>
        <w:ind w:left="0" w:firstLine="0"/>
        <w:rPr>
          <w:noProof/>
        </w:rPr>
        <w:sectPr>
          <w:headerReference w:type="even" r:id="rId28"/>
          <w:headerReference w:type="default" r:id="rId29"/>
          <w:footerReference w:type="even" r:id="rId30"/>
          <w:footerReference w:type="default" r:id="rId31"/>
          <w:headerReference w:type="first" r:id="rId32"/>
          <w:footerReference w:type="first" r:id="rId33"/>
          <w:pgSz w:w="11907" w:h="16839"/>
          <w:pgMar w:top="1134" w:right="1417" w:bottom="1134" w:left="1417" w:header="709" w:footer="709" w:gutter="0"/>
          <w:cols w:space="708"/>
          <w:docGrid w:linePitch="360"/>
        </w:sectPr>
      </w:pPr>
    </w:p>
    <w:p>
      <w:pPr>
        <w:pStyle w:val="Annexetitre"/>
        <w:rPr>
          <w:noProof/>
        </w:rPr>
      </w:pPr>
      <w:r>
        <w:rPr>
          <w:noProof/>
        </w:rPr>
        <w:t>LIITE – Kaaviot ja taulukot</w:t>
      </w:r>
    </w:p>
    <w:p>
      <w:pPr>
        <w:spacing w:before="720"/>
        <w:jc w:val="both"/>
        <w:rPr>
          <w:rFonts w:ascii="Times New Roman" w:hAnsi="Times New Roman" w:cs="Times New Roman"/>
          <w:noProof/>
          <w:sz w:val="24"/>
          <w:szCs w:val="24"/>
        </w:rPr>
      </w:pPr>
      <w:r>
        <w:rPr>
          <w:rFonts w:ascii="Times New Roman" w:hAnsi="Times New Roman"/>
          <w:b/>
          <w:noProof/>
          <w:sz w:val="24"/>
          <w:u w:val="single"/>
        </w:rPr>
        <w:t>Kaavio 1.</w:t>
      </w:r>
      <w:r>
        <w:rPr>
          <w:rFonts w:ascii="Times New Roman" w:hAnsi="Times New Roman"/>
          <w:noProof/>
          <w:sz w:val="24"/>
        </w:rPr>
        <w:t xml:space="preserve"> Lääketurvallisuuden riskinarviointikomitean esityslistalla olleiden asioiden lukumäärä heinä–joulukuussa 2012, tammi–joulukuussa 2013 ja tammi–joulukuussa 2014</w:t>
      </w:r>
    </w:p>
    <w:p>
      <w:pPr>
        <w:spacing w:before="720"/>
        <w:rPr>
          <w:rFonts w:ascii="Times New Roman" w:hAnsi="Times New Roman" w:cs="Times New Roman"/>
          <w:b/>
          <w:noProof/>
          <w:sz w:val="24"/>
          <w:szCs w:val="24"/>
          <w:u w:val="single"/>
        </w:rPr>
      </w:pPr>
      <w:r>
        <w:rPr>
          <w:noProof/>
        </w:rPr>
        <w:t xml:space="preserve"> </w:t>
      </w:r>
      <w:r>
        <w:rPr>
          <w:noProof/>
          <w:lang w:val="en-US" w:eastAsia="en-US" w:bidi="ar-SA"/>
        </w:rPr>
        <w:drawing>
          <wp:inline distT="0" distB="0" distL="0" distR="0">
            <wp:extent cx="5669280" cy="43205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69905" cy="4321016"/>
                    </a:xfrm>
                    <a:prstGeom prst="rect">
                      <a:avLst/>
                    </a:prstGeom>
                    <a:noFill/>
                    <a:ln>
                      <a:noFill/>
                    </a:ln>
                  </pic:spPr>
                </pic:pic>
              </a:graphicData>
            </a:graphic>
          </wp:inline>
        </w:drawing>
      </w:r>
    </w:p>
    <w:p>
      <w:pPr>
        <w:spacing w:before="720"/>
        <w:jc w:val="both"/>
        <w:rPr>
          <w:rFonts w:ascii="Times New Roman" w:hAnsi="Times New Roman" w:cs="Times New Roman"/>
          <w:noProof/>
          <w:sz w:val="24"/>
          <w:szCs w:val="24"/>
        </w:rPr>
      </w:pPr>
      <w:r>
        <w:rPr>
          <w:noProof/>
        </w:rPr>
        <w:br w:type="page"/>
      </w:r>
      <w:r>
        <w:rPr>
          <w:rFonts w:ascii="Times New Roman" w:hAnsi="Times New Roman"/>
          <w:noProof/>
          <w:sz w:val="24"/>
        </w:rPr>
        <w:t>Kaavio 2. Yksittäistapauksia koskevien turvallisuusraporttien lisääminen Eudravigilance-tietokantaan Euroopan talousalueen maista tai sen ulkopuolisista maista 2011–2014</w:t>
      </w:r>
    </w:p>
    <w:p>
      <w:pPr>
        <w:spacing w:before="720"/>
        <w:rPr>
          <w:rFonts w:ascii="Times New Roman" w:hAnsi="Times New Roman" w:cs="Times New Roman"/>
          <w:noProof/>
          <w:sz w:val="24"/>
          <w:szCs w:val="24"/>
        </w:rPr>
      </w:pPr>
      <w:r>
        <w:rPr>
          <w:noProof/>
          <w:lang w:val="en-US" w:eastAsia="en-US" w:bidi="ar-SA"/>
        </w:rPr>
        <w:drawing>
          <wp:inline distT="0" distB="0" distL="0" distR="0">
            <wp:extent cx="3870960" cy="407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70960" cy="4076700"/>
                    </a:xfrm>
                    <a:prstGeom prst="rect">
                      <a:avLst/>
                    </a:prstGeom>
                    <a:noFill/>
                    <a:ln>
                      <a:noFill/>
                    </a:ln>
                  </pic:spPr>
                </pic:pic>
              </a:graphicData>
            </a:graphic>
          </wp:inline>
        </w:drawing>
      </w:r>
    </w:p>
    <w:p>
      <w:pPr>
        <w:spacing w:before="720"/>
        <w:rPr>
          <w:rFonts w:ascii="Times New Roman" w:hAnsi="Times New Roman" w:cs="Times New Roman"/>
          <w:noProof/>
          <w:sz w:val="24"/>
          <w:szCs w:val="24"/>
        </w:rPr>
      </w:pPr>
      <w:r>
        <w:rPr>
          <w:noProof/>
          <w:lang w:val="en-US" w:eastAsia="en-US" w:bidi="ar-SA"/>
        </w:rPr>
        <w:drawing>
          <wp:inline distT="0" distB="0" distL="0" distR="0">
            <wp:extent cx="3776133" cy="388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75328" cy="3885372"/>
                    </a:xfrm>
                    <a:prstGeom prst="rect">
                      <a:avLst/>
                    </a:prstGeom>
                    <a:noFill/>
                    <a:ln>
                      <a:noFill/>
                    </a:ln>
                  </pic:spPr>
                </pic:pic>
              </a:graphicData>
            </a:graphic>
          </wp:inline>
        </w:drawing>
      </w:r>
    </w:p>
    <w:p>
      <w:pPr>
        <w:spacing w:before="720"/>
        <w:rPr>
          <w:rFonts w:ascii="Times New Roman" w:hAnsi="Times New Roman" w:cs="Times New Roman"/>
          <w:noProof/>
          <w:sz w:val="24"/>
          <w:szCs w:val="24"/>
        </w:rPr>
      </w:pPr>
    </w:p>
    <w:p>
      <w:pPr>
        <w:spacing w:before="720"/>
        <w:rPr>
          <w:rFonts w:ascii="Times New Roman" w:hAnsi="Times New Roman" w:cs="Times New Roman"/>
          <w:noProof/>
          <w:sz w:val="24"/>
          <w:szCs w:val="24"/>
        </w:rPr>
      </w:pPr>
    </w:p>
    <w:p>
      <w:pPr>
        <w:spacing w:before="720"/>
        <w:jc w:val="both"/>
        <w:rPr>
          <w:rFonts w:ascii="Times New Roman" w:hAnsi="Times New Roman" w:cs="Times New Roman"/>
          <w:noProof/>
          <w:sz w:val="24"/>
          <w:szCs w:val="24"/>
        </w:rPr>
      </w:pPr>
      <w:r>
        <w:rPr>
          <w:rFonts w:ascii="Times New Roman" w:hAnsi="Times New Roman"/>
          <w:noProof/>
          <w:sz w:val="24"/>
        </w:rPr>
        <w:t>THA – terveydenhuollon ammattihenkilöt</w:t>
      </w:r>
    </w:p>
    <w:p>
      <w:pPr>
        <w:rPr>
          <w:rFonts w:ascii="Times New Roman" w:hAnsi="Times New Roman" w:cs="Times New Roman"/>
          <w:b/>
          <w:noProof/>
          <w:sz w:val="24"/>
          <w:szCs w:val="24"/>
          <w:u w:val="single"/>
        </w:rPr>
      </w:pPr>
      <w:r>
        <w:rPr>
          <w:noProof/>
        </w:rPr>
        <w:br w:type="page"/>
      </w:r>
    </w:p>
    <w:p>
      <w:pPr>
        <w:spacing w:before="720"/>
        <w:jc w:val="both"/>
        <w:rPr>
          <w:rFonts w:ascii="Times New Roman" w:hAnsi="Times New Roman" w:cs="Times New Roman"/>
          <w:noProof/>
          <w:sz w:val="24"/>
          <w:szCs w:val="24"/>
        </w:rPr>
      </w:pPr>
      <w:r>
        <w:rPr>
          <w:rFonts w:ascii="Times New Roman" w:hAnsi="Times New Roman"/>
          <w:b/>
          <w:noProof/>
          <w:sz w:val="24"/>
          <w:u w:val="single"/>
        </w:rPr>
        <w:t>Kaavio 3.</w:t>
      </w:r>
      <w:r>
        <w:rPr>
          <w:rFonts w:ascii="Times New Roman" w:hAnsi="Times New Roman"/>
          <w:noProof/>
          <w:sz w:val="24"/>
        </w:rPr>
        <w:t xml:space="preserve"> Signaaleja koskevien keskustelujen aloittaminen ja seuranta lääketurvallisuuden riskinarviointikomiteassa syyskuusta 2012 joulukuuhun 2014</w:t>
      </w:r>
    </w:p>
    <w:p>
      <w:pPr>
        <w:spacing w:before="720"/>
        <w:jc w:val="both"/>
        <w:rPr>
          <w:rFonts w:ascii="Times New Roman" w:hAnsi="Times New Roman" w:cs="Times New Roman"/>
          <w:noProof/>
          <w:sz w:val="24"/>
          <w:szCs w:val="24"/>
        </w:rPr>
      </w:pPr>
      <w:r>
        <w:rPr>
          <w:noProof/>
          <w:lang w:val="en-US" w:eastAsia="en-US" w:bidi="ar-SA"/>
        </w:rPr>
        <w:drawing>
          <wp:inline distT="0" distB="0" distL="0" distR="0">
            <wp:extent cx="5761355" cy="419295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61355" cy="4192957"/>
                    </a:xfrm>
                    <a:prstGeom prst="rect">
                      <a:avLst/>
                    </a:prstGeom>
                    <a:noFill/>
                    <a:ln>
                      <a:noFill/>
                    </a:ln>
                  </pic:spPr>
                </pic:pic>
              </a:graphicData>
            </a:graphic>
          </wp:inline>
        </w:drawing>
      </w:r>
      <w:r>
        <w:rPr>
          <w:noProof/>
        </w:rPr>
        <w:br w:type="page"/>
      </w:r>
      <w:r>
        <w:rPr>
          <w:rFonts w:ascii="Times New Roman" w:hAnsi="Times New Roman"/>
          <w:b/>
          <w:noProof/>
          <w:sz w:val="24"/>
          <w:u w:val="single"/>
        </w:rPr>
        <w:t>Kaavio 4.</w:t>
      </w:r>
      <w:r>
        <w:rPr>
          <w:rFonts w:ascii="Times New Roman" w:hAnsi="Times New Roman"/>
          <w:noProof/>
          <w:sz w:val="24"/>
        </w:rPr>
        <w:t xml:space="preserve"> Signaalien arviointia lääketurvallisuuden riskinarviointikomiteassa seuranneen sääntelytoimen tyypit syyskuusta 2012 joulukuuhun 2014</w:t>
      </w:r>
    </w:p>
    <w:p>
      <w:pPr>
        <w:spacing w:before="720"/>
        <w:rPr>
          <w:rFonts w:ascii="Times New Roman" w:hAnsi="Times New Roman" w:cs="Times New Roman"/>
          <w:noProof/>
          <w:sz w:val="24"/>
          <w:szCs w:val="24"/>
        </w:rPr>
      </w:pPr>
      <w:r>
        <w:rPr>
          <w:noProof/>
          <w:lang w:val="en-US" w:eastAsia="en-US" w:bidi="ar-SA"/>
        </w:rPr>
        <w:drawing>
          <wp:inline distT="0" distB="0" distL="0" distR="0">
            <wp:extent cx="5478780" cy="5951220"/>
            <wp:effectExtent l="0" t="0" r="26670" b="1143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pPr>
        <w:spacing w:before="720"/>
        <w:jc w:val="both"/>
        <w:rPr>
          <w:rFonts w:ascii="Times New Roman" w:hAnsi="Times New Roman" w:cs="Times New Roman"/>
          <w:noProof/>
          <w:sz w:val="24"/>
          <w:szCs w:val="24"/>
        </w:rPr>
      </w:pPr>
      <w:r>
        <w:rPr>
          <w:noProof/>
        </w:rPr>
        <w:br w:type="page"/>
      </w:r>
      <w:r>
        <w:rPr>
          <w:rFonts w:ascii="Times New Roman" w:hAnsi="Times New Roman"/>
          <w:b/>
          <w:noProof/>
          <w:sz w:val="24"/>
          <w:u w:val="single"/>
        </w:rPr>
        <w:t>Kaavio 5.</w:t>
      </w:r>
      <w:r>
        <w:rPr>
          <w:rFonts w:ascii="Times New Roman" w:hAnsi="Times New Roman"/>
          <w:noProof/>
          <w:sz w:val="24"/>
        </w:rPr>
        <w:t xml:space="preserve"> Määräaikaisten turvallisuuskatsausten arviointien tulokset lääketurvallisuuden riskinarviointikomiteassa syyskuusta 2012 joulukuuhun 2014</w:t>
      </w:r>
    </w:p>
    <w:p>
      <w:pPr>
        <w:spacing w:before="720"/>
        <w:rPr>
          <w:rFonts w:ascii="Times New Roman" w:hAnsi="Times New Roman" w:cs="Times New Roman"/>
          <w:noProof/>
          <w:sz w:val="24"/>
          <w:szCs w:val="24"/>
        </w:rPr>
      </w:pPr>
      <w:r>
        <w:rPr>
          <w:noProof/>
        </w:rPr>
        <w:t xml:space="preserve"> </w:t>
      </w:r>
      <w:r>
        <w:rPr>
          <w:noProof/>
          <w:lang w:val="en-US" w:eastAsia="en-US" w:bidi="ar-SA"/>
        </w:rPr>
        <w:drawing>
          <wp:inline distT="0" distB="0" distL="0" distR="0">
            <wp:extent cx="4541520" cy="36499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541520" cy="3649980"/>
                    </a:xfrm>
                    <a:prstGeom prst="rect">
                      <a:avLst/>
                    </a:prstGeom>
                    <a:noFill/>
                    <a:ln>
                      <a:noFill/>
                    </a:ln>
                  </pic:spPr>
                </pic:pic>
              </a:graphicData>
            </a:graphic>
          </wp:inline>
        </w:drawing>
      </w:r>
    </w:p>
    <w:p>
      <w:pPr>
        <w:spacing w:before="720"/>
        <w:rPr>
          <w:rFonts w:ascii="Times New Roman" w:hAnsi="Times New Roman" w:cs="Times New Roman"/>
          <w:noProof/>
          <w:sz w:val="24"/>
          <w:szCs w:val="24"/>
        </w:rPr>
      </w:pPr>
      <w:r>
        <w:rPr>
          <w:rFonts w:ascii="Times New Roman" w:hAnsi="Times New Roman"/>
          <w:noProof/>
          <w:sz w:val="24"/>
        </w:rPr>
        <w:t>PSUSA – määräaikainen turvallisuuskatsaus – yksittäinen arviointi</w:t>
      </w:r>
    </w:p>
    <w:p>
      <w:pPr>
        <w:spacing w:before="720"/>
        <w:jc w:val="both"/>
        <w:rPr>
          <w:rFonts w:ascii="Times New Roman" w:hAnsi="Times New Roman" w:cs="Times New Roman"/>
          <w:noProof/>
          <w:sz w:val="24"/>
          <w:szCs w:val="24"/>
        </w:rPr>
      </w:pPr>
      <w:r>
        <w:rPr>
          <w:noProof/>
        </w:rPr>
        <w:br w:type="page"/>
      </w:r>
      <w:r>
        <w:rPr>
          <w:rFonts w:ascii="Times New Roman" w:hAnsi="Times New Roman"/>
          <w:b/>
          <w:noProof/>
          <w:sz w:val="24"/>
          <w:u w:val="single"/>
        </w:rPr>
        <w:t>Kaavio 6.</w:t>
      </w:r>
      <w:r>
        <w:rPr>
          <w:rFonts w:ascii="Times New Roman" w:hAnsi="Times New Roman"/>
          <w:noProof/>
          <w:sz w:val="24"/>
        </w:rPr>
        <w:t xml:space="preserve"> Vuosina 2012, 2013 ja 2014 aloitetut lääketurvatoimintaan liittyvät lausuntopyynnöt</w:t>
      </w:r>
    </w:p>
    <w:tbl>
      <w:tblPr>
        <w:tblW w:w="9039"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4A0" w:firstRow="1" w:lastRow="0" w:firstColumn="1" w:lastColumn="0" w:noHBand="0" w:noVBand="1"/>
      </w:tblPr>
      <w:tblGrid>
        <w:gridCol w:w="5495"/>
        <w:gridCol w:w="992"/>
        <w:gridCol w:w="1134"/>
        <w:gridCol w:w="1418"/>
      </w:tblGrid>
      <w:tr>
        <w:trPr>
          <w:trHeight w:val="450"/>
          <w:tblHeader/>
        </w:trPr>
        <w:tc>
          <w:tcPr>
            <w:tcW w:w="5495" w:type="dxa"/>
            <w:tcBorders>
              <w:top w:val="nil"/>
              <w:left w:val="nil"/>
              <w:bottom w:val="single" w:sz="6" w:space="0" w:color="FFFFFF"/>
              <w:right w:val="nil"/>
              <w:tl2br w:val="nil"/>
              <w:tr2bl w:val="nil"/>
            </w:tcBorders>
            <w:shd w:val="clear" w:color="auto" w:fill="002060"/>
            <w:hideMark/>
          </w:tcPr>
          <w:p>
            <w:pPr>
              <w:pStyle w:val="BodytextAgency"/>
              <w:jc w:val="center"/>
              <w:rPr>
                <w:rFonts w:ascii="Times New Roman" w:hAnsi="Times New Roman" w:cs="Times New Roman"/>
                <w:b/>
                <w:bCs/>
                <w:noProof/>
                <w:sz w:val="24"/>
                <w:szCs w:val="24"/>
              </w:rPr>
            </w:pPr>
            <w:r>
              <w:rPr>
                <w:rFonts w:ascii="Times New Roman" w:hAnsi="Times New Roman"/>
                <w:b/>
                <w:noProof/>
                <w:sz w:val="24"/>
              </w:rPr>
              <w:t>Menettely</w:t>
            </w:r>
          </w:p>
        </w:tc>
        <w:tc>
          <w:tcPr>
            <w:tcW w:w="992" w:type="dxa"/>
            <w:tcBorders>
              <w:top w:val="nil"/>
              <w:left w:val="nil"/>
              <w:bottom w:val="single" w:sz="6" w:space="0" w:color="FFFFFF"/>
              <w:right w:val="nil"/>
              <w:tl2br w:val="nil"/>
              <w:tr2bl w:val="nil"/>
            </w:tcBorders>
            <w:shd w:val="clear" w:color="auto" w:fill="002060"/>
            <w:hideMark/>
          </w:tcPr>
          <w:p>
            <w:pPr>
              <w:pStyle w:val="BodytextAgency"/>
              <w:jc w:val="center"/>
              <w:rPr>
                <w:rFonts w:ascii="Times New Roman" w:hAnsi="Times New Roman" w:cs="Times New Roman"/>
                <w:b/>
                <w:bCs/>
                <w:noProof/>
                <w:sz w:val="24"/>
                <w:szCs w:val="24"/>
              </w:rPr>
            </w:pPr>
            <w:r>
              <w:rPr>
                <w:rFonts w:ascii="Times New Roman" w:hAnsi="Times New Roman"/>
                <w:b/>
                <w:noProof/>
                <w:sz w:val="24"/>
              </w:rPr>
              <w:t>Artikla</w:t>
            </w:r>
          </w:p>
        </w:tc>
        <w:tc>
          <w:tcPr>
            <w:tcW w:w="1134" w:type="dxa"/>
            <w:tcBorders>
              <w:top w:val="nil"/>
              <w:left w:val="nil"/>
              <w:bottom w:val="single" w:sz="6" w:space="0" w:color="FFFFFF"/>
              <w:right w:val="nil"/>
              <w:tl2br w:val="nil"/>
              <w:tr2bl w:val="nil"/>
            </w:tcBorders>
            <w:shd w:val="clear" w:color="auto" w:fill="002060"/>
            <w:hideMark/>
          </w:tcPr>
          <w:p>
            <w:pPr>
              <w:pStyle w:val="BodytextAgency"/>
              <w:jc w:val="center"/>
              <w:rPr>
                <w:rFonts w:ascii="Times New Roman" w:hAnsi="Times New Roman" w:cs="Times New Roman"/>
                <w:b/>
                <w:bCs/>
                <w:noProof/>
                <w:sz w:val="24"/>
                <w:szCs w:val="24"/>
              </w:rPr>
            </w:pPr>
            <w:r>
              <w:rPr>
                <w:rFonts w:ascii="Times New Roman" w:hAnsi="Times New Roman"/>
                <w:b/>
                <w:noProof/>
                <w:sz w:val="24"/>
              </w:rPr>
              <w:t>Aloitettu</w:t>
            </w:r>
          </w:p>
        </w:tc>
        <w:tc>
          <w:tcPr>
            <w:tcW w:w="1418" w:type="dxa"/>
            <w:tcBorders>
              <w:top w:val="nil"/>
              <w:left w:val="nil"/>
              <w:bottom w:val="single" w:sz="6" w:space="0" w:color="FFFFFF"/>
              <w:right w:val="nil"/>
              <w:tl2br w:val="nil"/>
              <w:tr2bl w:val="nil"/>
            </w:tcBorders>
            <w:shd w:val="clear" w:color="auto" w:fill="002060"/>
          </w:tcPr>
          <w:p>
            <w:pPr>
              <w:pStyle w:val="BodytextAgency"/>
              <w:jc w:val="center"/>
              <w:rPr>
                <w:rFonts w:ascii="Times New Roman" w:hAnsi="Times New Roman" w:cs="Times New Roman"/>
                <w:b/>
                <w:bCs/>
                <w:noProof/>
                <w:sz w:val="24"/>
                <w:szCs w:val="24"/>
              </w:rPr>
            </w:pPr>
            <w:r>
              <w:rPr>
                <w:rFonts w:ascii="Times New Roman" w:hAnsi="Times New Roman"/>
                <w:b/>
                <w:noProof/>
                <w:sz w:val="24"/>
              </w:rPr>
              <w:t>Tulos</w:t>
            </w:r>
          </w:p>
        </w:tc>
      </w:tr>
      <w:tr>
        <w:trPr>
          <w:trHeight w:val="300"/>
        </w:trPr>
        <w:tc>
          <w:tcPr>
            <w:tcW w:w="5495" w:type="dxa"/>
            <w:tcBorders>
              <w:top w:val="single" w:sz="6" w:space="0" w:color="FFFFFF"/>
              <w:bottom w:val="single" w:sz="6" w:space="0" w:color="FFFFFF"/>
            </w:tcBorders>
            <w:shd w:val="clear" w:color="auto" w:fill="95B3D7"/>
            <w:noWrap/>
          </w:tcPr>
          <w:p>
            <w:pPr>
              <w:pStyle w:val="BodytextAgency"/>
              <w:jc w:val="center"/>
              <w:rPr>
                <w:rFonts w:ascii="Times New Roman" w:hAnsi="Times New Roman" w:cs="Times New Roman"/>
                <w:b/>
                <w:noProof/>
                <w:sz w:val="24"/>
                <w:szCs w:val="24"/>
              </w:rPr>
            </w:pPr>
            <w:r>
              <w:rPr>
                <w:rFonts w:ascii="Times New Roman" w:hAnsi="Times New Roman"/>
                <w:b/>
                <w:noProof/>
                <w:sz w:val="24"/>
              </w:rPr>
              <w:t>2012</w:t>
            </w:r>
          </w:p>
        </w:tc>
        <w:tc>
          <w:tcPr>
            <w:tcW w:w="992" w:type="dxa"/>
            <w:tcBorders>
              <w:top w:val="single" w:sz="6" w:space="0" w:color="FFFFFF"/>
              <w:bottom w:val="single" w:sz="6" w:space="0" w:color="FFFFFF"/>
            </w:tcBorders>
            <w:shd w:val="clear" w:color="auto" w:fill="95B3D7"/>
          </w:tcPr>
          <w:p>
            <w:pPr>
              <w:pStyle w:val="BodytextAgency"/>
              <w:jc w:val="center"/>
              <w:rPr>
                <w:rFonts w:ascii="Times New Roman" w:hAnsi="Times New Roman" w:cs="Times New Roman"/>
                <w:noProof/>
                <w:sz w:val="24"/>
                <w:szCs w:val="24"/>
              </w:rPr>
            </w:pPr>
          </w:p>
        </w:tc>
        <w:tc>
          <w:tcPr>
            <w:tcW w:w="1134" w:type="dxa"/>
            <w:tcBorders>
              <w:top w:val="single" w:sz="6" w:space="0" w:color="FFFFFF"/>
              <w:bottom w:val="single" w:sz="6" w:space="0" w:color="FFFFFF"/>
            </w:tcBorders>
            <w:shd w:val="clear" w:color="auto" w:fill="95B3D7"/>
          </w:tcPr>
          <w:p>
            <w:pPr>
              <w:pStyle w:val="BodytextAgency"/>
              <w:jc w:val="center"/>
              <w:rPr>
                <w:rFonts w:ascii="Times New Roman" w:hAnsi="Times New Roman" w:cs="Times New Roman"/>
                <w:noProof/>
                <w:sz w:val="24"/>
                <w:szCs w:val="24"/>
              </w:rPr>
            </w:pPr>
          </w:p>
        </w:tc>
        <w:tc>
          <w:tcPr>
            <w:tcW w:w="1418" w:type="dxa"/>
            <w:tcBorders>
              <w:top w:val="single" w:sz="6" w:space="0" w:color="FFFFFF"/>
              <w:bottom w:val="single" w:sz="6" w:space="0" w:color="FFFFFF"/>
            </w:tcBorders>
            <w:shd w:val="clear" w:color="auto" w:fill="95B3D7"/>
          </w:tcPr>
          <w:p>
            <w:pPr>
              <w:pStyle w:val="BodytextAgency"/>
              <w:jc w:val="center"/>
              <w:rPr>
                <w:rFonts w:ascii="Times New Roman" w:hAnsi="Times New Roman" w:cs="Times New Roman"/>
                <w:noProof/>
                <w:sz w:val="24"/>
                <w:szCs w:val="24"/>
              </w:rPr>
            </w:pPr>
          </w:p>
        </w:tc>
      </w:tr>
      <w:tr>
        <w:trPr>
          <w:trHeight w:val="300"/>
        </w:trPr>
        <w:tc>
          <w:tcPr>
            <w:tcW w:w="5495" w:type="dxa"/>
            <w:tcBorders>
              <w:top w:val="single" w:sz="6" w:space="0" w:color="FFFFFF"/>
            </w:tcBorders>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Kodeiini</w:t>
            </w:r>
          </w:p>
        </w:tc>
        <w:tc>
          <w:tcPr>
            <w:tcW w:w="992" w:type="dxa"/>
            <w:tcBorders>
              <w:top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tcBorders>
              <w:top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loka-12</w:t>
            </w:r>
          </w:p>
        </w:tc>
        <w:tc>
          <w:tcPr>
            <w:tcW w:w="1418" w:type="dxa"/>
            <w:tcBorders>
              <w:top w:val="single" w:sz="6" w:space="0" w:color="FFFFFF"/>
            </w:tcBorders>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rPr>
          <w:trHeight w:val="300"/>
        </w:trP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Diklofenaakki</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loka-12</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rPr>
          <w:trHeight w:val="300"/>
        </w:trP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Lyhytvaikutteinen beeta-agonisti</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marras-12</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 P</w:t>
            </w:r>
          </w:p>
        </w:tc>
      </w:tr>
      <w:tr>
        <w:trPr>
          <w:trHeight w:val="300"/>
        </w:trP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HES (hydroksietyylitärkkelys)</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marras-12</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rPr>
          <w:trHeight w:val="300"/>
        </w:trP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Almitriini</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marras-12</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P</w:t>
            </w:r>
          </w:p>
        </w:tc>
      </w:tr>
      <w:tr>
        <w:trPr>
          <w:trHeight w:val="300"/>
        </w:trPr>
        <w:tc>
          <w:tcPr>
            <w:tcW w:w="5495" w:type="dxa"/>
            <w:tcBorders>
              <w:bottom w:val="single" w:sz="6" w:space="0" w:color="FFFFFF"/>
            </w:tcBorders>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Diasereiini</w:t>
            </w:r>
          </w:p>
        </w:tc>
        <w:tc>
          <w:tcPr>
            <w:tcW w:w="992" w:type="dxa"/>
            <w:tcBorders>
              <w:bottom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tcBorders>
              <w:bottom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marras-12</w:t>
            </w:r>
          </w:p>
        </w:tc>
        <w:tc>
          <w:tcPr>
            <w:tcW w:w="1418" w:type="dxa"/>
            <w:tcBorders>
              <w:bottom w:val="single" w:sz="6" w:space="0" w:color="FFFFFF"/>
            </w:tcBorders>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rPr>
          <w:trHeight w:val="345"/>
        </w:trPr>
        <w:tc>
          <w:tcPr>
            <w:tcW w:w="5495" w:type="dxa"/>
            <w:tcBorders>
              <w:top w:val="single" w:sz="6" w:space="0" w:color="FFFFFF"/>
              <w:bottom w:val="single" w:sz="6" w:space="0" w:color="FFFFFF"/>
            </w:tcBorders>
            <w:shd w:val="clear" w:color="auto" w:fill="8DB3E2"/>
            <w:noWrap/>
            <w:hideMark/>
          </w:tcPr>
          <w:p>
            <w:pPr>
              <w:pStyle w:val="BodytextAgency"/>
              <w:jc w:val="center"/>
              <w:rPr>
                <w:rFonts w:ascii="Times New Roman" w:hAnsi="Times New Roman" w:cs="Times New Roman"/>
                <w:b/>
                <w:bCs/>
                <w:noProof/>
                <w:sz w:val="24"/>
                <w:szCs w:val="24"/>
              </w:rPr>
            </w:pPr>
            <w:r>
              <w:rPr>
                <w:rFonts w:ascii="Times New Roman" w:hAnsi="Times New Roman"/>
                <w:b/>
                <w:noProof/>
                <w:sz w:val="24"/>
              </w:rPr>
              <w:t>2013</w:t>
            </w:r>
          </w:p>
        </w:tc>
        <w:tc>
          <w:tcPr>
            <w:tcW w:w="992" w:type="dxa"/>
            <w:tcBorders>
              <w:top w:val="single" w:sz="6" w:space="0" w:color="FFFFFF"/>
              <w:bottom w:val="single" w:sz="6" w:space="0" w:color="FFFFFF"/>
            </w:tcBorders>
            <w:shd w:val="clear" w:color="auto" w:fill="8DB3E2"/>
            <w:noWrap/>
            <w:hideMark/>
          </w:tcPr>
          <w:p>
            <w:pPr>
              <w:pStyle w:val="BodytextAgency"/>
              <w:jc w:val="center"/>
              <w:rPr>
                <w:rFonts w:ascii="Times New Roman" w:hAnsi="Times New Roman" w:cs="Times New Roman"/>
                <w:noProof/>
                <w:sz w:val="24"/>
                <w:szCs w:val="24"/>
              </w:rPr>
            </w:pPr>
          </w:p>
        </w:tc>
        <w:tc>
          <w:tcPr>
            <w:tcW w:w="1134" w:type="dxa"/>
            <w:tcBorders>
              <w:top w:val="single" w:sz="6" w:space="0" w:color="FFFFFF"/>
              <w:bottom w:val="single" w:sz="6" w:space="0" w:color="FFFFFF"/>
            </w:tcBorders>
            <w:shd w:val="clear" w:color="auto" w:fill="8DB3E2"/>
            <w:noWrap/>
            <w:hideMark/>
          </w:tcPr>
          <w:p>
            <w:pPr>
              <w:pStyle w:val="BodytextAgency"/>
              <w:jc w:val="center"/>
              <w:rPr>
                <w:rFonts w:ascii="Times New Roman" w:hAnsi="Times New Roman" w:cs="Times New Roman"/>
                <w:noProof/>
                <w:sz w:val="24"/>
                <w:szCs w:val="24"/>
              </w:rPr>
            </w:pPr>
          </w:p>
        </w:tc>
        <w:tc>
          <w:tcPr>
            <w:tcW w:w="1418" w:type="dxa"/>
            <w:tcBorders>
              <w:top w:val="single" w:sz="6" w:space="0" w:color="FFFFFF"/>
              <w:bottom w:val="single" w:sz="6" w:space="0" w:color="FFFFFF"/>
            </w:tcBorders>
            <w:shd w:val="clear" w:color="auto" w:fill="8DB3E2"/>
          </w:tcPr>
          <w:p>
            <w:pPr>
              <w:pStyle w:val="BodytextAgency"/>
              <w:jc w:val="center"/>
              <w:rPr>
                <w:rFonts w:ascii="Times New Roman" w:hAnsi="Times New Roman" w:cs="Times New Roman"/>
                <w:noProof/>
                <w:sz w:val="24"/>
                <w:szCs w:val="24"/>
              </w:rPr>
            </w:pPr>
          </w:p>
        </w:tc>
      </w:tr>
      <w:tr>
        <w:trPr>
          <w:trHeight w:val="300"/>
        </w:trPr>
        <w:tc>
          <w:tcPr>
            <w:tcW w:w="5495" w:type="dxa"/>
            <w:tcBorders>
              <w:top w:val="single" w:sz="6" w:space="0" w:color="FFFFFF"/>
            </w:tcBorders>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Tredaptive, Trevaclyn, Pelzont (nikotiinihappo/laropiprantti)</w:t>
            </w:r>
          </w:p>
        </w:tc>
        <w:tc>
          <w:tcPr>
            <w:tcW w:w="992" w:type="dxa"/>
            <w:tcBorders>
              <w:top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20</w:t>
            </w:r>
          </w:p>
        </w:tc>
        <w:tc>
          <w:tcPr>
            <w:tcW w:w="1134" w:type="dxa"/>
            <w:tcBorders>
              <w:top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tammi-13</w:t>
            </w:r>
          </w:p>
        </w:tc>
        <w:tc>
          <w:tcPr>
            <w:tcW w:w="1418" w:type="dxa"/>
            <w:tcBorders>
              <w:top w:val="single" w:sz="6" w:space="0" w:color="FFFFFF"/>
            </w:tcBorders>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K</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Tetratsepaami</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107 i</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tammi-13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K</w:t>
            </w:r>
          </w:p>
        </w:tc>
      </w:tr>
      <w:t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Syproteroni, etinyyliestradioli – Diane 35 ja muut lääkkeet, jotka sisältävät 2 mg syproteroniasetaattia ja 35 mg etinyyliestradiolia</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107 i</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helmi-13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Yhdistelmäehkäisyvalmisteet</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helmi-13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Flupirtiini</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107 i</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maalis-13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Domperidoni</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maalis-13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 P</w:t>
            </w:r>
          </w:p>
        </w:tc>
      </w:tr>
      <w:tr>
        <w:trPr>
          <w:trHeight w:val="6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Nikotiinihappo ja siihen liittyvät aineet – asipimoksi, ksantinolinikotinaatti</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maalis-13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Kogenate Bayer / Helixate NexGen (oktokogialfa)</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20</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maalis-13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Reniini-angiotensiinijärjestelmään (RAS) vaikuttavat aineet</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touko-13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Protelos/Osseor (strontiumranelaatti)</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20</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touko-13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rPr>
          <w:trHeight w:val="6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NUMETA G13%E, NUMETA G16%E, infuusioneste, emulsio, ja muut kauppanimet (glukoosi, rasva-aineet, aminohapot ja elektrolyytit)</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107 i</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kesä-13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 K</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Tsolpideemia sisältävät lääkevalmisteet</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heinä-13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rPr>
          <w:trHeight w:val="6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Hydroksietyylitärkkelystä (HES) sisältävät lääkevalmisteet</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107 i</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heinä-13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 xml:space="preserve">Bromokriptiiniä sisältävät lääkkeet </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syys-13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 xml:space="preserve">Valproaattiin liittyvät aineet </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loka-13</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rPr>
          <w:trHeight w:val="300"/>
        </w:trPr>
        <w:tc>
          <w:tcPr>
            <w:tcW w:w="5495" w:type="dxa"/>
            <w:tcBorders>
              <w:bottom w:val="single" w:sz="6" w:space="0" w:color="FFFFFF"/>
            </w:tcBorders>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Iclusig (ponatinibi)</w:t>
            </w:r>
          </w:p>
        </w:tc>
        <w:tc>
          <w:tcPr>
            <w:tcW w:w="992" w:type="dxa"/>
            <w:tcBorders>
              <w:bottom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20</w:t>
            </w:r>
          </w:p>
        </w:tc>
        <w:tc>
          <w:tcPr>
            <w:tcW w:w="1134" w:type="dxa"/>
            <w:tcBorders>
              <w:bottom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joulu-13</w:t>
            </w:r>
          </w:p>
        </w:tc>
        <w:tc>
          <w:tcPr>
            <w:tcW w:w="1418" w:type="dxa"/>
            <w:tcBorders>
              <w:bottom w:val="single" w:sz="6" w:space="0" w:color="FFFFFF"/>
            </w:tcBorders>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bl>
    <w:p>
      <w:pPr>
        <w:rPr>
          <w:noProof/>
        </w:rPr>
      </w:pPr>
      <w:r>
        <w:rPr>
          <w:noProof/>
        </w:rPr>
        <w:br w:type="page"/>
      </w:r>
    </w:p>
    <w:tbl>
      <w:tblPr>
        <w:tblW w:w="9039"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4A0" w:firstRow="1" w:lastRow="0" w:firstColumn="1" w:lastColumn="0" w:noHBand="0" w:noVBand="1"/>
      </w:tblPr>
      <w:tblGrid>
        <w:gridCol w:w="5495"/>
        <w:gridCol w:w="992"/>
        <w:gridCol w:w="1134"/>
        <w:gridCol w:w="1418"/>
      </w:tblGrid>
      <w:tr>
        <w:trPr>
          <w:trHeight w:val="345"/>
        </w:trPr>
        <w:tc>
          <w:tcPr>
            <w:tcW w:w="5495" w:type="dxa"/>
            <w:tcBorders>
              <w:top w:val="single" w:sz="6" w:space="0" w:color="FFFFFF"/>
              <w:bottom w:val="single" w:sz="6" w:space="0" w:color="FFFFFF"/>
            </w:tcBorders>
            <w:shd w:val="clear" w:color="auto" w:fill="8DB3E2"/>
            <w:noWrap/>
            <w:hideMark/>
          </w:tcPr>
          <w:p>
            <w:pPr>
              <w:pStyle w:val="BodytextAgency"/>
              <w:jc w:val="center"/>
              <w:rPr>
                <w:rFonts w:ascii="Times New Roman" w:hAnsi="Times New Roman" w:cs="Times New Roman"/>
                <w:b/>
                <w:bCs/>
                <w:noProof/>
                <w:sz w:val="24"/>
                <w:szCs w:val="24"/>
              </w:rPr>
            </w:pPr>
            <w:r>
              <w:rPr>
                <w:rFonts w:ascii="Times New Roman" w:hAnsi="Times New Roman"/>
                <w:b/>
                <w:noProof/>
                <w:sz w:val="24"/>
              </w:rPr>
              <w:t>2014</w:t>
            </w:r>
          </w:p>
        </w:tc>
        <w:tc>
          <w:tcPr>
            <w:tcW w:w="992" w:type="dxa"/>
            <w:tcBorders>
              <w:top w:val="single" w:sz="6" w:space="0" w:color="FFFFFF"/>
              <w:bottom w:val="single" w:sz="6" w:space="0" w:color="FFFFFF"/>
            </w:tcBorders>
            <w:shd w:val="clear" w:color="auto" w:fill="8DB3E2"/>
            <w:noWrap/>
            <w:hideMark/>
          </w:tcPr>
          <w:p>
            <w:pPr>
              <w:pStyle w:val="BodytextAgency"/>
              <w:jc w:val="center"/>
              <w:rPr>
                <w:rFonts w:ascii="Times New Roman" w:hAnsi="Times New Roman" w:cs="Times New Roman"/>
                <w:noProof/>
                <w:sz w:val="24"/>
                <w:szCs w:val="24"/>
              </w:rPr>
            </w:pPr>
          </w:p>
        </w:tc>
        <w:tc>
          <w:tcPr>
            <w:tcW w:w="1134" w:type="dxa"/>
            <w:tcBorders>
              <w:top w:val="single" w:sz="6" w:space="0" w:color="FFFFFF"/>
              <w:bottom w:val="single" w:sz="6" w:space="0" w:color="FFFFFF"/>
            </w:tcBorders>
            <w:shd w:val="clear" w:color="auto" w:fill="8DB3E2"/>
            <w:noWrap/>
            <w:hideMark/>
          </w:tcPr>
          <w:p>
            <w:pPr>
              <w:pStyle w:val="BodytextAgency"/>
              <w:jc w:val="center"/>
              <w:rPr>
                <w:rFonts w:ascii="Times New Roman" w:hAnsi="Times New Roman" w:cs="Times New Roman"/>
                <w:noProof/>
                <w:sz w:val="24"/>
                <w:szCs w:val="24"/>
              </w:rPr>
            </w:pPr>
          </w:p>
        </w:tc>
        <w:tc>
          <w:tcPr>
            <w:tcW w:w="1418" w:type="dxa"/>
            <w:tcBorders>
              <w:top w:val="single" w:sz="6" w:space="0" w:color="FFFFFF"/>
              <w:bottom w:val="single" w:sz="6" w:space="0" w:color="FFFFFF"/>
            </w:tcBorders>
            <w:shd w:val="clear" w:color="auto" w:fill="8DB3E2"/>
          </w:tcPr>
          <w:p>
            <w:pPr>
              <w:pStyle w:val="BodytextAgency"/>
              <w:jc w:val="center"/>
              <w:rPr>
                <w:rFonts w:ascii="Times New Roman" w:hAnsi="Times New Roman" w:cs="Times New Roman"/>
                <w:noProof/>
                <w:sz w:val="24"/>
                <w:szCs w:val="24"/>
              </w:rPr>
            </w:pPr>
          </w:p>
        </w:tc>
      </w:tr>
      <w:tr>
        <w:trPr>
          <w:trHeight w:val="300"/>
        </w:trPr>
        <w:tc>
          <w:tcPr>
            <w:tcW w:w="5495" w:type="dxa"/>
            <w:tcBorders>
              <w:top w:val="single" w:sz="6" w:space="0" w:color="FFFFFF"/>
            </w:tcBorders>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Testosteroni</w:t>
            </w:r>
          </w:p>
        </w:tc>
        <w:tc>
          <w:tcPr>
            <w:tcW w:w="992" w:type="dxa"/>
            <w:tcBorders>
              <w:top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tcBorders>
              <w:top w:val="single" w:sz="6" w:space="0" w:color="FFFFFF"/>
            </w:tcBorders>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huhti-14</w:t>
            </w:r>
          </w:p>
        </w:tc>
        <w:tc>
          <w:tcPr>
            <w:tcW w:w="1418" w:type="dxa"/>
            <w:tcBorders>
              <w:top w:val="single" w:sz="6" w:space="0" w:color="FFFFFF"/>
            </w:tcBorders>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Kodeiinia sisältävien yskänlääkkeiden käyttö lapsilla</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huhti-14</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 P</w:t>
            </w:r>
          </w:p>
        </w:tc>
      </w:tr>
      <w:tr>
        <w:trPr>
          <w:trHeight w:val="300"/>
        </w:trP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Ambroksoli/bromiheksiini</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huhti-14</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Metadoni</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107 i</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huhti-14</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 K</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Hydroksitsiini</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touko-14</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rPr>
          <w:trHeight w:val="300"/>
        </w:trPr>
        <w:tc>
          <w:tcPr>
            <w:tcW w:w="5495" w:type="dxa"/>
            <w:shd w:val="clear" w:color="auto" w:fill="E1E3F2"/>
            <w:hideMark/>
          </w:tcPr>
          <w:p>
            <w:pPr>
              <w:pStyle w:val="BodytextAgency"/>
              <w:rPr>
                <w:rFonts w:ascii="Times New Roman" w:hAnsi="Times New Roman" w:cs="Times New Roman"/>
                <w:noProof/>
                <w:sz w:val="24"/>
                <w:szCs w:val="24"/>
              </w:rPr>
            </w:pPr>
            <w:r>
              <w:rPr>
                <w:rFonts w:ascii="Times New Roman" w:hAnsi="Times New Roman"/>
                <w:noProof/>
                <w:sz w:val="24"/>
              </w:rPr>
              <w:t>Corlentor ja Procoralan (ivabradiini)</w:t>
            </w:r>
          </w:p>
        </w:tc>
        <w:tc>
          <w:tcPr>
            <w:tcW w:w="992"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20</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touko-14</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r>
        <w:trPr>
          <w:trHeight w:val="300"/>
        </w:trPr>
        <w:tc>
          <w:tcPr>
            <w:tcW w:w="5495" w:type="dxa"/>
            <w:shd w:val="clear" w:color="auto" w:fill="E1E3F2"/>
            <w:noWrap/>
            <w:hideMark/>
          </w:tcPr>
          <w:p>
            <w:pPr>
              <w:pStyle w:val="BodytextAgency"/>
              <w:rPr>
                <w:rFonts w:ascii="Times New Roman" w:hAnsi="Times New Roman" w:cs="Times New Roman"/>
                <w:noProof/>
                <w:sz w:val="24"/>
                <w:szCs w:val="24"/>
              </w:rPr>
            </w:pPr>
            <w:r>
              <w:rPr>
                <w:rFonts w:ascii="Times New Roman" w:hAnsi="Times New Roman"/>
                <w:noProof/>
                <w:sz w:val="24"/>
              </w:rPr>
              <w:t>Ibuprofeeni ja deksibuprofeeni</w:t>
            </w:r>
          </w:p>
        </w:tc>
        <w:tc>
          <w:tcPr>
            <w:tcW w:w="992" w:type="dxa"/>
            <w:shd w:val="clear" w:color="auto" w:fill="E1E3F2"/>
            <w:noWrap/>
            <w:hideMark/>
          </w:tcPr>
          <w:p>
            <w:pPr>
              <w:pStyle w:val="BodytextAgency"/>
              <w:jc w:val="center"/>
              <w:rPr>
                <w:rFonts w:ascii="Times New Roman" w:hAnsi="Times New Roman" w:cs="Times New Roman"/>
                <w:noProof/>
                <w:sz w:val="24"/>
                <w:szCs w:val="24"/>
              </w:rPr>
            </w:pPr>
            <w:r>
              <w:rPr>
                <w:rFonts w:ascii="Times New Roman" w:hAnsi="Times New Roman"/>
                <w:noProof/>
                <w:sz w:val="24"/>
              </w:rPr>
              <w:t>31</w:t>
            </w:r>
          </w:p>
        </w:tc>
        <w:tc>
          <w:tcPr>
            <w:tcW w:w="1134" w:type="dxa"/>
            <w:shd w:val="clear" w:color="auto" w:fill="E1E3F2"/>
            <w:hideMark/>
          </w:tcPr>
          <w:p>
            <w:pPr>
              <w:pStyle w:val="BodytextAgency"/>
              <w:jc w:val="center"/>
              <w:rPr>
                <w:rFonts w:ascii="Times New Roman" w:hAnsi="Times New Roman" w:cs="Times New Roman"/>
                <w:noProof/>
                <w:sz w:val="24"/>
                <w:szCs w:val="24"/>
              </w:rPr>
            </w:pPr>
            <w:r>
              <w:rPr>
                <w:rFonts w:ascii="Times New Roman" w:hAnsi="Times New Roman"/>
                <w:noProof/>
                <w:sz w:val="24"/>
              </w:rPr>
              <w:t>kesä-14</w:t>
            </w:r>
          </w:p>
        </w:tc>
        <w:tc>
          <w:tcPr>
            <w:tcW w:w="1418" w:type="dxa"/>
            <w:shd w:val="clear" w:color="auto" w:fill="E1E3F2"/>
          </w:tcPr>
          <w:p>
            <w:pPr>
              <w:pStyle w:val="BodytextAgency"/>
              <w:jc w:val="center"/>
              <w:rPr>
                <w:rFonts w:ascii="Times New Roman" w:hAnsi="Times New Roman" w:cs="Times New Roman"/>
                <w:noProof/>
                <w:sz w:val="24"/>
                <w:szCs w:val="24"/>
              </w:rPr>
            </w:pPr>
            <w:r>
              <w:rPr>
                <w:rFonts w:ascii="Times New Roman" w:hAnsi="Times New Roman"/>
                <w:noProof/>
                <w:sz w:val="24"/>
              </w:rPr>
              <w:t>M</w:t>
            </w:r>
          </w:p>
        </w:tc>
      </w:tr>
    </w:tbl>
    <w:p>
      <w:pPr>
        <w:jc w:val="both"/>
        <w:rPr>
          <w:rFonts w:ascii="Times New Roman" w:hAnsi="Times New Roman" w:cs="Times New Roman"/>
          <w:noProof/>
          <w:sz w:val="24"/>
          <w:szCs w:val="24"/>
          <w:u w:val="single"/>
        </w:rPr>
      </w:pPr>
      <w:r>
        <w:rPr>
          <w:rFonts w:ascii="Times New Roman" w:hAnsi="Times New Roman"/>
          <w:noProof/>
          <w:sz w:val="24"/>
          <w:u w:val="single"/>
        </w:rPr>
        <w:t>Selitykset:</w:t>
      </w:r>
    </w:p>
    <w:p>
      <w:pPr>
        <w:spacing w:after="0"/>
        <w:jc w:val="both"/>
        <w:rPr>
          <w:rFonts w:ascii="Times New Roman" w:hAnsi="Times New Roman" w:cs="Times New Roman"/>
          <w:noProof/>
          <w:sz w:val="24"/>
          <w:szCs w:val="24"/>
        </w:rPr>
      </w:pPr>
      <w:r>
        <w:rPr>
          <w:rFonts w:ascii="Times New Roman" w:hAnsi="Times New Roman"/>
          <w:noProof/>
          <w:sz w:val="24"/>
        </w:rPr>
        <w:t>Vireillepano 20 artiklan mukaisesti: ainoastaan keskitetyn lupamenettelyn piirissä olevia lääkkeitä</w:t>
      </w:r>
    </w:p>
    <w:p>
      <w:pPr>
        <w:spacing w:after="0"/>
        <w:jc w:val="both"/>
        <w:rPr>
          <w:rFonts w:ascii="Times New Roman" w:hAnsi="Times New Roman" w:cs="Times New Roman"/>
          <w:noProof/>
          <w:sz w:val="24"/>
          <w:szCs w:val="24"/>
        </w:rPr>
      </w:pPr>
      <w:r>
        <w:rPr>
          <w:rFonts w:ascii="Times New Roman" w:hAnsi="Times New Roman"/>
          <w:noProof/>
          <w:sz w:val="24"/>
        </w:rPr>
        <w:t>Vireillepano 107 artiklan mukaisesti: unionin etua koskeva kiireellinen menettely</w:t>
      </w:r>
    </w:p>
    <w:p>
      <w:pPr>
        <w:spacing w:after="0"/>
        <w:jc w:val="both"/>
        <w:rPr>
          <w:rFonts w:ascii="Times New Roman" w:hAnsi="Times New Roman" w:cs="Times New Roman"/>
          <w:noProof/>
          <w:sz w:val="24"/>
          <w:szCs w:val="24"/>
        </w:rPr>
      </w:pPr>
      <w:r>
        <w:rPr>
          <w:rFonts w:ascii="Times New Roman" w:hAnsi="Times New Roman"/>
          <w:noProof/>
          <w:sz w:val="24"/>
        </w:rPr>
        <w:t>Vireillepano 31 artiklan mukaisesti: unionin etua koskeva menettely</w:t>
      </w:r>
    </w:p>
    <w:p>
      <w:pPr>
        <w:spacing w:after="0"/>
        <w:jc w:val="both"/>
        <w:rPr>
          <w:rFonts w:ascii="Times New Roman" w:hAnsi="Times New Roman" w:cs="Times New Roman"/>
          <w:noProof/>
          <w:sz w:val="24"/>
          <w:szCs w:val="24"/>
        </w:rPr>
      </w:pPr>
    </w:p>
    <w:p>
      <w:pPr>
        <w:spacing w:after="0"/>
        <w:jc w:val="both"/>
        <w:rPr>
          <w:rFonts w:ascii="Times New Roman" w:hAnsi="Times New Roman" w:cs="Times New Roman"/>
          <w:noProof/>
          <w:sz w:val="24"/>
          <w:szCs w:val="24"/>
        </w:rPr>
      </w:pPr>
      <w:r>
        <w:rPr>
          <w:rFonts w:ascii="Times New Roman" w:hAnsi="Times New Roman"/>
          <w:noProof/>
          <w:sz w:val="24"/>
        </w:rPr>
        <w:t>M – myyntiluvan muutos</w:t>
      </w:r>
    </w:p>
    <w:p>
      <w:pPr>
        <w:spacing w:after="0"/>
        <w:jc w:val="both"/>
        <w:rPr>
          <w:rFonts w:ascii="Times New Roman" w:hAnsi="Times New Roman" w:cs="Times New Roman"/>
          <w:noProof/>
          <w:sz w:val="24"/>
          <w:szCs w:val="24"/>
        </w:rPr>
      </w:pPr>
      <w:r>
        <w:rPr>
          <w:rFonts w:ascii="Times New Roman" w:hAnsi="Times New Roman"/>
          <w:noProof/>
          <w:sz w:val="24"/>
        </w:rPr>
        <w:t>P – myyntiluvan peruuttaminen</w:t>
      </w:r>
    </w:p>
    <w:p>
      <w:pPr>
        <w:spacing w:after="0"/>
        <w:jc w:val="both"/>
        <w:rPr>
          <w:rFonts w:ascii="Times New Roman" w:hAnsi="Times New Roman" w:cs="Times New Roman"/>
          <w:noProof/>
          <w:sz w:val="24"/>
          <w:szCs w:val="24"/>
        </w:rPr>
      </w:pPr>
      <w:r>
        <w:rPr>
          <w:rFonts w:ascii="Times New Roman" w:hAnsi="Times New Roman"/>
          <w:noProof/>
          <w:sz w:val="24"/>
        </w:rPr>
        <w:t>K – myyntiluvan keskeyttäminen</w:t>
      </w:r>
    </w:p>
    <w:p>
      <w:pPr>
        <w:rPr>
          <w:rFonts w:ascii="Times New Roman" w:hAnsi="Times New Roman" w:cs="Times New Roman"/>
          <w:noProof/>
          <w:sz w:val="24"/>
          <w:szCs w:val="24"/>
        </w:rPr>
      </w:pPr>
    </w:p>
    <w:sectPr>
      <w:headerReference w:type="even" r:id="rId40"/>
      <w:headerReference w:type="default" r:id="rId41"/>
      <w:footerReference w:type="even" r:id="rId42"/>
      <w:footerReference w:type="default" r:id="rId43"/>
      <w:headerReference w:type="first" r:id="rId44"/>
      <w:footerReference w:type="first" r:id="rId4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459951"/>
      <w:docPartObj>
        <w:docPartGallery w:val="Page Numbers (Bottom of Page)"/>
        <w:docPartUnique/>
      </w:docPartObj>
    </w:sdtPr>
    <w:sdtEndPr>
      <w:rPr>
        <w:noProof/>
      </w:rPr>
    </w:sdtEndPr>
    <w:sdtContent>
      <w:p>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10</w:t>
        </w:r>
        <w:r>
          <w:rPr>
            <w:rFonts w:ascii="Times New Roman" w:hAnsi="Times New Roman" w:cs="Times New Roman"/>
            <w:noProof/>
            <w:sz w:val="24"/>
            <w:szCs w:val="24"/>
          </w:rPr>
          <w:fldChar w:fldCharType="end"/>
        </w:r>
      </w:p>
    </w:sdtContent>
  </w:sdt>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28105"/>
      <w:docPartObj>
        <w:docPartGallery w:val="Page Numbers (Bottom of Page)"/>
        <w:docPartUnique/>
      </w:docPartObj>
    </w:sdtPr>
    <w:sdtEndPr>
      <w:rPr>
        <w:noProof/>
      </w:rPr>
    </w:sdtEndPr>
    <w:sdtContent>
      <w:p>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19</w:t>
        </w:r>
        <w:r>
          <w:rPr>
            <w:rFonts w:ascii="Times New Roman" w:hAnsi="Times New Roman" w:cs="Times New Roman"/>
            <w:noProof/>
            <w:sz w:val="24"/>
            <w:szCs w:val="24"/>
          </w:rPr>
          <w:fldChar w:fldCharType="end"/>
        </w:r>
      </w:p>
    </w:sdtContent>
  </w:sdt>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321018"/>
      <w:docPartObj>
        <w:docPartGallery w:val="Page Numbers (Bottom of Page)"/>
        <w:docPartUnique/>
      </w:docPartObj>
    </w:sdtPr>
    <w:sdtEndPr>
      <w:rPr>
        <w:rFonts w:ascii="Times New Roman" w:hAnsi="Times New Roman" w:cs="Times New Roman"/>
        <w:noProof/>
      </w:rPr>
    </w:sdtEndPr>
    <w:sdtContent>
      <w:p>
        <w:pPr>
          <w:pStyle w:val="Footer"/>
          <w:jc w:val="center"/>
        </w:pPr>
        <w:r>
          <w:rPr>
            <w:rFonts w:ascii="Times New Roman" w:hAnsi="Times New Roman" w:cs="Times New Roman"/>
          </w:rPr>
          <w:t>2</w:t>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955287"/>
      <w:docPartObj>
        <w:docPartGallery w:val="Page Numbers (Bottom of Page)"/>
        <w:docPartUnique/>
      </w:docPartObj>
    </w:sdtPr>
    <w:sdtEndPr>
      <w:rPr>
        <w:rFonts w:ascii="Times New Roman" w:hAnsi="Times New Roman" w:cs="Times New Roman"/>
        <w:noProof/>
        <w:sz w:val="24"/>
        <w:szCs w:val="24"/>
      </w:rPr>
    </w:sdtEndPr>
    <w:sdtContent>
      <w:p>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3</w:t>
        </w:r>
        <w:r>
          <w:rPr>
            <w:rFonts w:ascii="Times New Roman" w:hAnsi="Times New Roman" w:cs="Times New Roman"/>
            <w:noProof/>
            <w:sz w:val="24"/>
            <w:szCs w:val="24"/>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Default"/>
        <w:ind w:left="720" w:hanging="720"/>
        <w:rPr>
          <w:rFonts w:ascii="Times New Roman" w:hAnsi="Times New Roman" w:cs="Times New Roman"/>
          <w:color w:val="auto"/>
          <w:sz w:val="20"/>
          <w:szCs w:val="20"/>
          <w:lang w:eastAsia="en-US"/>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color w:val="auto"/>
          <w:sz w:val="20"/>
        </w:rPr>
        <w:t>Euroopan parlamentin ja neuvoston asetus (EY) N:o 726/2004, annettu 31 päivänä maaliskuuta 2004, ihmisille ja eläimille tarkoitettuja lääkkeitä koskevista yhteisön lupa- ja valvontamenettelyistä ja Euroopan lääkeviraston perustamisesta, EYVL L 136, 30.4.2004, s. 1.</w:t>
      </w:r>
    </w:p>
  </w:footnote>
  <w:footnote w:id="2">
    <w:p>
      <w:pPr>
        <w:pStyle w:val="Default"/>
        <w:ind w:left="720" w:hanging="720"/>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color w:val="auto"/>
          <w:sz w:val="20"/>
        </w:rPr>
        <w:t>Euroopan parlamentin ja neuvoston direktiivi 2001/83/EY, annettu 6 päivänä marraskuuta 2001, ihmisille tarkoitettuja lääkkeitä koskevista yhteisön säännöistä, EYVL L 311, 28.11.2001, s. 67.</w:t>
      </w:r>
    </w:p>
  </w:footnote>
  <w:footnote w:id="3">
    <w:p>
      <w:pPr>
        <w:pStyle w:val="FootnoteText"/>
      </w:pPr>
      <w:r>
        <w:rPr>
          <w:rStyle w:val="FootnoteReference"/>
        </w:rPr>
        <w:footnoteRef/>
      </w:r>
      <w:r>
        <w:t xml:space="preserve"> </w:t>
      </w:r>
      <w:r>
        <w:tab/>
        <w:t>Euroopan parlamentin ja neuvoston asetus (EU) N:o 1235/2010, annettu 15 päivänä joulukuuta 2010, ihmisille ja eläimille tarkoitettuja lääkkeitä koskevista yhteisön lupa- ja valvontamenettelyistä sekä Euroopan lääkeviraston perustamisesta annetun asetuksen (EY) N:o 726/2004 ja pitkälle kehitetyssä terapiassa käytettävistä lääkkeistä annetun asetuksen (EY) N:o 1394/2007 muuttamisesta ihmisille tarkoitettuja lääkkeitä koskevan lääketurvatoiminnan osalta, EUVL L 348, 31.12.2010, s. 1, ja Euroopan parlamentin ja neuvoston direktiivi 2010/84/EU, annettu 15 päivänä joulukuuta 2010, ihmisille tarkoitettuja lääkkeitä koskevista yhteisön säännöistä annetun direktiivin 2001/83/EY muuttamisesta lääketurvatoiminnan osalta, EUVL L 348, 31.12.2010, s. 74.</w:t>
      </w:r>
    </w:p>
  </w:footnote>
  <w:footnote w:id="4">
    <w:p>
      <w:pPr>
        <w:pStyle w:val="FootnoteText"/>
      </w:pPr>
      <w:r>
        <w:rPr>
          <w:rStyle w:val="FootnoteReference"/>
        </w:rPr>
        <w:footnoteRef/>
      </w:r>
      <w:r>
        <w:t xml:space="preserve"> </w:t>
      </w:r>
      <w:r>
        <w:tab/>
        <w:t>Euroopan parlamentin ja neuvoston asetus (EU) N:o 1027/2012, annettu 25 päivänä lokakuuta 2012, asetuksen (EY) N:o 726/2004 muuttamisesta lääketurvatoiminnan osalta, EUVL L 316, 14.11.2012, s. 38, ja Euroopan parlamentin ja neuvoston direktiivi 2012/26/EU, annettu 25 päivänä lokakuuta 2012, direktiivin 2001/83/EY muuttamisesta lääketurvatoiminnan osalta, EUVL L 299, 27.10.2012, s. 1.</w:t>
      </w:r>
    </w:p>
  </w:footnote>
  <w:footnote w:id="5">
    <w:p>
      <w:pPr>
        <w:pStyle w:val="FootnoteText"/>
        <w:rPr>
          <w:lang w:val="en-GB"/>
        </w:rPr>
      </w:pPr>
      <w:r>
        <w:rPr>
          <w:rStyle w:val="FootnoteReference"/>
        </w:rPr>
        <w:footnoteRef/>
      </w:r>
      <w:r>
        <w:rPr>
          <w:lang w:val="en-GB"/>
        </w:rPr>
        <w:t xml:space="preserve"> </w:t>
      </w:r>
      <w:r>
        <w:rPr>
          <w:lang w:val="en-GB"/>
        </w:rPr>
        <w:tab/>
        <w:t>SWD (2016) 284 final.</w:t>
      </w:r>
    </w:p>
  </w:footnote>
  <w:footnote w:id="6">
    <w:p>
      <w:pPr>
        <w:pStyle w:val="FootnoteText"/>
        <w:rPr>
          <w:lang w:val="en-GB"/>
        </w:rPr>
      </w:pPr>
      <w:r>
        <w:rPr>
          <w:rStyle w:val="FootnoteReference"/>
        </w:rPr>
        <w:footnoteRef/>
      </w:r>
      <w:r>
        <w:rPr>
          <w:lang w:val="en-GB"/>
        </w:rPr>
        <w:t xml:space="preserve"> </w:t>
      </w:r>
      <w:r>
        <w:rPr>
          <w:lang w:val="en-GB"/>
        </w:rPr>
        <w:tab/>
        <w:t xml:space="preserve">Euroopan lääkevirasto, </w:t>
      </w:r>
      <w:r>
        <w:rPr>
          <w:i/>
          <w:lang w:val="en-GB"/>
        </w:rPr>
        <w:t>The European regulatory system for medicines and the European Medicines Agency</w:t>
      </w:r>
      <w:r>
        <w:rPr>
          <w:lang w:val="en-GB"/>
        </w:rPr>
        <w:t>, EMA/437313/2014.</w:t>
      </w:r>
    </w:p>
  </w:footnote>
  <w:footnote w:id="7">
    <w:p>
      <w:pPr>
        <w:pStyle w:val="FootnoteText"/>
      </w:pPr>
      <w:r>
        <w:rPr>
          <w:rStyle w:val="FootnoteReference"/>
        </w:rPr>
        <w:footnoteRef/>
      </w:r>
      <w:r>
        <w:t xml:space="preserve"> </w:t>
      </w:r>
      <w:r>
        <w:tab/>
        <w:t xml:space="preserve">Lisätietoja koordinointiryhmän tehtävistä ja toiminnasta annetaan seuraavalla verkkosivulla: </w:t>
      </w:r>
      <w:hyperlink r:id="rId1">
        <w:r>
          <w:rPr>
            <w:rStyle w:val="Hyperlink"/>
          </w:rPr>
          <w:t>http://www.hma.eu/cmdh.html</w:t>
        </w:r>
      </w:hyperlink>
      <w:r>
        <w:rPr>
          <w:rStyle w:val="Hyperlink"/>
        </w:rPr>
        <w:t>.</w:t>
      </w:r>
      <w:r>
        <w:t xml:space="preserve"> </w:t>
      </w:r>
    </w:p>
  </w:footnote>
  <w:footnote w:id="8">
    <w:p>
      <w:pPr>
        <w:pStyle w:val="FootnoteText"/>
      </w:pPr>
      <w:r>
        <w:rPr>
          <w:rStyle w:val="FootnoteReference"/>
        </w:rPr>
        <w:footnoteRef/>
      </w:r>
      <w:r>
        <w:tab/>
        <w:t>Asetuksen (EY) N:o 726/2004 57 artiklan 1 kohdan l alakohta.</w:t>
      </w:r>
    </w:p>
  </w:footnote>
  <w:footnote w:id="9">
    <w:p>
      <w:pPr>
        <w:pStyle w:val="FootnoteText"/>
      </w:pPr>
      <w:r>
        <w:rPr>
          <w:rStyle w:val="FootnoteReference"/>
        </w:rPr>
        <w:footnoteRef/>
      </w:r>
      <w:r>
        <w:t xml:space="preserve"> </w:t>
      </w:r>
      <w:r>
        <w:tab/>
        <w:t>Lisätietoja Eudravigilance-tietokannasta saa asetuksen (EY) N:o 726/2004 24 artiklan 2 kohdan mukaisesta vuosikertomuksesta.</w:t>
      </w:r>
    </w:p>
    <w:p>
      <w:pPr>
        <w:pStyle w:val="FootnoteText"/>
        <w:ind w:firstLine="0"/>
      </w:pPr>
      <w:r>
        <w:t>(http://www.ema.europa.eu/docs/en_GB/document_library/Report/2016/03/WC500203705.pdf).</w:t>
      </w:r>
    </w:p>
  </w:footnote>
  <w:footnote w:id="10">
    <w:p>
      <w:pPr>
        <w:pStyle w:val="FootnoteText"/>
      </w:pPr>
      <w:r>
        <w:rPr>
          <w:rStyle w:val="FootnoteReference"/>
        </w:rPr>
        <w:footnoteRef/>
      </w:r>
      <w:r>
        <w:t xml:space="preserve"> </w:t>
      </w:r>
      <w:r>
        <w:tab/>
        <w:t xml:space="preserve">Eurooppalaisen konsortion hanke </w:t>
      </w:r>
      <w:r>
        <w:rPr>
          <w:i/>
        </w:rPr>
        <w:t>Pharmacoepidemiological Research on Outcomes of Therapeutics</w:t>
      </w:r>
      <w:r>
        <w:t>, innovatiivinen lääkealoitehanke, jolla on sekä julkista että yksityistä rahoitusta.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C5AA5"/>
    <w:multiLevelType w:val="hybridMultilevel"/>
    <w:tmpl w:val="621A1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65261C"/>
    <w:multiLevelType w:val="hybridMultilevel"/>
    <w:tmpl w:val="781A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774360515AFC4A34AC34084672E803A7"/>
    <w:docVar w:name="LW_CROSSREFERENCE" w:val="{SWD(2016) 284 final}"/>
    <w:docVar w:name="LW_DocType" w:val="NORMAL"/>
    <w:docVar w:name="LW_EMISSION" w:val="8.8.2016"/>
    <w:docVar w:name="LW_EMISSION_ISODATE" w:val="2016-08-08"/>
    <w:docVar w:name="LW_EMISSION_LOCATION" w:val="BRX"/>
    <w:docVar w:name="LW_EMISSION_PREFIX" w:val="Bryssel "/>
    <w:docVar w:name="LW_EMISSION_SUFFIX" w:val=" "/>
    <w:docVar w:name="LW_ID_DOCTYPE_NONLW" w:val="CP-003"/>
    <w:docVar w:name="LW_LANGUE" w:val="FI"/>
    <w:docVar w:name="LW_MARKING" w:val="&lt;UNUSED&g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6) 498"/>
    <w:docVar w:name="LW_REF.INTERNE" w:val="&lt;UNUSED&gt;"/>
    <w:docVar w:name="LW_SOUS.TITRE.OBJ.CP" w:val="&lt;UNUSED&gt;"/>
    <w:docVar w:name="LW_SUPERTITRE" w:val="&lt;UNUSED&gt;"/>
    <w:docVar w:name="LW_TITRE.OBJ.CP" w:val="ihmisille tarkoitettuja lääkkeitä koskevasta jäsenvaltioiden ja Euroopan lääkeviraston lääketurvatoiminnasta (2012\u8211?2014)"/>
    <w:docVar w:name="LW_TYPE.DOC.CP" w:val="KOMISSION KERTOMU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pPr>
      <w:spacing w:after="0" w:line="240" w:lineRule="auto"/>
      <w:ind w:left="720" w:hanging="720"/>
      <w:jc w:val="both"/>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rPr>
      <w:rFonts w:ascii="Times New Roman" w:eastAsia="MS Mincho" w:hAnsi="Times New Roman" w:cs="Times New Roman"/>
      <w:sz w:val="20"/>
      <w:szCs w:val="20"/>
      <w:lang w:val="fi-FI"/>
    </w:rPr>
  </w:style>
  <w:style w:type="character" w:styleId="FootnoteReference">
    <w:name w:val="footnote reference"/>
    <w:rPr>
      <w:shd w:val="clear" w:color="auto" w:fill="auto"/>
      <w:vertAlign w:val="superscript"/>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MS Mincho" w:hAnsi="Times New Roman" w:cs="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MS Mincho" w:hAnsi="Times New Roman" w:cs="Times New Roman"/>
      <w:b/>
      <w:sz w:val="24"/>
      <w:szCs w:val="24"/>
    </w:rPr>
  </w:style>
  <w:style w:type="paragraph" w:customStyle="1" w:styleId="Annexetitre">
    <w:name w:val="Annexe titre"/>
    <w:basedOn w:val="Normal"/>
    <w:next w:val="Normal"/>
    <w:pPr>
      <w:spacing w:before="120" w:after="120" w:line="240" w:lineRule="auto"/>
      <w:jc w:val="center"/>
    </w:pPr>
    <w:rPr>
      <w:rFonts w:ascii="Times New Roman" w:eastAsia="MS Mincho" w:hAnsi="Times New Roman" w:cs="Times New Roman"/>
      <w:b/>
      <w:sz w:val="24"/>
      <w:szCs w:val="24"/>
      <w:u w:val="single"/>
    </w:rPr>
  </w:style>
  <w:style w:type="paragraph" w:customStyle="1" w:styleId="Titreobjet">
    <w:name w:val="Titre objet"/>
    <w:basedOn w:val="Normal"/>
    <w:next w:val="Normal"/>
    <w:pPr>
      <w:spacing w:before="360" w:after="360" w:line="240" w:lineRule="auto"/>
      <w:jc w:val="center"/>
    </w:pPr>
    <w:rPr>
      <w:rFonts w:ascii="Times New Roman" w:eastAsia="MS Mincho" w:hAnsi="Times New Roman" w:cs="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MS Mincho" w:hAnsi="Times New Roman" w:cs="Times New Roman"/>
      <w:b/>
      <w:sz w:val="24"/>
      <w:szCs w:val="24"/>
    </w:rPr>
  </w:style>
  <w:style w:type="paragraph" w:customStyle="1" w:styleId="IntrtEEE">
    <w:name w:val="Intérêt EEE"/>
    <w:basedOn w:val="Normal"/>
    <w:next w:val="Normal"/>
    <w:pPr>
      <w:spacing w:before="360" w:after="240" w:line="240" w:lineRule="auto"/>
      <w:jc w:val="center"/>
    </w:pPr>
    <w:rPr>
      <w:rFonts w:ascii="Times New Roman" w:eastAsia="MS Mincho" w:hAnsi="Times New Roman" w:cs="Times New Roman"/>
      <w:sz w:val="24"/>
      <w:szCs w:val="24"/>
    </w:rPr>
  </w:style>
  <w:style w:type="paragraph" w:customStyle="1" w:styleId="Default">
    <w:name w:val="Default"/>
    <w:pPr>
      <w:autoSpaceDE w:val="0"/>
      <w:autoSpaceDN w:val="0"/>
      <w:adjustRightInd w:val="0"/>
      <w:spacing w:after="0" w:line="240" w:lineRule="auto"/>
    </w:pPr>
    <w:rPr>
      <w:rFonts w:ascii="Verdana" w:eastAsia="MS Mincho" w:hAnsi="Verdana" w:cs="Verdana"/>
      <w:color w:val="000000"/>
      <w:sz w:val="24"/>
      <w:szCs w:val="24"/>
    </w:rPr>
  </w:style>
  <w:style w:type="character" w:styleId="Hyperlink">
    <w:name w:val="Hyperlink"/>
    <w:rPr>
      <w:color w:val="0000FF"/>
      <w:u w:val="single"/>
    </w:rPr>
  </w:style>
  <w:style w:type="character" w:customStyle="1" w:styleId="BodytextAgencyChar">
    <w:name w:val="Body text (Agency) Char"/>
    <w:link w:val="BodytextAgency"/>
    <w:locked/>
    <w:rPr>
      <w:rFonts w:ascii="Verdana" w:eastAsia="Verdana" w:hAnsi="Verdana" w:cs="Verdana"/>
      <w:sz w:val="18"/>
      <w:szCs w:val="18"/>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rPr>
  </w:style>
  <w:style w:type="character" w:styleId="LineNumber">
    <w:name w:val="line number"/>
    <w:basedOn w:val="DefaultParagraphFon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pPr>
      <w:spacing w:after="0" w:line="240" w:lineRule="auto"/>
      <w:ind w:left="720" w:hanging="720"/>
      <w:jc w:val="both"/>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rPr>
      <w:rFonts w:ascii="Times New Roman" w:eastAsia="MS Mincho" w:hAnsi="Times New Roman" w:cs="Times New Roman"/>
      <w:sz w:val="20"/>
      <w:szCs w:val="20"/>
      <w:lang w:val="fi-FI"/>
    </w:rPr>
  </w:style>
  <w:style w:type="character" w:styleId="FootnoteReference">
    <w:name w:val="footnote reference"/>
    <w:rPr>
      <w:shd w:val="clear" w:color="auto" w:fill="auto"/>
      <w:vertAlign w:val="superscript"/>
    </w:rPr>
  </w:style>
  <w:style w:type="paragraph" w:customStyle="1" w:styleId="ManualHeading1">
    <w:name w:val="Manual Heading 1"/>
    <w:basedOn w:val="Normal"/>
    <w:next w:val="Normal"/>
    <w:pPr>
      <w:keepNext/>
      <w:tabs>
        <w:tab w:val="left" w:pos="850"/>
      </w:tabs>
      <w:spacing w:before="360" w:after="120" w:line="240" w:lineRule="auto"/>
      <w:ind w:left="850" w:hanging="850"/>
      <w:jc w:val="both"/>
      <w:outlineLvl w:val="0"/>
    </w:pPr>
    <w:rPr>
      <w:rFonts w:ascii="Times New Roman" w:eastAsia="MS Mincho" w:hAnsi="Times New Roman" w:cs="Times New Roman"/>
      <w:b/>
      <w:smallCaps/>
      <w:sz w:val="24"/>
      <w:szCs w:val="24"/>
    </w:rPr>
  </w:style>
  <w:style w:type="paragraph" w:customStyle="1" w:styleId="ManualHeading2">
    <w:name w:val="Manual Heading 2"/>
    <w:basedOn w:val="Normal"/>
    <w:next w:val="Normal"/>
    <w:pPr>
      <w:keepNext/>
      <w:tabs>
        <w:tab w:val="left" w:pos="850"/>
      </w:tabs>
      <w:spacing w:before="120" w:after="120" w:line="240" w:lineRule="auto"/>
      <w:ind w:left="850" w:hanging="850"/>
      <w:jc w:val="both"/>
      <w:outlineLvl w:val="1"/>
    </w:pPr>
    <w:rPr>
      <w:rFonts w:ascii="Times New Roman" w:eastAsia="MS Mincho" w:hAnsi="Times New Roman" w:cs="Times New Roman"/>
      <w:b/>
      <w:sz w:val="24"/>
      <w:szCs w:val="24"/>
    </w:rPr>
  </w:style>
  <w:style w:type="paragraph" w:customStyle="1" w:styleId="Annexetitre">
    <w:name w:val="Annexe titre"/>
    <w:basedOn w:val="Normal"/>
    <w:next w:val="Normal"/>
    <w:pPr>
      <w:spacing w:before="120" w:after="120" w:line="240" w:lineRule="auto"/>
      <w:jc w:val="center"/>
    </w:pPr>
    <w:rPr>
      <w:rFonts w:ascii="Times New Roman" w:eastAsia="MS Mincho" w:hAnsi="Times New Roman" w:cs="Times New Roman"/>
      <w:b/>
      <w:sz w:val="24"/>
      <w:szCs w:val="24"/>
      <w:u w:val="single"/>
    </w:rPr>
  </w:style>
  <w:style w:type="paragraph" w:customStyle="1" w:styleId="Titreobjet">
    <w:name w:val="Titre objet"/>
    <w:basedOn w:val="Normal"/>
    <w:next w:val="Normal"/>
    <w:pPr>
      <w:spacing w:before="360" w:after="360" w:line="240" w:lineRule="auto"/>
      <w:jc w:val="center"/>
    </w:pPr>
    <w:rPr>
      <w:rFonts w:ascii="Times New Roman" w:eastAsia="MS Mincho" w:hAnsi="Times New Roman" w:cs="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MS Mincho" w:hAnsi="Times New Roman" w:cs="Times New Roman"/>
      <w:b/>
      <w:sz w:val="24"/>
      <w:szCs w:val="24"/>
    </w:rPr>
  </w:style>
  <w:style w:type="paragraph" w:customStyle="1" w:styleId="IntrtEEE">
    <w:name w:val="Intérêt EEE"/>
    <w:basedOn w:val="Normal"/>
    <w:next w:val="Normal"/>
    <w:pPr>
      <w:spacing w:before="360" w:after="240" w:line="240" w:lineRule="auto"/>
      <w:jc w:val="center"/>
    </w:pPr>
    <w:rPr>
      <w:rFonts w:ascii="Times New Roman" w:eastAsia="MS Mincho" w:hAnsi="Times New Roman" w:cs="Times New Roman"/>
      <w:sz w:val="24"/>
      <w:szCs w:val="24"/>
    </w:rPr>
  </w:style>
  <w:style w:type="paragraph" w:customStyle="1" w:styleId="Default">
    <w:name w:val="Default"/>
    <w:pPr>
      <w:autoSpaceDE w:val="0"/>
      <w:autoSpaceDN w:val="0"/>
      <w:adjustRightInd w:val="0"/>
      <w:spacing w:after="0" w:line="240" w:lineRule="auto"/>
    </w:pPr>
    <w:rPr>
      <w:rFonts w:ascii="Verdana" w:eastAsia="MS Mincho" w:hAnsi="Verdana" w:cs="Verdana"/>
      <w:color w:val="000000"/>
      <w:sz w:val="24"/>
      <w:szCs w:val="24"/>
    </w:rPr>
  </w:style>
  <w:style w:type="character" w:styleId="Hyperlink">
    <w:name w:val="Hyperlink"/>
    <w:rPr>
      <w:color w:val="0000FF"/>
      <w:u w:val="single"/>
    </w:rPr>
  </w:style>
  <w:style w:type="character" w:customStyle="1" w:styleId="BodytextAgencyChar">
    <w:name w:val="Body text (Agency) Char"/>
    <w:link w:val="BodytextAgency"/>
    <w:locked/>
    <w:rPr>
      <w:rFonts w:ascii="Verdana" w:eastAsia="Verdana" w:hAnsi="Verdana" w:cs="Verdana"/>
      <w:sz w:val="18"/>
      <w:szCs w:val="18"/>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rPr>
  </w:style>
  <w:style w:type="character" w:styleId="LineNumber">
    <w:name w:val="line number"/>
    <w:basedOn w:val="DefaultParagraphFon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image" Target="media/image2.emf"/><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chart" Target="charts/chart1.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image" Target="media/image5.emf"/><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image" Target="media/image4.emf"/><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image" Target="media/image3.emf"/><Relationship Id="rId43" Type="http://schemas.openxmlformats.org/officeDocument/2006/relationships/footer" Target="footer14.xml"/></Relationships>
</file>

<file path=word/_rels/footnotes.xml.rels><?xml version="1.0" encoding="UTF-8" standalone="yes"?>
<Relationships xmlns="http://schemas.openxmlformats.org/package/2006/relationships"><Relationship Id="rId1" Type="http://schemas.openxmlformats.org/officeDocument/2006/relationships/hyperlink" Target="http://www.hma.eu/cmdh.html"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http://www.cc.cec/tradesk/GUI/fileViewer/SANTE-2016-80245-00-00-FI-FLA-00.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US" sz="1000"/>
              <a:t>Riskiarviointikomitean</a:t>
            </a:r>
            <a:r>
              <a:rPr lang="en-US" sz="1000" baseline="0"/>
              <a:t> arvioimat signaalit syyskuusta </a:t>
            </a:r>
            <a:r>
              <a:rPr lang="en-US" sz="1000"/>
              <a:t>2012 joulukuuhun 2014, </a:t>
            </a:r>
            <a:br>
              <a:rPr lang="en-US" sz="1000"/>
            </a:br>
            <a:r>
              <a:rPr lang="en-US" sz="1000"/>
              <a:t>yhteensä</a:t>
            </a:r>
            <a:r>
              <a:rPr lang="en-US" sz="1000" baseline="0"/>
              <a:t> </a:t>
            </a:r>
            <a:r>
              <a:rPr lang="en-US" sz="1000"/>
              <a:t>= 193</a:t>
            </a:r>
          </a:p>
        </c:rich>
      </c:tx>
      <c:layout>
        <c:manualLayout>
          <c:xMode val="edge"/>
          <c:yMode val="edge"/>
          <c:x val="0.1662264944154708"/>
          <c:y val="1.6597510373443983E-2"/>
        </c:manualLayout>
      </c:layout>
      <c:overlay val="0"/>
    </c:title>
    <c:autoTitleDeleted val="0"/>
    <c:plotArea>
      <c:layout>
        <c:manualLayout>
          <c:layoutTarget val="inner"/>
          <c:xMode val="edge"/>
          <c:yMode val="edge"/>
          <c:x val="0.13355514904071333"/>
          <c:y val="0.18013983126785038"/>
          <c:w val="0.73850159512889169"/>
          <c:h val="0.7582885868739182"/>
        </c:manualLayout>
      </c:layout>
      <c:pieChart>
        <c:varyColors val="1"/>
        <c:ser>
          <c:idx val="0"/>
          <c:order val="0"/>
          <c:dPt>
            <c:idx val="0"/>
            <c:bubble3D val="0"/>
          </c:dPt>
          <c:dPt>
            <c:idx val="1"/>
            <c:bubble3D val="0"/>
          </c:dPt>
          <c:dPt>
            <c:idx val="2"/>
            <c:bubble3D val="0"/>
          </c:dPt>
          <c:dPt>
            <c:idx val="3"/>
            <c:bubble3D val="0"/>
          </c:dPt>
          <c:dPt>
            <c:idx val="4"/>
            <c:bubble3D val="0"/>
          </c:dPt>
          <c:dPt>
            <c:idx val="5"/>
            <c:bubble3D val="0"/>
          </c:dPt>
          <c:dLbls>
            <c:dLbl>
              <c:idx val="0"/>
              <c:tx>
                <c:rich>
                  <a:bodyPr/>
                  <a:lstStyle/>
                  <a:p>
                    <a:pPr>
                      <a:defRPr sz="800">
                        <a:solidFill>
                          <a:schemeClr val="bg1"/>
                        </a:solidFill>
                      </a:defRPr>
                    </a:pPr>
                    <a:r>
                      <a:rPr lang="en-US"/>
                      <a:t>Arviointi käynnissä; 33; 17 %</a:t>
                    </a:r>
                  </a:p>
                </c:rich>
              </c:tx>
              <c:spPr/>
              <c:showLegendKey val="0"/>
              <c:showVal val="1"/>
              <c:showCatName val="1"/>
              <c:showSerName val="0"/>
              <c:showPercent val="1"/>
              <c:showBubbleSize val="0"/>
            </c:dLbl>
            <c:dLbl>
              <c:idx val="1"/>
              <c:layout>
                <c:manualLayout>
                  <c:x val="-0.18189418241911681"/>
                  <c:y val="-0.20881590319792567"/>
                </c:manualLayout>
              </c:layout>
              <c:tx>
                <c:rich>
                  <a:bodyPr/>
                  <a:lstStyle/>
                  <a:p>
                    <a:r>
                      <a:rPr lang="en-US"/>
                      <a:t>Tuotetietojen päivitys; 100; 52 %</a:t>
                    </a:r>
                  </a:p>
                </c:rich>
              </c:tx>
              <c:dLblPos val="bestFit"/>
              <c:showLegendKey val="0"/>
              <c:showVal val="1"/>
              <c:showCatName val="1"/>
              <c:showSerName val="0"/>
              <c:showPercent val="1"/>
              <c:showBubbleSize val="0"/>
            </c:dLbl>
            <c:dLbl>
              <c:idx val="2"/>
              <c:layout>
                <c:manualLayout>
                  <c:x val="0.20904882154882154"/>
                  <c:y val="0.10246451475328765"/>
                </c:manualLayout>
              </c:layout>
              <c:tx>
                <c:rich>
                  <a:bodyPr/>
                  <a:lstStyle/>
                  <a:p>
                    <a:r>
                      <a:rPr lang="en-US" sz="800"/>
                      <a:t>Rutiinimainen</a:t>
                    </a:r>
                    <a:r>
                      <a:rPr lang="en-US" sz="800" baseline="0"/>
                      <a:t> lääketurvatoiminta</a:t>
                    </a:r>
                    <a:r>
                      <a:rPr lang="en-US" sz="800"/>
                      <a:t>, 46, 24%</a:t>
                    </a:r>
                    <a:endParaRPr lang="en-US"/>
                  </a:p>
                </c:rich>
              </c:tx>
              <c:dLblPos val="bestFit"/>
              <c:showLegendKey val="0"/>
              <c:showVal val="0"/>
              <c:showCatName val="0"/>
              <c:showSerName val="0"/>
              <c:showPercent val="0"/>
              <c:showBubbleSize val="0"/>
            </c:dLbl>
            <c:dLbl>
              <c:idx val="3"/>
              <c:layout>
                <c:manualLayout>
                  <c:x val="-0.14644919385076866"/>
                  <c:y val="6.4118230034523715E-2"/>
                </c:manualLayout>
              </c:layout>
              <c:tx>
                <c:rich>
                  <a:bodyPr/>
                  <a:lstStyle/>
                  <a:p>
                    <a:r>
                      <a:rPr lang="en-US"/>
                      <a:t>Lausuntopyynnöt; 11; 6 %</a:t>
                    </a:r>
                  </a:p>
                </c:rich>
              </c:tx>
              <c:dLblPos val="bestFit"/>
              <c:showLegendKey val="0"/>
              <c:showVal val="1"/>
              <c:showCatName val="1"/>
              <c:showSerName val="0"/>
              <c:showPercent val="1"/>
              <c:showBubbleSize val="0"/>
            </c:dLbl>
            <c:dLbl>
              <c:idx val="4"/>
              <c:tx>
                <c:rich>
                  <a:bodyPr/>
                  <a:lstStyle/>
                  <a:p>
                    <a:r>
                      <a:rPr lang="en-US"/>
                      <a:t>Riskinhallinta-suunnitelman päivitys; 2; 1 %</a:t>
                    </a:r>
                  </a:p>
                </c:rich>
              </c:tx>
              <c:showLegendKey val="0"/>
              <c:showVal val="1"/>
              <c:showCatName val="1"/>
              <c:showSerName val="0"/>
              <c:showPercent val="1"/>
              <c:showBubbleSize val="0"/>
            </c:dLbl>
            <c:dLbl>
              <c:idx val="5"/>
              <c:layout>
                <c:manualLayout>
                  <c:x val="0.30593644228814831"/>
                  <c:y val="1.0836696406899009E-3"/>
                </c:manualLayout>
              </c:layout>
              <c:tx>
                <c:rich>
                  <a:bodyPr/>
                  <a:lstStyle/>
                  <a:p>
                    <a:r>
                      <a:rPr lang="en-US"/>
                      <a:t>Myyntiluvan myöntämisen jälkeinen turvallisuus-tutkimus; 1; 0 %</a:t>
                    </a:r>
                  </a:p>
                </c:rich>
              </c:tx>
              <c:dLblPos val="bestFit"/>
              <c:showLegendKey val="0"/>
              <c:showVal val="1"/>
              <c:showCatName val="1"/>
              <c:showSerName val="0"/>
              <c:showPercent val="1"/>
              <c:showBubbleSize val="0"/>
            </c:dLbl>
            <c:txPr>
              <a:bodyPr/>
              <a:lstStyle/>
              <a:p>
                <a:pPr>
                  <a:defRPr sz="800"/>
                </a:pPr>
                <a:endParaRPr lang="en-US"/>
              </a:p>
            </c:txPr>
            <c:showLegendKey val="0"/>
            <c:showVal val="1"/>
            <c:showCatName val="1"/>
            <c:showSerName val="0"/>
            <c:showPercent val="1"/>
            <c:showBubbleSize val="0"/>
            <c:showLeaderLines val="1"/>
          </c:dLbls>
          <c:cat>
            <c:strRef>
              <c:f>[1]Outcomes!$A$3:$A$8</c:f>
              <c:strCache>
                <c:ptCount val="6"/>
                <c:pt idx="0">
                  <c:v>Assessment on-going</c:v>
                </c:pt>
                <c:pt idx="1">
                  <c:v>Update of product information</c:v>
                </c:pt>
                <c:pt idx="2">
                  <c:v>Routine pharmacovigilance</c:v>
                </c:pt>
                <c:pt idx="3">
                  <c:v>Referral </c:v>
                </c:pt>
                <c:pt idx="4">
                  <c:v>Update of RMP</c:v>
                </c:pt>
                <c:pt idx="5">
                  <c:v>PASS</c:v>
                </c:pt>
              </c:strCache>
            </c:strRef>
          </c:cat>
          <c:val>
            <c:numRef>
              <c:f>[1]Outcomes!$F$3:$F$8</c:f>
              <c:numCache>
                <c:formatCode>General</c:formatCode>
                <c:ptCount val="6"/>
                <c:pt idx="0">
                  <c:v>33</c:v>
                </c:pt>
                <c:pt idx="1">
                  <c:v>100</c:v>
                </c:pt>
                <c:pt idx="2">
                  <c:v>46</c:v>
                </c:pt>
                <c:pt idx="3">
                  <c:v>11</c:v>
                </c:pt>
                <c:pt idx="4">
                  <c:v>2</c:v>
                </c:pt>
                <c:pt idx="5">
                  <c:v>1</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txPr>
    <a:bodyPr/>
    <a:lstStyle/>
    <a:p>
      <a:pPr>
        <a:defRPr sz="1000">
          <a:latin typeface="Verdana" panose="020B0604030504040204" pitchFamily="34" charset="0"/>
          <a:ea typeface="Verdana" panose="020B0604030504040204" pitchFamily="34" charset="0"/>
          <a:cs typeface="Verdana" panose="020B060403050404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Agency">
    <a:dk1>
      <a:sysClr val="windowText" lastClr="000000"/>
    </a:dk1>
    <a:lt1>
      <a:sysClr val="window" lastClr="FFFFFF"/>
    </a:lt1>
    <a:dk2>
      <a:srgbClr val="1F497D"/>
    </a:dk2>
    <a:lt2>
      <a:srgbClr val="EEECE1"/>
    </a:lt2>
    <a:accent1>
      <a:srgbClr val="003399"/>
    </a:accent1>
    <a:accent2>
      <a:srgbClr val="7BBBB2"/>
    </a:accent2>
    <a:accent3>
      <a:srgbClr val="FECB00"/>
    </a:accent3>
    <a:accent4>
      <a:srgbClr val="009BBB"/>
    </a:accent4>
    <a:accent5>
      <a:srgbClr val="E98300"/>
    </a:accent5>
    <a:accent6>
      <a:srgbClr val="983222"/>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C6252-747D-4F72-AF0E-36E3D2D4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1994</Words>
  <Characters>17753</Characters>
  <Application>Microsoft Office Word</Application>
  <DocSecurity>0</DocSecurity>
  <Lines>443</Lines>
  <Paragraphs>237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Manager/>
  <Company/>
  <LinksUpToDate>false</LinksUpToDate>
  <CharactersWithSpaces>19510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2016-07-18T09:35:00Z</dcterms:created>
  <dcterms:modified xsi:type="dcterms:W3CDTF">2016-08-05T08:38:00Z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