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D8D4C0EA8093425896A4F01518CBA1C3" style="width:450.75pt;height:334.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SPRÁVA KOMISIE</w:t>
      </w:r>
    </w:p>
    <w:p>
      <w:pPr>
        <w:pStyle w:val="Titreobjet"/>
        <w:rPr>
          <w:noProof/>
        </w:rPr>
      </w:pPr>
      <w:r>
        <w:rPr>
          <w:noProof/>
        </w:rPr>
        <w:t xml:space="preserve">Farmakovigilančné činnosti členských štátov a Európskej agentúry pre lieky týkajúce </w:t>
      </w:r>
      <w:r>
        <w:rPr>
          <w:noProof/>
        </w:rPr>
        <w:br/>
        <w:t>sa liekov na humánne použitie</w:t>
      </w:r>
      <w:r>
        <w:rPr>
          <w:noProof/>
        </w:rPr>
        <w:br/>
        <w:t xml:space="preserve"> (2012 – 2014)</w:t>
      </w:r>
    </w:p>
    <w:p>
      <w:pPr>
        <w:pStyle w:val="ManualHeading1"/>
        <w:jc w:val="center"/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Úvod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Lieky na humánne použitie podliehajú v Európskej únii (EÚ) prísnemu skúšaniu a posudzovaniu ich kvality, účinnosti a bezpečnosti ešte pred tým, ako sa schvália buď na úrovni členského štátu, alebo na úrovni EÚ. Po ich umiestnení na trh sa ďalej monitorujú prostredníctvom farmakovigilančných činností.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Farmakovigilancia (dohľad nad liekmi) je podľa vymedzenia Svetovej zdravotníckej organizácie (WHO) „veda a aktivity súvisiace s detekciou, hodnotením, chápaním a prevenciou nežiaducich účinkov alebo akéhokoľvek iného problému týkajúceho sa lieku“.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Niektoré vedľajšie účinky alebo „nežiaduce účinky“ sa môžu prejaviť až po tom, ako bol liek podaný veľkému množstvu ľudí na užitie v reálnom živote. Preto je nevyhnutné, aby sa bezpečnosť všetkých liekov monitorovala počas ich celého používania v zdravotníckej praxi.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Právny rámec EÚ pre farmakovigilanciu liekov na humánne použitie je stanovený v nariadení (ES) č. 726/2004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a smernici 2001/83/ES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>. Tieto právne predpisy boli zmenené v rokoch 2010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a 2012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>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 článku 29 nariadenia (ES) č. 726/2004 sa vyžaduje pravidelné zverejňovanie správy o vykonávaní úloh Európskej agentúry pre lieky (EMA) v oblasti dohľadu nad liekmi a v článku 108b smernice 2001/83/ES pravidelné zverejňovanie správy o plnení dohľadu nad liekmi členskými štátmi.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Táto správa spolu so sprievodným pracovným dokumentom útvarov Komisie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opisuje činnosti sieťovo prepojeného a partnerského systému EÚ na monitorovanie a kontrolu bezpečnosti liekov na humánne použitie a zameriava sa na činnosti od začiatku platnosti nových právnych predpisov v roku 2012 až do konca roku 2014, zahŕňa však aj informácie o niektorých úlohách a postupoch iniciovaných do júla 2015.</w:t>
      </w:r>
    </w:p>
    <w:p>
      <w:pPr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</w:pP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Úzka spolupráca medzi európskymi regulačnými orgánmi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Hlavný prínos nových farmakovigilančných právnych predpisov spočíva v zabezpečení toho, aby regulačné orgány mohli včas a účinne reagovať na vznikajúce alebo naliehavé zdravotné problémy. Na tento účel regulačné orgány pre lieky v 31 krajinách Európskeho hospodárskeho priestoru (EHP), agentúra EMA a Európska komisia úzko spolupracujú a partnersky fungujú ako sieť s cieľom prediskutovať a pohotovo riešiť akýkoľvek vznikajúci problém v záujme prístupu pacientov k bezpečným a účinným liekom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. Schopnosť prijímať rýchle a rozhodné regulačné opatrenia sa zlepšila prostredníctvom právnych predpisov vytvorením Výboru pre hodnotenie farmakovigilančných rizík, posilnením Koordinačnej skupiny pre postupy vzájomného uznávania a decentralizované postupy – humánne lieky a zavedením nových postupov rýchleho rozhodovania, ak je ohrozené verejné zdravie.</w:t>
      </w:r>
    </w:p>
    <w:p>
      <w:pPr>
        <w:pStyle w:val="ManualHeading2"/>
        <w:rPr>
          <w:noProof/>
        </w:rPr>
      </w:pPr>
      <w:r>
        <w:rPr>
          <w:noProof/>
        </w:rPr>
        <w:t>2.1.</w:t>
      </w:r>
      <w:r>
        <w:rPr>
          <w:noProof/>
        </w:rPr>
        <w:tab/>
        <w:t>Úloha členských štátov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Celý farmakovigilančný systém poháňajú jednotlivé členské štáty EHP. Poskytujú veľké množstvo zdrojov a vedomostí na účely posúdenia signálov možných vznikajúcich vedľajších účinkov a plnia vedúcu úlohu pri hodnotení a analýze údajov, keď sa otázka bezpečnosti posudzuje na európskej úrovni. Prevádzkujú inšpektoráty, ktoré zabezpečujú, aby lieky predávané v EÚ boli náležite vyrobené a mali primeranú kvalitu, a aby farmakovigilančné systémy v tomto priemysle fungovali tak, ako majú.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Právne predpisy udeľujú Koordinačnej skupine pre postupy vzájomného uznávania a decentralizované postupy – humánne lieky (CMDh,</w:t>
      </w:r>
      <w:r>
        <w:rPr>
          <w:rFonts w:ascii="Times New Roman" w:hAnsi="Times New Roman"/>
          <w:i/>
          <w:noProof/>
          <w:sz w:val="24"/>
        </w:rPr>
        <w:t xml:space="preserve"> Mutual recognition and Decentralised procedures – human</w:t>
      </w:r>
      <w:r>
        <w:rPr>
          <w:rFonts w:ascii="Times New Roman" w:hAnsi="Times New Roman"/>
          <w:noProof/>
          <w:sz w:val="24"/>
        </w:rPr>
        <w:t>)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 xml:space="preserve">, teda orgánu zastupujúcemu vnútroštátne regulačné orgány EHP, mandát viesť rozhodovanie v prípade, ak sa nebude týkať centralizovane povolených liekov. </w:t>
      </w:r>
    </w:p>
    <w:p>
      <w:pPr>
        <w:pStyle w:val="ManualHeading2"/>
        <w:rPr>
          <w:noProof/>
        </w:rPr>
      </w:pPr>
      <w:r>
        <w:rPr>
          <w:noProof/>
        </w:rPr>
        <w:t>2.2.</w:t>
      </w:r>
      <w:r>
        <w:rPr>
          <w:noProof/>
        </w:rPr>
        <w:tab/>
        <w:t>Úloha Európskej agentúry pre lieky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Agentúra EMA zohráva v systéme EÚ ústrednú úlohu koordináciou činností a poskytovaním technickej, regulačnej a vedeckej podpory členským štátom a priemyslu.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 júli 2012 začal svoju činnosť nový vedecký výbor, Výbor pre hodnotenie farmakovigilančných rizík (PRAC, </w:t>
      </w:r>
      <w:r>
        <w:rPr>
          <w:rFonts w:ascii="Times New Roman" w:hAnsi="Times New Roman"/>
          <w:i/>
          <w:noProof/>
          <w:sz w:val="24"/>
        </w:rPr>
        <w:t>Pharmacovigilance Risk Assessment Committee</w:t>
      </w:r>
      <w:r>
        <w:rPr>
          <w:rFonts w:ascii="Times New Roman" w:hAnsi="Times New Roman"/>
          <w:noProof/>
          <w:sz w:val="24"/>
        </w:rPr>
        <w:t xml:space="preserve">). Mandát výboru zahŕňa všetky aspekty riadenia rizík liekov na humánne použitie. K jeho členom patria experti v oblasti farmakovigilancie a regulácie z členských štátov EÚ, ako aj vedeckí experti a zástupcovia zdravotníckeho personálu a organizácií pacientov vymenovaní Európskou komisiou. Graf 1 v prílohe znázorňuje relatívnu frekvenciu hlavných farmakovigilančných činností v programe výboru PRAC od júla 2012 do decembra 2014. </w:t>
      </w:r>
    </w:p>
    <w:p>
      <w:pPr>
        <w:pStyle w:val="ManualHeading2"/>
        <w:rPr>
          <w:noProof/>
        </w:rPr>
      </w:pPr>
      <w:r>
        <w:rPr>
          <w:noProof/>
        </w:rPr>
        <w:t>2.3.</w:t>
      </w:r>
      <w:r>
        <w:rPr>
          <w:noProof/>
        </w:rPr>
        <w:tab/>
        <w:t>Úloha Komisie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Európska komisia je príslušným orgánom pre centralizovane povolené lieky a poskytuje zákonnú právomoc, na ktorej sa zakladá farmakovigilančný systém EÚ.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Hlavné farmakovigilančné úlohy a činnosti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Celý farmakovigilančný proces – od systémov monitorovania a detekcie prípadných nežiaducich účinkov až po regulačné opatrenia na zmiernenie rizík – je vo vysokej miere koordinovaný v celej regulačnej sieti, vo farmaceutickom priemysle a v zdravotníckych systémoch. Systém dostáva širokú škálu vstupov, aj od regulačných orgánov mimo EÚ, od akademickej obce, zdravotníckych pracovníkov a pacientov.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Farmakovigilančný proces možno rozdeliť na tieto hlavné úlohy: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Plánovanie riadenia rizík</w:t>
      </w:r>
      <w:r>
        <w:rPr>
          <w:rFonts w:ascii="Times New Roman" w:hAnsi="Times New Roman"/>
          <w:noProof/>
          <w:sz w:val="24"/>
        </w:rPr>
        <w:t xml:space="preserve"> – posúdenie rizík pre každý nový liek a vypracovanie plánov na zber údajov a minimalizovanie týchto rizík. Od júla do decembra 2012 výbor PRAC preskúmal 48 plánov riadenia rizík (RMP, </w:t>
      </w:r>
      <w:r>
        <w:rPr>
          <w:rFonts w:ascii="Times New Roman" w:hAnsi="Times New Roman"/>
          <w:i/>
          <w:noProof/>
          <w:sz w:val="24"/>
        </w:rPr>
        <w:t>risk management plan</w:t>
      </w:r>
      <w:r>
        <w:rPr>
          <w:rFonts w:ascii="Times New Roman" w:hAnsi="Times New Roman"/>
          <w:noProof/>
          <w:sz w:val="24"/>
        </w:rPr>
        <w:t>), 637 v roku 2013 a 597 v roku 2014. Členské štáty spoločne dostali približne 3 500 plánov riadenia rizík (rok 2012), 7 500 (rok 2013) a 9 000 (rok 2014) pre vnútroštátne povolené lieky.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Zhromažďovanie a vedenie správ o jednotlivých prípadoch týkajúcich sa možných vedľajších účinkov – </w:t>
      </w:r>
      <w:r>
        <w:rPr>
          <w:rFonts w:ascii="Times New Roman" w:hAnsi="Times New Roman"/>
          <w:b/>
          <w:noProof/>
          <w:sz w:val="24"/>
        </w:rPr>
        <w:t xml:space="preserve">nežiaduce účinky lieku </w:t>
      </w:r>
      <w:r>
        <w:rPr>
          <w:rFonts w:ascii="Times New Roman" w:hAnsi="Times New Roman"/>
          <w:noProof/>
          <w:sz w:val="24"/>
        </w:rPr>
        <w:t>(ADR). Graf 2 v prílohe znázorňuje správy o závažných nežiaducich účinkoch v období rokov 2011 – 2014.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Detekcia a riadenie signálov – </w:t>
      </w:r>
      <w:r>
        <w:rPr>
          <w:rFonts w:ascii="Times New Roman" w:hAnsi="Times New Roman"/>
          <w:noProof/>
          <w:sz w:val="24"/>
        </w:rPr>
        <w:t>analýza správ týkajúcich sa podozrení na vedľajšie účinky na účel určenia signálov. V období od septembra 2012 do decembra 2014 vyhodnotil výbor PRAC približne 193 jedinečných signálov. Graf 3 v prílohe znázorňuje počet diskusií vo výbore PRAC, ktoré sa týkajú buď nových signálov, alebo následných diskusií, a graf 4 poskytuje prehľad regulačných opatrení v nadväznosti na posúdenie signálu.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Bežné monitorovanie prínosov a rizík liekov prostredníctvom </w:t>
      </w:r>
      <w:r>
        <w:rPr>
          <w:rFonts w:ascii="Times New Roman" w:hAnsi="Times New Roman"/>
          <w:b/>
          <w:noProof/>
          <w:sz w:val="24"/>
        </w:rPr>
        <w:t>periodicky aktualizovaných správ o bezpečnosti</w:t>
      </w:r>
      <w:r>
        <w:rPr>
          <w:rFonts w:ascii="Times New Roman" w:hAnsi="Times New Roman"/>
          <w:noProof/>
          <w:sz w:val="24"/>
        </w:rPr>
        <w:t xml:space="preserve"> (PSUR, </w:t>
      </w:r>
      <w:r>
        <w:rPr>
          <w:rFonts w:ascii="Times New Roman" w:hAnsi="Times New Roman"/>
          <w:i/>
          <w:noProof/>
          <w:sz w:val="24"/>
        </w:rPr>
        <w:t>periodic safety update report</w:t>
      </w:r>
      <w:r>
        <w:rPr>
          <w:rFonts w:ascii="Times New Roman" w:hAnsi="Times New Roman"/>
          <w:noProof/>
          <w:sz w:val="24"/>
        </w:rPr>
        <w:t>) a udržiavanie zoznamu (zoznam EURD) s harmonogramami na predkladanie PSUR. Počet PSUR preskúmaných výborom PRAC bol 20 (júl – december 2012), 436 (rok 2013) a 471 (rok 2014). Graf 5 v prílohe poskytuje prehľad regulačných opatrení po posúdení PSUR. Počet PSUR predložených príslušným vnútroštátnym orgánom v členských štátoch na čisto vnútroštátne posúdenia predstavoval približne 5 000 v roku 2012, 3 500 v roku 2013 a 3 000 v roku 2014, pričom počas rovnakých období bolo predložených ďalších 62, 151 a 116 PSUR týkajúcich sa rozdeľovania úloh pre čisto vnútroštátne povolené lieky.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Predloženie podnetov</w:t>
      </w:r>
      <w:r>
        <w:rPr>
          <w:rFonts w:ascii="Times New Roman" w:hAnsi="Times New Roman"/>
          <w:noProof/>
          <w:sz w:val="24"/>
        </w:rPr>
        <w:t xml:space="preserve"> – celoeurópske preskúmania dôležitých otázok týkajúcich sa bezpečnosti a prínosov a rizík. V období medzi júlom 2012 a decembrom 2014 bolo výboru PRAC zaslaných 31 podnetov týkajúcich sa bezpečnosti. Deväť z týchto podnetov zahŕňalo centralizovane povolené lieky, zvyšok sa týkal iba vnútroštátne povolených liekov (pozri graf 6 v prílohe). Koordinačná skupina CMDh takisto prerokovala niektoré ďalšie obavy na vnútroštátnej úrovni s cieľom rozhodnúť o tom, či bolo potrebné posúdenie na úrovni EÚ, výsledkom však nakoniec nebolo predloženie podnetu. Tieto diskusie koordinačnej skupiny CMDh sa uskutočnili dvakrát v roku 2013 a šesťkrát v roku 2014.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Riadenie informácií o výrobkoch, ktoré podliehajú </w:t>
      </w:r>
      <w:r>
        <w:rPr>
          <w:rFonts w:ascii="Times New Roman" w:hAnsi="Times New Roman"/>
          <w:b/>
          <w:noProof/>
          <w:sz w:val="24"/>
        </w:rPr>
        <w:t>dodatočnému monitorovaniu</w:t>
      </w:r>
      <w:r>
        <w:rPr>
          <w:rFonts w:ascii="Times New Roman" w:hAnsi="Times New Roman"/>
          <w:noProof/>
          <w:sz w:val="24"/>
        </w:rPr>
        <w:t xml:space="preserve">, a o výrobkoch, ktoré boli </w:t>
      </w:r>
      <w:r>
        <w:rPr>
          <w:rFonts w:ascii="Times New Roman" w:hAnsi="Times New Roman"/>
          <w:b/>
          <w:noProof/>
          <w:sz w:val="24"/>
        </w:rPr>
        <w:t>stiahnuté</w:t>
      </w:r>
      <w:r>
        <w:rPr>
          <w:rFonts w:ascii="Times New Roman" w:hAnsi="Times New Roman"/>
          <w:noProof/>
          <w:sz w:val="24"/>
        </w:rPr>
        <w:t>. Na konci roka 2014 bolo v zozname liekov podliehajúcich dodatočnému monitorovaniu 193 centralizovane povolených liekov a 8 látok v 1 269 vnútroštátne povolených liekoch. V roku 2014 prijala agentúra EMA 132 oznámení o stiahnutí výrobkov.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Posudzovanie a koordinácia štúdií po uvedení na trh na základe </w:t>
      </w:r>
      <w:r>
        <w:rPr>
          <w:rFonts w:ascii="Times New Roman" w:hAnsi="Times New Roman"/>
          <w:b/>
          <w:noProof/>
          <w:sz w:val="24"/>
        </w:rPr>
        <w:t>štúdií o bezpečnosti po vydaní povolenia a štúdií účinnosti po vydaní povolenia</w:t>
      </w:r>
      <w:r>
        <w:rPr>
          <w:rFonts w:ascii="Times New Roman" w:hAnsi="Times New Roman"/>
          <w:noProof/>
          <w:sz w:val="24"/>
        </w:rPr>
        <w:t xml:space="preserve">. Výbor PRAC preskúmal v čase od júla 2012 do decembra 2014 protokoly z 38 povinných neintervenčných štúdií o bezpečnosti po vydaní povolenia (PASS, </w:t>
      </w:r>
      <w:r>
        <w:rPr>
          <w:rFonts w:ascii="Times New Roman" w:hAnsi="Times New Roman"/>
          <w:i/>
          <w:noProof/>
          <w:sz w:val="24"/>
        </w:rPr>
        <w:t>post-authorisation safety studies</w:t>
      </w:r>
      <w:r>
        <w:rPr>
          <w:rFonts w:ascii="Times New Roman" w:hAnsi="Times New Roman"/>
          <w:noProof/>
          <w:sz w:val="24"/>
        </w:rPr>
        <w:t>). Členské štáty vyhodnotili ďalších 17 protokolov zo štúdií PASS pre vnútroštátne povolené lieky.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Vykonávanie </w:t>
      </w:r>
      <w:r>
        <w:rPr>
          <w:rFonts w:ascii="Times New Roman" w:hAnsi="Times New Roman"/>
          <w:b/>
          <w:noProof/>
          <w:sz w:val="24"/>
        </w:rPr>
        <w:t>inšpekcií</w:t>
      </w:r>
      <w:r>
        <w:rPr>
          <w:rFonts w:ascii="Times New Roman" w:hAnsi="Times New Roman"/>
          <w:noProof/>
          <w:sz w:val="24"/>
        </w:rPr>
        <w:t xml:space="preserve"> s cieľom zabezpečiť, aby boli farmakovigilančné systémy v súlade s osvedčenými farmakovigilančnými postupmi. Počet vykonaných inšpekcií predstavoval 207 (rok 2012), 195 (rok 2013) a 167 (rok 2014), z toho 26, 37 a 48 sa týkalo centralizovane povolených liekov.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Komunikovanie o otázkach súvisiacich s bezpečnosťou</w:t>
      </w:r>
      <w:r>
        <w:rPr>
          <w:rFonts w:ascii="Times New Roman" w:hAnsi="Times New Roman"/>
          <w:noProof/>
          <w:sz w:val="24"/>
        </w:rPr>
        <w:t xml:space="preserve"> a interakcia a spolupráca  s príslušnými zainteresovanými stranami. Zverejňujú sa programy, hlavné body a zápisnice zo zasadnutí výboru PRAC, ako aj oznámenia o verejnej bezpečnosti týkajúce sa relevantných otázok. V druhej polovici roku 2012 bolo vydaných 14 oznámení o verejnej bezpečnosti, 78 v roku 2013 a 57 v roku 2014.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Vývoj systémov a usmernení</w:t>
      </w:r>
      <w:r>
        <w:rPr>
          <w:rFonts w:ascii="Times New Roman" w:hAnsi="Times New Roman"/>
          <w:noProof/>
          <w:sz w:val="24"/>
        </w:rPr>
        <w:t xml:space="preserve"> a podpora výskumu s cieľom riešiť medzery vo vedomostiach.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Monitorovanie výkonnosti systému</w:t>
      </w:r>
      <w:r>
        <w:rPr>
          <w:rFonts w:ascii="Times New Roman" w:hAnsi="Times New Roman"/>
          <w:noProof/>
          <w:sz w:val="24"/>
        </w:rPr>
        <w:t xml:space="preserve"> vrátane dodržiavania právnych záväzkov a noriem.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Odborná príprava a budovanie kapacít</w:t>
      </w:r>
      <w:r>
        <w:rPr>
          <w:rFonts w:ascii="Times New Roman" w:hAnsi="Times New Roman"/>
          <w:noProof/>
          <w:sz w:val="24"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Zlepšovanie systémov a služieb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Úlohou agentúry EMA je poskytovanie určitých systémov a služieb potrebných na fungovanie farmakovigilančnej siete. Podľa nových právnych predpisov treba vyvinúť určité nové systémy a služby a zlepšiť alebo zjednodušiť iné. Členské štáty a kľúčové zainteresované strany vrátane farmaceutického priemyslu poskytli dôležité podnety k navrhnutiu a vývoju týchto systémov. K tomuto vývoju patrí: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Databáza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podľa článku 57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 xml:space="preserve"> týkajúca sa všetkých (centralizovane i vnútroštátne) povolených liekov v EÚ s informáciami o vyše 580 000 liekoch od takmer 4 300 držiteľov povolenia na uvedenie na trh.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Služba sledovania literatúry</w:t>
      </w:r>
      <w:r>
        <w:rPr>
          <w:rFonts w:ascii="Times New Roman" w:hAnsi="Times New Roman"/>
          <w:noProof/>
          <w:sz w:val="24"/>
        </w:rPr>
        <w:t xml:space="preserve"> – agentúra EMA je povinná sledovať vybranú zdravotnícku literatúru, vyhľadávať správy o podozreniach na vedľajšie účinky určitých účinných látok a vkladať ich do databázy EudraVigilance ako bezpečnostné správy o jednotlivých prípadoch. Služba bola zavedená v júni 2015.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Archív PSUR</w:t>
      </w:r>
      <w:r>
        <w:rPr>
          <w:rFonts w:ascii="Times New Roman" w:hAnsi="Times New Roman"/>
          <w:noProof/>
          <w:sz w:val="24"/>
        </w:rPr>
        <w:t xml:space="preserve"> bol vytvorený a sprístupnený počas sledovaného obdobia a jeho funkčnosť bola úspešne skontrolovaná v roku 2015.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Podľa právnych predpisov treba </w:t>
      </w:r>
      <w:r>
        <w:rPr>
          <w:rFonts w:ascii="Times New Roman" w:hAnsi="Times New Roman"/>
          <w:b/>
          <w:noProof/>
          <w:sz w:val="24"/>
        </w:rPr>
        <w:t>databázu EudraVigilance</w:t>
      </w:r>
      <w:r>
        <w:rPr>
          <w:rFonts w:ascii="Times New Roman" w:hAnsi="Times New Roman"/>
          <w:noProof/>
          <w:sz w:val="24"/>
        </w:rPr>
        <w:t xml:space="preserve"> zdokonaliť tak, aby podporovala zjednodušené podávanie správ, lepšie vyhľadávacie, analyzačné a sledovacie funkcie a zlepšenú kvalitu údajov. Počas sledovaného obdobia došlo v tejto oblasti k pokroku, vrátane zavedenia webového sídla pre nežiaduce účinky a podpory pre činnosti na detekciu signálov. Dokončenie záverečného auditu aktualizovaného systému sa očakáva začiatkom roka 2018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Spolupráca a koordinácia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Okrem koordinácie siete vyše 30 príslušných vnútroštátnych orgánov Komisia a agentúra EMA úzko spolupracujú s ďalšími medzinárodnými regulačnými orgánmi v rámci dvojstranných dohôd a mnohostranných fór, akým je združenie Medzinárodnej rady pre zosúladenie technických požiadaviek na lieky na humánne použitie (ICH, </w:t>
      </w:r>
      <w:r>
        <w:rPr>
          <w:rFonts w:ascii="Times New Roman" w:hAnsi="Times New Roman"/>
          <w:i/>
          <w:noProof/>
          <w:sz w:val="24"/>
        </w:rPr>
        <w:t>International Council for Harmonisation of Technical Requirements for Pharmaceuticals for Human Use</w:t>
      </w:r>
      <w:r>
        <w:rPr>
          <w:rFonts w:ascii="Times New Roman" w:hAnsi="Times New Roman"/>
          <w:noProof/>
          <w:sz w:val="24"/>
        </w:rPr>
        <w:t>) s cieľom podporiť spoločné prístupy a štandardizované požiadavky na povoľovanie liekov.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Dobrá farmakovigilancia sa opiera o spoluprácu medzi zainteresovanými stranami, ktorá sa požaduje v právnych predpisoch. Pri povoľovaní liekov a farmakovigilancii sú veľmi dôležité podnety od pacientov a zdravotníckeho personálu. To sa zabezpečuje prostredníctvom zástupcov občianskej spoločnosti, ktorí sú členmi výboru PRAC a s ktorými sa vedie osobitná konzultácia v súvislosti s určitými typmi podnetov.</w:t>
      </w:r>
    </w:p>
    <w:p>
      <w:pPr>
        <w:pStyle w:val="ManualHeading1"/>
        <w:rPr>
          <w:noProof/>
        </w:rPr>
      </w:pPr>
      <w:r>
        <w:rPr>
          <w:noProof/>
        </w:rPr>
        <w:t>6.</w:t>
      </w:r>
      <w:r>
        <w:rPr>
          <w:noProof/>
        </w:rPr>
        <w:tab/>
        <w:t>Pokračovanie a ďalší rozvoj siete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Počas sledovaného obdobia a po ňom sa farmakovigilančná sieť zameriava na odbornú prípravu s cieľom rozvíjať chápanie farmakovigilancie a regulačnej vedy, a tým umožniť výmenu najlepších postupov, zlepšenie efektívnosti a účinnosti procesov a budovanie kapacity.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Členské štáty a agentúra EMA ponúkajú rozsiahlu odbornú prípravu pre pracovníkov regulačných orgánov a pre príslušné externé zainteresované strany. Zlepšila sa efektívnosť a účinnosť farmakovigilančných procesov. Začali sa realizovať projekty zamerané na zlepšenie vedy a farmakovigilančnej praxe, okrem iného  spoločné opatrenie týkajúce sa posilnenia spolupráce na sfunkčnenie farmakovigilancie v Európe (SCOPE, </w:t>
      </w:r>
      <w:r>
        <w:rPr>
          <w:rFonts w:ascii="Times New Roman" w:hAnsi="Times New Roman"/>
          <w:i/>
          <w:noProof/>
          <w:sz w:val="24"/>
        </w:rPr>
        <w:t>Strengthening Collaboration for Operating Pharmacovigilance</w:t>
      </w:r>
      <w:r>
        <w:rPr>
          <w:rFonts w:ascii="Times New Roman" w:hAnsi="Times New Roman"/>
          <w:noProof/>
          <w:sz w:val="24"/>
        </w:rPr>
        <w:t xml:space="preserve">), Európska sieť centier pre farmakoepidemiológiu a farmakovigilanciu (ENCePP, </w:t>
      </w:r>
      <w:r>
        <w:rPr>
          <w:rFonts w:ascii="Times New Roman" w:hAnsi="Times New Roman"/>
          <w:i/>
          <w:noProof/>
          <w:sz w:val="24"/>
        </w:rPr>
        <w:t>European Network of Centres for Pharmacoepidemiology and Pharmacovigilance</w:t>
      </w:r>
      <w:r>
        <w:rPr>
          <w:rFonts w:ascii="Times New Roman" w:hAnsi="Times New Roman"/>
          <w:noProof/>
          <w:sz w:val="24"/>
        </w:rPr>
        <w:t>) a projekt PROTECT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  <w:sz w:val="24"/>
        </w:rPr>
        <w:t>. Výsledky z týchto iniciatív už teraz slúžia ako východisko pre ďalší rozvoj postupov a aktualizáciu usmernení.</w:t>
      </w:r>
    </w:p>
    <w:p>
      <w:pPr>
        <w:pStyle w:val="ManualHeading1"/>
        <w:rPr>
          <w:noProof/>
        </w:rPr>
      </w:pPr>
      <w:r>
        <w:rPr>
          <w:noProof/>
        </w:rPr>
        <w:t>7.</w:t>
      </w:r>
      <w:r>
        <w:rPr>
          <w:noProof/>
        </w:rPr>
        <w:tab/>
        <w:t>Závery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Európska farmakovigilančná sieť je príkladom úspešnej spolupráce na európskej úrovni v prospech občanov EÚ. Sieťový systém umožňuje účastníkom, aby sa podelili o najlepšie dostupné odborné poznatky a dôkazy a koordinovali regulačné opatrenia, čím sa dosiahnu účinnejšie a konzistentnejšie výsledky pre všetkých. Regulačné nástroje vytvorené revidovanými právnymi predpismi, vrátane plánov riadenia rizík, štúdií po vydaní povolenia, detekcie a riadenia signálov na úrovni EÚ, posudzovania periodicky aktualizovaných správ o bezpečnosti a preskúmania liekov na základe podnetov predstavujú čoraz aktívnejší prístup k bezpečnosti liekov, doplnený zlepšeniami regulačných opatrení a komunikácie v prípade zistenia obáv o bezpečnosť.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Systém sa prevádzkuje s vysokou mierou transparentnosti potrebnej na vytvorenie dôvery spoločnosti, ktorej slúži. Zaviedli sa mechanizmy s cieľom zabezpečiť, aby sa presné bezpečnostné informácie dostali k verejnosti EÚ včas. Zapojenie kľúčových zainteresovaných strán, napr. pacientov a zdravotníckych pracovníkov, je zakotvené v systéme aj tým, že pacienti môžu hlásiť podozrenia na nežiaduce účinky. V budúcnosti sa predpokladá vyššie zapojenie zainteresovaných strán vrátane zorganizovania verejných vypočutí o dôležitých bezpečnostných otázkach.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Pokračujú práce na infraštruktúre, ktorá je potrebná na podporu ďalšieho vývoja systému a na zjednodušenie a zefektívnenie existujúcich postupov, ak je to možné, s cieľom minimalizovať regulačnú záťaž pre všetky zainteresované strany. Poskytnutie služieb sledovania zdravotníckej literatúry, nový systém EudraVigilance, archív PSUR a plné využitie databázy výrobkov EÚ podľa článku 57 zvýšia účinnosť a prinesú zainteresovaným stranám zjednodušenie. Ďalej sa pracuje na dokončení rozvoja a zavedenia ďalších systémov, ako je centralizované hlásenie nežiaducich účinkov prostredníctvom databázy EudraVigilance. Ďalšie zlepšenia podporí aj prebiehajúci výskum v oblasti regulačnej vedy, ako je napríklad výskum podporovaný prostredníctvom rámcových výskumných programov EÚ.</w:t>
      </w:r>
    </w:p>
    <w:p>
      <w:pPr>
        <w:pStyle w:val="ManualHeading1"/>
        <w:ind w:left="0" w:firstLine="0"/>
        <w:rPr>
          <w:noProof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Skratky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905"/>
      </w:tblGrid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ADR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nežiaduci účinok lieku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CHMP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Výbor pre lieky na humánne použitie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CMDh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Koordinačná skupina pre postupy vzájomného uznávania a decentralizované postupy – humánne lieky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EHP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Európsky hospodársky priestor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EMA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Európska agentúra pre lieky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EÚ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Európska únia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EURD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zoznam referenčných dátumov Európskej únie a frekvencia predkladania periodicky aktualizovaných správ o bezpečnosti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ICSR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bezpečnostná správa o jednotlivých prípadoch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PASS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štúdia o bezpečnosti po vydaní povolenia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PRAC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Výbor pre hodnotenie farmakovigilančných rizík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PSUR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periodicky aktualizovaná správa o bezpečnosti</w:t>
            </w:r>
          </w:p>
        </w:tc>
      </w:tr>
      <w:tr>
        <w:tc>
          <w:tcPr>
            <w:tcW w:w="1384" w:type="dxa"/>
            <w:shd w:val="clear" w:color="auto" w:fill="auto"/>
          </w:tcPr>
          <w:p>
            <w:pPr>
              <w:spacing w:before="60" w:after="60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RMP</w:t>
            </w:r>
          </w:p>
        </w:tc>
        <w:tc>
          <w:tcPr>
            <w:tcW w:w="7905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plán riadenia rizík</w:t>
            </w:r>
          </w:p>
        </w:tc>
      </w:tr>
    </w:tbl>
    <w:p>
      <w:pPr>
        <w:pStyle w:val="ManualHeading1"/>
        <w:ind w:left="0" w:firstLine="0"/>
        <w:rPr>
          <w:noProof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PRÍLOHA – Grafy a tabuľky</w:t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u w:val="single"/>
        </w:rPr>
        <w:t>Graf 1</w:t>
      </w:r>
      <w:r>
        <w:rPr>
          <w:rFonts w:ascii="Times New Roman" w:hAnsi="Times New Roman"/>
          <w:noProof/>
          <w:sz w:val="24"/>
        </w:rPr>
        <w:t>: Počet položiek v programe Výboru pre hodnotenie farmakovigilančných rizík (PRAC) júl – december 2012, január – december 2013 a január – december 2014</w:t>
      </w:r>
    </w:p>
    <w:p>
      <w:pPr>
        <w:spacing w:before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5695950" cy="39243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Graf 2</w:t>
      </w:r>
      <w:r>
        <w:rPr>
          <w:rFonts w:ascii="Times New Roman" w:hAnsi="Times New Roman"/>
          <w:noProof/>
          <w:sz w:val="24"/>
        </w:rPr>
        <w:t xml:space="preserve"> Hlásenie bezpečnostných správ o jednotlivých prípadoch do databázy EudraVigilance z krajín Európskeho hospodárskeho priestoru alebo krajín mimo Európskeho hospodárskeho priestoru 2011 – 2014</w:t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962400" cy="413385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962400" cy="4162425"/>
            <wp:effectExtent l="0" t="0" r="1905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ZP – zdravotnícki pracovníci</w:t>
      </w:r>
    </w:p>
    <w:p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u w:val="single"/>
        </w:rPr>
        <w:t>Graf 3</w:t>
      </w:r>
      <w:r>
        <w:rPr>
          <w:rFonts w:ascii="Times New Roman" w:hAnsi="Times New Roman"/>
          <w:noProof/>
          <w:sz w:val="24"/>
        </w:rPr>
        <w:t>: Počet diskusií súvisiacich so signálmi, či už novými alebo nadväzujúcimi, vo Výbore pre hodnotenie farmakovigilančných rizík (PRAC) od septembra 2012 do decembra 2014</w:t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6005195" cy="452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Graf 4</w:t>
      </w:r>
      <w:r>
        <w:rPr>
          <w:rFonts w:ascii="Times New Roman" w:hAnsi="Times New Roman"/>
          <w:noProof/>
          <w:sz w:val="24"/>
        </w:rPr>
        <w:t>: Druh regulačného opatrenia po posúdení signálov Výborom pre hodnotenie farmakovigilančných rizík (PRAC) od septembra 2012 do decembra 2014</w:t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400550" cy="459105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Graf 5</w:t>
      </w:r>
      <w:r>
        <w:rPr>
          <w:rFonts w:ascii="Times New Roman" w:hAnsi="Times New Roman"/>
          <w:noProof/>
          <w:sz w:val="24"/>
        </w:rPr>
        <w:t>: Výsledok posúdenia periodicky aktualizovanej správy o bezpečnosti (PSUR) Výborom pre hodnotenie farmakovigilančných rizík (PRAC) od septembra 2012 do decembra 2014</w:t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4503964" cy="3793672"/>
            <wp:effectExtent l="0" t="0" r="11430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>
      <w:pPr>
        <w:spacing w:befor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PSUSA – periodicky aktualizovaná správa o bezpečnosti – jediné posúdenie</w:t>
      </w:r>
    </w:p>
    <w:p>
      <w:pPr>
        <w:spacing w:befor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Graf 6</w:t>
      </w:r>
      <w:r>
        <w:rPr>
          <w:rFonts w:ascii="Times New Roman" w:hAnsi="Times New Roman"/>
          <w:noProof/>
          <w:sz w:val="24"/>
        </w:rPr>
        <w:t>: Podnety súvisiace s farmakovigilanciou predložené v rokoch 2012, 2013 a 2014</w:t>
      </w:r>
    </w:p>
    <w:tbl>
      <w:tblPr>
        <w:tblW w:w="92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310"/>
        <w:gridCol w:w="1418"/>
      </w:tblGrid>
      <w:tr>
        <w:trPr>
          <w:trHeight w:val="450"/>
          <w:tblHeader/>
        </w:trPr>
        <w:tc>
          <w:tcPr>
            <w:tcW w:w="5495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002060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Postup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002060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Článok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002060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Začiatok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nil"/>
              <w:tl2br w:val="nil"/>
              <w:tr2bl w:val="nil"/>
            </w:tcBorders>
            <w:shd w:val="clear" w:color="auto" w:fill="002060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Výsledok</w:t>
            </w:r>
          </w:p>
        </w:tc>
      </w:tr>
      <w:tr>
        <w:trPr>
          <w:trHeight w:val="300"/>
        </w:trPr>
        <w:tc>
          <w:tcPr>
            <w:tcW w:w="549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95B3D7"/>
            <w:noWrap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95B3D7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95B3D7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95B3D7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495" w:type="dxa"/>
            <w:tcBorders>
              <w:top w:val="single" w:sz="6" w:space="0" w:color="FFFFFF"/>
            </w:tcBorders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Kodeín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okt. 2012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Diklofenak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okt. 2012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SABA (beta-agonisty s krátkym účinkom)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nov. 2012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V, R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HES (roztoky hydroxyetyl škrobu)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nov. 2012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Almitrín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nov. 2012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</w:t>
            </w:r>
          </w:p>
        </w:tc>
      </w:tr>
      <w:tr>
        <w:trPr>
          <w:trHeight w:val="300"/>
        </w:trPr>
        <w:tc>
          <w:tcPr>
            <w:tcW w:w="5495" w:type="dxa"/>
            <w:tcBorders>
              <w:bottom w:val="single" w:sz="6" w:space="0" w:color="FFFFFF"/>
            </w:tcBorders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Diacereín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tcBorders>
              <w:bottom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nov. 2012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45"/>
        </w:trPr>
        <w:tc>
          <w:tcPr>
            <w:tcW w:w="549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495" w:type="dxa"/>
            <w:tcBorders>
              <w:top w:val="single" w:sz="6" w:space="0" w:color="FFFFFF"/>
            </w:tcBorders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Tredaptive, Trevaclyn, Pelzont (kyselina nikotínová/laropiprant)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0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jan. 2013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Tetrazepam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jan.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</w:t>
            </w:r>
          </w:p>
        </w:tc>
      </w:tr>
      <w:t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Cyproterón, etinylestradiol – DIANE 35 a iné lieky obsahujúce cyproterónacetát 2 mg a etinylestradiol 35 µg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feb.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Kombinovaná hormonálna antikoncepcia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feb.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Flupirtin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mar.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Domperidón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mar.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V, R</w:t>
            </w:r>
          </w:p>
        </w:tc>
      </w:tr>
      <w:tr>
        <w:trPr>
          <w:trHeight w:val="6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Kyselina nikotínová a súvisiace látky – acipimox, xantinol nikotinát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mar.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Kogenate Bayer/Helixate NexGen (oktokog alfa)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mar.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Činidlá pôsobiace na renín-angiotenzínový systém (RAS)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máj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Protelos/Osseor (stroncium ranelát)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máj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6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NUMETA G13%E, NUMETA G16%E infúzna emulzia a súvisiace názvy (glukóza, tuky, aminokyseliny a elektrolyty)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jún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V, S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Lieky obsahujúce zolpidem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júl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435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Lieky obsahujúce hydroxyetylový škrob (HES)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júl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Lieky obsahujúce brómkriptín 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Látky súvisiace s valproátom 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310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oct. 2013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tcBorders>
              <w:bottom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Iclusig (ponatinib)</w:t>
            </w:r>
          </w:p>
        </w:tc>
        <w:tc>
          <w:tcPr>
            <w:tcW w:w="992" w:type="dxa"/>
            <w:tcBorders>
              <w:bottom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0" w:type="dxa"/>
            <w:tcBorders>
              <w:bottom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dec. 2013</w:t>
            </w:r>
          </w:p>
        </w:tc>
        <w:tc>
          <w:tcPr>
            <w:tcW w:w="1418" w:type="dxa"/>
            <w:tcBorders>
              <w:bottom w:val="single" w:sz="6" w:space="0" w:color="FFFFFF"/>
            </w:tcBorders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134"/>
        <w:gridCol w:w="1418"/>
      </w:tblGrid>
      <w:tr>
        <w:trPr>
          <w:trHeight w:val="345"/>
        </w:trPr>
        <w:tc>
          <w:tcPr>
            <w:tcW w:w="549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8DB3E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495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Testosterón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apr. 2014</w:t>
            </w:r>
          </w:p>
        </w:tc>
        <w:tc>
          <w:tcPr>
            <w:tcW w:w="1418" w:type="dxa"/>
            <w:tcBorders>
              <w:top w:val="single" w:sz="6" w:space="0" w:color="FFFFFF"/>
            </w:tcBorders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Kodeín proti kašľu v detskej populácii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apr.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V, R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Ambroxol/brómhexín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apr.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Metadón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107i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apr.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V, S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Hydroxyzín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máj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Corlentor a Procoralan (ivabradín)</w:t>
            </w:r>
          </w:p>
        </w:tc>
        <w:tc>
          <w:tcPr>
            <w:tcW w:w="992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máj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  <w:tr>
        <w:trPr>
          <w:trHeight w:val="300"/>
        </w:trPr>
        <w:tc>
          <w:tcPr>
            <w:tcW w:w="5495" w:type="dxa"/>
            <w:shd w:val="clear" w:color="auto" w:fill="E1E3F2"/>
            <w:noWrap/>
            <w:hideMark/>
          </w:tcPr>
          <w:p>
            <w:pPr>
              <w:pStyle w:val="BodytextAgency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Ibuprofén a dexibuprofen</w:t>
            </w:r>
          </w:p>
        </w:tc>
        <w:tc>
          <w:tcPr>
            <w:tcW w:w="992" w:type="dxa"/>
            <w:shd w:val="clear" w:color="auto" w:fill="E1E3F2"/>
            <w:noWrap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</w:t>
            </w:r>
          </w:p>
        </w:tc>
        <w:tc>
          <w:tcPr>
            <w:tcW w:w="1134" w:type="dxa"/>
            <w:shd w:val="clear" w:color="auto" w:fill="E1E3F2"/>
            <w:hideMark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jún 2014</w:t>
            </w:r>
          </w:p>
        </w:tc>
        <w:tc>
          <w:tcPr>
            <w:tcW w:w="1418" w:type="dxa"/>
            <w:shd w:val="clear" w:color="auto" w:fill="E1E3F2"/>
          </w:tcPr>
          <w:p>
            <w:pPr>
              <w:pStyle w:val="BodytextAgency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u w:val="single"/>
        </w:rPr>
        <w:t>Vysvetlivky: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Podnety podľa článku 20 – vzťahujú sa len na centrálne povolené lieky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Podnety podľa článku 107 – naliehavé podnety v záujme Únie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Podnety podľa článku 31 – podnety v záujme Únie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V – zmena povolenia na uvedenie na trh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 – zrušenie povolenia na uvedenie na trh</w:t>
      </w: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 – pozastavenie povolenia na uvedenie na trh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4599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810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06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955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r>
        <w:rPr>
          <w:rFonts w:ascii="Times New Roman" w:hAnsi="Times New Roman"/>
          <w:color w:val="auto"/>
          <w:sz w:val="20"/>
        </w:rPr>
        <w:t>Nariadenie Európskeho parlamentu a Rady (ES) č. 726/2004 z 31. marca 2004, ktorým sa stanovujú postupy Spoločenstva pri povoľovaní liekov na humánne použitie a na veterinárne použitie a pri vykonávaní dozoru nad týmito liekmi a ktorým sa zriaďuje Európska agentúra pre lieky (Ú. v. EÚ L 136, 30.4.2004, s. 1).</w:t>
      </w:r>
    </w:p>
  </w:footnote>
  <w:footnote w:id="2">
    <w:p>
      <w:pPr>
        <w:pStyle w:val="Default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r>
        <w:rPr>
          <w:rFonts w:ascii="Times New Roman" w:hAnsi="Times New Roman"/>
          <w:color w:val="auto"/>
          <w:sz w:val="20"/>
        </w:rPr>
        <w:t>Smernica Európskeho parlamentu a Rady 2001/83/ES zo 6. novembra 2001, ktorou sa ustanovuje zákonník Spoločenstva o humánnych liekoch (Ú. v. ES L 311, 28.11.2001, s. 67).</w:t>
      </w:r>
    </w:p>
  </w:footnote>
  <w:footnote w:id="3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Nariadenie Európskeho parlamentu a Rady (EÚ) č. 1235/2010 z 15. decembra 2010, ktorým sa mení a dopĺňa, pokiaľ ide o dohľad nad liekmi na humánne použitie, nariadenie (ES) č. 726/2004, ktorým sa stanovujú postupy Spoločenstva pri povoľovaní liekov na humánne použitie a na veterinárne použitie a pri vykonávaní dozoru nad týmito liekmi a ktorým sa zriaďuje Európska agentúra pre lieky, a nariadenie (ES) č. 1394/2007 o liekoch na inovatívnu liečbu (Ú. v. EÚ L 348, 31.12.2010, s. 1) a smernica Európskeho parlamentu a Rady 2010/84/EÚ z 15. decembra 2010, ktorou sa, pokiaľ ide o dohľad nad liekmi, mení a dopĺňa smernica 2001/83/ES, ktorou sa ustanovuje zákonník Spoločenstva o humánnych liekoch (Ú. v. EÚ L 348, 31.12.2010, s. 74).</w:t>
      </w:r>
    </w:p>
  </w:footnote>
  <w:footnote w:id="4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Nariadenie Európskeho parlamentu a Rady (EÚ) č. 1027/2012 z 25. októbra 2012, ktorým sa mení a dopĺňa nariadenie (ES) č. 726/2004, pokiaľ ide o dohľad nad liekmi (Ú. v. EÚ L 316, 14.11.2012, s. 38) a smernica Európskeho parlamentu a Rady 2012/26/EÚ z 25. októbra 2012, ktorou sa mení a dopĺňa smernica 2001/83/ES, pokiaľ ide o dohľad nad liekmi (Ú. v. EÚ L 299, 27.10.2012, s. 1).</w:t>
      </w:r>
    </w:p>
  </w:footnote>
  <w:footnote w:id="5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SWD (2016) 284 final.</w:t>
      </w:r>
    </w:p>
  </w:footnote>
  <w:footnote w:id="6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Európska agentúra pre lieky, Európsky regulačný systém pre lieky a Európska agentúra pre lieky, EMA/437313/2014.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Ďalšie informácie o úlohe a činnostiach CMDh sú k dispozícii na tejto webovej stránke: </w:t>
      </w:r>
      <w:hyperlink r:id="rId1">
        <w:r>
          <w:rPr>
            <w:rStyle w:val="Hyperlink"/>
          </w:rPr>
          <w:t>http://www.hma.eu/cmdh.html</w:t>
        </w:r>
      </w:hyperlink>
      <w:r>
        <w:rPr>
          <w:rStyle w:val="Hyperlink"/>
          <w:color w:val="auto"/>
          <w:u w:val="none"/>
        </w:rPr>
        <w:t>.</w:t>
      </w:r>
      <w:r>
        <w:t xml:space="preserve"> </w:t>
      </w:r>
    </w:p>
  </w:footnote>
  <w:footnote w:id="8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Článok 57 ods. 1 písm. l) nariadenia (ES) č. 726/2004.</w:t>
      </w:r>
    </w:p>
  </w:footnote>
  <w:footnote w:id="9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Ďalšie informácie o databáze EudraVigilance sú k dispozícii vo výročnej správe podľa článku 24 ods. 2 nariadenia (ES) č. 726/2004 </w:t>
      </w:r>
    </w:p>
    <w:p>
      <w:pPr>
        <w:pStyle w:val="FootnoteText"/>
        <w:ind w:firstLine="0"/>
        <w:rPr>
          <w:lang w:val="en-GB"/>
        </w:rPr>
      </w:pPr>
      <w:r>
        <w:t>(http://www.ema.europa.eu/docs/en_GB/document_library/Report/2016/03/WC500203705.pdf).</w:t>
      </w:r>
    </w:p>
  </w:footnote>
  <w:footnote w:id="10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Farmakoepideiologický výskum týkajúci sa výsledkov liečebných postupov vedený Európskym konzorcioum (</w:t>
      </w:r>
      <w:r>
        <w:rPr>
          <w:i/>
        </w:rPr>
        <w:t xml:space="preserve">Pharmacoepidemiological Research on Outcomes of Therapeutics by a European Consortium </w:t>
      </w:r>
      <w:r>
        <w:t>– PROTECT), projekt iniciatívy za inovačnú medicínu financovaný z verejných a súkromných zdrojov.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AA5"/>
    <w:multiLevelType w:val="hybridMultilevel"/>
    <w:tmpl w:val="621A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5261C"/>
    <w:multiLevelType w:val="hybridMultilevel"/>
    <w:tmpl w:val="781A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CONFIDENCE" w:val=" "/>
    <w:docVar w:name="LW_CONST_RESTREINT_UE" w:val="RESTREINT UE"/>
    <w:docVar w:name="LW_CORRIGENDUM" w:val="&lt;UNUSED&gt;"/>
    <w:docVar w:name="LW_COVERPAGE_GUID" w:val="D8D4C0EA8093425896A4F01518CBA1C3"/>
    <w:docVar w:name="LW_CROSSREFERENCE" w:val="{SWD(2016) 284 final}"/>
    <w:docVar w:name="LW_DocType" w:val="NORMAL"/>
    <w:docVar w:name="LW_EMISSION" w:val="8. 8. 2016"/>
    <w:docVar w:name="LW_EMISSION_ISODATE" w:val="2016-08-08"/>
    <w:docVar w:name="LW_EMISSION_LOCATION" w:val="BRX"/>
    <w:docVar w:name="LW_EMISSION_PREFIX" w:val="V Bruseli"/>
    <w:docVar w:name="LW_EMISSION_SUFFIX" w:val=" "/>
    <w:docVar w:name="LW_ID_DOCTYPE_NONLW" w:val="CP-003"/>
    <w:docVar w:name="LW_LANGUE" w:val="SK"/>
    <w:docVar w:name="LW_MARKING" w:val="&lt;UNUSED&gt;"/>
    <w:docVar w:name="LW_NOM.INST" w:val="EURÓPSKA KOMISI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498"/>
    <w:docVar w:name="LW_REF.INTERNE" w:val="&lt;UNUSED&gt;"/>
    <w:docVar w:name="LW_SOUS.TITRE.OBJ.CP" w:val="&lt;UNUSED&gt;"/>
    <w:docVar w:name="LW_SUPERTITRE" w:val="&lt;UNUSED&gt;"/>
    <w:docVar w:name="LW_TITRE.OBJ.CP" w:val="Farmakovigilan\u269?né \u269?innosti \u269?lenských \u353?tátov a Európskej agentúry pre lieky týkajúce _x000b_sa liekov na humánne pou\u382?itie_x000b_ (2012 \u8211? 2014)"/>
    <w:docVar w:name="LW_TYPE.DOC.CP" w:val="SPRÁVA KOMISI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  <w:ind w:left="720" w:hanging="720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MS Mincho" w:hAnsi="Times New Roman" w:cs="Times New Roman"/>
      <w:sz w:val="20"/>
      <w:szCs w:val="20"/>
      <w:lang w:val="sk-SK"/>
    </w:rPr>
  </w:style>
  <w:style w:type="character" w:styleId="FootnoteReference">
    <w:name w:val="footnote reference"/>
    <w:rPr>
      <w:shd w:val="clear" w:color="auto" w:fill="auto"/>
      <w:vertAlign w:val="superscript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MS Mincho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u w:val="single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IntrtEEE">
    <w:name w:val="Intérêt EEE"/>
    <w:basedOn w:val="Normal"/>
    <w:next w:val="Normal"/>
    <w:pPr>
      <w:spacing w:before="360" w:after="24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AgencyChar">
    <w:name w:val="Body text (Agency) Char"/>
    <w:link w:val="BodytextAgency"/>
    <w:locked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  <w:ind w:left="720" w:hanging="720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MS Mincho" w:hAnsi="Times New Roman" w:cs="Times New Roman"/>
      <w:sz w:val="20"/>
      <w:szCs w:val="20"/>
      <w:lang w:val="sk-SK"/>
    </w:rPr>
  </w:style>
  <w:style w:type="character" w:styleId="FootnoteReference">
    <w:name w:val="footnote reference"/>
    <w:rPr>
      <w:shd w:val="clear" w:color="auto" w:fill="auto"/>
      <w:vertAlign w:val="superscript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MS Mincho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u w:val="single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IntrtEEE">
    <w:name w:val="Intérêt EEE"/>
    <w:basedOn w:val="Normal"/>
    <w:next w:val="Normal"/>
    <w:pPr>
      <w:spacing w:before="360" w:after="24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AgencyChar">
    <w:name w:val="Body text (Agency) Char"/>
    <w:link w:val="BodytextAgency"/>
    <w:locked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chart" Target="charts/chart1.xml"/><Relationship Id="rId42" Type="http://schemas.openxmlformats.org/officeDocument/2006/relationships/footer" Target="footer13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chart" Target="charts/chart4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image" Target="media/image5.png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chart" Target="charts/chart2.xml"/><Relationship Id="rId43" Type="http://schemas.openxmlformats.org/officeDocument/2006/relationships/footer" Target="footer1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ma.eu/cmdh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ghiocsi\Desktop\ISC%20PhV\COM%20report%20editable%20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Počet položiek v programe výboru PRAC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'Fig.1 Workload'!$A$3</c:f>
              <c:strCache>
                <c:ptCount val="1"/>
                <c:pt idx="0">
                  <c:v>Referrals</c:v>
                </c:pt>
              </c:strCache>
            </c:strRef>
          </c:tx>
          <c:spPr>
            <a:solidFill>
              <a:srgbClr val="0033CC"/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Workload'!$B$3:$D$3</c:f>
              <c:numCache>
                <c:formatCode>General</c:formatCode>
                <c:ptCount val="3"/>
                <c:pt idx="0">
                  <c:v>7</c:v>
                </c:pt>
                <c:pt idx="1">
                  <c:v>70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'Fig.1 Workload'!$A$4</c:f>
              <c:strCache>
                <c:ptCount val="1"/>
                <c:pt idx="0">
                  <c:v>Signals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Workload'!$B$4:$D$4</c:f>
              <c:numCache>
                <c:formatCode>General</c:formatCode>
                <c:ptCount val="3"/>
                <c:pt idx="0">
                  <c:v>51</c:v>
                </c:pt>
                <c:pt idx="1">
                  <c:v>127</c:v>
                </c:pt>
                <c:pt idx="2">
                  <c:v>118</c:v>
                </c:pt>
              </c:numCache>
            </c:numRef>
          </c:val>
        </c:ser>
        <c:ser>
          <c:idx val="2"/>
          <c:order val="2"/>
          <c:tx>
            <c:strRef>
              <c:f>'Fig.1 Workload'!$A$5</c:f>
              <c:strCache>
                <c:ptCount val="1"/>
                <c:pt idx="0">
                  <c:v>RMPs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Workload'!$B$5:$D$5</c:f>
              <c:numCache>
                <c:formatCode>General</c:formatCode>
                <c:ptCount val="3"/>
                <c:pt idx="0">
                  <c:v>48</c:v>
                </c:pt>
                <c:pt idx="1">
                  <c:v>637</c:v>
                </c:pt>
                <c:pt idx="2">
                  <c:v>597</c:v>
                </c:pt>
              </c:numCache>
            </c:numRef>
          </c:val>
        </c:ser>
        <c:ser>
          <c:idx val="3"/>
          <c:order val="3"/>
          <c:tx>
            <c:strRef>
              <c:f>'Fig.1 Workload'!$A$6</c:f>
              <c:strCache>
                <c:ptCount val="1"/>
                <c:pt idx="0">
                  <c:v>PSURs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Workload'!$B$6:$D$6</c:f>
              <c:numCache>
                <c:formatCode>General</c:formatCode>
                <c:ptCount val="3"/>
                <c:pt idx="0">
                  <c:v>20</c:v>
                </c:pt>
                <c:pt idx="1">
                  <c:v>438</c:v>
                </c:pt>
                <c:pt idx="2">
                  <c:v>470</c:v>
                </c:pt>
              </c:numCache>
            </c:numRef>
          </c:val>
        </c:ser>
        <c:ser>
          <c:idx val="4"/>
          <c:order val="4"/>
          <c:tx>
            <c:strRef>
              <c:f>'Fig.1 Workload'!$A$7</c:f>
              <c:strCache>
                <c:ptCount val="1"/>
                <c:pt idx="0">
                  <c:v>PASS Protocols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Workload'!$B$7:$D$7</c:f>
              <c:numCache>
                <c:formatCode>General</c:formatCode>
                <c:ptCount val="3"/>
                <c:pt idx="0">
                  <c:v>5</c:v>
                </c:pt>
                <c:pt idx="1">
                  <c:v>91</c:v>
                </c:pt>
                <c:pt idx="2">
                  <c:v>137</c:v>
                </c:pt>
              </c:numCache>
            </c:numRef>
          </c:val>
        </c:ser>
        <c:ser>
          <c:idx val="5"/>
          <c:order val="5"/>
          <c:tx>
            <c:strRef>
              <c:f>'Fig.1 Workload'!$A$8</c:f>
              <c:strCache>
                <c:ptCount val="1"/>
                <c:pt idx="0">
                  <c:v>PASS Results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Workload'!$B$8:$D$8</c:f>
              <c:numCache>
                <c:formatCode>General</c:formatCode>
                <c:ptCount val="3"/>
                <c:pt idx="1">
                  <c:v>13</c:v>
                </c:pt>
                <c:pt idx="2">
                  <c:v>51</c:v>
                </c:pt>
              </c:numCache>
            </c:numRef>
          </c:val>
        </c:ser>
        <c:ser>
          <c:idx val="6"/>
          <c:order val="6"/>
          <c:tx>
            <c:strRef>
              <c:f>'Fig.1 Workload'!$A$9</c:f>
              <c:strCache>
                <c:ptCount val="1"/>
                <c:pt idx="0">
                  <c:v>Renewals, Conditional Renewals and Annual Reassessments</c:v>
                </c:pt>
              </c:strCache>
            </c:strRef>
          </c:tx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Workload'!$B$9:$D$9</c:f>
              <c:numCache>
                <c:formatCode>General</c:formatCode>
                <c:ptCount val="3"/>
                <c:pt idx="1">
                  <c:v>104</c:v>
                </c:pt>
                <c:pt idx="2">
                  <c:v>56</c:v>
                </c:pt>
              </c:numCache>
            </c:numRef>
          </c:val>
        </c:ser>
        <c:ser>
          <c:idx val="7"/>
          <c:order val="7"/>
          <c:tx>
            <c:strRef>
              <c:f>'Fig.1 Workload'!$A$10</c:f>
              <c:strCache>
                <c:ptCount val="1"/>
                <c:pt idx="0">
                  <c:v>Pharmacovigilance Inspections</c:v>
                </c:pt>
              </c:strCache>
            </c:strRef>
          </c:tx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Workload'!$B$10:$D$10</c:f>
              <c:numCache>
                <c:formatCode>General</c:formatCode>
                <c:ptCount val="3"/>
                <c:pt idx="0">
                  <c:v>11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</c:ser>
        <c:ser>
          <c:idx val="8"/>
          <c:order val="8"/>
          <c:tx>
            <c:strRef>
              <c:f>'Fig.1 Workload'!$A$11</c:f>
              <c:strCache>
                <c:ptCount val="1"/>
                <c:pt idx="0">
                  <c:v>Other safety issues - CHMP (including CHMP requests to PRAC for Art.5.3 referrals)</c:v>
                </c:pt>
              </c:strCache>
            </c:strRef>
          </c:tx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Workload'!$B$11:$D$11</c:f>
              <c:numCache>
                <c:formatCode>General</c:formatCode>
                <c:ptCount val="3"/>
                <c:pt idx="0">
                  <c:v>12</c:v>
                </c:pt>
                <c:pt idx="1">
                  <c:v>32</c:v>
                </c:pt>
                <c:pt idx="2">
                  <c:v>20</c:v>
                </c:pt>
              </c:numCache>
            </c:numRef>
          </c:val>
        </c:ser>
        <c:ser>
          <c:idx val="9"/>
          <c:order val="9"/>
          <c:tx>
            <c:strRef>
              <c:f>'Fig.1 Workload'!$A$12</c:f>
              <c:strCache>
                <c:ptCount val="1"/>
                <c:pt idx="0">
                  <c:v>Other safety issues - MS</c:v>
                </c:pt>
              </c:strCache>
            </c:strRef>
          </c:tx>
          <c:invertIfNegative val="0"/>
          <c:cat>
            <c:strRef>
              <c:f>'Fig.1 Workload'!$B$2:$D$2</c:f>
              <c:strCache>
                <c:ptCount val="3"/>
                <c:pt idx="0">
                  <c:v>Jul-Dec 2012</c:v>
                </c:pt>
                <c:pt idx="1">
                  <c:v>2013</c:v>
                </c:pt>
                <c:pt idx="2">
                  <c:v>2014</c:v>
                </c:pt>
              </c:strCache>
            </c:strRef>
          </c:cat>
          <c:val>
            <c:numRef>
              <c:f>'Fig.1 Workload'!$B$12:$D$12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34951552"/>
        <c:axId val="34953088"/>
      </c:barChart>
      <c:catAx>
        <c:axId val="349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4953088"/>
        <c:crosses val="autoZero"/>
        <c:auto val="1"/>
        <c:lblAlgn val="ctr"/>
        <c:lblOffset val="100"/>
        <c:noMultiLvlLbl val="0"/>
      </c:catAx>
      <c:valAx>
        <c:axId val="34953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495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953335264530066"/>
          <c:y val="0.12938460362357618"/>
          <c:w val="0.32708872093329466"/>
          <c:h val="0.86470962974288412"/>
        </c:manualLayout>
      </c:layout>
      <c:overlay val="0"/>
      <c:spPr>
        <a:ln w="0"/>
      </c:spPr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sk-SK"/>
              <a:t>Hlásenie bezpečnostných správ o jednotlivých prípadoch do databázy EudraVigilance (EHP)</a:t>
            </a:r>
          </a:p>
        </c:rich>
      </c:tx>
      <c:overlay val="0"/>
    </c:title>
    <c:autoTitleDeleted val="0"/>
    <c:plotArea>
      <c:layout/>
      <c:areaChart>
        <c:grouping val="stacked"/>
        <c:varyColors val="0"/>
        <c:ser>
          <c:idx val="3"/>
          <c:order val="0"/>
          <c:tx>
            <c:v>Patients and HCPs</c:v>
          </c:tx>
          <c:spPr>
            <a:solidFill>
              <a:schemeClr val="accent3">
                <a:lumMod val="60000"/>
                <a:lumOff val="40000"/>
              </a:schemeClr>
            </a:solidFill>
            <a:ln w="25400">
              <a:noFill/>
            </a:ln>
          </c:spPr>
          <c:val>
            <c:numRef>
              <c:f>'C:\Users\blakep\Documentum\Viewed\[ADR reporting data.xls]Sheet1'!$C$11:$F$11</c:f>
              <c:numCache>
                <c:formatCode>General</c:formatCode>
                <c:ptCount val="4"/>
                <c:pt idx="0">
                  <c:v>15860</c:v>
                </c:pt>
                <c:pt idx="1">
                  <c:v>17563</c:v>
                </c:pt>
                <c:pt idx="2">
                  <c:v>17474</c:v>
                </c:pt>
                <c:pt idx="3">
                  <c:v>18880</c:v>
                </c:pt>
              </c:numCache>
            </c:numRef>
          </c:val>
        </c:ser>
        <c:ser>
          <c:idx val="2"/>
          <c:order val="1"/>
          <c:tx>
            <c:strRef>
              <c:f>'C:\Users\blakep\Documentum\Viewed\[ADR reporting data.xls]Sheet1'!$A$6</c:f>
              <c:strCache>
                <c:ptCount val="1"/>
                <c:pt idx="0">
                  <c:v>Patients</c:v>
                </c:pt>
              </c:strCache>
            </c:strRef>
          </c:tx>
          <c:spPr>
            <a:solidFill>
              <a:srgbClr val="FECB00"/>
            </a:solidFill>
            <a:ln w="25400">
              <a:noFill/>
            </a:ln>
          </c:spPr>
          <c:val>
            <c:numRef>
              <c:f>'C:\Users\blakep\Documentum\Viewed\[ADR reporting data.xls]Sheet1'!$C$8:$F$8</c:f>
              <c:numCache>
                <c:formatCode>General</c:formatCode>
                <c:ptCount val="4"/>
                <c:pt idx="0">
                  <c:v>12675</c:v>
                </c:pt>
                <c:pt idx="1">
                  <c:v>18429</c:v>
                </c:pt>
                <c:pt idx="2">
                  <c:v>32010</c:v>
                </c:pt>
                <c:pt idx="3">
                  <c:v>33292</c:v>
                </c:pt>
              </c:numCache>
            </c:numRef>
          </c:val>
        </c:ser>
        <c:ser>
          <c:idx val="1"/>
          <c:order val="2"/>
          <c:tx>
            <c:v>Healthcare professionals</c:v>
          </c:tx>
          <c:spPr>
            <a:solidFill>
              <a:srgbClr val="0000FF"/>
            </a:solidFill>
          </c:spPr>
          <c:cat>
            <c:numRef>
              <c:f>'C:\Users\blakep\Documentum\Viewed\[ADR reporting data.xls]Sheet1'!$C$1:$F$1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'C:\Users\blakep\Documentum\Viewed\[ADR reporting data.xls]Sheet1'!$C$22:$F$22</c:f>
              <c:numCache>
                <c:formatCode>General</c:formatCode>
                <c:ptCount val="4"/>
                <c:pt idx="0">
                  <c:v>199916</c:v>
                </c:pt>
                <c:pt idx="1">
                  <c:v>204752</c:v>
                </c:pt>
                <c:pt idx="2">
                  <c:v>230973</c:v>
                </c:pt>
                <c:pt idx="3">
                  <c:v>237270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859008"/>
        <c:axId val="70864896"/>
      </c:areaChart>
      <c:catAx>
        <c:axId val="708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0864896"/>
        <c:crosses val="autoZero"/>
        <c:auto val="1"/>
        <c:lblAlgn val="ctr"/>
        <c:lblOffset val="100"/>
        <c:noMultiLvlLbl val="0"/>
      </c:catAx>
      <c:valAx>
        <c:axId val="70864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085900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9.8557692307692304E-2"/>
          <c:y val="0.93778801843317972"/>
          <c:w val="0.81009615384615385"/>
          <c:h val="4.6082949308755762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sk-SK"/>
              <a:t>Hlásenie bezpečnostných správ o jednotlivých prípadoch do databázy EudraVigilance (mimo EHP)</a:t>
            </a:r>
          </a:p>
        </c:rich>
      </c:tx>
      <c:overlay val="0"/>
    </c:title>
    <c:autoTitleDeleted val="0"/>
    <c:plotArea>
      <c:layout/>
      <c:areaChart>
        <c:grouping val="stacked"/>
        <c:varyColors val="0"/>
        <c:ser>
          <c:idx val="3"/>
          <c:order val="0"/>
          <c:tx>
            <c:v>Patients and HCPs</c:v>
          </c:tx>
          <c:spPr>
            <a:solidFill>
              <a:schemeClr val="accent3">
                <a:lumMod val="60000"/>
                <a:lumOff val="40000"/>
              </a:schemeClr>
            </a:solidFill>
            <a:ln w="25400">
              <a:noFill/>
            </a:ln>
          </c:spPr>
          <c:cat>
            <c:numRef>
              <c:f>'C:\Users\blakep\Documentum\Viewed\[ADR reporting data.xls]Sheet1'!$C$1:$F$1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'C:\Users\blakep\Documentum\Viewed\[ADR reporting data.xls]Sheet1'!$C$29:$F$29</c:f>
              <c:numCache>
                <c:formatCode>General</c:formatCode>
                <c:ptCount val="4"/>
                <c:pt idx="0">
                  <c:v>100980</c:v>
                </c:pt>
                <c:pt idx="1">
                  <c:v>134532</c:v>
                </c:pt>
                <c:pt idx="2">
                  <c:v>156794</c:v>
                </c:pt>
                <c:pt idx="3">
                  <c:v>174361</c:v>
                </c:pt>
              </c:numCache>
            </c:numRef>
          </c:val>
        </c:ser>
        <c:ser>
          <c:idx val="1"/>
          <c:order val="1"/>
          <c:tx>
            <c:strRef>
              <c:f>'C:\Users\blakep\Documentum\Viewed\[ADR reporting data.xls]Sheet1'!$A$27</c:f>
              <c:strCache>
                <c:ptCount val="1"/>
                <c:pt idx="0">
                  <c:v>Patients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cat>
            <c:numRef>
              <c:f>'C:\Users\blakep\Documentum\Viewed\[ADR reporting data.xls]Sheet1'!$C$1:$F$1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'C:\Users\blakep\Documentum\Viewed\[ADR reporting data.xls]Sheet1'!$C$27:$F$27</c:f>
              <c:numCache>
                <c:formatCode>General</c:formatCode>
                <c:ptCount val="4"/>
                <c:pt idx="0">
                  <c:v>46502</c:v>
                </c:pt>
                <c:pt idx="1">
                  <c:v>143257</c:v>
                </c:pt>
                <c:pt idx="2">
                  <c:v>212777</c:v>
                </c:pt>
                <c:pt idx="3">
                  <c:v>210179</c:v>
                </c:pt>
              </c:numCache>
            </c:numRef>
          </c:val>
        </c:ser>
        <c:ser>
          <c:idx val="0"/>
          <c:order val="2"/>
          <c:tx>
            <c:v>Healthcare professionals</c:v>
          </c:tx>
          <c:spPr>
            <a:solidFill>
              <a:srgbClr val="0000FF"/>
            </a:solidFill>
          </c:spPr>
          <c:cat>
            <c:numRef>
              <c:f>'C:\Users\blakep\Documentum\Viewed\[ADR reporting data.xls]Sheet1'!$C$1:$F$1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'C:\Users\blakep\Documentum\Viewed\[ADR reporting data.xls]Sheet1'!$C$31:$F$31</c:f>
              <c:numCache>
                <c:formatCode>General</c:formatCode>
                <c:ptCount val="4"/>
                <c:pt idx="0">
                  <c:v>270434</c:v>
                </c:pt>
                <c:pt idx="1">
                  <c:v>335803</c:v>
                </c:pt>
                <c:pt idx="2">
                  <c:v>344226</c:v>
                </c:pt>
                <c:pt idx="3">
                  <c:v>381014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329280"/>
        <c:axId val="71330816"/>
      </c:areaChart>
      <c:catAx>
        <c:axId val="7132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1330816"/>
        <c:crosses val="autoZero"/>
        <c:auto val="1"/>
        <c:lblAlgn val="ctr"/>
        <c:lblOffset val="100"/>
        <c:noMultiLvlLbl val="0"/>
      </c:catAx>
      <c:valAx>
        <c:axId val="71330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132928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9.6153846153846159E-2"/>
          <c:y val="0.93821510297482835"/>
          <c:w val="0.81009615384615385"/>
          <c:h val="4.5766590389016017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sk-SK"/>
              <a:t>Posúdenie signálov výborom PRAC sep. 2012 – dec. 2014, spolu = 193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55514904071333"/>
          <c:y val="0.18013983126785038"/>
          <c:w val="0.73850159512889169"/>
          <c:h val="0.7582885868739182"/>
        </c:manualLayout>
      </c:layout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189418241911681"/>
                  <c:y val="-0.2088159031979256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0904882154882154"/>
                  <c:y val="0.10246451475328765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Routine pharmaco-vigilance, 46, 24%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6087891160069637"/>
                  <c:y val="7.24168986223308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30593644228814831"/>
                  <c:y val="1.083669640689900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'C:\Users\blakep\Documentum\Viewed\[ASE Copy of SM metrics 2012 to 2014.xls]Outcomes'!$A$3:$A$8</c:f>
              <c:strCache>
                <c:ptCount val="6"/>
                <c:pt idx="0">
                  <c:v>Assessment on-going</c:v>
                </c:pt>
                <c:pt idx="1">
                  <c:v>Update of product information</c:v>
                </c:pt>
                <c:pt idx="2">
                  <c:v>Routine pharmacovigilance</c:v>
                </c:pt>
                <c:pt idx="3">
                  <c:v>Referral </c:v>
                </c:pt>
                <c:pt idx="4">
                  <c:v>Update of RMP</c:v>
                </c:pt>
                <c:pt idx="5">
                  <c:v>PASS</c:v>
                </c:pt>
              </c:strCache>
            </c:strRef>
          </c:cat>
          <c:val>
            <c:numRef>
              <c:f>'C:\Users\blakep\Documentum\Viewed\[ASE Copy of SM metrics 2012 to 2014.xls]Outcomes'!$F$3:$F$8</c:f>
              <c:numCache>
                <c:formatCode>General</c:formatCode>
                <c:ptCount val="6"/>
                <c:pt idx="0">
                  <c:v>33</c:v>
                </c:pt>
                <c:pt idx="1">
                  <c:v>100</c:v>
                </c:pt>
                <c:pt idx="2">
                  <c:v>46</c:v>
                </c:pt>
                <c:pt idx="3">
                  <c:v>11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sk-SK"/>
              <a:t>Výsledky posúdení PSUR a PSUSA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v>Maintenance</c:v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Jul-Dec 2012</c:v>
              </c:pt>
              <c:pt idx="1">
                <c:v>2013</c:v>
              </c:pt>
              <c:pt idx="2">
                <c:v>2014</c:v>
              </c:pt>
            </c:strLit>
          </c:cat>
          <c:val>
            <c:numLit>
              <c:formatCode>General</c:formatCode>
              <c:ptCount val="3"/>
              <c:pt idx="0">
                <c:v>17</c:v>
              </c:pt>
              <c:pt idx="1">
                <c:v>360</c:v>
              </c:pt>
              <c:pt idx="2">
                <c:v>383</c:v>
              </c:pt>
            </c:numLit>
          </c:val>
        </c:ser>
        <c:ser>
          <c:idx val="0"/>
          <c:order val="1"/>
          <c:tx>
            <c:v>CHMP variation</c:v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Lit>
              <c:formatCode>General</c:formatCode>
              <c:ptCount val="3"/>
              <c:pt idx="0">
                <c:v>3</c:v>
              </c:pt>
              <c:pt idx="1">
                <c:v>76</c:v>
              </c:pt>
              <c:pt idx="2">
                <c:v>88</c:v>
              </c:pt>
            </c:numLit>
          </c:val>
        </c:ser>
        <c:ser>
          <c:idx val="2"/>
          <c:order val="2"/>
          <c:tx>
            <c:v>Suspension</c:v>
          </c:tx>
          <c:spPr>
            <a:solidFill>
              <a:schemeClr val="accent5"/>
            </a:solidFill>
          </c:spPr>
          <c:invertIfNegative val="0"/>
          <c:val>
            <c:numLit>
              <c:formatCode>General</c:formatCode>
              <c:ptCount val="3"/>
              <c:pt idx="0">
                <c:v>0</c:v>
              </c:pt>
              <c:pt idx="1">
                <c:v>0</c:v>
              </c:pt>
              <c:pt idx="2">
                <c:v>0</c:v>
              </c:pt>
            </c:numLit>
          </c:val>
        </c:ser>
        <c:ser>
          <c:idx val="3"/>
          <c:order val="3"/>
          <c:tx>
            <c:v>Revocation</c:v>
          </c:tx>
          <c:spPr>
            <a:solidFill>
              <a:schemeClr val="accent6"/>
            </a:solidFill>
          </c:spPr>
          <c:invertIfNegative val="0"/>
          <c:val>
            <c:numLit>
              <c:formatCode>General</c:formatCode>
              <c:ptCount val="3"/>
              <c:pt idx="0">
                <c:v>0</c:v>
              </c:pt>
              <c:pt idx="1">
                <c:v>0</c:v>
              </c:pt>
              <c:pt idx="2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71885952"/>
        <c:axId val="71887488"/>
      </c:barChart>
      <c:catAx>
        <c:axId val="71885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1887488"/>
        <c:crosses val="autoZero"/>
        <c:auto val="1"/>
        <c:lblAlgn val="ctr"/>
        <c:lblOffset val="100"/>
        <c:noMultiLvlLbl val="0"/>
      </c:catAx>
      <c:valAx>
        <c:axId val="71887488"/>
        <c:scaling>
          <c:orientation val="minMax"/>
          <c:max val="1"/>
          <c:min val="0"/>
        </c:scaling>
        <c:delete val="0"/>
        <c:axPos val="t"/>
        <c:majorGridlines/>
        <c:numFmt formatCode="0%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7188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570824524312897"/>
          <c:y val="0.92211055276381915"/>
          <c:w val="0.80126849894291752"/>
          <c:h val="5.2763819095477386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0.99969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694158" cy="430414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0.9999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974937" cy="413344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974937" cy="4163929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413887" cy="4602879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0.99962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23624" cy="37920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Agency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003399"/>
    </a:accent1>
    <a:accent2>
      <a:srgbClr val="7BBBB2"/>
    </a:accent2>
    <a:accent3>
      <a:srgbClr val="FECB00"/>
    </a:accent3>
    <a:accent4>
      <a:srgbClr val="009BBB"/>
    </a:accent4>
    <a:accent5>
      <a:srgbClr val="E98300"/>
    </a:accent5>
    <a:accent6>
      <a:srgbClr val="983222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155D-2C53-4BA2-BBB2-1128782E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2524</Words>
  <Characters>15726</Characters>
  <Application>Microsoft Office Word</Application>
  <DocSecurity>0</DocSecurity>
  <Lines>413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2016-07-28T09:26:00Z</dcterms:created>
  <dcterms:modified xsi:type="dcterms:W3CDTF">2016-08-05T08:37:00Z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