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2F4FA200B64345F6A8EFD501D79D2636" style="width:450.4pt;height:334.05pt">
            <v:imagedata r:id="rId9" o:title=""/>
          </v:shape>
        </w:pict>
      </w:r>
    </w:p>
    <w:bookmarkEnd w:id="0"/>
    <w:p>
      <w:pPr>
        <w:pStyle w:val="Pagedecouverture"/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Typedudocument"/>
        <w:rPr>
          <w:noProof/>
        </w:rPr>
      </w:pPr>
      <w:bookmarkStart w:id="1" w:name="_GoBack"/>
      <w:bookmarkEnd w:id="1"/>
      <w:r>
        <w:rPr>
          <w:noProof/>
        </w:rPr>
        <w:lastRenderedPageBreak/>
        <w:t>IZVJEŠĆE KOMISIJE</w:t>
      </w:r>
    </w:p>
    <w:p>
      <w:pPr>
        <w:pStyle w:val="Titreobjet"/>
        <w:rPr>
          <w:noProof/>
        </w:rPr>
      </w:pPr>
      <w:r>
        <w:rPr>
          <w:noProof/>
        </w:rPr>
        <w:t>Aktivnosti država članica i Europske agencije za lijekove povezane s farmakovigilancijom lijekova za humanu primjenu</w:t>
      </w:r>
      <w:r>
        <w:rPr>
          <w:noProof/>
        </w:rPr>
        <w:br/>
        <w:t xml:space="preserve"> (2012. – 2014.)</w:t>
      </w:r>
    </w:p>
    <w:p>
      <w:pPr>
        <w:pStyle w:val="ManualHeading1"/>
        <w:jc w:val="center"/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Uvod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 Europskoj uniji (EU) lijekovi za humanu primjenu podliježu strogim ispitivanjima i provjerama kvalitete, djelotvornosti i sigurnosti prije ishođenja odobrenja za stavljanje u promet lijeka na razini države članice ili EU-a. Nakon dolaska na tržište, nadzor nad lijekovima nastavlja se putem aktivnosti farmakovigilancije.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Svjetska zdravstvena organizacija (SZO) definira farmakovigilanciju kao „znanost i aktivnosti povezane s otkrivanjem, procjenom, razumijevanjem i prevencijom neželjenih učinaka ili bilo kojih drugih problema povezanih s lijekovima”.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Neke nuspojave ili „neželjeni učinci” možda neće biti uočeni sve dok veliki broj osoba ne primi lijek u sklopu uobičajene, redovne primjene. Stoga je ključno da se sigurnost svih lijekova neprekidno prati tijekom njihove primjene u zdravstvenoj skrbi.</w:t>
      </w:r>
    </w:p>
    <w:p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Pravni okvir EU-a za farmakovigilanciju lijekova za humanu primjenu utvrđen je Uredbom (EZ) br. 726/2004</w:t>
      </w:r>
      <w:r>
        <w:rPr>
          <w:rFonts w:ascii="Times New Roman" w:hAnsi="Times New Roman"/>
          <w:noProof/>
          <w:sz w:val="24"/>
          <w:vertAlign w:val="superscript"/>
        </w:rPr>
        <w:footnoteReference w:id="1"/>
      </w:r>
      <w:r>
        <w:rPr>
          <w:rFonts w:ascii="Times New Roman" w:hAnsi="Times New Roman"/>
          <w:noProof/>
          <w:sz w:val="24"/>
        </w:rPr>
        <w:t xml:space="preserve"> i Direktivom 2001/83/EZ</w:t>
      </w:r>
      <w:r>
        <w:rPr>
          <w:rFonts w:ascii="Times New Roman" w:hAnsi="Times New Roman"/>
          <w:noProof/>
          <w:sz w:val="24"/>
          <w:vertAlign w:val="superscript"/>
        </w:rPr>
        <w:footnoteReference w:id="2"/>
      </w:r>
      <w:r>
        <w:rPr>
          <w:rFonts w:ascii="Times New Roman" w:hAnsi="Times New Roman"/>
          <w:noProof/>
          <w:sz w:val="24"/>
        </w:rPr>
        <w:t>. Zakonodavstvo je izmijenjeno 2010.</w:t>
      </w:r>
      <w:r>
        <w:rPr>
          <w:rFonts w:ascii="Times New Roman" w:hAnsi="Times New Roman"/>
          <w:noProof/>
          <w:sz w:val="24"/>
          <w:vertAlign w:val="superscript"/>
        </w:rPr>
        <w:footnoteReference w:id="3"/>
      </w:r>
      <w:r>
        <w:rPr>
          <w:rFonts w:ascii="Times New Roman" w:hAnsi="Times New Roman"/>
          <w:noProof/>
          <w:sz w:val="24"/>
        </w:rPr>
        <w:t xml:space="preserve"> i 2012.</w:t>
      </w:r>
      <w:r>
        <w:rPr>
          <w:rFonts w:ascii="Times New Roman" w:hAnsi="Times New Roman"/>
          <w:noProof/>
          <w:sz w:val="24"/>
          <w:vertAlign w:val="superscript"/>
        </w:rPr>
        <w:footnoteReference w:id="4"/>
      </w:r>
      <w:r>
        <w:rPr>
          <w:rFonts w:ascii="Times New Roman" w:hAnsi="Times New Roman"/>
          <w:noProof/>
          <w:sz w:val="24"/>
        </w:rPr>
        <w:t xml:space="preserve"> godine.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Člankom 29. Uredbe (EZ) br. 726/2004 i člankom 108.b Direktive 2001/83/EZ zahtijeva se da Europska agencija za lijekove (EMA), odnosno države članice redovito izvještavaju o izvršavanju zadataka farmakovigilancije.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To izvješće i popratni Radni dokument službi Komisije</w:t>
      </w:r>
      <w:r>
        <w:rPr>
          <w:rStyle w:val="FootnoteReference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noProof/>
          <w:sz w:val="24"/>
        </w:rPr>
        <w:t xml:space="preserve"> opisuju aktivnosti umreženog sustava suradnje EU-a za praćenje i kontrolu sigurnosti lijekova za humanu primjenu te su usredotočeni na aktivnosti od početka primjene novog zakonodavstva 2012. godine do kraja 2014. godine, no uključuju i informacije o nekim zadacima i postupcima započetim do srpnja 2015.</w:t>
      </w:r>
    </w:p>
    <w:p>
      <w:pPr>
        <w:rPr>
          <w:rFonts w:ascii="Times New Roman" w:eastAsia="MS Mincho" w:hAnsi="Times New Roman" w:cs="Times New Roman"/>
          <w:b/>
          <w:smallCaps/>
          <w:noProof/>
          <w:sz w:val="24"/>
          <w:szCs w:val="24"/>
        </w:rPr>
      </w:pP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Snažna suradnja europskih nadležnih tijela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Ključni rezultat kojeg novo zakonodavstvo o farmakovigilanciji treba postići jest osigurati da nadležna tijela mogu pravovremeno i učinkovito odgovoriti na novonastala ili hitna zdravstvena pitanja. U tu svrhu nadležna tijela za lijekove u 31 državi Europskog gospodarskog prostora (EGP), EMA i Europska komisija blisko surađuju kao partneri u mreži kako bi raspravljali i brzo rješavali sve novonastale probleme u interesu pristupa bolesnika sigurnim i djelotvornim lijekovima</w:t>
      </w:r>
      <w:r>
        <w:rPr>
          <w:rStyle w:val="FootnoteReference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noProof/>
          <w:sz w:val="24"/>
        </w:rPr>
        <w:t>. Sposobnost poduzimanja brzih i jasnih regulatornih mjera poboljšana je zakonodavstvom na sljedeće načine: osnivanjem Odbora za procjenu rizika u području farmakovigilancije; osnaživanjem Koordinacijske skupine za uzajamno priznavanje i decentralizirane postupke – za humane lijekove – i uvođenjem novih postupaka za ubrzavanje donošenja odluka kada postoji rizik za javno zdravlje.</w:t>
      </w:r>
    </w:p>
    <w:p>
      <w:pPr>
        <w:pStyle w:val="ManualHeading2"/>
        <w:rPr>
          <w:noProof/>
        </w:rPr>
      </w:pPr>
      <w:r>
        <w:rPr>
          <w:noProof/>
        </w:rPr>
        <w:t>2.1.</w:t>
      </w:r>
      <w:r>
        <w:rPr>
          <w:noProof/>
        </w:rPr>
        <w:tab/>
        <w:t>Uloga država članica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Pojedinačne države članice EGP-a pokreću čitav sustav farmakovigilancije. One pružaju veliki dio resursa i znanja za procjenu signala mogućih novonastalih nuspojava te preuzimaju glavnu ulogu u vrednovanju i analiziranju podataka kada se neko sigurnosno pitanje procjenjuje na europskoj razini. Osim toga, održavaju i inspektorate koji osiguravaju da lijekovi stavljeni u promet u EU-u budu proizvedeni na odgovarajući način i budu odgovarajuće kvalitete te da sustavi farmakovigilancije nad industrijom propisno rade.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Zakonodavstvo ovlašćuje Koordinacijsku skupinu za uzajamno priznavanje i decentralizirane postupke – za humane lijekove (CMDh)</w:t>
      </w:r>
      <w:r>
        <w:rPr>
          <w:rStyle w:val="FootnoteReference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noProof/>
          <w:sz w:val="24"/>
        </w:rPr>
        <w:t xml:space="preserve">, tijelo koje predstavlja nacionalna nadležna tijela EGP-a, da preuzme glavnu ulogu u odlučivanju u slučajevima koji se ne tiču lijekova koji su odobreni centraliziranim postupkom. </w:t>
      </w:r>
    </w:p>
    <w:p>
      <w:pPr>
        <w:pStyle w:val="ManualHeading2"/>
        <w:rPr>
          <w:noProof/>
        </w:rPr>
      </w:pPr>
      <w:r>
        <w:rPr>
          <w:noProof/>
        </w:rPr>
        <w:t>2.2.</w:t>
      </w:r>
      <w:r>
        <w:rPr>
          <w:noProof/>
        </w:rPr>
        <w:tab/>
        <w:t>Uloga Europske agencije za lijekove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EMA ima središnju ulogu u sustavu EU-a; koordinira rad sustava i pruža tehničku, regulatornu i znanstvenu podršku državama članicama i industriji.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Novi znanstveni odbor, Odbor za procjenu rizika u području farmakovigilancije (PRAC), osnovan je u srpnju 2012. PRAC-ove ovlasti obuhvaćaju sve vidove upravljanja rizicima lijekova za humanu primjenu. U članove PRAC-a ubrajaju se stručnjaci iz područja farmakovigilancije i pravnog uređenja iz država članica EU-a, kao i znanstveni stručnjaci i predstavnici zdravstvenih djelatnika i udruga bolesnika koje je imenovala Europska komisija. Na slici 1. u prilogu prikazana je relativna učestalost glavnih aktivnosti povezanih s farmakovigilancijom u PRAC-ovu programu od srpnja 2012. do prosinca 2014. </w:t>
      </w:r>
    </w:p>
    <w:p>
      <w:pPr>
        <w:pStyle w:val="ManualHeading2"/>
        <w:rPr>
          <w:noProof/>
        </w:rPr>
      </w:pPr>
      <w:r>
        <w:rPr>
          <w:noProof/>
        </w:rPr>
        <w:t>2.3.</w:t>
      </w:r>
      <w:r>
        <w:rPr>
          <w:noProof/>
        </w:rPr>
        <w:tab/>
        <w:t>Uloga Komisije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Europska komisija nadležno je tijelo za lijekove odobrene centraliziranim postupkom i pruža pravne ovlasti na koje se oslanja sustav farmakovigilancije EU-a.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Glavni zadaci i aktivnosti povezani s farmakovigilancijom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Čitav postupak farmakovigilancije – od sustava koji prate i otkrivaju moguće neželjene učinke do regulatornih mjera za smanjenje rizika – vrhunski je koordiniran diljem regulatorne mreže, farmaceutske industrije i zdravstvenih sustava. Sustav prima raznovrsne doprinose, uključujući one iz nadležnih tijela izvan EU-a, iz akademske zajednice, od zdravstvenih djelatnika i bolesnika.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Postupak farmakovigilancije može se razložiti na sljedeće ključne zadatke: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Planiranje upravljanja rizicima</w:t>
      </w:r>
      <w:r>
        <w:rPr>
          <w:rFonts w:ascii="Times New Roman" w:hAnsi="Times New Roman"/>
          <w:noProof/>
          <w:sz w:val="24"/>
        </w:rPr>
        <w:t xml:space="preserve"> – procjenjivanje rizika svakog novog lijeka i razvijanje planova za prikupljanje podataka i svođenje tih rizika na minimum. PRAC je pregledao 48 planova za upravljanje rizicima (RMP) od srpnja do prosinca 2012., 637 planova 2013. i 597 planova 2014. godine. Države članice ukupno su primile otprilike 3 500 (2012.), 7 500 (2013.) i 9 000 (2014.) RMP-ova za lijekove odobrene nacionalnim postupcima.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Prikupljanje sigurnosnih izvješća o mogućim nuspojavama i upravljanje njima (</w:t>
      </w:r>
      <w:r>
        <w:rPr>
          <w:rFonts w:ascii="Times New Roman" w:hAnsi="Times New Roman"/>
          <w:b/>
          <w:noProof/>
          <w:sz w:val="24"/>
        </w:rPr>
        <w:t xml:space="preserve">nuspojave lijeka </w:t>
      </w:r>
      <w:r>
        <w:rPr>
          <w:rFonts w:ascii="Times New Roman" w:hAnsi="Times New Roman"/>
          <w:noProof/>
          <w:sz w:val="24"/>
        </w:rPr>
        <w:t>(ADR)). Na slici 2. u prilogu prikazana su izvješća o ozbiljnim štetnim događajima za razdoblje od 2011. do 2014. godine.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Otkrivanje signala i upravljanje njima – </w:t>
      </w:r>
      <w:r>
        <w:rPr>
          <w:rFonts w:ascii="Times New Roman" w:hAnsi="Times New Roman"/>
          <w:noProof/>
          <w:sz w:val="24"/>
        </w:rPr>
        <w:t>analiziranje izvješća o sumnjama na nuspojave kako bi se prepoznali signali. U razdoblju od rujna 2012. do prosinca 2014. PRAC je vrednovao otprilike 193 jedinstvena signala. Na slici 3. u prilogu prikazan je broj PRAC-ovih rasprava o novim signalima odnosno o praćenju postojećih signala, a slika 4. prikazuje pregled regulatornih mjera nakon procjene signala.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Rutinsko praćenje koristi i rizika lijekova s pomoću </w:t>
      </w:r>
      <w:r>
        <w:rPr>
          <w:rFonts w:ascii="Times New Roman" w:hAnsi="Times New Roman"/>
          <w:b/>
          <w:noProof/>
          <w:sz w:val="24"/>
        </w:rPr>
        <w:t>periodičkih izvješća o neškodljivosti lijeka</w:t>
      </w:r>
      <w:r>
        <w:rPr>
          <w:rFonts w:ascii="Times New Roman" w:hAnsi="Times New Roman"/>
          <w:noProof/>
          <w:sz w:val="24"/>
        </w:rPr>
        <w:t xml:space="preserve"> (PSUR) i održavanje rasporeda (lista EURD) za podnošenje PSUR-ova. Broj PSUR-ova koje je PRAC pregledao bio je kako slijedi: 20 (srpanj – prosinac 2012.), 436 (2013.) i 471 (2014.). Na slici 5. u prilogu prikazan je pregled regulatornih mjera nakon procjene PSUR-ova. Uz to, broj PSUR-ova koji su podneseni nacionalnim nadležnim tijelima u državama članicama za isključivo nacionalne procjene kretao se oko 5 000 u 2012., 3 500 u 2013. i 3 000 u 2014. godini, s dodatnih 62, 151, odnosno 116 postupaka podjele rada na PSUR-ovima za lijekove odobrene isključivo nacionalnim postupcima u navedenim razdobljima.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Upućivanja</w:t>
      </w:r>
      <w:r>
        <w:rPr>
          <w:rFonts w:ascii="Times New Roman" w:hAnsi="Times New Roman"/>
          <w:noProof/>
          <w:sz w:val="24"/>
        </w:rPr>
        <w:t xml:space="preserve"> – revizije važnih sigurnosnih pitanja i pitanja povezanih s koristima i rizicima koje se provode diljem Europe. U razdoblju od srpnja 2012. do prosinca 2014. PRAC-u je upućen 31 predmet radi sigurnosnih pitanja. Od tih upućenih predmeta, devet se odnosilo na lijekove odobrene centraliziranim postupkom, a ostali su se odnosili isključivo na proizvode odobrene nacionalnim postupcima. (Vidi sliku 6. u prilogu.) CMDh je raspravljao i o nekim dodatnim pitanjima na nacionalnoj razini kako bi odlučio je li potrebna procjena na razini EU-a, no za ta pitanja u konačnici nisu pokrenuta upućivanja. Te rasprave CMDh-a održane su 2 puta 2013. i 6 puta 2014. godine.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Upravljanje informacijama o proizvodima koji podliježu </w:t>
      </w:r>
      <w:r>
        <w:rPr>
          <w:rFonts w:ascii="Times New Roman" w:hAnsi="Times New Roman"/>
          <w:b/>
          <w:noProof/>
          <w:sz w:val="24"/>
        </w:rPr>
        <w:t>dodatnom praćenju</w:t>
      </w:r>
      <w:r>
        <w:rPr>
          <w:rFonts w:ascii="Times New Roman" w:hAnsi="Times New Roman"/>
          <w:noProof/>
          <w:sz w:val="24"/>
        </w:rPr>
        <w:t xml:space="preserve"> i </w:t>
      </w:r>
      <w:r>
        <w:rPr>
          <w:rFonts w:ascii="Times New Roman" w:hAnsi="Times New Roman"/>
          <w:b/>
          <w:noProof/>
          <w:sz w:val="24"/>
        </w:rPr>
        <w:t>povučenim</w:t>
      </w:r>
      <w:r>
        <w:rPr>
          <w:rFonts w:ascii="Times New Roman" w:hAnsi="Times New Roman"/>
          <w:noProof/>
          <w:sz w:val="24"/>
        </w:rPr>
        <w:t xml:space="preserve"> proizvodima. Na kraju 2014. godine popis lijekova koji podliježu dodatnom praćenju sadržavao je 193 lijeka odobrena centraliziranim postupkom i 8 tvari u 1 269 proizvoda odobrenih nacionalnim postupcima. Tijekom 2014. EMA je zaprimila 132 obavijesti o povlačenju proizvoda.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Procjenjivanje i koordiniranje ispitivanja nakon puštanja lijeka u promet putem </w:t>
      </w:r>
      <w:r>
        <w:rPr>
          <w:rFonts w:ascii="Times New Roman" w:hAnsi="Times New Roman"/>
          <w:b/>
          <w:noProof/>
          <w:sz w:val="24"/>
        </w:rPr>
        <w:t>ispitivanja sigurnosti lijeka nakon izdavanja odobrenja i ispitivanja djelotvornosti lijeka nakon izdavanja odobrenja</w:t>
      </w:r>
      <w:r>
        <w:rPr>
          <w:rFonts w:ascii="Times New Roman" w:hAnsi="Times New Roman"/>
          <w:noProof/>
          <w:sz w:val="24"/>
        </w:rPr>
        <w:t>. U razdoblju od srpnja 2012. do prosinca 2014. PRAC je pregledao planove ispitivanja za 38 nametnutih neintervencijskih ispitivanja sigurnosti lijeka nakon izdavanja odobrenja (PASS-ova). Države članice vrednovale su dodatnih 17 planova ispitivanja za PASS-ove za lijekove odobrene nacionalnim postupcima.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Provedba </w:t>
      </w:r>
      <w:r>
        <w:rPr>
          <w:rFonts w:ascii="Times New Roman" w:hAnsi="Times New Roman"/>
          <w:b/>
          <w:noProof/>
          <w:sz w:val="24"/>
        </w:rPr>
        <w:t>inspekcija</w:t>
      </w:r>
      <w:r>
        <w:rPr>
          <w:rFonts w:ascii="Times New Roman" w:hAnsi="Times New Roman"/>
          <w:noProof/>
          <w:sz w:val="24"/>
        </w:rPr>
        <w:t xml:space="preserve"> kako bi se osiguralo da sustavi farmakovigilancije u tvrtkama budu u skladu s dobrom praksom farmakovigilancije. Broj provedenih inspekcija bio je 207 (2012.), 195 (2013.) i 167 (2014.), od kojih se 26, 37 odnosno 48 odnosilo na lijekove odobrene centraliziranim postupkom.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Komuniciranje o problemima povezanima sa sigurnošću</w:t>
      </w:r>
      <w:r>
        <w:rPr>
          <w:rFonts w:ascii="Times New Roman" w:hAnsi="Times New Roman"/>
          <w:noProof/>
          <w:sz w:val="24"/>
        </w:rPr>
        <w:t xml:space="preserve"> i suradnja s relevantnim dionicima. Objavljuju se dnevni redovi, glavne točke i zapisnici sastanaka PRAC-a te priopćenja o javnoj sigurnosti povezana s relevantnim pitanjima. U drugoj polovici 2012. godine objavljeno je 14 priopćenja o javnoj sigurnosti, 78 u 2013. i 57 u 2014. godini.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Razvoj sustava i smjernica</w:t>
      </w:r>
      <w:r>
        <w:rPr>
          <w:rFonts w:ascii="Times New Roman" w:hAnsi="Times New Roman"/>
          <w:noProof/>
          <w:sz w:val="24"/>
        </w:rPr>
        <w:t xml:space="preserve"> te promicanje istraživanja kako bi se nadoknadili nedostatci znanja.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Praćenje uspješnosti sustava</w:t>
      </w:r>
      <w:r>
        <w:rPr>
          <w:rFonts w:ascii="Times New Roman" w:hAnsi="Times New Roman"/>
          <w:noProof/>
          <w:sz w:val="24"/>
        </w:rPr>
        <w:t>, uključujući sukladnost sa zakonskim obvezama i standardima.</w:t>
      </w:r>
    </w:p>
    <w:p>
      <w:pPr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Izobrazba i izgradnja kapaciteta</w:t>
      </w:r>
      <w:r>
        <w:rPr>
          <w:rFonts w:ascii="Times New Roman" w:hAnsi="Times New Roman"/>
          <w:noProof/>
          <w:sz w:val="24"/>
        </w:rPr>
        <w:t>.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Unaprjeđenje sustava i usluga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Uloga EMA-e uključuje pružanje nekih sustava i usluga potrebnih za rad farmakovigilancijske mreže. Novim zakonodavstvom zahtijevao se razvoj novih sustava i usluga te poboljšanje ili pojednostavljenje drugih. Države članice i ključni dionici, uključujući farmaceutsku industriju, dali su važne doprinose osmišljavanju i razvoju tih sustava. Razvoj je uključivao: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Bazu podataka iz članka 57.</w:t>
      </w:r>
      <w:r>
        <w:rPr>
          <w:rStyle w:val="FootnoteReference"/>
          <w:rFonts w:ascii="Times New Roman" w:hAnsi="Times New Roman"/>
          <w:noProof/>
          <w:sz w:val="24"/>
        </w:rPr>
        <w:footnoteReference w:id="8"/>
      </w:r>
      <w:r>
        <w:rPr>
          <w:rFonts w:ascii="Times New Roman" w:hAnsi="Times New Roman"/>
          <w:noProof/>
          <w:sz w:val="24"/>
        </w:rPr>
        <w:t xml:space="preserve"> o svim odobrenim lijekovima (odobrenim centraliziranim i nacionalnim postupcima) u EU-u, s informacijama o više od 580 000 lijekova od gotovo 4 300 nositelja odobrenja za stavljanje lijeka u promet.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Uslugu praćenja literature</w:t>
      </w:r>
      <w:r>
        <w:rPr>
          <w:rFonts w:ascii="Times New Roman" w:hAnsi="Times New Roman"/>
          <w:noProof/>
          <w:sz w:val="24"/>
        </w:rPr>
        <w:t xml:space="preserve"> – EMA je dužna pratiti odabrana izdanja medicinske literature kako bi u njima pronašla izvješća o sumnjama na nuspojave određenih djelatnih tvari i unijela ih u bazu podataka EudraVigilance kao sigurnosna izvješća o pojedinačnom slučaju. Ta je usluga pokrenuta u lipnju 2015.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Repozitorij PSUR-ova</w:t>
      </w:r>
      <w:r>
        <w:rPr>
          <w:rFonts w:ascii="Times New Roman" w:hAnsi="Times New Roman"/>
          <w:noProof/>
          <w:sz w:val="24"/>
        </w:rPr>
        <w:t xml:space="preserve"> razvijen je i učinjen dostupnim tijekom razdoblja izvještavanja, a neovisna provjera njegovih funkcionalnosti izvršena je 2015. godine.</w:t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Zakonodavstvom se zahtijeva poboljšanje </w:t>
      </w:r>
      <w:r>
        <w:rPr>
          <w:rFonts w:ascii="Times New Roman" w:hAnsi="Times New Roman"/>
          <w:b/>
          <w:noProof/>
          <w:sz w:val="24"/>
        </w:rPr>
        <w:t>baze podataka EudraVigilance</w:t>
      </w:r>
      <w:r>
        <w:rPr>
          <w:rFonts w:ascii="Times New Roman" w:hAnsi="Times New Roman"/>
          <w:noProof/>
          <w:sz w:val="24"/>
        </w:rPr>
        <w:t xml:space="preserve"> kako bi podržavala pojednostavljeno izvještavanje, bolje pretraživanje, funkcije analize i praćenja te bolju kvalitetu podataka. Tijekom razdoblja izvještavanja postignut je napredak u postupku poboljšavanja, uključujući pokretanje internetske stranice za ADR i podršku za aktivnosti otkrivanja signala. Očekuje se da će konačna provjera ažuriranog sustava biti završena početkom 2018. godine</w:t>
      </w:r>
      <w:r>
        <w:rPr>
          <w:rStyle w:val="FootnoteReference"/>
          <w:rFonts w:ascii="Times New Roman" w:hAnsi="Times New Roman"/>
          <w:noProof/>
          <w:sz w:val="24"/>
        </w:rPr>
        <w:footnoteReference w:id="9"/>
      </w:r>
      <w:r>
        <w:rPr>
          <w:rFonts w:ascii="Times New Roman" w:hAnsi="Times New Roman"/>
          <w:noProof/>
          <w:sz w:val="24"/>
        </w:rPr>
        <w:t>.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 xml:space="preserve">Suradnja i koordinacija 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Osim što koordiniraju mrežu od više od 30 nacionalnih nadležnih tijela, Komisija i EMA blisko surađuju s drugim međunarodnim nadležnim tijelima s pomoću bilateralnih sporazuma i multilateralnih foruma, kao što je Udruženje Međunarodnog vijeća za harmonizaciju tehničkih uvjeta za lijekove za humanu primjenu (ICH), kako bi promicali zajedničke pristupe i standardizirane uvjete za izdavanje odobrenja za lijekove.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Dobra farmakovigilancija oslanja se na suradnju dionika, a nju potiče zakonodavstvo. Doprinos bolesnika i zdravstvenih djelatnika ključan je tijekom čitavog postupka izdavanja odobrenja za lijekove i farmakovigilancije. Taj se doprinos pruža preko predstavnika civilnog društva koji su članovi PRAC-a i s kojima se provodi posebno savjetovanje za određene vrste upućenih predmeta.</w:t>
      </w:r>
    </w:p>
    <w:p>
      <w:pPr>
        <w:pStyle w:val="ManualHeading1"/>
        <w:rPr>
          <w:noProof/>
        </w:rPr>
      </w:pPr>
      <w:r>
        <w:rPr>
          <w:noProof/>
        </w:rPr>
        <w:t>6.</w:t>
      </w:r>
      <w:r>
        <w:rPr>
          <w:noProof/>
        </w:rPr>
        <w:tab/>
        <w:t>Trajan i budući razvoj mreže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Tijekom razdoblja obuhvaćenog izvješćem i nakon njega farmakovigilancijska mreža usredotočena je na izobrazbu kojom će se razviti razumijevanje farmakovigilancije i regulatorne znanosti kako bi se omogućila razmjena najbolje prakse, poboljšanje djelotvornosti i učinkovitosti postupaka te izgradnja kapaciteta.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Države članice i EMA nude opsežnu izobrazbu za regulatorne djelatnike i relevantne vanjske dionike. Djelotvornost i učinkovitost postupaka farmakovigilancije su poboljšane. Pokrenuti su projekti za unaprjeđenje znanosti i prakse farmakovigilancije, uključujući: zajedničku akciju Jačanje suradnje za funkcioniranje farmakovigilancije u Europi – SCOPE (</w:t>
      </w:r>
      <w:r>
        <w:rPr>
          <w:rFonts w:ascii="Times New Roman" w:hAnsi="Times New Roman"/>
          <w:i/>
          <w:noProof/>
          <w:sz w:val="24"/>
        </w:rPr>
        <w:t>Strengthening Collaboration for Operating Pharmacovigilance in Europe (SCOPE) Joint Action</w:t>
      </w:r>
      <w:r>
        <w:rPr>
          <w:rFonts w:ascii="Times New Roman" w:hAnsi="Times New Roman"/>
          <w:noProof/>
          <w:sz w:val="24"/>
        </w:rPr>
        <w:t>); Europsku mrežu centara za farmakoepidemiologiju i farmakovigilanciju – ENCePP (</w:t>
      </w:r>
      <w:r>
        <w:rPr>
          <w:rFonts w:ascii="Times New Roman" w:hAnsi="Times New Roman"/>
          <w:i/>
          <w:noProof/>
          <w:sz w:val="24"/>
        </w:rPr>
        <w:t>the European Network of Centres for Pharmacoepidemiology and Pharmacovigilance (ENCePP)</w:t>
      </w:r>
      <w:r>
        <w:rPr>
          <w:rFonts w:ascii="Times New Roman" w:hAnsi="Times New Roman"/>
          <w:noProof/>
          <w:sz w:val="24"/>
        </w:rPr>
        <w:t>); i projekt PROTECT</w:t>
      </w:r>
      <w:r>
        <w:rPr>
          <w:rStyle w:val="FootnoteReference"/>
          <w:rFonts w:ascii="Times New Roman" w:hAnsi="Times New Roman"/>
          <w:noProof/>
          <w:sz w:val="24"/>
        </w:rPr>
        <w:footnoteReference w:id="10"/>
      </w:r>
      <w:r>
        <w:rPr>
          <w:rFonts w:ascii="Times New Roman" w:hAnsi="Times New Roman"/>
          <w:noProof/>
          <w:sz w:val="24"/>
        </w:rPr>
        <w:t>. Rezultati ovih inicijativa već pomažu u daljnjem razvoju postupaka i ažuriranju smjernica.</w:t>
      </w:r>
    </w:p>
    <w:p>
      <w:pPr>
        <w:pStyle w:val="ManualHeading1"/>
        <w:rPr>
          <w:noProof/>
        </w:rPr>
      </w:pPr>
      <w:r>
        <w:rPr>
          <w:noProof/>
        </w:rPr>
        <w:t>7.</w:t>
      </w:r>
      <w:r>
        <w:rPr>
          <w:noProof/>
        </w:rPr>
        <w:tab/>
        <w:t>Zaključci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Europska farmakovigilancijska mreža primjer je uspješne suradnje na europskoj razini, za dobrobit građana EU-a. Umreženi sustav omogućuje sudionicima da razmjenjuju najbolja dostupna stručna iskustva i dokaze te da koordiniraju regulatorne mjere, čime se proizvode učinkovitiji i dosljedniji rezultati za svih. Regulatorni alati koji su dostupni u skladu s revidiranim zakonodavstvom – uključujući planove za upravljanje rizicima, ispitivanja nakon izdavanja odobrenja za lijek, otkrivanje signala i upravljanje njima na razini EU-a, procjene periodičkih izvješća o neškodljivosti lijeka i revizije lijekova postupkom upućivanja predmeta – predstavljaju sve proaktivniji pristup sigurnosti lijekova kojeg upotpunjuje napredak regulatornih mjera i komunikacije nakon prepoznavanja sigurnosnih pitanja.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Sustav djeluje uz visoku razinu transparentnosti koja je potrebna da bi se razvilo povjerenje društva kojem služi. Uspostavljeni su mehanizmi kako bi se osiguralo da točne informacije o sigurnosti pravovremeno dođu do građana EU-a. Angažiranost ključnih dionika, kao što su bolesnici i zdravstveni djelatnici, ugrađena je u sustav, među ostalim i zahvaljujući mogućnosti da bolesnici sami prijavljuju sumnje na nuspojave. Predviđa se da će angažiranost rasti u budućnosti te da će uključivati održavanje javnih rasprava o kritičnim sigurnosnim pitanjima.</w:t>
      </w:r>
    </w:p>
    <w:p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 tijeku su radovi na infrastrukturi koja je potrebna da bi podržala daljnji razvoj sustava te da bi se, kada je to moguće, pojednostavnili postojeći postupci i povećala njihova učinkovitost kako bi regulatorno opterećenje svih dionika bilo svedeno na minimum. Pružanje usluge praćenja medicinske literature, novi sustav EudraVigilance, repozitorij PSUR-ova i neograničena uporaba baze podataka EU-a iz članka 57. povećat će učinkovitost i pojednostaviti pristup informacijama za dionike. Nastavlja se rad na dovršavanju razvoja i primjene drugih sustava, kao što je centralizirano izvještavanje o ADR-ovima putem baze podataka EudraVigilance. Istraživanja koja su u tijeku u području regulatorne znanosti, kao što su istraživanja koja se financiraju iz okvirnih programa EU-a za istraživanje, također će biti potpora budućim poboljšanjima.</w:t>
      </w:r>
    </w:p>
    <w:p>
      <w:pPr>
        <w:pStyle w:val="ManualHeading1"/>
        <w:ind w:left="0" w:firstLine="0"/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Annexetitre"/>
        <w:rPr>
          <w:noProof/>
        </w:rPr>
      </w:pPr>
      <w:r>
        <w:rPr>
          <w:noProof/>
        </w:rPr>
        <w:t>Kratice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7905"/>
      </w:tblGrid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ADR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nuspojava lijeka</w:t>
            </w:r>
          </w:p>
        </w:tc>
      </w:tr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CHMP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Odbor za medicinske proizvode za humanu uporabu</w:t>
            </w:r>
          </w:p>
        </w:tc>
      </w:tr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CMDh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Koordinacijska skupina za uzajamno priznavanje i decentralizirane postupke – za humane lijekove</w:t>
            </w:r>
          </w:p>
        </w:tc>
      </w:tr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EGP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Europski gospodarski prostor</w:t>
            </w:r>
          </w:p>
        </w:tc>
      </w:tr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EMA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Europska agencija za lijekove</w:t>
            </w:r>
          </w:p>
        </w:tc>
      </w:tr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EU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Europska unija</w:t>
            </w:r>
          </w:p>
        </w:tc>
      </w:tr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EURD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popis referentnih datuma Europske unije i učestalosti podnošenja periodičkih izvješća o neškodljivosti lijeka</w:t>
            </w:r>
          </w:p>
        </w:tc>
      </w:tr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ICSR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sigurnosno izvješće o pojedinačnom slučaju</w:t>
            </w:r>
          </w:p>
        </w:tc>
      </w:tr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PASS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ispitivanje sigurnosti lijeka nakon izdavanja odobrenja</w:t>
            </w:r>
          </w:p>
        </w:tc>
      </w:tr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PRAC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Odbor za procjenu rizika u području farmakovigilancije</w:t>
            </w:r>
          </w:p>
        </w:tc>
      </w:tr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PSUR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periodičko izvješće o neškodljivosti lijeka</w:t>
            </w:r>
          </w:p>
        </w:tc>
      </w:tr>
      <w:tr>
        <w:tc>
          <w:tcPr>
            <w:tcW w:w="1384" w:type="dxa"/>
            <w:shd w:val="clear" w:color="auto" w:fill="auto"/>
          </w:tcPr>
          <w:p>
            <w:pPr>
              <w:spacing w:before="60" w:after="60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RMP</w:t>
            </w:r>
          </w:p>
        </w:tc>
        <w:tc>
          <w:tcPr>
            <w:tcW w:w="7905" w:type="dxa"/>
            <w:shd w:val="clear" w:color="auto" w:fill="auto"/>
          </w:tcPr>
          <w:p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plan za upravljanje rizicima</w:t>
            </w:r>
          </w:p>
        </w:tc>
      </w:tr>
    </w:tbl>
    <w:p>
      <w:pPr>
        <w:pStyle w:val="ManualHeading1"/>
        <w:ind w:left="0" w:firstLine="0"/>
        <w:rPr>
          <w:noProof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Annexetitre"/>
        <w:rPr>
          <w:noProof/>
        </w:rPr>
      </w:pPr>
      <w:r>
        <w:rPr>
          <w:noProof/>
        </w:rPr>
        <w:t>PRILOG — slike i tablice</w:t>
      </w:r>
    </w:p>
    <w:p>
      <w:pPr>
        <w:spacing w:befor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Slika 1.</w:t>
      </w:r>
      <w:r>
        <w:rPr>
          <w:rFonts w:ascii="Times New Roman" w:hAnsi="Times New Roman"/>
          <w:noProof/>
          <w:sz w:val="24"/>
        </w:rPr>
        <w:t>: Broj točaka dnevnog reda Odbora za procjenu rizika u području farmakovigilancije (PRAC) srpanj – prosinac 2012., siječanj – prosinac 2013. i siječanj – prosinac 2014.</w:t>
      </w:r>
    </w:p>
    <w:p>
      <w:pPr>
        <w:spacing w:before="72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noProof/>
        </w:rPr>
        <w:t xml:space="preserve"> </w:t>
      </w:r>
      <w:r>
        <w:rPr>
          <w:noProof/>
          <w:lang w:val="en-US" w:eastAsia="en-US" w:bidi="ar-SA"/>
        </w:rPr>
        <w:drawing>
          <wp:inline distT="0" distB="0" distL="0" distR="0">
            <wp:extent cx="5700395" cy="4316095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431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  <w:r>
        <w:rPr>
          <w:rFonts w:ascii="Times New Roman" w:hAnsi="Times New Roman"/>
          <w:b/>
          <w:noProof/>
          <w:sz w:val="24"/>
          <w:u w:val="single"/>
        </w:rPr>
        <w:t>Slika 2.</w:t>
      </w:r>
      <w:r>
        <w:rPr>
          <w:rFonts w:ascii="Times New Roman" w:hAnsi="Times New Roman"/>
          <w:noProof/>
          <w:sz w:val="24"/>
        </w:rPr>
        <w:t xml:space="preserve"> Podnošenje sigurnosnih izvješća o pojedinačnim slučajevima u bazu podataka EudraVigilance iz država Europskog gospodarskog prostora ili država izvan Europskog gospodarskog prostora 2011. – 2014.</w:t>
      </w:r>
    </w:p>
    <w:p>
      <w:pPr>
        <w:spacing w:befor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3975100" cy="4145915"/>
            <wp:effectExtent l="0" t="0" r="6350" b="698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414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3975100" cy="4170045"/>
            <wp:effectExtent l="0" t="0" r="6350" b="190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720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before="720"/>
        <w:rPr>
          <w:rFonts w:ascii="Times New Roman" w:hAnsi="Times New Roman" w:cs="Times New Roman"/>
          <w:noProof/>
          <w:sz w:val="24"/>
          <w:szCs w:val="24"/>
        </w:rPr>
      </w:pPr>
    </w:p>
    <w:p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noProof/>
        </w:rPr>
        <w:br w:type="page"/>
      </w:r>
    </w:p>
    <w:p>
      <w:pPr>
        <w:spacing w:befor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u w:val="single"/>
        </w:rPr>
        <w:t>Slika 3.</w:t>
      </w:r>
      <w:r>
        <w:rPr>
          <w:rFonts w:ascii="Times New Roman" w:hAnsi="Times New Roman"/>
          <w:noProof/>
          <w:sz w:val="24"/>
        </w:rPr>
        <w:t>: Broj rasprava Odbora za procjenu rizika u području farmakovigilancije (PRAC) o novim signalima odnosno o praćenju postojećih signala, rujan 2012. – prosinac 2014.</w:t>
      </w:r>
    </w:p>
    <w:p>
      <w:pPr>
        <w:spacing w:befor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5864938" cy="4423144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194" cy="442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  <w:r>
        <w:rPr>
          <w:rFonts w:ascii="Times New Roman" w:hAnsi="Times New Roman"/>
          <w:b/>
          <w:noProof/>
          <w:sz w:val="24"/>
          <w:u w:val="single"/>
        </w:rPr>
        <w:t>Slika 4.</w:t>
      </w:r>
      <w:r>
        <w:rPr>
          <w:rFonts w:ascii="Times New Roman" w:hAnsi="Times New Roman"/>
          <w:noProof/>
          <w:sz w:val="24"/>
        </w:rPr>
        <w:t>: Vrsta regulatornih mjera nakon procjene signala na Odboru za procjenu rizika u području farmakovigilancije (PRAC), rujan 2012. – prosinac 2014.</w:t>
      </w:r>
    </w:p>
    <w:p>
      <w:pPr>
        <w:spacing w:befor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4413885" cy="4603115"/>
            <wp:effectExtent l="0" t="0" r="5715" b="698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460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  <w:r>
        <w:rPr>
          <w:rFonts w:ascii="Times New Roman" w:hAnsi="Times New Roman"/>
          <w:b/>
          <w:noProof/>
          <w:sz w:val="24"/>
          <w:u w:val="single"/>
        </w:rPr>
        <w:t>Slika 5.</w:t>
      </w:r>
      <w:r>
        <w:rPr>
          <w:rFonts w:ascii="Times New Roman" w:hAnsi="Times New Roman"/>
          <w:noProof/>
          <w:sz w:val="24"/>
        </w:rPr>
        <w:t>: Rezultat procjene periodičkih izvješća o neškodljivosti lijeka (PSUR) na Odboru za procjenu rizika u području farmakovigilancije (PRAC), rujan 2012. – prosinac 2014.</w:t>
      </w:r>
    </w:p>
    <w:p>
      <w:pPr>
        <w:spacing w:before="720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 xml:space="preserve"> </w:t>
      </w:r>
      <w:r>
        <w:rPr>
          <w:noProof/>
          <w:lang w:val="en-US" w:eastAsia="en-US" w:bidi="ar-SA"/>
        </w:rPr>
        <w:drawing>
          <wp:inline distT="0" distB="0" distL="0" distR="0">
            <wp:extent cx="4523740" cy="3804285"/>
            <wp:effectExtent l="0" t="0" r="0" b="571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380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PSUSA – periodičko izvješće o neškodljivosti lijeka – jedinstvena procjena</w:t>
      </w:r>
    </w:p>
    <w:p>
      <w:pPr>
        <w:spacing w:befor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  <w:r>
        <w:rPr>
          <w:rFonts w:ascii="Times New Roman" w:hAnsi="Times New Roman"/>
          <w:b/>
          <w:noProof/>
          <w:sz w:val="24"/>
          <w:u w:val="single"/>
        </w:rPr>
        <w:t>Slika 6.</w:t>
      </w:r>
      <w:r>
        <w:rPr>
          <w:rFonts w:ascii="Times New Roman" w:hAnsi="Times New Roman"/>
          <w:noProof/>
          <w:sz w:val="24"/>
        </w:rPr>
        <w:t>: Upućivanja povezana s farmakovigilancijom pokrenuta 2012., 2013. i 2014. godine</w:t>
      </w:r>
    </w:p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992"/>
        <w:gridCol w:w="1631"/>
        <w:gridCol w:w="921"/>
      </w:tblGrid>
      <w:tr>
        <w:trPr>
          <w:trHeight w:val="450"/>
          <w:tblHeader/>
        </w:trPr>
        <w:tc>
          <w:tcPr>
            <w:tcW w:w="5495" w:type="dxa"/>
            <w:tcBorders>
              <w:top w:val="nil"/>
              <w:left w:val="nil"/>
              <w:bottom w:val="single" w:sz="6" w:space="0" w:color="FFFFFF"/>
              <w:right w:val="nil"/>
              <w:tl2br w:val="nil"/>
              <w:tr2bl w:val="nil"/>
            </w:tcBorders>
            <w:shd w:val="clear" w:color="auto" w:fill="002060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Postupak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FFFFFF"/>
              <w:right w:val="nil"/>
              <w:tl2br w:val="nil"/>
              <w:tr2bl w:val="nil"/>
            </w:tcBorders>
            <w:shd w:val="clear" w:color="auto" w:fill="002060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Članak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6" w:space="0" w:color="FFFFFF"/>
              <w:right w:val="nil"/>
              <w:tl2br w:val="nil"/>
              <w:tr2bl w:val="nil"/>
            </w:tcBorders>
            <w:shd w:val="clear" w:color="auto" w:fill="002060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Pokrenut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6" w:space="0" w:color="FFFFFF"/>
              <w:right w:val="nil"/>
              <w:tl2br w:val="nil"/>
              <w:tr2bl w:val="nil"/>
            </w:tcBorders>
            <w:shd w:val="clear" w:color="auto" w:fill="002060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Ishod</w:t>
            </w:r>
          </w:p>
        </w:tc>
      </w:tr>
      <w:tr>
        <w:trPr>
          <w:trHeight w:val="300"/>
        </w:trPr>
        <w:tc>
          <w:tcPr>
            <w:tcW w:w="549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95B3D7"/>
            <w:noWrap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2012.</w:t>
            </w:r>
          </w:p>
        </w:tc>
        <w:tc>
          <w:tcPr>
            <w:tcW w:w="99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95B3D7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95B3D7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95B3D7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trHeight w:val="300"/>
        </w:trPr>
        <w:tc>
          <w:tcPr>
            <w:tcW w:w="5495" w:type="dxa"/>
            <w:tcBorders>
              <w:top w:val="single" w:sz="6" w:space="0" w:color="FFFFFF"/>
            </w:tcBorders>
            <w:shd w:val="clear" w:color="auto" w:fill="E1E3F2"/>
            <w:noWrap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Kodein</w:t>
            </w:r>
          </w:p>
        </w:tc>
        <w:tc>
          <w:tcPr>
            <w:tcW w:w="992" w:type="dxa"/>
            <w:tcBorders>
              <w:top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tcBorders>
              <w:top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listopad 2012.</w:t>
            </w:r>
          </w:p>
        </w:tc>
        <w:tc>
          <w:tcPr>
            <w:tcW w:w="921" w:type="dxa"/>
            <w:tcBorders>
              <w:top w:val="single" w:sz="6" w:space="0" w:color="FFFFFF"/>
            </w:tcBorders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noWrap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Diklofenak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listopad 2012.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noWrap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SABA (beta agonisti kratkog djelovanja)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studeni 2012.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I, O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noWrap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HES (otopine hidroksietil škroba)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studeni 2012.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noWrap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Almitrin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studeni 2012.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</w:t>
            </w:r>
          </w:p>
        </w:tc>
      </w:tr>
      <w:tr>
        <w:trPr>
          <w:trHeight w:val="300"/>
        </w:trPr>
        <w:tc>
          <w:tcPr>
            <w:tcW w:w="5495" w:type="dxa"/>
            <w:tcBorders>
              <w:bottom w:val="single" w:sz="6" w:space="0" w:color="FFFFFF"/>
            </w:tcBorders>
            <w:shd w:val="clear" w:color="auto" w:fill="E1E3F2"/>
            <w:noWrap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Diacerein</w:t>
            </w:r>
          </w:p>
        </w:tc>
        <w:tc>
          <w:tcPr>
            <w:tcW w:w="992" w:type="dxa"/>
            <w:tcBorders>
              <w:bottom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tcBorders>
              <w:bottom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studeni 2012.</w:t>
            </w:r>
          </w:p>
        </w:tc>
        <w:tc>
          <w:tcPr>
            <w:tcW w:w="921" w:type="dxa"/>
            <w:tcBorders>
              <w:bottom w:val="single" w:sz="6" w:space="0" w:color="FFFFFF"/>
            </w:tcBorders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45"/>
        </w:trPr>
        <w:tc>
          <w:tcPr>
            <w:tcW w:w="549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8DB3E2"/>
            <w:noWrap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2013.</w:t>
            </w:r>
          </w:p>
        </w:tc>
        <w:tc>
          <w:tcPr>
            <w:tcW w:w="99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8DB3E2"/>
            <w:noWrap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8DB3E2"/>
            <w:noWrap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8DB3E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trHeight w:val="300"/>
        </w:trPr>
        <w:tc>
          <w:tcPr>
            <w:tcW w:w="5495" w:type="dxa"/>
            <w:tcBorders>
              <w:top w:val="single" w:sz="6" w:space="0" w:color="FFFFFF"/>
            </w:tcBorders>
            <w:shd w:val="clear" w:color="auto" w:fill="E1E3F2"/>
            <w:noWrap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Tredaptive, Trevaclyn, Pelzont (nikotinatna kiselina / laropiprant)</w:t>
            </w:r>
          </w:p>
        </w:tc>
        <w:tc>
          <w:tcPr>
            <w:tcW w:w="992" w:type="dxa"/>
            <w:tcBorders>
              <w:top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</w:t>
            </w:r>
          </w:p>
        </w:tc>
        <w:tc>
          <w:tcPr>
            <w:tcW w:w="1631" w:type="dxa"/>
            <w:tcBorders>
              <w:top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siječanj 2013.</w:t>
            </w:r>
          </w:p>
        </w:tc>
        <w:tc>
          <w:tcPr>
            <w:tcW w:w="921" w:type="dxa"/>
            <w:tcBorders>
              <w:top w:val="single" w:sz="6" w:space="0" w:color="FFFFFF"/>
            </w:tcBorders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Tetrazepam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107.i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siječanj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</w:t>
            </w:r>
          </w:p>
        </w:tc>
      </w:tr>
      <w:t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Ciproteron, etinilestradiol – DIANE 35 i drugi lijekovi koji sadrže ciproteron acetat 2 mg i etinilestradiol 35 mikrograma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107.i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veljača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Kombinirana hormonska kontracepcija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veljača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Flupirtin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107.i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ožujak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Domperidon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ožujak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I, O</w:t>
            </w:r>
          </w:p>
        </w:tc>
      </w:tr>
      <w:tr>
        <w:trPr>
          <w:trHeight w:val="6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Nikotinatna kiselina i povezane tvari – acipimoks, ksantinol nikotinat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ožujak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Kogenate Bayer / Helixate NexGen (oktokog alfa)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ožujak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c>
          <w:tcPr>
            <w:tcW w:w="5495" w:type="dxa"/>
            <w:shd w:val="clear" w:color="auto" w:fill="E1E3F2"/>
            <w:noWrap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Sredstva koja djeluju na renin-angiotenzinski sustav (RAS)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svibanj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Protelos/Osseor (stroncij ranelat)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svibanj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6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NUMETA G13%E, NUMETA G16%E emulzija za infuziju i povezani nazivi (glukoza, lipidi, aminokiseline i elektroliti)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107.i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lipanj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I, P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Lijekovi koji sadrže Zolpidem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srpanj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6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Lijekovi koji sadrže hidroksietil škrob (HES)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107.i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srpanj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Lijekovi koji sadrže bromokriptin 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rujan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 xml:space="preserve">Tvari povezane s valproatom 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631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listopad 2013.</w:t>
            </w:r>
          </w:p>
        </w:tc>
        <w:tc>
          <w:tcPr>
            <w:tcW w:w="921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tcBorders>
              <w:bottom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Iclusig (ponatinib)</w:t>
            </w:r>
          </w:p>
        </w:tc>
        <w:tc>
          <w:tcPr>
            <w:tcW w:w="992" w:type="dxa"/>
            <w:tcBorders>
              <w:bottom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</w:t>
            </w:r>
          </w:p>
        </w:tc>
        <w:tc>
          <w:tcPr>
            <w:tcW w:w="1631" w:type="dxa"/>
            <w:tcBorders>
              <w:bottom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prosinac 2013.</w:t>
            </w:r>
          </w:p>
        </w:tc>
        <w:tc>
          <w:tcPr>
            <w:tcW w:w="921" w:type="dxa"/>
            <w:tcBorders>
              <w:bottom w:val="single" w:sz="6" w:space="0" w:color="FFFFFF"/>
            </w:tcBorders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</w:tbl>
    <w:p>
      <w:pPr>
        <w:rPr>
          <w:noProof/>
        </w:rPr>
      </w:pPr>
      <w:r>
        <w:rPr>
          <w:noProof/>
        </w:rPr>
        <w:br w:type="page"/>
      </w:r>
    </w:p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992"/>
        <w:gridCol w:w="1134"/>
        <w:gridCol w:w="1418"/>
      </w:tblGrid>
      <w:tr>
        <w:trPr>
          <w:trHeight w:val="345"/>
        </w:trPr>
        <w:tc>
          <w:tcPr>
            <w:tcW w:w="549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8DB3E2"/>
            <w:noWrap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2014.</w:t>
            </w:r>
          </w:p>
        </w:tc>
        <w:tc>
          <w:tcPr>
            <w:tcW w:w="992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8DB3E2"/>
            <w:noWrap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8DB3E2"/>
            <w:noWrap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8DB3E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>
        <w:trPr>
          <w:trHeight w:val="300"/>
        </w:trPr>
        <w:tc>
          <w:tcPr>
            <w:tcW w:w="5495" w:type="dxa"/>
            <w:tcBorders>
              <w:top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Testosteron</w:t>
            </w:r>
          </w:p>
        </w:tc>
        <w:tc>
          <w:tcPr>
            <w:tcW w:w="992" w:type="dxa"/>
            <w:tcBorders>
              <w:top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134" w:type="dxa"/>
            <w:tcBorders>
              <w:top w:val="single" w:sz="6" w:space="0" w:color="FFFFFF"/>
            </w:tcBorders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travanj 2014.</w:t>
            </w:r>
          </w:p>
        </w:tc>
        <w:tc>
          <w:tcPr>
            <w:tcW w:w="1418" w:type="dxa"/>
            <w:tcBorders>
              <w:top w:val="single" w:sz="6" w:space="0" w:color="FFFFFF"/>
            </w:tcBorders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Kodein protiv kašlja za pedijatrijsku populaciju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134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travanj 2014.</w:t>
            </w:r>
          </w:p>
        </w:tc>
        <w:tc>
          <w:tcPr>
            <w:tcW w:w="1418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I, O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noWrap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Ambroksol/Bromheksin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134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travanj 2014.</w:t>
            </w:r>
          </w:p>
        </w:tc>
        <w:tc>
          <w:tcPr>
            <w:tcW w:w="1418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Metadon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107.i</w:t>
            </w:r>
          </w:p>
        </w:tc>
        <w:tc>
          <w:tcPr>
            <w:tcW w:w="1134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travanj 2014.</w:t>
            </w:r>
          </w:p>
        </w:tc>
        <w:tc>
          <w:tcPr>
            <w:tcW w:w="1418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I, P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Hidroksizin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134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svibanj 2014.</w:t>
            </w:r>
          </w:p>
        </w:tc>
        <w:tc>
          <w:tcPr>
            <w:tcW w:w="1418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Corlentor i Procoralan (ivabradin)</w:t>
            </w:r>
          </w:p>
        </w:tc>
        <w:tc>
          <w:tcPr>
            <w:tcW w:w="992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20.</w:t>
            </w:r>
          </w:p>
        </w:tc>
        <w:tc>
          <w:tcPr>
            <w:tcW w:w="1134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svibanj 2014.</w:t>
            </w:r>
          </w:p>
        </w:tc>
        <w:tc>
          <w:tcPr>
            <w:tcW w:w="1418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  <w:tr>
        <w:trPr>
          <w:trHeight w:val="300"/>
        </w:trPr>
        <w:tc>
          <w:tcPr>
            <w:tcW w:w="5495" w:type="dxa"/>
            <w:shd w:val="clear" w:color="auto" w:fill="E1E3F2"/>
            <w:noWrap/>
            <w:hideMark/>
          </w:tcPr>
          <w:p>
            <w:pPr>
              <w:pStyle w:val="BodytextAgency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Ibuprofen i deksibuprofen</w:t>
            </w:r>
          </w:p>
        </w:tc>
        <w:tc>
          <w:tcPr>
            <w:tcW w:w="992" w:type="dxa"/>
            <w:shd w:val="clear" w:color="auto" w:fill="E1E3F2"/>
            <w:noWrap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31.</w:t>
            </w:r>
          </w:p>
        </w:tc>
        <w:tc>
          <w:tcPr>
            <w:tcW w:w="1134" w:type="dxa"/>
            <w:shd w:val="clear" w:color="auto" w:fill="E1E3F2"/>
            <w:hideMark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lipanj 2014.</w:t>
            </w:r>
          </w:p>
        </w:tc>
        <w:tc>
          <w:tcPr>
            <w:tcW w:w="1418" w:type="dxa"/>
            <w:shd w:val="clear" w:color="auto" w:fill="E1E3F2"/>
          </w:tcPr>
          <w:p>
            <w:pPr>
              <w:pStyle w:val="BodytextAgency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</w:t>
            </w:r>
          </w:p>
        </w:tc>
      </w:tr>
    </w:tbl>
    <w:p>
      <w:pPr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u w:val="single"/>
        </w:rPr>
        <w:t>Legenda:</w:t>
      </w: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Upućivanja prema članku 20. – samo za lijekove odobrene centraliziranim postupkom</w:t>
      </w: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Upućivanja prema članku 107. – hitna upućivanja u interesu Unije</w:t>
      </w: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Upućivanja prema članku 31. – upućivanja u interesu Unije</w:t>
      </w: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 – izmjena odobrenja za stavljanje u promet</w:t>
      </w: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 – opoziv odobrenja za stavljanje u promet</w:t>
      </w:r>
    </w:p>
    <w:p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 – privremeno stavljanje odobrenja za stavljanje u promet izvan snage</w:t>
      </w:r>
    </w:p>
    <w:p>
      <w:pPr>
        <w:rPr>
          <w:rFonts w:ascii="Times New Roman" w:hAnsi="Times New Roman" w:cs="Times New Roman"/>
          <w:noProof/>
          <w:sz w:val="24"/>
          <w:szCs w:val="24"/>
        </w:rPr>
      </w:pPr>
    </w:p>
    <w:sectPr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2459951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9</w: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28105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17</w: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9552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Default"/>
        <w:ind w:left="720" w:hanging="720"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>
        <w:rPr>
          <w:rStyle w:val="FootnoteReference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tab/>
      </w:r>
      <w:r>
        <w:rPr>
          <w:rFonts w:ascii="Times New Roman" w:hAnsi="Times New Roman"/>
          <w:color w:val="auto"/>
          <w:sz w:val="20"/>
        </w:rPr>
        <w:t>Uredba (EZ) br. 726/2004 Europskog parlamenta i Vijeća od 31. ožujka 2004. o utvrđivanju postupaka odobravanja primjene i postupaka nadzora nad primjenom lijekova koji se rabe u humanoj i veterinarskoj medicini, te uspostavi Europske agencije za lijekove, SL L 136, 30. 4. 2004., str. 1.</w:t>
      </w:r>
    </w:p>
  </w:footnote>
  <w:footnote w:id="2">
    <w:p>
      <w:pPr>
        <w:pStyle w:val="Default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tab/>
      </w:r>
      <w:r>
        <w:rPr>
          <w:rFonts w:ascii="Times New Roman" w:hAnsi="Times New Roman"/>
          <w:color w:val="auto"/>
          <w:sz w:val="20"/>
        </w:rPr>
        <w:t>Direktiva 2001/83/EZ Europskog parlamenta i Vijeća od 6. studenoga 2001. o zakoniku Zajednice o lijekovima za humanu primjenu, SL L 311, 28.11.2001., str. 67.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Uredba (EU) br. 1235/2010 Europskog parlamenta i Vijeća od 15. prosinca 2010. o izmjeni Uredbe (EZ) br. 726/2004 o utvrđivanju postupaka Zajednice za odobravanje primjene i postupaka nadzora nad primjenom lijekova koji se rabe u humanoj i veterinarskoj medicini, te uspostavi Europske agencije za lijekove i Uredbe (EZ) br. 1394/2007 o lijekovima za naprednu terapiju, u vezi s farmakovigilancijom lijekova za primjenu kod ljudi, SL L 348, 31.12.2010., str. 1.; i Direktiva 2010/84/EU Europskog parlamenta i Vijeća od 15. prosinca 2010. o izmjeni, u pogledu farmakovigilancije, Direktive 2001/83/EZ Europskog parlamenta i Vijeća o zakoniku Zajednice o lijekovima za humanu primjenu, SL L 348, 31.12.2010., str. 74.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Uredba (EU) br. 1027/2012 Europskog parlamenta i Vijeća od 25. listopada 2012. o izmjeni Uredbe (EZ) br. 726/2004 u pogledu farmakovigilancije, SL L 316, 14.11.2012., str. 38; i Direktiva 2012/26/EU Europskog parlamenta i Vijeća od 25. listopada 2012. o izmjeni Direktive 2001/83/EZ u pogledu farmakovigilancije, SL L 299, 27.10.2012., str. 1.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SWD (2016) 284 final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Europska agencija za lijekove, Europski regulatorni sustav za lijekove i Europska agencija za lijekove, EMA/437313/2014.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Više informacija o ulozi i aktivnostima CMDh-a potražite na sljedećoj internetskoj stranici: </w:t>
      </w:r>
      <w:hyperlink r:id="rId1">
        <w:r>
          <w:rPr>
            <w:rStyle w:val="Hyperlink"/>
          </w:rPr>
          <w:t>http://www.hma.eu/cmdh.html</w:t>
        </w:r>
      </w:hyperlink>
      <w:r>
        <w:rPr>
          <w:rStyle w:val="Hyperlink"/>
        </w:rPr>
        <w:t>.</w:t>
      </w:r>
      <w:r>
        <w:t xml:space="preserve"> 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Članak 57. stavak 1. točka (l) Uredbe (EZ) br. 726/2004.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Više informacija o bazi podataka EudraVigilance potražite u godišnjem izvješću propisanom člankom 24. stavkom 2. Uredbe (EZ) br. 726/2004</w:t>
      </w:r>
    </w:p>
    <w:p>
      <w:pPr>
        <w:pStyle w:val="FootnoteText"/>
        <w:ind w:firstLine="0"/>
      </w:pPr>
      <w:r>
        <w:t>(http://www.ema.europa.eu/docs/en_GB/document_library/Report/2016/03/WC500203705.pdf).</w:t>
      </w:r>
    </w:p>
  </w:footnote>
  <w:footnote w:id="10">
    <w:p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tab/>
        <w:t>Farmakoepidemiološko istraživanje o ishodima liječenja europskog konzorcija (</w:t>
      </w:r>
      <w:r>
        <w:rPr>
          <w:i/>
        </w:rPr>
        <w:t>Pharmacoepidemiological Research on Outcomes of Therapeutics by a European Consortium</w:t>
      </w:r>
      <w:r>
        <w:t>). Projekt financira javno-privatno partnerstvo Innovative Medicines Initiative.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C5AA5"/>
    <w:multiLevelType w:val="hybridMultilevel"/>
    <w:tmpl w:val="621A1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5261C"/>
    <w:multiLevelType w:val="hybridMultilevel"/>
    <w:tmpl w:val="781AF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hideSpellingErrors/>
  <w:hideGrammaticalErrors/>
  <w:revisionView w:markup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FigNum" w:val="1"/>
    <w:docVar w:name="LW_CONFIDENCE" w:val=" "/>
    <w:docVar w:name="LW_CONST_RESTREINT_UE" w:val="RESTREINT UE"/>
    <w:docVar w:name="LW_CORRIGENDUM" w:val="&lt;UNUSED&gt;"/>
    <w:docVar w:name="LW_COVERPAGE_GUID" w:val="2F4FA200B64345F6A8EFD501D79D2636"/>
    <w:docVar w:name="LW_CROSSREFERENCE" w:val="{SWD(2016) 284 final}"/>
    <w:docVar w:name="LW_DocType" w:val="NORMAL"/>
    <w:docVar w:name="LW_EMISSION" w:val="8.8.2016."/>
    <w:docVar w:name="LW_EMISSION_ISODATE" w:val="2016-08-08"/>
    <w:docVar w:name="LW_EMISSION_LOCATION" w:val="BRX"/>
    <w:docVar w:name="LW_EMISSION_PREFIX" w:val="Bruxelles, "/>
    <w:docVar w:name="LW_EMISSION_SUFFIX" w:val="&lt;EMPTY&gt;"/>
    <w:docVar w:name="LW_ID_DOCTYPE_NONLW" w:val="CP-003"/>
    <w:docVar w:name="LW_LANGUE" w:val="HR"/>
    <w:docVar w:name="LW_MARKING" w:val="&lt;UNUSED&gt;"/>
    <w:docVar w:name="LW_NOM.INST" w:val="EUROPSKA KOMISIJ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6) 498"/>
    <w:docVar w:name="LW_REF.INTERNE" w:val="&lt;UNUSED&gt;"/>
    <w:docVar w:name="LW_SOUS.TITRE.OBJ.CP" w:val="&lt;UNUSED&gt;"/>
    <w:docVar w:name="LW_SUPERTITRE" w:val="&lt;UNUSED&gt;"/>
    <w:docVar w:name="LW_TITRE.OBJ.CP" w:val="Aktivnosti dr\u382?ava \u269?lanica i Europske agencije za lijekove povezane s farmakovigilancijom lijekova za humanu primjenu_x000b_ (2012. \u8211? 2014.)"/>
    <w:docVar w:name="LW_TYPE.DOC.CP" w:val="IZVJE\u352?\u262?E KOMISIJ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hr-H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pPr>
      <w:spacing w:after="0" w:line="240" w:lineRule="auto"/>
      <w:ind w:left="720" w:hanging="720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MS Mincho" w:hAnsi="Times New Roman" w:cs="Times New Roman"/>
      <w:sz w:val="20"/>
      <w:szCs w:val="20"/>
      <w:lang w:val="hr-HR"/>
    </w:rPr>
  </w:style>
  <w:style w:type="character" w:styleId="FootnoteReference">
    <w:name w:val="footnote reference"/>
    <w:rPr>
      <w:shd w:val="clear" w:color="auto" w:fill="auto"/>
      <w:vertAlign w:val="superscript"/>
    </w:rPr>
  </w:style>
  <w:style w:type="paragraph" w:customStyle="1" w:styleId="ManualHeading1">
    <w:name w:val="Manual Heading 1"/>
    <w:basedOn w:val="Normal"/>
    <w:next w:val="Normal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MS Mincho" w:hAnsi="Times New Roman" w:cs="Times New Roman"/>
      <w:b/>
      <w:smallCaps/>
      <w:sz w:val="24"/>
      <w:szCs w:val="24"/>
    </w:rPr>
  </w:style>
  <w:style w:type="paragraph" w:customStyle="1" w:styleId="ManualHeading2">
    <w:name w:val="Manual Heading 2"/>
    <w:basedOn w:val="Normal"/>
    <w:next w:val="Normal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MS Mincho" w:hAnsi="Times New Roman" w:cs="Times New Roman"/>
      <w:b/>
      <w:sz w:val="24"/>
      <w:szCs w:val="24"/>
    </w:rPr>
  </w:style>
  <w:style w:type="paragraph" w:customStyle="1" w:styleId="Annexetitre">
    <w:name w:val="Annexe titre"/>
    <w:basedOn w:val="Normal"/>
    <w:next w:val="Normal"/>
    <w:pPr>
      <w:spacing w:before="120" w:after="120" w:line="240" w:lineRule="auto"/>
      <w:jc w:val="center"/>
    </w:pPr>
    <w:rPr>
      <w:rFonts w:ascii="Times New Roman" w:eastAsia="MS Mincho" w:hAnsi="Times New Roman" w:cs="Times New Roman"/>
      <w:b/>
      <w:sz w:val="24"/>
      <w:szCs w:val="24"/>
      <w:u w:val="single"/>
    </w:rPr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eastAsia="MS Mincho" w:hAnsi="Times New Roman" w:cs="Times New Roman"/>
      <w:b/>
      <w:sz w:val="24"/>
      <w:szCs w:val="24"/>
    </w:rPr>
  </w:style>
  <w:style w:type="paragraph" w:customStyle="1" w:styleId="Typedudocument">
    <w:name w:val="Type du document"/>
    <w:basedOn w:val="Normal"/>
    <w:next w:val="Titreobjet"/>
    <w:pPr>
      <w:spacing w:before="360" w:after="0" w:line="240" w:lineRule="auto"/>
      <w:jc w:val="center"/>
    </w:pPr>
    <w:rPr>
      <w:rFonts w:ascii="Times New Roman" w:eastAsia="MS Mincho" w:hAnsi="Times New Roman" w:cs="Times New Roman"/>
      <w:b/>
      <w:sz w:val="24"/>
      <w:szCs w:val="24"/>
    </w:rPr>
  </w:style>
  <w:style w:type="paragraph" w:customStyle="1" w:styleId="IntrtEEE">
    <w:name w:val="Intérêt EEE"/>
    <w:basedOn w:val="Normal"/>
    <w:next w:val="Normal"/>
    <w:pPr>
      <w:spacing w:before="360" w:after="240" w:line="240" w:lineRule="auto"/>
      <w:jc w:val="center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AgencyChar">
    <w:name w:val="Body text (Agency) Char"/>
    <w:link w:val="BodytextAgency"/>
    <w:locked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hr-H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pPr>
      <w:spacing w:after="0" w:line="240" w:lineRule="auto"/>
      <w:ind w:left="720" w:hanging="720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MS Mincho" w:hAnsi="Times New Roman" w:cs="Times New Roman"/>
      <w:sz w:val="20"/>
      <w:szCs w:val="20"/>
      <w:lang w:val="hr-HR"/>
    </w:rPr>
  </w:style>
  <w:style w:type="character" w:styleId="FootnoteReference">
    <w:name w:val="footnote reference"/>
    <w:rPr>
      <w:shd w:val="clear" w:color="auto" w:fill="auto"/>
      <w:vertAlign w:val="superscript"/>
    </w:rPr>
  </w:style>
  <w:style w:type="paragraph" w:customStyle="1" w:styleId="ManualHeading1">
    <w:name w:val="Manual Heading 1"/>
    <w:basedOn w:val="Normal"/>
    <w:next w:val="Normal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MS Mincho" w:hAnsi="Times New Roman" w:cs="Times New Roman"/>
      <w:b/>
      <w:smallCaps/>
      <w:sz w:val="24"/>
      <w:szCs w:val="24"/>
    </w:rPr>
  </w:style>
  <w:style w:type="paragraph" w:customStyle="1" w:styleId="ManualHeading2">
    <w:name w:val="Manual Heading 2"/>
    <w:basedOn w:val="Normal"/>
    <w:next w:val="Normal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MS Mincho" w:hAnsi="Times New Roman" w:cs="Times New Roman"/>
      <w:b/>
      <w:sz w:val="24"/>
      <w:szCs w:val="24"/>
    </w:rPr>
  </w:style>
  <w:style w:type="paragraph" w:customStyle="1" w:styleId="Annexetitre">
    <w:name w:val="Annexe titre"/>
    <w:basedOn w:val="Normal"/>
    <w:next w:val="Normal"/>
    <w:pPr>
      <w:spacing w:before="120" w:after="120" w:line="240" w:lineRule="auto"/>
      <w:jc w:val="center"/>
    </w:pPr>
    <w:rPr>
      <w:rFonts w:ascii="Times New Roman" w:eastAsia="MS Mincho" w:hAnsi="Times New Roman" w:cs="Times New Roman"/>
      <w:b/>
      <w:sz w:val="24"/>
      <w:szCs w:val="24"/>
      <w:u w:val="single"/>
    </w:rPr>
  </w:style>
  <w:style w:type="paragraph" w:customStyle="1" w:styleId="Titreobjet">
    <w:name w:val="Titre objet"/>
    <w:basedOn w:val="Normal"/>
    <w:next w:val="Normal"/>
    <w:pPr>
      <w:spacing w:before="360" w:after="360" w:line="240" w:lineRule="auto"/>
      <w:jc w:val="center"/>
    </w:pPr>
    <w:rPr>
      <w:rFonts w:ascii="Times New Roman" w:eastAsia="MS Mincho" w:hAnsi="Times New Roman" w:cs="Times New Roman"/>
      <w:b/>
      <w:sz w:val="24"/>
      <w:szCs w:val="24"/>
    </w:rPr>
  </w:style>
  <w:style w:type="paragraph" w:customStyle="1" w:styleId="Typedudocument">
    <w:name w:val="Type du document"/>
    <w:basedOn w:val="Normal"/>
    <w:next w:val="Titreobjet"/>
    <w:pPr>
      <w:spacing w:before="360" w:after="0" w:line="240" w:lineRule="auto"/>
      <w:jc w:val="center"/>
    </w:pPr>
    <w:rPr>
      <w:rFonts w:ascii="Times New Roman" w:eastAsia="MS Mincho" w:hAnsi="Times New Roman" w:cs="Times New Roman"/>
      <w:b/>
      <w:sz w:val="24"/>
      <w:szCs w:val="24"/>
    </w:rPr>
  </w:style>
  <w:style w:type="paragraph" w:customStyle="1" w:styleId="IntrtEEE">
    <w:name w:val="Intérêt EEE"/>
    <w:basedOn w:val="Normal"/>
    <w:next w:val="Normal"/>
    <w:pPr>
      <w:spacing w:before="360" w:after="240" w:line="240" w:lineRule="auto"/>
      <w:jc w:val="center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AgencyChar">
    <w:name w:val="Body text (Agency) Char"/>
    <w:link w:val="BodytextAgency"/>
    <w:locked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image" Target="media/image2.png"/><Relationship Id="rId42" Type="http://schemas.openxmlformats.org/officeDocument/2006/relationships/footer" Target="footer13.xm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image" Target="media/image6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41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image" Target="media/image5.emf"/><Relationship Id="rId40" Type="http://schemas.openxmlformats.org/officeDocument/2006/relationships/header" Target="header13.xml"/><Relationship Id="rId45" Type="http://schemas.openxmlformats.org/officeDocument/2006/relationships/footer" Target="footer1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image" Target="media/image3.png"/><Relationship Id="rId43" Type="http://schemas.openxmlformats.org/officeDocument/2006/relationships/footer" Target="footer1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ma.eu/cmd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099D-3C68-430A-918F-3B4B4A30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2545</Words>
  <Characters>16066</Characters>
  <Application>Microsoft Office Word</Application>
  <DocSecurity>0</DocSecurity>
  <Lines>422</Lines>
  <Paragraphs>244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2016-07-28T13:52:00Z</dcterms:created>
  <dcterms:modified xsi:type="dcterms:W3CDTF">2016-08-05T08:37:00Z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Classification">
    <vt:lpwstr> </vt:lpwstr>
  </property>
  <property fmtid="{D5CDD505-2E9C-101B-9397-08002B2CF9AE}" pid="5" name="DocStatus">
    <vt:lpwstr>Green</vt:lpwstr>
  </property>
</Properties>
</file>