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8E769E25A2E43CC880E7E868619CEB6" style="width:450.75pt;height:393.7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UZASADNIENIE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KONTEKST WNIOSKU</w:t>
      </w:r>
    </w:p>
    <w:p>
      <w:pPr>
        <w:rPr>
          <w:noProof/>
        </w:rPr>
      </w:pPr>
      <w:r>
        <w:rPr>
          <w:noProof/>
        </w:rPr>
        <w:t xml:space="preserve">Dnia 10 listopada 2011 r. Rada przyjęła decyzję upoważniającą Komisję Europejską do wynegocjowania Umowy o współpracy na rzecz partnerstwa i rozwoju między Unią Europejską a Islamską Republiką Afganistanu. Negocjacje zostały zakończone w dniu 29 kwietnia 2015 r. po 4. rundzie negocjacji w Brukseli. Umowa została parafowana dnia 2 lipca 2015 r. w Kabulu. </w:t>
      </w:r>
    </w:p>
    <w:p>
      <w:pPr>
        <w:rPr>
          <w:noProof/>
        </w:rPr>
      </w:pPr>
      <w:r>
        <w:rPr>
          <w:noProof/>
        </w:rPr>
        <w:t>W dniu 13 stycznia 2016 r. Wysoka Przedstawiciel i Komisja przedłożyły Radzie wspólny wniosek dotyczący decyzji Rady w sprawie podpisania i zawarcia Umowy o współpracy na rzecz partnerstwa i rozwoju, jako porozumienia między Unią Europejską a Afganistanem („wyłącznie UE”)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Państwa członkowskie zgadzały się co do treści umowy, ale na forum COASI jednogłośnie wyraziły preferencję dla umowy „mieszanej”, obejmującej opcję tymczasowego stosowania. </w:t>
      </w:r>
    </w:p>
    <w:p>
      <w:pPr>
        <w:rPr>
          <w:noProof/>
        </w:rPr>
      </w:pPr>
      <w:r>
        <w:rPr>
          <w:noProof/>
        </w:rPr>
        <w:t>Stanowisko to zostało formalnie potwierdzone przez COREPER w dniu 7 września 2016 r., który zwrócił się do Komisji i Wysokiej Przedstawiciel o wprowadzenie zmian we wnioskach w celu uwzględnienia charakteru mieszanego tej umowy oraz tymczasowego stosowania. Zmiana typu Umowy na „mieszaną” oraz dodanie nowych postanowień dotyczących tymczasowego stosowania zostały następnie omówione i uzgodnione ze stroną afgańską.</w:t>
      </w:r>
    </w:p>
    <w:p>
      <w:pPr>
        <w:rPr>
          <w:noProof/>
        </w:rPr>
      </w:pPr>
      <w:r>
        <w:rPr>
          <w:noProof/>
        </w:rPr>
        <w:t xml:space="preserve">Umowa będzie pierwszym nawiązaniem stosunków umownych między Unią a Afganistanem i stanowić będzie wyraz jej zaangażowania na rzecz wsparcia przyszłego rozwoju Afganistanu w trakcie tzw. dekady transformacji (2014–2024). Umowa wyznacza ramy prawne regulujące szeroką współpracę UE z Afganistanem prowadzoną od 2001 r., której podstawę stanowi obecna strategia UE na rzecz Afganistanu na lata 2014–2016, przyjęta przez Radę w czerwcu 2014 r., a także wieloletni program orientacyjny na lata 2014–2020, będący częścią Instrumentu Finansowania Współpracy na rzecz Rozwoju. Umowa stanowić będzie podstawę stosunków UE z Afganistanem w najbliższych dziesięciu latach i może zostać automatycznie przedłużona na okres 5 lat. </w:t>
      </w:r>
    </w:p>
    <w:p>
      <w:pPr>
        <w:rPr>
          <w:noProof/>
        </w:rPr>
      </w:pPr>
      <w:r>
        <w:rPr>
          <w:noProof/>
        </w:rPr>
        <w:t xml:space="preserve">Jej postanowienia odzwierciedlają zasady i warunki, na których będzie się opierać przyszłe partnerstwo UE – Afganistan (tytuł I i II). Zawiera ona klauzule dotyczące elementów zasadniczych, takich jak prawa człowieka i nieproliferacja. W Umowie przewiduje się również możliwość współpracy w wielu obszarach, w tym rozwoju (tytuł III), handlu i inwestycji (tytuł IV) oraz wymiaru sprawiedliwości i praworządności (tytuł V). Ten ostatni obejmuje nie tylko obszerne klauzule dotyczące walki z przestępczością zorganizowaną, praniem pieniędzy, niedozwolonymi środkami odurzającymi, lecz również współpracy w dziedzinie migracji, z wyraźnym odniesieniem do zawarcia umowy o readmisji. Umowa zawiera także rozdziały poświęcone konkretnym aspektom współpracy sektorowej (tytuł VI), które wszystkie potwierdzają, że jest to umowa o współpracy.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PODSTAWA PRAWNA, POMOCNICZOŚĆ I PROPORCJONALNOŚĆ</w:t>
      </w:r>
    </w:p>
    <w:p>
      <w:pPr>
        <w:rPr>
          <w:b/>
          <w:i/>
          <w:noProof/>
        </w:rPr>
      </w:pPr>
      <w:r>
        <w:rPr>
          <w:b/>
          <w:i/>
          <w:noProof/>
        </w:rPr>
        <w:t>Podstawa prawna</w:t>
      </w:r>
    </w:p>
    <w:p>
      <w:pPr>
        <w:rPr>
          <w:noProof/>
        </w:rPr>
      </w:pPr>
      <w:r>
        <w:rPr>
          <w:noProof/>
        </w:rPr>
        <w:lastRenderedPageBreak/>
        <w:t>Zgodnie z utrwalonym orzecznictwem wybór podstawy prawnej musi opierać się na obiektywnych czynnikach, które mogą podlegać kontroli sądowej. Należą do nich w szczególności cel i treść aktu.</w:t>
      </w:r>
    </w:p>
    <w:p>
      <w:pPr>
        <w:rPr>
          <w:noProof/>
        </w:rPr>
      </w:pPr>
      <w:r>
        <w:rPr>
          <w:noProof/>
        </w:rPr>
        <w:t>Celem Umowy, zgodnie z tym co opisano w art. 2 „Charakter i zakres stosowania”, jest ustanowienie między stronami partnerstwa opartego na wielu filarach, a tym samym zacieśnienie dialogu i współpracy między nimi.</w:t>
      </w:r>
    </w:p>
    <w:p>
      <w:pPr>
        <w:rPr>
          <w:noProof/>
        </w:rPr>
      </w:pPr>
      <w:r>
        <w:rPr>
          <w:noProof/>
        </w:rPr>
        <w:t>Umowa obejmuje współpracę polityczną (tytuł II), współpracę na rzecz rozwoju (tytuł III), współpracę w zakresie handlu i inwestycji (tytuł IV), współpracę w zakresie wymiaru sprawiedliwości i spraw wewnętrznych (tytuł V), współpracę sektorową (tytuł VI) i współpracę regionalną (tytuł VII). Ponadto Umowa zawiera postanowienia dotyczące ram instytucjonalnych (tytuł VIII) i postanowienia końcowe (tytuł IX).</w:t>
      </w:r>
    </w:p>
    <w:p>
      <w:pPr>
        <w:rPr>
          <w:noProof/>
        </w:rPr>
      </w:pPr>
      <w:r>
        <w:rPr>
          <w:noProof/>
        </w:rPr>
        <w:t>Szczegółowa analiza celu i treści Umowy wskazuje, że niektóre jej postanowienia należą do wspólnej polityki zagranicznej i bezpieczeństwa, a pewne inne elementy wchodzą w zakres polityki handlowej i polityki współpracy na rzecz rozwoju Unii Europejskiej. Analiza ta wskazuje ponadto, że żadnego z tych elementów nie można uważać za dodatek do pozostałych, a także żadnej z trzech wymienionych kwestii nie można wyraźnie uznać za główny składnik. W związku z powyższym wniosek powinien mieć więcej niż jedną podstawę prawną, a powinny nimi być: art. 37 TUE i art. 207 i 209 TFUE.</w:t>
      </w:r>
    </w:p>
    <w:p>
      <w:pPr>
        <w:rPr>
          <w:b/>
          <w:i/>
          <w:noProof/>
        </w:rPr>
      </w:pPr>
      <w:r>
        <w:rPr>
          <w:b/>
          <w:i/>
          <w:noProof/>
        </w:rPr>
        <w:t>Charakter prawny</w:t>
      </w:r>
    </w:p>
    <w:p>
      <w:pPr>
        <w:rPr>
          <w:noProof/>
        </w:rPr>
      </w:pPr>
      <w:r>
        <w:rPr>
          <w:noProof/>
        </w:rPr>
        <w:t xml:space="preserve">Analiza zakresu Umowy wskazuje, że z prawnego punktu widzenia, na mocy Traktatów UE ma kompetencje do działania we wszystkich obszarach objętych zakresem Umowy. Na podstawie tej analizy prawnej Wysoka Przedstawiciel i Komisja pierwotnie zaproponowały do podpisania i zawarcia projekt umowy jako „wyłącznie UE”. Wysoka Przedstawiciel i Komisja uznały, że z politycznego punktu widzenia, znacznie krótsza i bardziej przewidywalna procedura ratyfikacyjna, jaka istnieje w przypadku wejścia w życie umowy jako „wyłącznie UE”, będzie leżała w interesie Unii zainteresowanej podjęciem szybkich działań w tym decydującym momencie przemian w Afganistanie. Szybkie wejście w życie Umowy może być wyrazem pełnego zaangażowania Unii na rzecz udanej transformacji w Afganistanie. </w:t>
      </w:r>
    </w:p>
    <w:p>
      <w:pPr>
        <w:rPr>
          <w:noProof/>
        </w:rPr>
      </w:pPr>
      <w:r>
        <w:rPr>
          <w:noProof/>
        </w:rPr>
        <w:t>Jak już jednak określono powyżej, państwa członkowskie zebrane w Radzie (grupach roboczych ds. Azji i Oceanii w dniu 13 stycznia i 20 lipca 2016 r. oraz COREPERze w dniu 7 września 2016 r.) jednogłośnie wezwały Komisję i Wysoką Przedstawiciel do przekształcenia tej umowy w umowę mieszaną, przewidującą tymczasowe stosowanie. W następstwie tego stanowiska i aby uniknąć znacznych opóźnień w ratyfikacji Umowy, Komisja i Wysoka Przedstawiciel podjęły decyzję o dostosowaniu Umowy i uzupełnieniu wniosku dotyczącego jej podpisania wnioskiem dotyczącym częściowego tymczasowego stosowania, odpowiednio, w celu uwzględnienia charakteru mieszanego tej umowy oraz tymczasowego stosowania.</w:t>
      </w:r>
    </w:p>
    <w:p>
      <w:pPr>
        <w:rPr>
          <w:noProof/>
        </w:rPr>
      </w:pPr>
      <w:r>
        <w:rPr>
          <w:noProof/>
        </w:rPr>
        <w:t xml:space="preserve">W załączonym projekcie proponuje się zatem podpisanie umowy jako umowy mieszanej. Przewiduje on także tymczasowe stosowanie szeregu jej postanowień, które mogłyby być z pożytkiem stosowane tymczasowo w stosunkach między UE a Afganistanem do czasu wejścia w życie Umowy. </w:t>
      </w:r>
    </w:p>
    <w:p>
      <w:pPr>
        <w:rPr>
          <w:b/>
          <w:i/>
          <w:noProof/>
        </w:rPr>
      </w:pPr>
      <w:r>
        <w:rPr>
          <w:b/>
          <w:i/>
          <w:noProof/>
        </w:rPr>
        <w:t>Inne rozważania natury prawnej</w:t>
      </w:r>
    </w:p>
    <w:p>
      <w:pPr>
        <w:rPr>
          <w:noProof/>
        </w:rPr>
      </w:pPr>
      <w:r>
        <w:rPr>
          <w:noProof/>
        </w:rPr>
        <w:t xml:space="preserve">Umowa ustanawia ramy instytucjonalne złożone ze Wspólnego Komitetu (zob. tytuł VIII art. 49 „Ramy instytucjonalne”). Wspólny Komitet może ustanawiać specjalne komitety lub grupy robocze mogące pomóc mu w wypełnianiu swych zadań. Art. 54 „Wypełnianie </w:t>
      </w:r>
      <w:r>
        <w:rPr>
          <w:noProof/>
        </w:rPr>
        <w:lastRenderedPageBreak/>
        <w:t>zobowiązań” wprowadza również procedurę rozwiązywania sporów, którą wykorzystuje się, jeśli jedna ze stron nie wypełnia zobowiązań wynikających z Umowy.</w:t>
      </w:r>
    </w:p>
    <w:p>
      <w:pPr>
        <w:rPr>
          <w:noProof/>
        </w:rPr>
      </w:pPr>
      <w:r>
        <w:rPr>
          <w:noProof/>
        </w:rPr>
        <w:t>Umowa obowiązuje przez okres wstępny wynoszący dziesięć lat od dnia wejścia w życie. Będzie automatycznie przedłużana o kolejne okresy pięcioletnie, chyba że sześć miesięcy przed wygaśnięciem jej ważności jedna ze stron powiadomi drugą stronę na piśmie o zamiarze jej nieprzedłużenia. Umowa może zostać wypowiedziana z zachowaniem sześciomiesięcznego okresu wypowiedzenia.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WYNIKI OCEN EX POST, KONSULTACJI Z ZAINTERESOWANYMI STRONAMI I OCEN SKUTKÓW</w:t>
      </w:r>
    </w:p>
    <w:p>
      <w:pPr>
        <w:rPr>
          <w:noProof/>
        </w:rPr>
      </w:pPr>
      <w:r>
        <w:rPr>
          <w:noProof/>
        </w:rPr>
        <w:t>Rada otrzymywała informacje na wszystkich etapach rokowań. Konsultowano się z nią regularnie w ramach odnośnej Grupy Roboczej ds. Azji.</w:t>
      </w:r>
    </w:p>
    <w:p>
      <w:pPr>
        <w:rPr>
          <w:noProof/>
        </w:rPr>
      </w:pPr>
      <w:r>
        <w:rPr>
          <w:noProof/>
        </w:rPr>
        <w:t xml:space="preserve">Parlament Europejski także otrzymywał pełne informacje w trakcie trwania negocjacji, a Wysoki Przedstawiciel Unii do Spraw Zagranicznych i Polityki Bezpieczeństwa („Wysoki Przedstawiciel”) wysłał egzemplarz parafowanej Umowy Przewodniczącemu Parlamentu Europejskiego dnia 20 lipca 2015 r. </w:t>
      </w:r>
    </w:p>
    <w:p>
      <w:pPr>
        <w:rPr>
          <w:noProof/>
        </w:rPr>
      </w:pPr>
      <w:r>
        <w:rPr>
          <w:noProof/>
        </w:rPr>
        <w:t>Wysoka Przedstawiciel i Komisja uważają, że cele określone przez Radę w jej wytycznych negocjacyjnych zostały osiągnięte oraz że projekt Umowy jest gotowy do podpisania i tymczasowego stosowania.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2016/0299 (NLE)</w:t>
      </w:r>
    </w:p>
    <w:p>
      <w:pPr>
        <w:pStyle w:val="Statut"/>
        <w:rPr>
          <w:noProof/>
        </w:rPr>
      </w:pPr>
      <w:r>
        <w:rPr>
          <w:noProof/>
        </w:rPr>
        <w:t>Wspólny wniosek</w:t>
      </w:r>
    </w:p>
    <w:p>
      <w:pPr>
        <w:pStyle w:val="Typedudocument"/>
        <w:rPr>
          <w:noProof/>
        </w:rPr>
      </w:pPr>
      <w:r>
        <w:rPr>
          <w:noProof/>
        </w:rPr>
        <w:t>DECYZJA RADY</w:t>
      </w:r>
    </w:p>
    <w:p>
      <w:pPr>
        <w:pStyle w:val="Titreobjet"/>
        <w:rPr>
          <w:noProof/>
        </w:rPr>
      </w:pPr>
      <w:r>
        <w:rPr>
          <w:noProof/>
        </w:rPr>
        <w:t xml:space="preserve">w sprawie podpisania, w imieniu Unii Europejskiej, oraz tymczasowego stosowania Umowy o współpracy na rzecz partnerstwa i rozwoju między Unią Europejską i jej Państwami Członkowskimi, z jednej strony, a Islamską Republiką Afganistanu, z drugiej strony 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RADA UNII EUROPEJSKIEJ,</w:t>
      </w:r>
    </w:p>
    <w:p>
      <w:pPr>
        <w:rPr>
          <w:noProof/>
        </w:rPr>
      </w:pPr>
      <w:r>
        <w:rPr>
          <w:noProof/>
        </w:rPr>
        <w:t>uwzględniając Traktat o Unii Europejskiej, w szczególności jego art. 37,</w:t>
      </w:r>
    </w:p>
    <w:p>
      <w:pPr>
        <w:rPr>
          <w:noProof/>
        </w:rPr>
      </w:pPr>
      <w:r>
        <w:rPr>
          <w:noProof/>
        </w:rPr>
        <w:t>uwzględniając Traktat o funkcjonowaniu Unii Europejskiej, w szczególności jego art. 207 i 209 w związku z art. 218 ust. 5 i art. 218 ust. 8 akapit drugi,</w:t>
      </w:r>
    </w:p>
    <w:p>
      <w:pPr>
        <w:rPr>
          <w:noProof/>
        </w:rPr>
      </w:pPr>
      <w:r>
        <w:rPr>
          <w:noProof/>
        </w:rPr>
        <w:t>uwzględniając wspólny wniosek Komisji Europejskiej oraz Wysokiego Przedstawiciela Unii do Spraw Zagranicznych i Polityki Bezpieczeństwa,</w:t>
      </w:r>
    </w:p>
    <w:p>
      <w:pPr>
        <w:rPr>
          <w:noProof/>
        </w:rPr>
      </w:pPr>
      <w:r>
        <w:rPr>
          <w:noProof/>
        </w:rPr>
        <w:t>a także mając na uwadze, co następuje: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W listopadzie 2011 r. Rada udzieliła Komisji i Wysokiemu Przedstawicielowi Unii do Spraw Zagranicznych i Polityki Bezpieczeństwa upoważnienia do rozpoczęcia rokowań z Islamską Republiką Afganistanu w sprawie Umowy o współpracy na rzecz partnerstwa i rozwoju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Rokowania w sprawie umowy o współpracy zakończyły się powodzeniem i została ona parafowana dnia 2 lipca 2015 r. w Kabulu.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Art. 59 Umowy przewiduje tymczasowe stosowanie Umowy do czasu jej wejścia w życie.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Należy w związku z tym podpisać Umowę w imieniu UE i tymczasowo stosować ją w części do czasu zakończenia procedur niezbędnych do jej zawarcia,</w:t>
      </w:r>
    </w:p>
    <w:p>
      <w:pPr>
        <w:pStyle w:val="Formuledadoption"/>
        <w:rPr>
          <w:noProof/>
        </w:rPr>
      </w:pPr>
      <w:r>
        <w:rPr>
          <w:noProof/>
        </w:rPr>
        <w:t>PRZYJMUJE NINIEJSZĄ DECYZJĘ:</w:t>
      </w:r>
    </w:p>
    <w:p>
      <w:pPr>
        <w:pStyle w:val="Titrearticle"/>
        <w:rPr>
          <w:noProof/>
        </w:rPr>
      </w:pPr>
      <w:r>
        <w:rPr>
          <w:noProof/>
        </w:rPr>
        <w:t>Artykuł 1</w:t>
      </w:r>
    </w:p>
    <w:p>
      <w:pPr>
        <w:rPr>
          <w:noProof/>
        </w:rPr>
      </w:pPr>
      <w:r>
        <w:rPr>
          <w:noProof/>
        </w:rPr>
        <w:t>Niniejszym zatwierdza się w imieniu Unii podpisanie Umowy o współpracy na rzecz partnerstwa i rozwoju między Unią Europejską i jej Państwami Członkowskimi, z jednej strony, a Islamską Republiką Afganistanu, z drugiej strony, z zastrzeżeniem zawarcia tej Umowy.</w:t>
      </w:r>
    </w:p>
    <w:p>
      <w:pPr>
        <w:rPr>
          <w:noProof/>
        </w:rPr>
      </w:pPr>
      <w:r>
        <w:rPr>
          <w:noProof/>
        </w:rPr>
        <w:t>Tekst Umowy dołącza się do niniejszej decyzji.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Artykuł 2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Do czasu wejścia w życie Umowy, zgodnie z jej art. 59 oraz z zastrzeżeniem przewidzianych w niej powiadomień, następujące jej części stosuje się tymczasowo w stosunkach między Unią a Islamską Republiką Afganistanu, ale tylko w zakresie, w jakim dotyczą one kwestii objętych zakresem kompetencji Unii, w tym kwestii objętych zakresem kompetencji Unii do określania i realizowania wspólnej polityki zagranicznej i bezpieczeństwa: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artykuł 2 „Zasady ogólne”;</w:t>
      </w:r>
      <w:r>
        <w:rPr>
          <w:i/>
          <w:noProof/>
        </w:rPr>
        <w:t xml:space="preserve"> 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artykuł 3 „Dialog polityczny”;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artykuł 4 „Prawa człowieka”;</w:t>
      </w:r>
      <w:r>
        <w:rPr>
          <w:i/>
          <w:noProof/>
        </w:rPr>
        <w:t xml:space="preserve"> 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artykuł 5 „Równouprawnienie płci”;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tytuł III „Współpraca na rzecz rozwoju”;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tytuł IV „Współpraca w zakresie handlu i inwestycji”;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artykuł 28 „Współpraca w dziedzinie migracji”;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tytuł VII „Współpraca regionalna”;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tytuł VIII „Ramy instytucjonalne”, w zakresie, w jakim postanowienia tego tytułu ograniczają się do celu, jakim jest zapewnienie tymczasowego stosowania Umowy;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tytuł IX „Postanowienia końcowe”, w zakresie, w jakim postanowienia tego tytułu ograniczają się do celu, jakim jest zapewnienie tymczasowego stosowania Umowy.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Data, od której części Umowy będą tymczasowo stosowane, zostanie opublikowana przez Sekretariat Generalny Rady w </w:t>
      </w:r>
      <w:r>
        <w:rPr>
          <w:i/>
          <w:noProof/>
        </w:rPr>
        <w:t>Dzienniku Urzędowym Unii Europejskiej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Artykuł 3</w:t>
      </w:r>
    </w:p>
    <w:p>
      <w:pPr>
        <w:rPr>
          <w:noProof/>
        </w:rPr>
      </w:pPr>
      <w:r>
        <w:rPr>
          <w:noProof/>
        </w:rPr>
        <w:t>Sekretariat Generalny Rady ustanawia instrument nadający pełne uprawnienia do podpisania Umowy – z zastrzeżeniem jej zawarcia – osobie wskazanej lub osobom wskazanym przez negocjatorów Umowy.</w:t>
      </w:r>
    </w:p>
    <w:p>
      <w:pPr>
        <w:pStyle w:val="Titrearticle"/>
        <w:spacing w:before="0" w:after="0"/>
        <w:outlineLvl w:val="0"/>
        <w:rPr>
          <w:bCs/>
          <w:noProof/>
        </w:rPr>
      </w:pPr>
      <w:r>
        <w:rPr>
          <w:noProof/>
        </w:rPr>
        <w:t>Artykuł 4</w:t>
      </w:r>
    </w:p>
    <w:p>
      <w:pPr>
        <w:rPr>
          <w:noProof/>
        </w:rPr>
      </w:pPr>
      <w:r>
        <w:rPr>
          <w:noProof/>
        </w:rPr>
        <w:t>Niniejsza decyzja wchodzi w życie następnego dnia po jej przyjęciu.</w:t>
      </w:r>
    </w:p>
    <w:p>
      <w:pPr>
        <w:pStyle w:val="Fait"/>
        <w:rPr>
          <w:noProof/>
        </w:rPr>
      </w:pPr>
      <w:r>
        <w:rPr>
          <w:noProof/>
        </w:rPr>
        <w:t>Sporządzono w Brukseli dnia  r.</w:t>
      </w:r>
    </w:p>
    <w:p>
      <w:pPr>
        <w:pStyle w:val="Institutionquisigne"/>
        <w:rPr>
          <w:noProof/>
        </w:rPr>
      </w:pPr>
      <w:r>
        <w:rPr>
          <w:noProof/>
        </w:rPr>
        <w:tab/>
        <w:t>W imieniu Rady</w:t>
      </w:r>
    </w:p>
    <w:p>
      <w:pPr>
        <w:pStyle w:val="Personnequisigne"/>
        <w:rPr>
          <w:noProof/>
        </w:rPr>
      </w:pPr>
      <w:r>
        <w:rPr>
          <w:noProof/>
        </w:rPr>
        <w:tab/>
        <w:t>Przewodniczący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Zob. JOIN (2015) 35 final, JOIN(2015) 36 final oraz dokumenty Rady st 15503/15 i 15504/15.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Decyzje Rady z dnia 10 listopada 2011 r. (dok. nr st 16146/11 oraz st16147/11).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FE24D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BB4DC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00490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6D033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D0E88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66E03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8F68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72E7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9-23 11:50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28E769E25A2E43CC880E7E868619CEB6"/>
    <w:docVar w:name="LW_CROSSREFERENCE" w:val="&lt;UNUSED&gt;"/>
    <w:docVar w:name="LW_DocType" w:val="COM"/>
    <w:docVar w:name="LW_EMISSION" w:val="22.9.2016"/>
    <w:docVar w:name="LW_EMISSION_ISODATE" w:val="2016-09-22"/>
    <w:docVar w:name="LW_EMISSION_LOCATION" w:val="BRX"/>
    <w:docVar w:name="LW_EMISSION_PREFIX" w:val="Bruksela, dnia "/>
    <w:docVar w:name="LW_EMISSION_SUFFIX" w:val=" r."/>
    <w:docVar w:name="LW_ID_DOCMODEL" w:val="SG-064"/>
    <w:docVar w:name="LW_ID_DOCSIGNATURE" w:val="SJ-019"/>
    <w:docVar w:name="LW_ID_DOCSTRUCTURE" w:val="COM/PL/ORG"/>
    <w:docVar w:name="LW_ID_DOCTYPE" w:val="SG-064"/>
    <w:docVar w:name="LW_ID_STATUT" w:val="SG-064"/>
    <w:docVar w:name="LW_INTERETEEE.CP" w:val="&lt;UNUSED&gt;"/>
    <w:docVar w:name="LW_LANGUE" w:val="PL"/>
    <w:docVar w:name="LW_MARKING" w:val="&lt;UNUSED&gt;"/>
    <w:docVar w:name="LW_NOM.INST" w:val="KOMISJA EUROPEJSKA"/>
    <w:docVar w:name="LW_NOM.INST_JOINTDOC" w:val="WYSOKI PRZEDSTAWICIEL UNII_x000b_DO SPRAW ZAGRANICZNYCH I_x000b_ POLITYKI BEZPIECZE\u323?STWA"/>
    <w:docVar w:name="LW_PART_NBR" w:val="1"/>
    <w:docVar w:name="LW_PART_NBR_TOTAL" w:val="1"/>
    <w:docVar w:name="LW_REF.II.NEW.CP" w:val="NLE"/>
    <w:docVar w:name="LW_REF.II.NEW.CP_NUMBER" w:val="0299"/>
    <w:docVar w:name="LW_REF.II.NEW.CP_YEAR" w:val="2016"/>
    <w:docVar w:name="LW_REF.INST.NEW" w:val="JOIN"/>
    <w:docVar w:name="LW_REF.INST.NEW_ADOPTED" w:val="final"/>
    <w:docVar w:name="LW_REF.INST.NEW_TEXT" w:val="(2016) 45"/>
    <w:docVar w:name="LW_REF.INTERNE" w:val="&lt;UNUSED&gt;"/>
    <w:docVar w:name="LW_SOUS.TITRE.OBJ.CP" w:val="&lt;UNUSED&gt;"/>
    <w:docVar w:name="LW_STATUT.CP" w:val="Wspólny wniosek"/>
    <w:docVar w:name="LW_SUPERTITRE" w:val="&lt;UNUSED&gt;"/>
    <w:docVar w:name="LW_TITRE.OBJ.CP" w:val="w sprawie podpisania, w imieniu Unii Europejskiej, oraz tymczasowego stosowania Umowy o wspó\u322?pracy na rzecz partnerstwa i rozwoju mi\u281?dzy Uni\u261? Europejsk\u261? i jej Pa\u324?stwami Cz\u322?onkowskimi, z jednej strony, a Islamsk\u261? Republik\u261? Afganistanu, z drugiej strony _x000b_"/>
    <w:docVar w:name="LW_TYPE.DOC.CP" w:val="DECYZJA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1491</Words>
  <Characters>9290</Characters>
  <Application>Microsoft Office Word</Application>
  <DocSecurity>0</DocSecurity>
  <Lines>172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2016-09-16T07:56:00Z</cp:lastPrinted>
  <dcterms:created xsi:type="dcterms:W3CDTF">2016-09-23T09:19:00Z</dcterms:created>
  <dcterms:modified xsi:type="dcterms:W3CDTF">2016-09-23T09:50:00Z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