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0D685F24964472F92F596E8FB39156F" style="width:450.75pt;height:307.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keepNext/>
        <w:tabs>
          <w:tab w:val="left" w:pos="567"/>
        </w:tabs>
        <w:spacing w:after="240" w:line="240" w:lineRule="auto"/>
        <w:jc w:val="both"/>
        <w:outlineLvl w:val="0"/>
        <w:rPr>
          <w:rFonts w:ascii="Times New Roman" w:eastAsia="Times New Roman" w:hAnsi="Times New Roman"/>
          <w:b/>
          <w:smallCaps/>
          <w:noProof/>
          <w:sz w:val="24"/>
          <w:szCs w:val="24"/>
        </w:rPr>
      </w:pPr>
      <w:bookmarkStart w:id="1" w:name="_GoBack"/>
      <w:bookmarkEnd w:id="1"/>
      <w:r>
        <w:rPr>
          <w:rFonts w:ascii="Times New Roman" w:hAnsi="Times New Roman"/>
          <w:b/>
          <w:smallCaps/>
          <w:noProof/>
          <w:sz w:val="24"/>
        </w:rPr>
        <w:lastRenderedPageBreak/>
        <w:t>1.</w:t>
      </w:r>
      <w:r>
        <w:rPr>
          <w:noProof/>
        </w:rPr>
        <w:tab/>
      </w:r>
      <w:r>
        <w:rPr>
          <w:rFonts w:ascii="Times New Roman" w:hAnsi="Times New Roman"/>
          <w:b/>
          <w:smallCaps/>
          <w:noProof/>
          <w:sz w:val="24"/>
        </w:rPr>
        <w:t>Johdanto</w:t>
      </w:r>
    </w:p>
    <w:p>
      <w:pPr>
        <w:keepNext/>
        <w:tabs>
          <w:tab w:val="left" w:pos="850"/>
        </w:tabs>
        <w:spacing w:after="240" w:line="240" w:lineRule="auto"/>
        <w:ind w:left="567" w:hanging="567"/>
        <w:jc w:val="both"/>
        <w:outlineLvl w:val="1"/>
        <w:rPr>
          <w:rFonts w:ascii="Times New Roman" w:eastAsia="Times New Roman" w:hAnsi="Times New Roman"/>
          <w:b/>
          <w:noProof/>
          <w:sz w:val="24"/>
          <w:szCs w:val="24"/>
        </w:rPr>
      </w:pPr>
      <w:r>
        <w:rPr>
          <w:rFonts w:ascii="Times New Roman" w:hAnsi="Times New Roman"/>
          <w:b/>
          <w:noProof/>
          <w:sz w:val="24"/>
        </w:rPr>
        <w:t>1.1.</w:t>
      </w:r>
      <w:r>
        <w:rPr>
          <w:noProof/>
        </w:rPr>
        <w:tab/>
      </w:r>
      <w:r>
        <w:rPr>
          <w:rFonts w:ascii="Times New Roman" w:hAnsi="Times New Roman"/>
          <w:b/>
          <w:noProof/>
          <w:sz w:val="24"/>
        </w:rPr>
        <w:t>Tausta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Asetuksessa (EU) N:o 181/2011</w:t>
      </w:r>
      <w:r>
        <w:rPr>
          <w:rStyle w:val="FootnoteReference"/>
          <w:noProof/>
        </w:rPr>
        <w:footnoteReference w:id="2"/>
      </w:r>
      <w:r>
        <w:rPr>
          <w:rFonts w:ascii="Times New Roman" w:hAnsi="Times New Roman"/>
          <w:noProof/>
          <w:sz w:val="24"/>
        </w:rPr>
        <w:t xml:space="preserve"> (jäljempänä ’asetus’) vahvistetaan joukko linja-autolla Euroopan unionissa matkustavien matkustajien oikeuksia. Asetusta on sovellettu 1. maaliskuuta 2013 lähtien.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Komissio toimittaa tämän kertomuksen asetuksen 32 artiklan nojalla. Siinä edellytetään, että komissio antaa Euroopan parlamentille ja neuvostolle kertomuksen asetuksen toimivuudesta ja vaikutuksista ja tekee tarvittaessa lainsäädäntöehdotuksia asetuksen säännösten yksityiskohtaisemmasta täytäntöönpanosta tai sen muuttamisesta.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Kertomus perustuu komission keräämiin asetuksen täytäntöönpanoa ja soveltamista koskeviin tietoihin, asetuksen täytäntöönpanoa koskeviin kansallisten viranomaisten kertomuksiin</w:t>
      </w:r>
      <w:r>
        <w:rPr>
          <w:rStyle w:val="FootnoteReference"/>
          <w:noProof/>
        </w:rPr>
        <w:footnoteReference w:id="3"/>
      </w:r>
      <w:r>
        <w:rPr>
          <w:rFonts w:ascii="Times New Roman" w:hAnsi="Times New Roman"/>
          <w:noProof/>
          <w:sz w:val="24"/>
        </w:rPr>
        <w:t>, matkustajia ja toimialaa Euroopan tasolla edustavien elinten kuulemiseen</w:t>
      </w:r>
      <w:r>
        <w:rPr>
          <w:rStyle w:val="FootnoteReference"/>
          <w:noProof/>
        </w:rPr>
        <w:footnoteReference w:id="4"/>
      </w:r>
      <w:r>
        <w:rPr>
          <w:rFonts w:ascii="Times New Roman" w:hAnsi="Times New Roman"/>
          <w:noProof/>
          <w:sz w:val="24"/>
        </w:rPr>
        <w:t xml:space="preserve"> ja komission vuosina 2015 ja 2016 teettämään Euroopan linja-autoliikennettä koskevaan ulkopuoliseen tutkimukseen ”Comprehensive Study on Passenger Transport by Coach in Europe”</w:t>
      </w:r>
      <w:r>
        <w:rPr>
          <w:rStyle w:val="FootnoteReference"/>
          <w:rFonts w:ascii="Times New Roman" w:hAnsi="Times New Roman"/>
          <w:noProof/>
          <w:sz w:val="24"/>
        </w:rPr>
        <w:footnoteReference w:id="5"/>
      </w:r>
      <w:r>
        <w:rPr>
          <w:rFonts w:ascii="Times New Roman" w:hAnsi="Times New Roman"/>
          <w:noProof/>
          <w:sz w:val="24"/>
        </w:rPr>
        <w:t>.</w:t>
      </w:r>
    </w:p>
    <w:p>
      <w:pPr>
        <w:keepNext/>
        <w:spacing w:after="240" w:line="240" w:lineRule="auto"/>
        <w:ind w:left="567" w:hanging="567"/>
        <w:jc w:val="both"/>
        <w:outlineLvl w:val="1"/>
        <w:rPr>
          <w:rFonts w:ascii="Times New Roman" w:eastAsia="Times New Roman" w:hAnsi="Times New Roman"/>
          <w:b/>
          <w:noProof/>
          <w:sz w:val="24"/>
          <w:szCs w:val="24"/>
        </w:rPr>
      </w:pPr>
      <w:r>
        <w:rPr>
          <w:rFonts w:ascii="Times New Roman" w:hAnsi="Times New Roman"/>
          <w:b/>
          <w:noProof/>
          <w:sz w:val="24"/>
        </w:rPr>
        <w:t xml:space="preserve">1.2. </w:t>
      </w:r>
      <w:r>
        <w:rPr>
          <w:noProof/>
        </w:rPr>
        <w:tab/>
      </w:r>
      <w:r>
        <w:rPr>
          <w:rFonts w:ascii="Times New Roman" w:hAnsi="Times New Roman"/>
          <w:b/>
          <w:noProof/>
          <w:sz w:val="24"/>
        </w:rPr>
        <w:t>EU:n linja-autoliikennealan merkitys ja ominaispiirteet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Linja-autoliikenne on joustava liikennemuoto. Toisin kuin junat tai lentokoneet, linja-autot pystyvät yleensä ottamaan matkustajia kyytiin ja jättämään matkustajia kyydistä missä tahansa hyödyntäen hyvin vähäistä kiinteää infrastruktuuria.</w:t>
      </w:r>
    </w:p>
    <w:p>
      <w:pPr>
        <w:spacing w:after="240" w:line="240" w:lineRule="auto"/>
        <w:jc w:val="both"/>
        <w:rPr>
          <w:rFonts w:ascii="Times New Roman" w:eastAsia="Times New Roman" w:hAnsi="Times New Roman"/>
          <w:noProof/>
          <w:sz w:val="24"/>
          <w:szCs w:val="24"/>
          <w:highlight w:val="yellow"/>
        </w:rPr>
      </w:pPr>
      <w:r>
        <w:rPr>
          <w:rFonts w:ascii="Times New Roman" w:hAnsi="Times New Roman"/>
          <w:noProof/>
          <w:sz w:val="24"/>
        </w:rPr>
        <w:t>Matkustajakilometreinä laskettuna linja-autoliikenteellä on 9,2 prosentin osuus EU:n kaikista maaliikenteen matkustajaliikennepalveluista ja linja-auto on henkilöautojen (81,7 prosenttia) jälkeen tärkein maaliikenteen matkustajaliikenteessä käytettävä kulkuneuvo</w:t>
      </w:r>
      <w:r>
        <w:rPr>
          <w:rStyle w:val="FootnoteReference"/>
          <w:rFonts w:ascii="Times New Roman" w:hAnsi="Times New Roman"/>
          <w:noProof/>
          <w:sz w:val="24"/>
        </w:rPr>
        <w:footnoteReference w:id="6"/>
      </w:r>
      <w:r>
        <w:rPr>
          <w:rFonts w:ascii="Times New Roman" w:hAnsi="Times New Roman"/>
          <w:noProof/>
          <w:sz w:val="24"/>
        </w:rPr>
        <w:t>. Kansainvälisen linja-autoliikenteen markkinat vapautettiin yli kymmenen vuotta sitten</w:t>
      </w:r>
      <w:r>
        <w:rPr>
          <w:rStyle w:val="FootnoteReference"/>
          <w:rFonts w:ascii="Times New Roman" w:hAnsi="Times New Roman"/>
          <w:noProof/>
          <w:sz w:val="24"/>
        </w:rPr>
        <w:footnoteReference w:id="7"/>
      </w:r>
      <w:r>
        <w:rPr>
          <w:rFonts w:ascii="Times New Roman" w:hAnsi="Times New Roman"/>
          <w:noProof/>
          <w:sz w:val="24"/>
        </w:rPr>
        <w:t xml:space="preserve"> ja kotimaan linja-autoliikenteen markkinat useissa jäsenvaltioissa (myös Saksassa ja Ranskassa</w:t>
      </w:r>
      <w:r>
        <w:rPr>
          <w:rStyle w:val="FootnoteReference"/>
          <w:rFonts w:ascii="Times New Roman" w:hAnsi="Times New Roman"/>
          <w:noProof/>
          <w:sz w:val="24"/>
        </w:rPr>
        <w:footnoteReference w:id="8"/>
      </w:r>
      <w:r>
        <w:rPr>
          <w:rFonts w:ascii="Times New Roman" w:hAnsi="Times New Roman"/>
          <w:noProof/>
          <w:sz w:val="24"/>
        </w:rPr>
        <w:t>) hiljattain, minkä ansiosta ala on kasvanut tasaisesti.</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Linja-autoliikenteellä on eräitä erityispiirteitä, jotka liittyvät sekä liikenteenharjoittajiin että matkustajiin.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Toisin kuin lento- ja rautatieliikennealat, linja-autoliikenneala koostuu suurelta osin pienistä ja keskisuurista yrityksistä ja linja-autot käyttävät samaa tieinfrastruktuuria muiden toimijoiden kanssa. Nämä erityispiirteet otetaan huomioon tietyissä asetuksen säännöksissä</w:t>
      </w:r>
      <w:r>
        <w:rPr>
          <w:rStyle w:val="FootnoteReference"/>
          <w:rFonts w:ascii="Times New Roman" w:hAnsi="Times New Roman"/>
          <w:noProof/>
          <w:sz w:val="24"/>
        </w:rPr>
        <w:footnoteReference w:id="9"/>
      </w:r>
      <w:r>
        <w:rPr>
          <w:rFonts w:ascii="Times New Roman" w:hAnsi="Times New Roman"/>
          <w:noProof/>
          <w:sz w:val="24"/>
        </w:rPr>
        <w: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Useissa jäsenvaltioissa kansallisella tasolla tehdyt tutkimukset</w:t>
      </w:r>
      <w:r>
        <w:rPr>
          <w:rStyle w:val="FootnoteReference"/>
          <w:rFonts w:ascii="Times New Roman" w:hAnsi="Times New Roman"/>
          <w:noProof/>
          <w:sz w:val="24"/>
        </w:rPr>
        <w:footnoteReference w:id="10"/>
      </w:r>
      <w:r>
        <w:rPr>
          <w:rFonts w:ascii="Times New Roman" w:hAnsi="Times New Roman"/>
          <w:noProof/>
          <w:sz w:val="24"/>
        </w:rPr>
        <w:t xml:space="preserve"> osoittavat, että linja-autoliikennettä käyttävät matkustajat ovat yleisesti ottaen heikommassa asemassa siinä mielessä, että he kuuluvat usein alempiin tuloluokkiin (hyvin suuri osuus linja-autojen käyttäjistä on opiskelijoita tai pientä eläkettä saavia ikääntyneitä) tai asuvat maantieteellisesti syrjäisellä alueella, jolla linja-auto on ainoa käytettävissä oleva julkinen liikenneväline. Matkustajilla ei useinkaan ole ajokorttia tai omaa autoa, joten linja-autoliikenne on heille välttämätön työssä- tai koulussakäynnin, sukulaisten ja ystävien tapaamisen tai vapaa-ajan ja matkailun kannalta. Huonot linja-autoliikenneyhteydet voivat haitata vakavasti näiden kansalaisten integroitumista yhteiskuntaan.</w:t>
      </w:r>
    </w:p>
    <w:p>
      <w:pPr>
        <w:keepNext/>
        <w:tabs>
          <w:tab w:val="left" w:pos="850"/>
        </w:tabs>
        <w:spacing w:after="240" w:line="240" w:lineRule="auto"/>
        <w:ind w:left="567" w:hanging="567"/>
        <w:jc w:val="both"/>
        <w:outlineLvl w:val="1"/>
        <w:rPr>
          <w:rFonts w:ascii="Times New Roman" w:eastAsia="Times New Roman" w:hAnsi="Times New Roman"/>
          <w:b/>
          <w:smallCaps/>
          <w:noProof/>
          <w:sz w:val="24"/>
          <w:szCs w:val="24"/>
        </w:rPr>
      </w:pPr>
      <w:r>
        <w:rPr>
          <w:rFonts w:ascii="Times New Roman" w:hAnsi="Times New Roman"/>
          <w:b/>
          <w:noProof/>
          <w:sz w:val="24"/>
        </w:rPr>
        <w:t>2.</w:t>
      </w:r>
      <w:r>
        <w:rPr>
          <w:noProof/>
        </w:rPr>
        <w:tab/>
      </w:r>
      <w:r>
        <w:rPr>
          <w:rFonts w:ascii="Times New Roman" w:hAnsi="Times New Roman"/>
          <w:b/>
          <w:smallCaps/>
          <w:noProof/>
          <w:sz w:val="24"/>
        </w:rPr>
        <w:t>Asetuksen soveltamisala ja sisältö</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EU:ssa on hyväksytty matkustajien oikeuksia koskevaa lainsäädäntöä kaikkien liikennemuotojen alalla (lento-, rautatie-, vesi- ja linja-autoliikenne), jotta kansalaisilla olisi taattu vähimmäissuoja matkustettaessa Euroopassa. Tarkoituksena on helpottaa liikkuvuutta ja sosiaalista integraatiota. Se, että kaikkien neljän liikennemuodon alalla on lailla taatut yhteiset matkustajaoikeudet (erityissäännöksissä otetaan huomioon kunkin muodon erityisominaisuudet), helpottaa tasapuolisten toimintaedellytysten luomista toiminnanharjoittajille liikennemuotojen sisällä ja välillä.</w:t>
      </w:r>
    </w:p>
    <w:p>
      <w:pPr>
        <w:spacing w:after="240" w:line="240" w:lineRule="auto"/>
        <w:jc w:val="both"/>
        <w:rPr>
          <w:rFonts w:ascii="Times New Roman" w:eastAsia="Times New Roman" w:hAnsi="Times New Roman"/>
          <w:i/>
          <w:noProof/>
          <w:color w:val="0D0D0D" w:themeColor="text1" w:themeTint="F2"/>
          <w:sz w:val="24"/>
          <w:szCs w:val="24"/>
        </w:rPr>
      </w:pPr>
      <w:r>
        <w:rPr>
          <w:rFonts w:ascii="Times New Roman" w:hAnsi="Times New Roman"/>
          <w:i/>
          <w:noProof/>
          <w:color w:val="0D0D0D" w:themeColor="text1" w:themeTint="F2"/>
          <w:sz w:val="24"/>
        </w:rPr>
        <w:t>Soveltamisala</w:t>
      </w:r>
    </w:p>
    <w:p>
      <w:pPr>
        <w:spacing w:after="240" w:line="240" w:lineRule="auto"/>
        <w:jc w:val="both"/>
        <w:rPr>
          <w:rFonts w:ascii="Times New Roman" w:eastAsia="Times New Roman" w:hAnsi="Times New Roman"/>
          <w:noProof/>
          <w:color w:val="0D0D0D" w:themeColor="text1" w:themeTint="F2"/>
          <w:sz w:val="24"/>
          <w:szCs w:val="24"/>
        </w:rPr>
      </w:pPr>
      <w:r>
        <w:rPr>
          <w:rFonts w:ascii="Times New Roman" w:hAnsi="Times New Roman"/>
          <w:noProof/>
          <w:color w:val="0D0D0D" w:themeColor="text1" w:themeTint="F2"/>
          <w:sz w:val="24"/>
        </w:rPr>
        <w:t>Asetusta sovelletaan yleensä ”säännölliseen liikenteeseen” (eli liikenteeseen, jota harjoitetaan henkilöiden kuljettamiseksi linja-autolla tietyin väliajoin tietyllä reitillä ja jolla matkustajia otetaan kyytiin ja jätetään kyydistä ennalta vahvistetuissa pysähdyspaikoissa) ja tarkemmin määrittelemättömiin matkustajiin, jotka nousevat ajoneuvoon tai poistuvat siitä jonkin jäsenvaltion alueella sijaitsevassa paikassa</w:t>
      </w:r>
      <w:r>
        <w:rPr>
          <w:rStyle w:val="FootnoteReference"/>
          <w:rFonts w:ascii="Times New Roman" w:hAnsi="Times New Roman"/>
          <w:noProof/>
          <w:color w:val="0D0D0D" w:themeColor="text1" w:themeTint="F2"/>
          <w:sz w:val="24"/>
        </w:rPr>
        <w:footnoteReference w:id="11"/>
      </w:r>
      <w:r>
        <w:rPr>
          <w:rFonts w:ascii="Times New Roman" w:hAnsi="Times New Roman"/>
          <w:noProof/>
          <w:color w:val="0D0D0D" w:themeColor="text1" w:themeTint="F2"/>
          <w:sz w:val="24"/>
        </w:rPr>
        <w:t>.</w:t>
      </w:r>
    </w:p>
    <w:p>
      <w:pPr>
        <w:spacing w:after="240" w:line="240" w:lineRule="auto"/>
        <w:jc w:val="both"/>
        <w:rPr>
          <w:rFonts w:ascii="Times New Roman" w:eastAsia="Times New Roman" w:hAnsi="Times New Roman"/>
          <w:i/>
          <w:noProof/>
          <w:color w:val="0D0D0D" w:themeColor="text1" w:themeTint="F2"/>
          <w:sz w:val="24"/>
          <w:szCs w:val="24"/>
        </w:rPr>
      </w:pPr>
      <w:r>
        <w:rPr>
          <w:rFonts w:ascii="Times New Roman" w:hAnsi="Times New Roman"/>
          <w:i/>
          <w:noProof/>
          <w:color w:val="0D0D0D" w:themeColor="text1" w:themeTint="F2"/>
          <w:sz w:val="24"/>
        </w:rPr>
        <w:t>Sisältö</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Säännöllistä liikennettä käyttävillä matkustajilla on liikennöitävän aikataulun mukaisen matkan pituudesta riippumatta seuraavat keskeiset oikeudet: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1) syrjimättömät kuljetusehdot (etenkin syrjimättömät hinnat);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2) vammaisten ja liikuntarajoitteisten henkilöiden oikeus kuljetukseen ilman lisäkustannuksia (liikenteenharjoittajat voivat kieltäytyä ottamasta vammaista henkilöä ajoneuvoon vain, jos hänen kuljettamisensa on fyysisesti mahdotonta ajoneuvon rakenteen taikka linja-autopysäkin tai terminaali-infrastruktuurin vuoksi tai jos hänen kuljettamisensa olisi terveyttä ja turvallisuutta koskevien vaatimusten vastaista);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3) kaikille matkustajille ennen matkaa ja matkan aikana annettavia matkatietoja koskevat vähimmäisvaatimukset sekä tiedot matkustajien oikeuksista;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4) kaikkien matkustajien käytettävissä oleva liikenteenharjoittajien perustama järjestelmä valitusten käsittelyä varten ja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5) kussakin jäsenvaltiossa perustettu riippumaton kansallinen täytäntöönpanoelin, joka valvoo asetuksen soveltamista ja määrää tarvittaessa seuraamuksia.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Säännöllistä liikennettä käyttävillä matkustajilla on lisäksi seuraavat oikeudet, jos liikennöitävä aikataulun mukainen matka on 250 km tai enemmän: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6) (sähköinen tai paperinen) lippu tai muu asiakirja, jolla annetaan oikeus matkustamiseen;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7) korvaus ja avustaminen onnettomuuden aiheuttaman kuoleman tai henkilövahingon taikka matkatavaroiden katoamisen tai vahingoittumisen yhteydessä;</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8) tiedottaminen lähdön peruuntuessa tai viivästyessä;</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9) oikeus lipun koko hinnan palautukseen tai uudelleenreititykseen, jos lähtö peruuntuu tai viivästyy pitkään;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10) riittävä avun saaminen, jos lähtö peruuntuu tai viivästyy pitkään (sovelletaan ainoastaan, jos matkan aikataulun mukainen kesto on yli 3 tuntia);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11) korvaus, joka on enintään 50 prosenttia lipun hinnasta, jos liikenteenharjoittaja ei tarjonnut matkustajalle lipun hinnan palautusta tai uudelleenreititystä, kun lähtö peruuntui tai viivästyi pitkään, ja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12) vammaisten ja liikuntarajoitteisten henkilöiden avustaminen linja-autoterminaaleissa ja ajoneuvoissa ilman lisäkustannuksia.</w:t>
      </w:r>
    </w:p>
    <w:p>
      <w:pPr>
        <w:spacing w:after="240" w:line="240" w:lineRule="auto"/>
        <w:jc w:val="both"/>
        <w:rPr>
          <w:rFonts w:ascii="Times New Roman" w:eastAsia="Times New Roman" w:hAnsi="Times New Roman"/>
          <w:i/>
          <w:noProof/>
          <w:sz w:val="24"/>
          <w:szCs w:val="24"/>
        </w:rPr>
      </w:pPr>
      <w:r>
        <w:rPr>
          <w:rFonts w:ascii="Times New Roman" w:hAnsi="Times New Roman"/>
          <w:i/>
          <w:noProof/>
          <w:sz w:val="24"/>
        </w:rPr>
        <w:t>Asetuksen soveltamisalaa koskevat poikkeukset</w:t>
      </w:r>
      <w:r>
        <w:rPr>
          <w:rStyle w:val="FootnoteReference"/>
          <w:rFonts w:ascii="Times New Roman" w:hAnsi="Times New Roman"/>
          <w:i/>
          <w:noProof/>
          <w:sz w:val="24"/>
        </w:rPr>
        <w:footnoteReference w:id="12"/>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Jäsenvaltiot voivat vapauttaa säännöllisen kotimaanliikenteen asetuksen mukaisten muiden kuin keskeisten oikeuksien soveltamisesta enintään neljän vuoden ajaksi (ajanjaksoksi, joka päättyy viimeistään 28. helmikuuta 2017) ja uusia tällaisen vapautuksen kerran. Vapautukset on myönnettävä avoimuutta ja syrjimättömyyttä noudattaen. Yhteensä 12 jäsenvaltiota (Kroatia, Tšekki, Viro, Kreikka, Unkari, Latvia, Alankomaat, Portugali, Romania, Slovakia, Slovenia ja Yhdistynyt kuningaskunta) soveltaa nykyisin tällaisia vapautuksia.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Jäsenvaltiot voivat myös vapauttaa säännöllisen liikenteen koko asetuksen soveltamisesta sen vuoksi, että merkittävä osa liikenteestä (mukaan lukien vähintään yksi aikataulun mukainen pysähtyminen) tapahtuu EU:n ulkopuolella. Myös nämä vapautukset on myönnettävä avoimuutta ja syrjimättömyyttä noudattaen. Vapautukset päättyvät viimeistään 28. helmikuuta 2017, ja ne voidaan uusia kerran. Yhteensä 13 jäsenvaltiota (Itävalta, Kroatia, Viro, Suomi, Saksa, Kreikka, Unkari, Italia, Latvia, Alankomaat, Slovakia, Slovenia ja Yhdistynyt kuningaskunta) soveltaa nykyisin tällaisia vapautuksia.</w:t>
      </w:r>
    </w:p>
    <w:p>
      <w:pPr>
        <w:spacing w:after="240" w:line="240" w:lineRule="auto"/>
        <w:jc w:val="both"/>
        <w:rPr>
          <w:rFonts w:ascii="Times New Roman" w:eastAsia="Times New Roman" w:hAnsi="Times New Roman"/>
          <w:i/>
          <w:noProof/>
          <w:sz w:val="24"/>
          <w:szCs w:val="24"/>
        </w:rPr>
      </w:pPr>
      <w:r>
        <w:rPr>
          <w:rFonts w:ascii="Times New Roman" w:hAnsi="Times New Roman"/>
          <w:i/>
          <w:noProof/>
          <w:sz w:val="24"/>
        </w:rPr>
        <w:t>Muu linja-automatkustajiin sovellettava EU:n lainsäädäntö</w:t>
      </w:r>
    </w:p>
    <w:p>
      <w:pPr>
        <w:spacing w:after="240" w:line="240" w:lineRule="auto"/>
        <w:jc w:val="both"/>
        <w:rPr>
          <w:rFonts w:ascii="Times New Roman" w:eastAsia="Times New Roman" w:hAnsi="Times New Roman"/>
          <w:noProof/>
          <w:color w:val="0D0D0D" w:themeColor="text1" w:themeTint="F2"/>
          <w:sz w:val="24"/>
          <w:szCs w:val="24"/>
        </w:rPr>
      </w:pPr>
      <w:r>
        <w:rPr>
          <w:rFonts w:ascii="Times New Roman" w:hAnsi="Times New Roman"/>
          <w:noProof/>
          <w:color w:val="0D0D0D" w:themeColor="text1" w:themeTint="F2"/>
          <w:sz w:val="24"/>
        </w:rPr>
        <w:t>Matkustajilla, jotka matkustavat linja-autolla osana matkapakettia, on lisäoikeuksia direktiivin (EU) N:o 2015/2302 nojalla</w:t>
      </w:r>
      <w:r>
        <w:rPr>
          <w:rStyle w:val="FootnoteReference"/>
          <w:rFonts w:ascii="Times New Roman" w:hAnsi="Times New Roman"/>
          <w:noProof/>
          <w:color w:val="0D0D0D" w:themeColor="text1" w:themeTint="F2"/>
          <w:sz w:val="24"/>
        </w:rPr>
        <w:footnoteReference w:id="13"/>
      </w:r>
      <w:r>
        <w:rPr>
          <w:rFonts w:ascii="Times New Roman" w:hAnsi="Times New Roman"/>
          <w:noProof/>
          <w:color w:val="0D0D0D" w:themeColor="text1" w:themeTint="F2"/>
          <w:sz w:val="24"/>
        </w:rPr>
        <w:t xml:space="preserve">. </w:t>
      </w:r>
    </w:p>
    <w:p>
      <w:pPr>
        <w:spacing w:after="240" w:line="240" w:lineRule="auto"/>
        <w:jc w:val="both"/>
        <w:rPr>
          <w:rFonts w:ascii="Times New Roman" w:eastAsia="Times New Roman" w:hAnsi="Times New Roman"/>
          <w:noProof/>
          <w:color w:val="0D0D0D" w:themeColor="text1" w:themeTint="F2"/>
          <w:sz w:val="24"/>
          <w:szCs w:val="24"/>
        </w:rPr>
      </w:pPr>
      <w:r>
        <w:rPr>
          <w:rFonts w:ascii="Times New Roman" w:hAnsi="Times New Roman"/>
          <w:noProof/>
          <w:color w:val="0D0D0D" w:themeColor="text1" w:themeTint="F2"/>
          <w:sz w:val="24"/>
        </w:rPr>
        <w:t>Asetuksessa (EY) N:o 661/2009</w:t>
      </w:r>
      <w:r>
        <w:rPr>
          <w:rStyle w:val="FootnoteReference"/>
          <w:rFonts w:ascii="Times New Roman" w:hAnsi="Times New Roman"/>
          <w:noProof/>
          <w:color w:val="0D0D0D" w:themeColor="text1" w:themeTint="F2"/>
          <w:sz w:val="24"/>
        </w:rPr>
        <w:footnoteReference w:id="14"/>
      </w:r>
      <w:r>
        <w:rPr>
          <w:rFonts w:ascii="Times New Roman" w:hAnsi="Times New Roman"/>
          <w:noProof/>
          <w:color w:val="0D0D0D" w:themeColor="text1" w:themeTint="F2"/>
          <w:sz w:val="24"/>
        </w:rPr>
        <w:t xml:space="preserve"> säädetään esteettömyysvaatimuksista, jotka kaikkien uusien linja-autojen on täytettävä, jotta niiden rekisteröinti, myynti ja käyttöönotto voidaan sallia EU:ssa.</w:t>
      </w:r>
    </w:p>
    <w:p>
      <w:pPr>
        <w:spacing w:after="240" w:line="240" w:lineRule="auto"/>
        <w:jc w:val="both"/>
        <w:rPr>
          <w:rFonts w:ascii="Times New Roman" w:eastAsia="Times New Roman" w:hAnsi="Times New Roman"/>
          <w:noProof/>
          <w:color w:val="0D0D0D" w:themeColor="text1" w:themeTint="F2"/>
          <w:sz w:val="24"/>
          <w:szCs w:val="24"/>
        </w:rPr>
      </w:pPr>
      <w:r>
        <w:rPr>
          <w:rFonts w:ascii="Times New Roman" w:hAnsi="Times New Roman"/>
          <w:noProof/>
          <w:color w:val="0D0D0D" w:themeColor="text1" w:themeTint="F2"/>
          <w:sz w:val="24"/>
        </w:rPr>
        <w:t>Merkittävä osa linja-autoliikenteestä tapahtuu EU:n sisällä valtioiden rajat ylittävässä ympäristössä: matkustajat käyttävät joko rajatylittävää palvelua tai oman jäsenvaltionsa ulkopuolista maan sisäistä palvelua. Jotta voitaisiin suojata tällaisten matkustajien etuja, asetuksessa (EY) N:o 2006/2004</w:t>
      </w:r>
      <w:r>
        <w:rPr>
          <w:rStyle w:val="FootnoteReference"/>
          <w:rFonts w:ascii="Times New Roman" w:hAnsi="Times New Roman"/>
          <w:noProof/>
          <w:color w:val="0D0D0D" w:themeColor="text1" w:themeTint="F2"/>
          <w:sz w:val="24"/>
        </w:rPr>
        <w:footnoteReference w:id="15"/>
      </w:r>
      <w:r>
        <w:rPr>
          <w:rFonts w:ascii="Times New Roman" w:hAnsi="Times New Roman"/>
          <w:noProof/>
          <w:color w:val="0D0D0D" w:themeColor="text1" w:themeTint="F2"/>
          <w:sz w:val="24"/>
        </w:rPr>
        <w:t xml:space="preserve"> tarjotaan soveltuvat puitteet kansallisten täytäntöönpanoelinten välistä yhteistyötä ja kuluttajien kollektiivisten etujen puolustamista varten valtioiden rajat ylittävässä tilanteessa.</w:t>
      </w:r>
    </w:p>
    <w:p>
      <w:pPr>
        <w:keepNext/>
        <w:spacing w:after="240" w:line="240" w:lineRule="auto"/>
        <w:ind w:left="567" w:hanging="567"/>
        <w:jc w:val="both"/>
        <w:outlineLvl w:val="1"/>
        <w:rPr>
          <w:rFonts w:ascii="Times New Roman" w:eastAsia="Times New Roman" w:hAnsi="Times New Roman"/>
          <w:b/>
          <w:smallCaps/>
          <w:noProof/>
          <w:sz w:val="24"/>
          <w:szCs w:val="24"/>
        </w:rPr>
      </w:pPr>
      <w:r>
        <w:rPr>
          <w:rFonts w:ascii="Times New Roman" w:hAnsi="Times New Roman"/>
          <w:b/>
          <w:smallCaps/>
          <w:noProof/>
          <w:sz w:val="24"/>
        </w:rPr>
        <w:t>3.</w:t>
      </w:r>
      <w:r>
        <w:rPr>
          <w:noProof/>
        </w:rPr>
        <w:tab/>
      </w:r>
      <w:r>
        <w:rPr>
          <w:rFonts w:ascii="Times New Roman" w:hAnsi="Times New Roman"/>
          <w:b/>
          <w:smallCaps/>
          <w:noProof/>
          <w:sz w:val="24"/>
        </w:rPr>
        <w:t>Asetuksen soveltaminen jäsenvaltioissa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Asetuksessa edellytetään, että jäsenvaltiot nimeävät kansalliset täytäntöönpanoelimet sen täytäntöönpanoa varten ja säätävät kansallisessa lainsäädännössä tehokkaista, oikeasuhteisista ja varoittavista seuraamuksista, joita sovelletaan asetusta rikkoviin toiminnanharjoittajiin. Jäsenvaltioiden on myös nimettävä linja-autoterminaalit, joissa vammaisia ja liikuntarajoitteisia henkilöitä avustetaan asianmukaisesti.</w:t>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Kansallisten täytäntöönpanoelinten nimeäminen</w:t>
      </w:r>
      <w:r>
        <w:rPr>
          <w:rStyle w:val="FootnoteReference"/>
          <w:rFonts w:ascii="Times New Roman" w:hAnsi="Times New Roman"/>
          <w:b/>
          <w:i/>
          <w:noProof/>
          <w:sz w:val="24"/>
        </w:rPr>
        <w:footnoteReference w:id="16"/>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Useimmat jäsenvaltiot ovat nimenneet kansalliset täytäntöönpanoelimet, jotka jo vastasivat matkustajien oikeuksista muiden liikennemuotojen alalla. Kansalliset täytäntöönpanoelimet ovat joko liikenne- tai kuluttajansuojaviranomaisia. Joissakin jäsenvaltioissa on nimetty useita kansallisia täytäntöönpanoelimiä: usein kuluttajansuojaviranomainen vastaa valitusten käsittelystä ja liikenneviranomainen suorittaa tarkastuksia, määrää seuraamuksia ja valvoo vammaisten matkustajien ajoneuvoihin ja terminaaleihin pääsyn esteettömyyttä. Useimmissa jäsenvaltioissa kansalliset täytäntöönpanoelimet on nimetty vain kansallisella tasolla, mutta muutamassa jäsenvaltiossa myös alueviranomaisilla on tärkeä asema asetuksen täytäntöönpanossa.</w:t>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Valitusten käsittely</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Matkustajat voivat toimittaa asetuksen väitetystä rikkomisesta valituksen liikenteenharjoittajalle (asetuksen mukaan liikenteenharjoittajilla on oltava järjestelmä valitusten käsittelyä varten) tai kansalliselle täytäntöönpanoelimelle.</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Asetuksessa ei säädetä valituksen jättämisen kronologisesta järjestyksestä, mutta asetuksessa annetaan jäsenvaltioille mahdollisuus vaatia, että matkustajan on toimitettava valitus ensin liikenteenharjoittajalle. Kansallinen täytäntöönpanoelin toimii valituselimenä ainoastaan silloin, kun matkustaja ei tyydy liikenteenharjoittajan antamaan vastaukseen. Tämän vaihtoehdon on valinnut kaikkiaan 20 jäsenvaltiota. Sen etuna on, että kansalliset täytäntöönpanoelimet voivat käsitellä valituksia tehokkaammin ja nopeammin, koska elinten käytössä on alusta lähtien valituksen tekijän ja liikenteenharjoittajan välinen kirjeenvaihto ja elimet saavat näin ollen kattavamman kuvan asiasta molempien osapuolten näkökulmasta.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Matkustajien liikenteenharjoittajille tekemien valitusten lukumäärästä vuosina 2013–2015 ei ole julkisesti saatavilla tietoja. Tällaiset tiedot olisivat hyödyllisiä asetuksen toimivuuden arvioinnin kannalta, mutta liikenteenharjoittajia ei velvoiteta keräämään valituksia koskevia tietoja eikä raportoimaan niistä kansallisille täytäntöönpanoelimille.</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Tiedossa kuitenkin on, että kansalliset täytäntöönpanoelimet ovat käsitelleet vain erittäin vähän valituksia (ks. jäljempänä oleva taulukko). Tähän on useita syitä: i) asetus on suhteellisen tuore, eivätkä monet matkustajat ole ehkä täysin tietoisia oikeuksistaan, ii) useimmissa jäsenvaltioissa matkustajien on toimitettava valitus ensin liikenteenharjoittajalle, ja liikenteenharjoittajat vaikuttavat ratkaisevan useimmat valitukset matkustajia tyydyttävällä tavalla, joten valitukset eivät päädy kansallisten täytäntöönpanoelinten käsiteltäviksi, ja iii) joissakin jäsenvaltioissa vain tuomioistuimet voivat antaa toiminnanharjoittajia sitovia päätöksiä ja oikeudenkäynnin hitaus ja kalleus saa matkustajat luopumaan oikeuksiensa puolustamisesta.</w:t>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Seuraamukset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Useimpien jäsenvaltioiden lainsäädännössä säädetään pelkästään sakkoihin perustuvasta seuraamusjärjestelmästä, mutta jotkin kansalliset täytäntöönpanoelimet voivat myös peruuttaa toiminnanharjoittajan lisenssin, jos toiminnanharjoittaja rikkoo asetusta tarkoituksellisesti ja järjestelmällisesti.</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Kansalliset täytäntöönpanoelimet ovat määränneet hyvin vähän seuraamuksia asetuksen kahden ensimmäisen soveltamisvuoden aikana (ks. jäljempänä oleva taulukko). Useimpien elinten mukaan toiminnanharjoittajat ovat innokkaita noudattamaan asetusta ja ratkaisemaan valitukset ennen kuin seuraamusten määrääminen tulee tarpeelliseksi.</w:t>
      </w:r>
    </w:p>
    <w:p>
      <w:pPr>
        <w:spacing w:after="240"/>
        <w:jc w:val="center"/>
        <w:rPr>
          <w:rFonts w:ascii="Times New Roman" w:hAnsi="Times New Roman"/>
          <w:b/>
          <w:noProof/>
          <w:sz w:val="24"/>
          <w:szCs w:val="24"/>
        </w:rPr>
      </w:pPr>
      <w:r>
        <w:rPr>
          <w:rFonts w:ascii="Times New Roman" w:hAnsi="Times New Roman"/>
          <w:b/>
          <w:noProof/>
          <w:sz w:val="24"/>
        </w:rPr>
        <w:t>Taulukko – Kansallisten täytäntöönpanoelinten käsittelemät valitukset ja määräämät seuraamukset</w:t>
      </w:r>
      <w:r>
        <w:rPr>
          <w:rStyle w:val="FootnoteReference"/>
          <w:noProof/>
        </w:rPr>
        <w:footnoteReference w:id="17"/>
      </w:r>
    </w:p>
    <w:tbl>
      <w:tblPr>
        <w:tblStyle w:val="TableGrid"/>
        <w:tblW w:w="8789" w:type="dxa"/>
        <w:tblInd w:w="-34" w:type="dxa"/>
        <w:tblLayout w:type="fixed"/>
        <w:tblLook w:val="04A0" w:firstRow="1" w:lastRow="0" w:firstColumn="1" w:lastColumn="0" w:noHBand="0" w:noVBand="1"/>
      </w:tblPr>
      <w:tblGrid>
        <w:gridCol w:w="1985"/>
        <w:gridCol w:w="3544"/>
        <w:gridCol w:w="3260"/>
      </w:tblGrid>
      <w:tr>
        <w:trPr>
          <w:trHeight w:val="441"/>
        </w:trPr>
        <w:tc>
          <w:tcPr>
            <w:tcW w:w="1985" w:type="dxa"/>
          </w:tcPr>
          <w:p>
            <w:pPr>
              <w:spacing w:after="0"/>
              <w:jc w:val="center"/>
              <w:rPr>
                <w:rFonts w:ascii="Times New Roman" w:hAnsi="Times New Roman"/>
                <w:b/>
                <w:noProof/>
                <w:sz w:val="24"/>
                <w:szCs w:val="24"/>
              </w:rPr>
            </w:pPr>
            <w:r>
              <w:rPr>
                <w:rFonts w:ascii="Times New Roman" w:hAnsi="Times New Roman"/>
                <w:b/>
                <w:noProof/>
                <w:sz w:val="24"/>
              </w:rPr>
              <w:t>Jäsenvaltio</w:t>
            </w:r>
          </w:p>
        </w:tc>
        <w:tc>
          <w:tcPr>
            <w:tcW w:w="3544" w:type="dxa"/>
          </w:tcPr>
          <w:p>
            <w:pPr>
              <w:spacing w:after="0"/>
              <w:jc w:val="center"/>
              <w:rPr>
                <w:rFonts w:ascii="Times New Roman" w:hAnsi="Times New Roman"/>
                <w:b/>
                <w:noProof/>
                <w:sz w:val="24"/>
                <w:szCs w:val="24"/>
              </w:rPr>
            </w:pPr>
            <w:r>
              <w:rPr>
                <w:rFonts w:ascii="Times New Roman" w:hAnsi="Times New Roman"/>
                <w:b/>
                <w:noProof/>
                <w:sz w:val="24"/>
              </w:rPr>
              <w:t>Käsiteltyjen valitusten lukumäärä</w:t>
            </w:r>
          </w:p>
        </w:tc>
        <w:tc>
          <w:tcPr>
            <w:tcW w:w="3260" w:type="dxa"/>
          </w:tcPr>
          <w:p>
            <w:pPr>
              <w:spacing w:after="0"/>
              <w:jc w:val="center"/>
              <w:rPr>
                <w:rFonts w:ascii="Times New Roman" w:hAnsi="Times New Roman"/>
                <w:b/>
                <w:noProof/>
                <w:sz w:val="24"/>
                <w:szCs w:val="24"/>
              </w:rPr>
            </w:pPr>
            <w:r>
              <w:rPr>
                <w:rFonts w:ascii="Times New Roman" w:hAnsi="Times New Roman"/>
                <w:b/>
                <w:noProof/>
                <w:sz w:val="24"/>
              </w:rPr>
              <w:t>Määrättyjen seuraamusten lukumäärä</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Itävalta</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Belgia</w:t>
            </w:r>
          </w:p>
        </w:tc>
        <w:tc>
          <w:tcPr>
            <w:tcW w:w="3544" w:type="dxa"/>
          </w:tcPr>
          <w:p>
            <w:pPr>
              <w:spacing w:after="0"/>
              <w:jc w:val="center"/>
              <w:rPr>
                <w:rFonts w:ascii="Times New Roman" w:hAnsi="Times New Roman"/>
                <w:noProof/>
                <w:sz w:val="24"/>
                <w:szCs w:val="24"/>
              </w:rPr>
            </w:pPr>
            <w:r>
              <w:rPr>
                <w:rFonts w:ascii="Times New Roman" w:hAnsi="Times New Roman"/>
                <w:noProof/>
                <w:sz w:val="24"/>
              </w:rPr>
              <w:t>1</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Bulgaria</w:t>
            </w:r>
          </w:p>
        </w:tc>
        <w:tc>
          <w:tcPr>
            <w:tcW w:w="3544" w:type="dxa"/>
          </w:tcPr>
          <w:p>
            <w:pPr>
              <w:spacing w:after="0"/>
              <w:jc w:val="center"/>
              <w:rPr>
                <w:rFonts w:ascii="Times New Roman" w:hAnsi="Times New Roman"/>
                <w:noProof/>
                <w:sz w:val="24"/>
                <w:szCs w:val="24"/>
              </w:rPr>
            </w:pPr>
            <w:r>
              <w:rPr>
                <w:rFonts w:ascii="Times New Roman" w:hAnsi="Times New Roman"/>
                <w:noProof/>
                <w:sz w:val="24"/>
              </w:rPr>
              <w:t>9</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Kroatia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Kypros</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Tšekki</w:t>
            </w:r>
          </w:p>
        </w:tc>
        <w:tc>
          <w:tcPr>
            <w:tcW w:w="3544" w:type="dxa"/>
          </w:tcPr>
          <w:p>
            <w:pPr>
              <w:spacing w:after="0"/>
              <w:jc w:val="center"/>
              <w:rPr>
                <w:rFonts w:ascii="Times New Roman" w:hAnsi="Times New Roman"/>
                <w:noProof/>
                <w:sz w:val="24"/>
                <w:szCs w:val="24"/>
              </w:rPr>
            </w:pPr>
            <w:r>
              <w:rPr>
                <w:rFonts w:ascii="Times New Roman" w:hAnsi="Times New Roman"/>
                <w:noProof/>
                <w:sz w:val="24"/>
              </w:rPr>
              <w:t>132</w:t>
            </w:r>
          </w:p>
        </w:tc>
        <w:tc>
          <w:tcPr>
            <w:tcW w:w="3260" w:type="dxa"/>
          </w:tcPr>
          <w:p>
            <w:pPr>
              <w:spacing w:after="0"/>
              <w:jc w:val="center"/>
              <w:rPr>
                <w:rFonts w:ascii="Times New Roman" w:hAnsi="Times New Roman"/>
                <w:noProof/>
                <w:sz w:val="24"/>
                <w:szCs w:val="24"/>
              </w:rPr>
            </w:pPr>
            <w:r>
              <w:rPr>
                <w:rFonts w:ascii="Times New Roman" w:hAnsi="Times New Roman"/>
                <w:noProof/>
                <w:sz w:val="24"/>
              </w:rPr>
              <w:t>9</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Tanska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Viro</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Suomi</w:t>
            </w:r>
          </w:p>
        </w:tc>
        <w:tc>
          <w:tcPr>
            <w:tcW w:w="3544" w:type="dxa"/>
          </w:tcPr>
          <w:p>
            <w:pPr>
              <w:spacing w:after="0"/>
              <w:jc w:val="center"/>
              <w:rPr>
                <w:rFonts w:ascii="Times New Roman" w:hAnsi="Times New Roman"/>
                <w:noProof/>
                <w:sz w:val="24"/>
                <w:szCs w:val="24"/>
              </w:rPr>
            </w:pPr>
            <w:r>
              <w:rPr>
                <w:rFonts w:ascii="Times New Roman" w:hAnsi="Times New Roman"/>
                <w:noProof/>
                <w:sz w:val="24"/>
              </w:rPr>
              <w:t>12</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Ranska</w:t>
            </w:r>
          </w:p>
        </w:tc>
        <w:tc>
          <w:tcPr>
            <w:tcW w:w="3544" w:type="dxa"/>
          </w:tcPr>
          <w:p>
            <w:pPr>
              <w:spacing w:after="0"/>
              <w:jc w:val="center"/>
              <w:rPr>
                <w:rFonts w:ascii="Times New Roman" w:hAnsi="Times New Roman"/>
                <w:noProof/>
                <w:sz w:val="24"/>
                <w:szCs w:val="24"/>
              </w:rPr>
            </w:pPr>
            <w:r>
              <w:rPr>
                <w:rFonts w:ascii="Times New Roman" w:hAnsi="Times New Roman"/>
                <w:noProof/>
                <w:sz w:val="24"/>
              </w:rPr>
              <w:t>21</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Saksa</w:t>
            </w:r>
          </w:p>
        </w:tc>
        <w:tc>
          <w:tcPr>
            <w:tcW w:w="3544" w:type="dxa"/>
          </w:tcPr>
          <w:p>
            <w:pPr>
              <w:spacing w:after="0"/>
              <w:jc w:val="center"/>
              <w:rPr>
                <w:rFonts w:ascii="Times New Roman" w:hAnsi="Times New Roman"/>
                <w:noProof/>
                <w:sz w:val="24"/>
                <w:szCs w:val="24"/>
              </w:rPr>
            </w:pPr>
            <w:r>
              <w:rPr>
                <w:rFonts w:ascii="Times New Roman" w:hAnsi="Times New Roman"/>
                <w:noProof/>
                <w:sz w:val="24"/>
              </w:rPr>
              <w:t>192</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Kreikka</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Unkari</w:t>
            </w:r>
          </w:p>
        </w:tc>
        <w:tc>
          <w:tcPr>
            <w:tcW w:w="3544" w:type="dxa"/>
          </w:tcPr>
          <w:p>
            <w:pPr>
              <w:spacing w:after="0"/>
              <w:jc w:val="center"/>
              <w:rPr>
                <w:rFonts w:ascii="Times New Roman" w:hAnsi="Times New Roman"/>
                <w:noProof/>
                <w:sz w:val="24"/>
                <w:szCs w:val="24"/>
              </w:rPr>
            </w:pPr>
            <w:r>
              <w:rPr>
                <w:rFonts w:ascii="Times New Roman" w:hAnsi="Times New Roman"/>
                <w:noProof/>
                <w:sz w:val="24"/>
              </w:rPr>
              <w:t>24</w:t>
            </w:r>
          </w:p>
        </w:tc>
        <w:tc>
          <w:tcPr>
            <w:tcW w:w="3260" w:type="dxa"/>
          </w:tcPr>
          <w:p>
            <w:pPr>
              <w:spacing w:after="0"/>
              <w:jc w:val="center"/>
              <w:rPr>
                <w:rFonts w:ascii="Times New Roman" w:hAnsi="Times New Roman"/>
                <w:noProof/>
                <w:sz w:val="24"/>
                <w:szCs w:val="24"/>
              </w:rPr>
            </w:pPr>
            <w:r>
              <w:rPr>
                <w:rFonts w:ascii="Times New Roman" w:hAnsi="Times New Roman"/>
                <w:noProof/>
                <w:sz w:val="24"/>
              </w:rPr>
              <w:t>16</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Irlanti</w:t>
            </w:r>
          </w:p>
        </w:tc>
        <w:tc>
          <w:tcPr>
            <w:tcW w:w="3544" w:type="dxa"/>
          </w:tcPr>
          <w:p>
            <w:pPr>
              <w:spacing w:after="0"/>
              <w:jc w:val="center"/>
              <w:rPr>
                <w:rFonts w:ascii="Times New Roman" w:hAnsi="Times New Roman"/>
                <w:noProof/>
                <w:sz w:val="24"/>
                <w:szCs w:val="24"/>
              </w:rPr>
            </w:pPr>
            <w:r>
              <w:rPr>
                <w:rFonts w:ascii="Times New Roman" w:hAnsi="Times New Roman"/>
                <w:noProof/>
                <w:sz w:val="24"/>
              </w:rPr>
              <w:t>4</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Italia</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Latvia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Liettua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Luxemburg</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Malta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Alankomaat</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Puola</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Portugali</w:t>
            </w:r>
          </w:p>
        </w:tc>
        <w:tc>
          <w:tcPr>
            <w:tcW w:w="3544" w:type="dxa"/>
          </w:tcPr>
          <w:p>
            <w:pPr>
              <w:spacing w:after="0"/>
              <w:jc w:val="center"/>
              <w:rPr>
                <w:rFonts w:ascii="Times New Roman" w:hAnsi="Times New Roman"/>
                <w:noProof/>
                <w:sz w:val="24"/>
                <w:szCs w:val="24"/>
              </w:rPr>
            </w:pPr>
            <w:r>
              <w:rPr>
                <w:rFonts w:ascii="Times New Roman" w:hAnsi="Times New Roman"/>
                <w:noProof/>
                <w:sz w:val="24"/>
              </w:rPr>
              <w:t>..</w:t>
            </w:r>
          </w:p>
        </w:tc>
        <w:tc>
          <w:tcPr>
            <w:tcW w:w="3260" w:type="dxa"/>
          </w:tcPr>
          <w:p>
            <w:pPr>
              <w:spacing w:after="0"/>
              <w:jc w:val="center"/>
              <w:rPr>
                <w:rFonts w:ascii="Times New Roman" w:hAnsi="Times New Roman"/>
                <w:noProof/>
                <w:sz w:val="24"/>
                <w:szCs w:val="24"/>
              </w:rPr>
            </w:pPr>
            <w:r>
              <w:rPr>
                <w:rFonts w:ascii="Times New Roman" w:hAnsi="Times New Roman"/>
                <w:noProof/>
                <w:sz w:val="24"/>
              </w:rPr>
              <w:t>..</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Romania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Slovakia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Slovenia</w:t>
            </w:r>
          </w:p>
        </w:tc>
        <w:tc>
          <w:tcPr>
            <w:tcW w:w="3544" w:type="dxa"/>
          </w:tcPr>
          <w:p>
            <w:pPr>
              <w:spacing w:after="0"/>
              <w:jc w:val="center"/>
              <w:rPr>
                <w:rFonts w:ascii="Times New Roman" w:hAnsi="Times New Roman"/>
                <w:noProof/>
                <w:sz w:val="24"/>
                <w:szCs w:val="24"/>
              </w:rPr>
            </w:pPr>
            <w:r>
              <w:rPr>
                <w:rFonts w:ascii="Times New Roman" w:hAnsi="Times New Roman"/>
                <w:noProof/>
                <w:sz w:val="24"/>
              </w:rPr>
              <w:t>0</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Espanja</w:t>
            </w:r>
          </w:p>
        </w:tc>
        <w:tc>
          <w:tcPr>
            <w:tcW w:w="3544" w:type="dxa"/>
          </w:tcPr>
          <w:p>
            <w:pPr>
              <w:spacing w:after="0"/>
              <w:jc w:val="center"/>
              <w:rPr>
                <w:rFonts w:ascii="Times New Roman" w:hAnsi="Times New Roman"/>
                <w:noProof/>
                <w:sz w:val="24"/>
                <w:szCs w:val="24"/>
              </w:rPr>
            </w:pPr>
            <w:r>
              <w:rPr>
                <w:rFonts w:ascii="Times New Roman" w:hAnsi="Times New Roman"/>
                <w:noProof/>
                <w:sz w:val="24"/>
              </w:rPr>
              <w:t>1 194</w:t>
            </w:r>
          </w:p>
        </w:tc>
        <w:tc>
          <w:tcPr>
            <w:tcW w:w="3260" w:type="dxa"/>
          </w:tcPr>
          <w:p>
            <w:pPr>
              <w:spacing w:after="0"/>
              <w:jc w:val="center"/>
              <w:rPr>
                <w:rFonts w:ascii="Times New Roman" w:hAnsi="Times New Roman"/>
                <w:noProof/>
                <w:sz w:val="24"/>
                <w:szCs w:val="24"/>
              </w:rPr>
            </w:pPr>
            <w:r>
              <w:rPr>
                <w:rFonts w:ascii="Times New Roman" w:hAnsi="Times New Roman"/>
                <w:noProof/>
                <w:sz w:val="24"/>
              </w:rPr>
              <w:t>54</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Ruotsi</w:t>
            </w:r>
          </w:p>
        </w:tc>
        <w:tc>
          <w:tcPr>
            <w:tcW w:w="3544" w:type="dxa"/>
          </w:tcPr>
          <w:p>
            <w:pPr>
              <w:spacing w:after="0"/>
              <w:jc w:val="center"/>
              <w:rPr>
                <w:rFonts w:ascii="Times New Roman" w:hAnsi="Times New Roman"/>
                <w:noProof/>
                <w:sz w:val="24"/>
                <w:szCs w:val="24"/>
              </w:rPr>
            </w:pPr>
            <w:r>
              <w:rPr>
                <w:rFonts w:ascii="Times New Roman" w:hAnsi="Times New Roman"/>
                <w:noProof/>
                <w:sz w:val="24"/>
              </w:rPr>
              <w:t>2</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r>
        <w:tc>
          <w:tcPr>
            <w:tcW w:w="1985" w:type="dxa"/>
          </w:tcPr>
          <w:p>
            <w:pPr>
              <w:spacing w:after="0"/>
              <w:jc w:val="both"/>
              <w:rPr>
                <w:rFonts w:ascii="Times New Roman" w:hAnsi="Times New Roman"/>
                <w:noProof/>
                <w:sz w:val="24"/>
                <w:szCs w:val="24"/>
              </w:rPr>
            </w:pPr>
            <w:r>
              <w:rPr>
                <w:rFonts w:ascii="Times New Roman" w:hAnsi="Times New Roman"/>
                <w:noProof/>
                <w:sz w:val="24"/>
              </w:rPr>
              <w:t>Yhdistynyt kuningaskunta</w:t>
            </w:r>
          </w:p>
        </w:tc>
        <w:tc>
          <w:tcPr>
            <w:tcW w:w="3544" w:type="dxa"/>
          </w:tcPr>
          <w:p>
            <w:pPr>
              <w:spacing w:after="0"/>
              <w:jc w:val="center"/>
              <w:rPr>
                <w:rFonts w:ascii="Times New Roman" w:hAnsi="Times New Roman"/>
                <w:noProof/>
                <w:sz w:val="24"/>
                <w:szCs w:val="24"/>
              </w:rPr>
            </w:pPr>
            <w:r>
              <w:rPr>
                <w:rFonts w:ascii="Times New Roman" w:hAnsi="Times New Roman"/>
                <w:noProof/>
                <w:sz w:val="24"/>
              </w:rPr>
              <w:t>4</w:t>
            </w:r>
          </w:p>
        </w:tc>
        <w:tc>
          <w:tcPr>
            <w:tcW w:w="3260" w:type="dxa"/>
          </w:tcPr>
          <w:p>
            <w:pPr>
              <w:spacing w:after="0"/>
              <w:jc w:val="center"/>
              <w:rPr>
                <w:rFonts w:ascii="Times New Roman" w:hAnsi="Times New Roman"/>
                <w:noProof/>
                <w:sz w:val="24"/>
                <w:szCs w:val="24"/>
              </w:rPr>
            </w:pPr>
            <w:r>
              <w:rPr>
                <w:rFonts w:ascii="Times New Roman" w:hAnsi="Times New Roman"/>
                <w:noProof/>
                <w:sz w:val="24"/>
              </w:rPr>
              <w:t>0</w:t>
            </w:r>
          </w:p>
        </w:tc>
      </w:tr>
    </w:tbl>
    <w:p>
      <w:pPr>
        <w:spacing w:after="240" w:line="240" w:lineRule="auto"/>
        <w:jc w:val="both"/>
        <w:rPr>
          <w:rFonts w:ascii="Times New Roman" w:eastAsia="Times New Roman" w:hAnsi="Times New Roman"/>
          <w:b/>
          <w:i/>
          <w:noProof/>
          <w:sz w:val="24"/>
          <w:szCs w:val="24"/>
        </w:rPr>
      </w:pP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Muut täytäntöönpano- ja tiedotustoimet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Valitusten käsitteleminen ja rikkomuksista rankaiseminen ovat vain kaksi asetuksessa annettua esimerkkiä mahdollisista toimenpiteistä, joilla linja-automatkustajien oikeudet voidaan panna täytäntöön. Monet kansalliset täytäntöönpanoelimet ovat olleet erittäin aktiivisia ja toteuttaneet lisätoimia</w:t>
      </w:r>
      <w:r>
        <w:rPr>
          <w:rStyle w:val="FootnoteReference"/>
          <w:rFonts w:ascii="Times New Roman" w:hAnsi="Times New Roman"/>
          <w:noProof/>
          <w:sz w:val="24"/>
        </w:rPr>
        <w:footnoteReference w:id="18"/>
      </w:r>
      <w:r>
        <w:rPr>
          <w:rFonts w:ascii="Times New Roman" w:hAnsi="Times New Roman"/>
          <w:noProof/>
          <w:sz w:val="24"/>
        </w:rPr>
        <w:t>.</w:t>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Sellaisten linja-autoterminaalien nimeäminen, joissa vammaisia ja liikuntarajoitteisia henkilöitä avustetaan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 xml:space="preserve">Asetuksessa edellytetään, että jäsenvaltioiden on nimettävä miehitetyt ja tarvittavalla tavalla varustetut linja-autoterminaalit, joissa vammaisia ja liikuntarajoitteisia henkilöitä avustetaan asianmukaisesti. Linja-autoterminaaleissa avustaminen on olennaisen tärkeää, koska vammaiset ja liikuntarajoitteiset henkilöt tarvitsevat usein apua linja-autoon noustessaan tai siitä poistuessaan. Vaatimus on useimmiten helpointa täyttää terminaaleissa, joissa on paljon matkustajaliikennettä. </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Jäsenvaltioiden ratkaisut vaihtelevat. Jotkin suurista ja tiheään asutuista jäsenvaltioista ovat nimenneet vain yhden tai muutaman terminaalin, mikä on epäsuhdassa niin maan kokoon kuin linja-automatkustajien määräänkin nähden</w:t>
      </w:r>
      <w:r>
        <w:rPr>
          <w:rStyle w:val="FootnoteReference"/>
          <w:rFonts w:ascii="Times New Roman" w:hAnsi="Times New Roman"/>
          <w:noProof/>
          <w:sz w:val="24"/>
        </w:rPr>
        <w:footnoteReference w:id="19"/>
      </w:r>
      <w:r>
        <w:rPr>
          <w:rFonts w:ascii="Times New Roman" w:hAnsi="Times New Roman"/>
          <w:noProof/>
          <w:sz w:val="24"/>
        </w:rPr>
        <w:t xml:space="preserve">. </w:t>
      </w:r>
    </w:p>
    <w:p>
      <w:pPr>
        <w:spacing w:after="240" w:line="240" w:lineRule="auto"/>
        <w:jc w:val="both"/>
        <w:rPr>
          <w:rFonts w:ascii="Times New Roman" w:eastAsia="Times New Roman" w:hAnsi="Times New Roman"/>
          <w:b/>
          <w:i/>
          <w:noProof/>
          <w:sz w:val="24"/>
          <w:szCs w:val="24"/>
        </w:rPr>
      </w:pPr>
      <w:r>
        <w:rPr>
          <w:rFonts w:ascii="Times New Roman" w:hAnsi="Times New Roman"/>
          <w:noProof/>
          <w:sz w:val="24"/>
        </w:rPr>
        <w:t>Joissakin muissa jäsenvaltioissa nimettiin aluksi myös miehittämättömiä linja-autopysäkkejä, joissa ei ollut asianmukaisia tiloja, mikä ei selvästikään täyttänyt asetuksessa asetettuja vaatimuksia</w:t>
      </w:r>
      <w:r>
        <w:rPr>
          <w:rStyle w:val="FootnoteReference"/>
          <w:rFonts w:ascii="Times New Roman" w:hAnsi="Times New Roman"/>
          <w:noProof/>
          <w:sz w:val="24"/>
        </w:rPr>
        <w:footnoteReference w:id="20"/>
      </w:r>
      <w:r>
        <w:rPr>
          <w:rFonts w:ascii="Times New Roman" w:hAnsi="Times New Roman"/>
          <w:noProof/>
          <w:sz w:val="24"/>
        </w:rPr>
        <w:t>. Kyseiset jäsenvaltiot peruivat nämä nimeämiset komission puututtua asiaan</w:t>
      </w:r>
      <w:r>
        <w:rPr>
          <w:rStyle w:val="FootnoteReference"/>
          <w:rFonts w:ascii="Times New Roman" w:hAnsi="Times New Roman"/>
          <w:noProof/>
          <w:sz w:val="24"/>
        </w:rPr>
        <w:footnoteReference w:id="21"/>
      </w:r>
      <w:r>
        <w:rPr>
          <w:rFonts w:ascii="Times New Roman" w:hAnsi="Times New Roman"/>
          <w:noProof/>
          <w:sz w:val="24"/>
        </w:rPr>
        <w:t xml:space="preserve">. </w:t>
      </w:r>
    </w:p>
    <w:p>
      <w:pPr>
        <w:keepNext/>
        <w:spacing w:after="240" w:line="240" w:lineRule="auto"/>
        <w:ind w:left="567" w:hanging="567"/>
        <w:jc w:val="both"/>
        <w:outlineLvl w:val="1"/>
        <w:rPr>
          <w:rFonts w:ascii="Times New Roman" w:eastAsia="Times New Roman" w:hAnsi="Times New Roman"/>
          <w:b/>
          <w:smallCaps/>
          <w:noProof/>
          <w:sz w:val="24"/>
          <w:szCs w:val="24"/>
        </w:rPr>
      </w:pPr>
      <w:r>
        <w:rPr>
          <w:rFonts w:ascii="Times New Roman" w:hAnsi="Times New Roman"/>
          <w:b/>
          <w:smallCaps/>
          <w:noProof/>
          <w:sz w:val="24"/>
        </w:rPr>
        <w:t>4.</w:t>
      </w:r>
      <w:r>
        <w:rPr>
          <w:noProof/>
        </w:rPr>
        <w:tab/>
      </w:r>
      <w:r>
        <w:rPr>
          <w:rFonts w:ascii="Times New Roman" w:hAnsi="Times New Roman"/>
          <w:b/>
          <w:smallCaps/>
          <w:noProof/>
          <w:sz w:val="24"/>
        </w:rPr>
        <w:t>Asetuksen toimivuus ja toimet sen parantamiseksi</w:t>
      </w:r>
    </w:p>
    <w:p>
      <w:pPr>
        <w:keepNext/>
        <w:spacing w:after="240" w:line="240" w:lineRule="auto"/>
        <w:ind w:left="567" w:hanging="567"/>
        <w:jc w:val="both"/>
        <w:outlineLvl w:val="1"/>
        <w:rPr>
          <w:rFonts w:ascii="Times New Roman" w:eastAsia="Times New Roman" w:hAnsi="Times New Roman"/>
          <w:b/>
          <w:noProof/>
          <w:sz w:val="24"/>
          <w:szCs w:val="24"/>
        </w:rPr>
      </w:pPr>
      <w:r>
        <w:rPr>
          <w:rFonts w:ascii="Times New Roman" w:hAnsi="Times New Roman"/>
          <w:b/>
          <w:noProof/>
          <w:sz w:val="24"/>
        </w:rPr>
        <w:t>4.1</w:t>
      </w:r>
      <w:r>
        <w:rPr>
          <w:noProof/>
        </w:rPr>
        <w:tab/>
      </w:r>
      <w:r>
        <w:rPr>
          <w:rFonts w:ascii="Times New Roman" w:hAnsi="Times New Roman"/>
          <w:b/>
          <w:noProof/>
          <w:sz w:val="24"/>
        </w:rPr>
        <w:t>Asetuksen toimivuuden arviointi</w:t>
      </w:r>
      <w:r>
        <w:rPr>
          <w:noProof/>
        </w:rPr>
        <w:tab/>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Kuulemisen tulokset</w:t>
      </w:r>
    </w:p>
    <w:p>
      <w:pPr>
        <w:spacing w:after="240" w:line="240" w:lineRule="auto"/>
        <w:jc w:val="both"/>
        <w:rPr>
          <w:rFonts w:ascii="Times New Roman" w:eastAsia="Times New Roman" w:hAnsi="Times New Roman"/>
          <w:noProof/>
          <w:color w:val="95B3D7" w:themeColor="accent1" w:themeTint="99"/>
          <w:sz w:val="24"/>
          <w:szCs w:val="24"/>
        </w:rPr>
      </w:pPr>
      <w:r>
        <w:rPr>
          <w:rFonts w:ascii="Times New Roman" w:hAnsi="Times New Roman"/>
          <w:noProof/>
          <w:sz w:val="24"/>
        </w:rPr>
        <w:t>Komissio kehotti tammikuussa 2016 matkustajia ja toimialaa EU:n tasolla edustavia elimiä esittämään näkemyksiään asetuksen toimivuudesta</w:t>
      </w:r>
      <w:r>
        <w:rPr>
          <w:rStyle w:val="FootnoteReference"/>
          <w:rFonts w:ascii="Times New Roman" w:hAnsi="Times New Roman"/>
          <w:noProof/>
          <w:sz w:val="24"/>
        </w:rPr>
        <w:footnoteReference w:id="22"/>
      </w:r>
      <w:r>
        <w:rPr>
          <w:rFonts w:ascii="Times New Roman" w:hAnsi="Times New Roman"/>
          <w:noProof/>
          <w:sz w:val="24"/>
        </w:rPr>
        <w: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 xml:space="preserve">Kaikki kuulemiseen osallistuneet olivat samaa mieltä siitä, että seuraavat kaksi tekijää vaikuttavat huomattavasti asetuksen toimivuuteen: </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 Sopivien linja-autoterminaalien puute useissa jäsenvaltioissa on linja-autoliikenteen kehittämisen merkittävimpiä esteitä. Nykyaikaiset, esteettömät ja turvalliset terminaalit, jotka olisivat yhteydessä muihin liikennemuotoihin, voisivat houkutella linja-autoliikenteelle uusia käyttäjiä. Linja-autoterminaalit ovat keskeisessä asemassa myös asetuksen soveltamisen kannalta. Laadukkaassa terminaalissa matkustajien olisi helpompi saada tietoja palveluista ja oikeuksistaan, terminaalihenkilöstö voisi avustaa vammaisia matkustajia asianmukaisesti ja matkustajia voitaisiin auttaa nykyistä paremmin liikenteen häiriötilanteissa.</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 Asetuksella ei otettu käyttöön linja-autoja ja terminaaleja koskevia uusia esteettömyysvaatimuksia, eikä se siksi edistänyt merkittävästi ajoneuvojen ja liikenneinfrastruktuurin (linja-autopysäkit ja terminaalit) esteettömyyden parantamista vammaisten ja liikuntarajoitteisten matkustajien kannalta. Jotta linja-autoliikenne olisi näiden matkustajien käytettävissä, sekä ajoneuvojen että terminaalien on oltava esteettömiä. Tämän vuoksi useiden jäsenvaltioiden toteuttamilla toimenpiteillä, joilla vaaditaan toiminnanharjoittajia käyttämään ainoastaan kalustoa, joka soveltuu vammaisten ja liikuntarajoitteisten matkustajien kuljettamiseen</w:t>
      </w:r>
      <w:r>
        <w:rPr>
          <w:rStyle w:val="FootnoteReference"/>
          <w:rFonts w:ascii="Times New Roman" w:hAnsi="Times New Roman"/>
          <w:noProof/>
          <w:sz w:val="24"/>
        </w:rPr>
        <w:footnoteReference w:id="23"/>
      </w:r>
      <w:r>
        <w:rPr>
          <w:rFonts w:ascii="Times New Roman" w:hAnsi="Times New Roman"/>
          <w:noProof/>
          <w:sz w:val="24"/>
        </w:rPr>
        <w:t>, saadaan vain vähäisiä tuloksia, jos infrastruktuuri on edelleen puutteellinen. Komission tiedossa on kuitenkin myös paikallisia ja alueellisia aloitteita, joissa toiminnanharjoittajat ovat tehneet tiivistä yhteistyötä vammaisia henkilöitä edustavien järjestöjen kanssa tehdäkseen palveluistaan esteettömiä</w:t>
      </w:r>
      <w:r>
        <w:rPr>
          <w:rStyle w:val="FootnoteReference"/>
          <w:rFonts w:ascii="Times New Roman" w:hAnsi="Times New Roman"/>
          <w:noProof/>
          <w:sz w:val="24"/>
        </w:rPr>
        <w:footnoteReference w:id="24"/>
      </w:r>
      <w:r>
        <w:rPr>
          <w:rFonts w:ascii="Times New Roman" w:hAnsi="Times New Roman"/>
          <w:noProof/>
          <w:sz w:val="24"/>
        </w:rPr>
        <w:t>.</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Vaikka kuullut osapuolet olivat samaa mieltä edellä esitetyistä asioista, toimialaa edustavien järjestöjen ja matkustajajärjestöjen näkemykset asetuksen vaikutuksista poikkesivat selvästi toisistaan. Liikenteenharjoittajia edustavat järjestöt katsoivat, että asetuksen mukainen liikenteenharjoittajien velvollisuuksien ja matkustajien oikeuksien välinen tasapaino oli alan erityisrajoitteet huomioon ottaen ihanteellinen ja että asetus takasi riittävän joustavuuden.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Matkustajia edustavat järjestöt (EDF ja EPF) pahoittelivat sitä, että useimpia asetukseen sisältyvistä säännöksistä sovellettiin vain säännölliseen liikenteeseen, jossa liikennöitävä aikataulun mukainen matka on 250 km tai enemmän. Käytännössä tämä tarkoittaa sitä, että valtaosaan säännöllisen liikenteen linja-automatkoista sovelletaan vain asetuksen keskeisiä säännöksiä</w:t>
      </w:r>
      <w:r>
        <w:rPr>
          <w:rStyle w:val="FootnoteReference"/>
          <w:rFonts w:ascii="Times New Roman" w:hAnsi="Times New Roman"/>
          <w:noProof/>
          <w:sz w:val="24"/>
        </w:rPr>
        <w:footnoteReference w:id="25"/>
      </w:r>
      <w:r>
        <w:rPr>
          <w:rFonts w:ascii="Times New Roman" w:hAnsi="Times New Roman"/>
          <w:noProof/>
          <w:sz w:val="24"/>
        </w:rPr>
        <w:t>. Matkustajajärjestöt myös arvostelivat jäsenvaltioita siitä, että ne ovat myöntäneet liikaa vapautuksia</w:t>
      </w:r>
      <w:r>
        <w:rPr>
          <w:rStyle w:val="FootnoteReference"/>
          <w:rFonts w:ascii="Times New Roman" w:hAnsi="Times New Roman"/>
          <w:noProof/>
          <w:sz w:val="24"/>
        </w:rPr>
        <w:footnoteReference w:id="26"/>
      </w:r>
      <w:r>
        <w:rPr>
          <w:rFonts w:ascii="Times New Roman" w:hAnsi="Times New Roman"/>
          <w:noProof/>
          <w:sz w:val="24"/>
        </w:rPr>
        <w:t>. Järjestöjen mielestä liiallinen vapautusten käyttö estää matkustajia hyödyntämästä oikeuksiaan täysimääräisesti ja heikentää oikeusvarmuutta (erityisesti koska matkustajien on vaikea tietää, mitä vapautuksia missäkin jäsenvaltiossa sovelletaan).</w:t>
      </w:r>
    </w:p>
    <w:p>
      <w:pPr>
        <w:spacing w:after="240" w:line="240" w:lineRule="auto"/>
        <w:jc w:val="both"/>
        <w:rPr>
          <w:rFonts w:ascii="Times New Roman" w:eastAsia="Times New Roman" w:hAnsi="Times New Roman"/>
          <w:noProof/>
          <w:sz w:val="24"/>
          <w:szCs w:val="24"/>
        </w:rPr>
      </w:pPr>
      <w:r>
        <w:rPr>
          <w:rFonts w:ascii="Times New Roman" w:hAnsi="Times New Roman"/>
          <w:noProof/>
          <w:sz w:val="24"/>
        </w:rPr>
        <w:t>Kuullut osapuolet katsoivat, että ei ollut tarpeen muuttaa mitään tiettyä asetuksen säännöstä mutta että toiminnanharjoittajien olisi parannettava nykyisen asetuksen soveltamista ja kansallisten viranomaisten olisi valvottava sen täytäntöönpanoa nykyistä tiukemmin.</w:t>
      </w:r>
    </w:p>
    <w:p>
      <w:pPr>
        <w:spacing w:after="240" w:line="240" w:lineRule="auto"/>
        <w:jc w:val="both"/>
        <w:rPr>
          <w:rFonts w:ascii="Times New Roman" w:eastAsia="Times New Roman" w:hAnsi="Times New Roman"/>
          <w:b/>
          <w:i/>
          <w:noProof/>
          <w:sz w:val="24"/>
          <w:szCs w:val="24"/>
        </w:rPr>
      </w:pPr>
      <w:r>
        <w:rPr>
          <w:rFonts w:ascii="Times New Roman" w:hAnsi="Times New Roman"/>
          <w:b/>
          <w:i/>
          <w:noProof/>
          <w:sz w:val="24"/>
        </w:rPr>
        <w:t>Komission tekemä arviointi</w:t>
      </w:r>
    </w:p>
    <w:p>
      <w:pPr>
        <w:spacing w:after="240" w:line="240" w:lineRule="auto"/>
        <w:jc w:val="both"/>
        <w:rPr>
          <w:rFonts w:ascii="Times New Roman" w:eastAsia="Times New Roman" w:hAnsi="Times New Roman"/>
          <w:noProof/>
          <w:color w:val="95B3D7" w:themeColor="accent1" w:themeTint="99"/>
          <w:sz w:val="24"/>
          <w:szCs w:val="24"/>
        </w:rPr>
      </w:pPr>
      <w:r>
        <w:rPr>
          <w:rFonts w:ascii="Times New Roman" w:hAnsi="Times New Roman"/>
          <w:noProof/>
          <w:sz w:val="24"/>
        </w:rPr>
        <w:t>Komissio ei havainnut tarkoituksellista tai vakavaa asetuksen rikkomista.</w:t>
      </w:r>
      <w:r>
        <w:rPr>
          <w:rFonts w:ascii="Times New Roman" w:hAnsi="Times New Roman"/>
          <w:noProof/>
          <w:color w:val="95B3D7" w:themeColor="accent1" w:themeTint="99"/>
          <w:sz w:val="24"/>
        </w:rPr>
        <w:t xml:space="preserve"> </w:t>
      </w:r>
      <w:r>
        <w:rPr>
          <w:rFonts w:ascii="Times New Roman" w:hAnsi="Times New Roman"/>
          <w:noProof/>
          <w:sz w:val="24"/>
        </w:rPr>
        <w:t>Useimmat yksittäiset valitukset, joista komissio on tietoinen, liittyvät tiedotuksen, avun tai korvauksen puutteeseen pitkäaikaisen viivästymisen tai peruutuksen tapauksessa</w:t>
      </w:r>
      <w:r>
        <w:rPr>
          <w:rStyle w:val="FootnoteReference"/>
          <w:rFonts w:ascii="Times New Roman" w:hAnsi="Times New Roman"/>
          <w:noProof/>
          <w:sz w:val="24"/>
        </w:rPr>
        <w:footnoteReference w:id="27"/>
      </w:r>
      <w:r>
        <w:rPr>
          <w:rFonts w:ascii="Times New Roman" w:hAnsi="Times New Roman"/>
          <w:noProof/>
          <w:sz w:val="24"/>
        </w:rPr>
        <w:t>.</w:t>
      </w:r>
      <w:r>
        <w:rPr>
          <w:rFonts w:ascii="Times New Roman" w:hAnsi="Times New Roman"/>
          <w:noProof/>
          <w:color w:val="95B3D7" w:themeColor="accent1" w:themeTint="99"/>
          <w:sz w:val="24"/>
        </w:rPr>
        <w:t xml:space="preserve"> </w:t>
      </w:r>
      <w:r>
        <w:rPr>
          <w:rFonts w:ascii="Times New Roman" w:hAnsi="Times New Roman"/>
          <w:noProof/>
          <w:sz w:val="24"/>
        </w:rPr>
        <w:t>Kansallisten täytäntöönpanoelinten kertomusten perusteella vaikuttaa siltä, että monet valituksista jäävät asetuksen soveltamisalan ulkopuolelle</w:t>
      </w:r>
      <w:r>
        <w:rPr>
          <w:rStyle w:val="FootnoteReference"/>
          <w:rFonts w:ascii="Times New Roman" w:hAnsi="Times New Roman"/>
          <w:noProof/>
          <w:sz w:val="24"/>
        </w:rPr>
        <w:footnoteReference w:id="28"/>
      </w:r>
      <w:r>
        <w:rPr>
          <w:rFonts w:ascii="Times New Roman" w:hAnsi="Times New Roman"/>
          <w:noProof/>
          <w:sz w:val="24"/>
        </w:rPr>
        <w:t>.</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Myönteisestä yleiskuvasta huolimatta komissio yksilöi seuraavat tekijät, jotka estävät asetuksen nykyistä tehokkaamman soveltamisen:</w:t>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a) </w:t>
      </w:r>
      <w:r>
        <w:rPr>
          <w:noProof/>
        </w:rPr>
        <w:tab/>
      </w:r>
      <w:r>
        <w:rPr>
          <w:rFonts w:ascii="Times New Roman" w:hAnsi="Times New Roman"/>
          <w:i/>
          <w:noProof/>
          <w:sz w:val="24"/>
        </w:rPr>
        <w:t>Matkustajat ja toiminnanharjoittajat eivät ole riittävän tietoisia oikeuksistaan ja velvollisuuksistaan</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Koska asetus on suhteellisen tuore, kansalaiset eivät ole riittävän tietoisia siitä. Kansalliset täytäntöönpanoelimet ja asianomaisten osapuolten edustajat toivat esiin, että monet toiminnanharjoittajat eivät olleet tietoisia asetuksesta, kun se annettiin, ja että tiedon puute on edelleen ongelma joissakin jäsenvaltioissa. Sen vuoksi kansallisten täytäntöönpanoelinten, osapuolia kansallisella ja EU:n tasolla edustavien elinten sekä komission on edelleen tiedotettava matkustajille heidän oikeuksistaan ja toiminnanharjoittajille niiden velvollisuuksista.</w:t>
      </w:r>
      <w:r>
        <w:rPr>
          <w:noProof/>
        </w:rPr>
        <w:tab/>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b) </w:t>
      </w:r>
      <w:r>
        <w:rPr>
          <w:noProof/>
        </w:rPr>
        <w:tab/>
      </w:r>
      <w:r>
        <w:rPr>
          <w:rFonts w:ascii="Times New Roman" w:hAnsi="Times New Roman"/>
          <w:i/>
          <w:noProof/>
          <w:sz w:val="24"/>
        </w:rPr>
        <w:t xml:space="preserve">Täytäntöönpano laahaa joissakin jäsenvaltioissa </w:t>
      </w:r>
      <w:r>
        <w:rPr>
          <w:noProof/>
        </w:rPr>
        <w:tab/>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Jäsenvaltiot toteuttivat asetuksen soveltamistoimenpiteitä myöhässä. Asetuksen soveltamispäivään 1. maaliskuuta 2013 mennessä yksikään jäsenvaltio ei ollut toteuttanut kaikkia tarvittavia kansallisia toimenpiteitä. Jotkin jäsenvaltiot toteuttivat edellytetyt toimenpiteet kaksi vuotta myöhässä.</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Kansallisten täytäntöönpanoelinten suhtautuminen asetuksen täytäntöönpanon valvontaan vaihtelee suuresti. Jotkin ovat erittäin aktiivisia ja tiedottavat matkustajille näiden oikeuksista ja seuraavat asetuksen soveltamista, kun taas toiset lähinnä vain käsittelevät valituksia.</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Myös matkustajien oikeuksien tosiasiallisessa täytäntöönpanossa on merkittäviä eroja. Joissakin jäsenvaltioissa ei ole käytössä vaihtoehtoista riidanratkaisumenettelyä</w:t>
      </w:r>
      <w:r>
        <w:rPr>
          <w:rStyle w:val="FootnoteReference"/>
          <w:rFonts w:ascii="Times New Roman" w:hAnsi="Times New Roman"/>
          <w:noProof/>
          <w:sz w:val="24"/>
        </w:rPr>
        <w:footnoteReference w:id="29"/>
      </w:r>
      <w:r>
        <w:rPr>
          <w:rFonts w:ascii="Times New Roman" w:hAnsi="Times New Roman"/>
          <w:noProof/>
          <w:sz w:val="24"/>
        </w:rPr>
        <w:t>, joten matkustajien on vietävä asia tuomioistuimeen, mikä on kallista ja hidasta ja saa matkustajat luopumaan oikeuksiensa puolustamisesta.</w:t>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c) </w:t>
      </w:r>
      <w:r>
        <w:rPr>
          <w:noProof/>
        </w:rPr>
        <w:tab/>
      </w:r>
      <w:r>
        <w:rPr>
          <w:rFonts w:ascii="Times New Roman" w:hAnsi="Times New Roman"/>
          <w:i/>
          <w:noProof/>
          <w:sz w:val="24"/>
        </w:rPr>
        <w:t>Tiettyjen säännösten tulkintavaikeudet</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Eri kansalliset täytäntöönpanoelimet ja toiminnanharjoittajat ovat tulkinneet eri tavalla joitakin asetuksen säännöksiä.</w:t>
      </w:r>
    </w:p>
    <w:p>
      <w:pPr>
        <w:spacing w:after="240" w:line="240" w:lineRule="auto"/>
        <w:ind w:left="567"/>
        <w:jc w:val="both"/>
        <w:rPr>
          <w:rFonts w:ascii="Times New Roman" w:eastAsia="Times New Roman" w:hAnsi="Times New Roman"/>
          <w:noProof/>
          <w:sz w:val="24"/>
          <w:szCs w:val="24"/>
        </w:rPr>
      </w:pPr>
      <w:r>
        <w:rPr>
          <w:rFonts w:ascii="Times New Roman" w:hAnsi="Times New Roman"/>
          <w:noProof/>
          <w:sz w:val="24"/>
        </w:rPr>
        <w:t>Osapuolia edustavien elinten ja kansallisten täytäntöönpanoelinten mukaan asetusta ei tarvitse muuttaa näiden säännösten selkeyttämiseksi, mutta komission ja kansallisten täytäntöönpanoelinten olisi sovittava, miten säännöksiä sovelletaan käytännössä.</w:t>
      </w:r>
    </w:p>
    <w:p>
      <w:pPr>
        <w:keepNext/>
        <w:spacing w:after="240" w:line="240" w:lineRule="auto"/>
        <w:ind w:left="567" w:hanging="567"/>
        <w:jc w:val="both"/>
        <w:outlineLvl w:val="1"/>
        <w:rPr>
          <w:rFonts w:ascii="Times New Roman" w:eastAsia="Times New Roman" w:hAnsi="Times New Roman"/>
          <w:b/>
          <w:noProof/>
          <w:sz w:val="24"/>
          <w:szCs w:val="24"/>
        </w:rPr>
      </w:pPr>
      <w:r>
        <w:rPr>
          <w:rFonts w:ascii="Times New Roman" w:hAnsi="Times New Roman"/>
          <w:b/>
          <w:noProof/>
          <w:sz w:val="24"/>
        </w:rPr>
        <w:t>4.2</w:t>
      </w:r>
      <w:r>
        <w:rPr>
          <w:noProof/>
        </w:rPr>
        <w:tab/>
      </w:r>
      <w:r>
        <w:rPr>
          <w:rFonts w:ascii="Times New Roman" w:hAnsi="Times New Roman"/>
          <w:b/>
          <w:noProof/>
          <w:sz w:val="24"/>
        </w:rPr>
        <w:t>Komission toimet asetuksen soveltamisen parantamiseksi</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Komissio on toteuttanut seuraavat toimenpiteet edellä yksilöityihin seikkoihin puuttumiseksi:</w:t>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a) </w:t>
      </w:r>
      <w:r>
        <w:rPr>
          <w:noProof/>
        </w:rPr>
        <w:tab/>
      </w:r>
      <w:r>
        <w:rPr>
          <w:rFonts w:ascii="Times New Roman" w:hAnsi="Times New Roman"/>
          <w:i/>
          <w:noProof/>
          <w:sz w:val="24"/>
        </w:rPr>
        <w:t>Toimet matkustajien oikeuksia ja toiminnanharjoittajien velvollisuuksia koskevan tietoisuuden lisäämiseksi</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Komissio käynnisti kesäkuussa 2013 kaksivuotisen tiedotuskampanjan matkustajien oikeuksista kaikkien liikennemuotojen, myös linja-autoliikenteen, osalta. Kampanjassa käytettiin julisteita ja lehtisiä, joita jaettiin kaikkialla EU:ssa, sosiaalista mediaa ja matkapuhelinsovelluksia. Myös matkailumessuille osallistuttiin.</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Komissio julkaisi asetuksesta tiivistelmän, jota kansalliset täytäntöönpanoelimet ja toiminnanharjoittajat käyttävät laajalti tiedottaakseen matkustajille näiden oikeuksista.</w:t>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b) </w:t>
      </w:r>
      <w:r>
        <w:rPr>
          <w:noProof/>
        </w:rPr>
        <w:tab/>
      </w:r>
      <w:r>
        <w:rPr>
          <w:rFonts w:ascii="Times New Roman" w:hAnsi="Times New Roman"/>
          <w:i/>
          <w:noProof/>
          <w:sz w:val="24"/>
        </w:rPr>
        <w:t>Toimet täytäntöönpanon parantamiseksi</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Komissio käynnisti rikkomusmenettelyjä sellaisia jäsenvaltioita vastaan, jotka eivät olleet nimenneet kansallista täytäntöönpanoelintä, säätäneet kansallisessa lainsäädännössään asetuksen säännöksiä rikkoviin toiminnanharjoittajiin sovellettavista seuraamuksista tai nimenneet linja-autoterminaaleja, joissa vammaisia ja liikuntarajoitteisia henkilöitä avustetaan asianmukaisesti</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Kaikki jäsenvaltiot olivat toteuttaneet tarvittavat toimenpiteet heinäkuuhun 2015 mennessä, ja rikkomusmenettelyt lopetettiin.</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Komissio on järjestänyt vuotuisia EU-tason kokouksia, joissa kansalliset täytäntöönpanoelimet ja sidosryhmät ovat voineet vaihtaa asetuksen soveltamisesta saatuja kokemuksia ja yksityiskohtaisia tietoja hyvistä toimintatavoista.</w:t>
      </w:r>
    </w:p>
    <w:p>
      <w:pPr>
        <w:spacing w:after="120" w:line="240" w:lineRule="auto"/>
        <w:ind w:left="567"/>
        <w:jc w:val="both"/>
        <w:rPr>
          <w:rFonts w:ascii="Times New Roman" w:eastAsia="Times New Roman" w:hAnsi="Times New Roman"/>
          <w:noProof/>
          <w:sz w:val="24"/>
          <w:szCs w:val="24"/>
        </w:rPr>
      </w:pPr>
      <w:r>
        <w:rPr>
          <w:rFonts w:ascii="Times New Roman" w:hAnsi="Times New Roman"/>
          <w:noProof/>
          <w:sz w:val="24"/>
        </w:rPr>
        <w:t>Lisäksi komissio on antanut neuvoja ja levittänyt hyviä toimintatapoja koskevia tietoja kansallisten täytäntöönpanoelinten kanssa järjestettävissä vuotuisissa kokouksissa elinten välisen yhteistyön tiivistämiseksi.</w:t>
      </w:r>
    </w:p>
    <w:p>
      <w:pPr>
        <w:spacing w:after="120" w:line="240" w:lineRule="auto"/>
        <w:ind w:left="567" w:hanging="567"/>
        <w:jc w:val="both"/>
        <w:rPr>
          <w:rFonts w:ascii="Times New Roman" w:eastAsia="Times New Roman" w:hAnsi="Times New Roman"/>
          <w:i/>
          <w:noProof/>
          <w:sz w:val="24"/>
          <w:szCs w:val="24"/>
        </w:rPr>
      </w:pPr>
      <w:r>
        <w:rPr>
          <w:rFonts w:ascii="Times New Roman" w:hAnsi="Times New Roman"/>
          <w:i/>
          <w:noProof/>
          <w:sz w:val="24"/>
        </w:rPr>
        <w:t xml:space="preserve">c) </w:t>
      </w:r>
      <w:r>
        <w:rPr>
          <w:noProof/>
        </w:rPr>
        <w:tab/>
      </w:r>
      <w:r>
        <w:rPr>
          <w:rFonts w:ascii="Times New Roman" w:hAnsi="Times New Roman"/>
          <w:i/>
          <w:noProof/>
          <w:sz w:val="24"/>
        </w:rPr>
        <w:t>Toimet asetuksen yhdenmukaisen soveltamisen varmistamiseksi</w:t>
      </w:r>
    </w:p>
    <w:p>
      <w:pPr>
        <w:spacing w:after="240" w:line="240" w:lineRule="auto"/>
        <w:ind w:left="567"/>
        <w:jc w:val="both"/>
        <w:rPr>
          <w:rFonts w:ascii="Times New Roman" w:eastAsia="Times New Roman" w:hAnsi="Times New Roman"/>
          <w:noProof/>
          <w:sz w:val="24"/>
          <w:szCs w:val="24"/>
        </w:rPr>
      </w:pPr>
      <w:r>
        <w:rPr>
          <w:rFonts w:ascii="Times New Roman" w:hAnsi="Times New Roman"/>
          <w:noProof/>
          <w:sz w:val="24"/>
        </w:rPr>
        <w:t>Komissio on selventänyt kansallisten täytäntöönpanoelinten ja osapuolia edustavien elinten kanssa järjestetyissä vuotuisissa kokouksissa ja kirjeenvaihdon kautta asetuksen useiden säännösten käytännön soveltamista. Tämä on auttanut varmistamaan säännösten yhdenmukaista soveltamista kaikkialla EU:ssa</w:t>
      </w:r>
      <w:r>
        <w:rPr>
          <w:rStyle w:val="FootnoteReference"/>
          <w:rFonts w:ascii="Times New Roman" w:hAnsi="Times New Roman"/>
          <w:noProof/>
          <w:sz w:val="24"/>
        </w:rPr>
        <w:footnoteReference w:id="31"/>
      </w:r>
      <w:r>
        <w:rPr>
          <w:rFonts w:ascii="Times New Roman" w:hAnsi="Times New Roman"/>
          <w:noProof/>
          <w:sz w:val="24"/>
        </w:rPr>
        <w:t>.</w:t>
      </w:r>
    </w:p>
    <w:p>
      <w:pPr>
        <w:keepNext/>
        <w:spacing w:after="240" w:line="240" w:lineRule="auto"/>
        <w:ind w:left="567" w:hanging="567"/>
        <w:jc w:val="both"/>
        <w:outlineLvl w:val="1"/>
        <w:rPr>
          <w:rFonts w:ascii="Times New Roman" w:eastAsia="Times New Roman" w:hAnsi="Times New Roman"/>
          <w:b/>
          <w:smallCaps/>
          <w:noProof/>
          <w:sz w:val="24"/>
          <w:szCs w:val="24"/>
        </w:rPr>
      </w:pPr>
      <w:r>
        <w:rPr>
          <w:rFonts w:ascii="Times New Roman" w:hAnsi="Times New Roman"/>
          <w:b/>
          <w:smallCaps/>
          <w:noProof/>
          <w:sz w:val="24"/>
        </w:rPr>
        <w:t>5.</w:t>
      </w:r>
      <w:r>
        <w:rPr>
          <w:noProof/>
        </w:rPr>
        <w:tab/>
      </w:r>
      <w:r>
        <w:rPr>
          <w:rFonts w:ascii="Times New Roman" w:hAnsi="Times New Roman"/>
          <w:b/>
          <w:smallCaps/>
          <w:noProof/>
          <w:sz w:val="24"/>
        </w:rPr>
        <w:t>Päätelmät ja tulevat toimet</w:t>
      </w:r>
    </w:p>
    <w:p>
      <w:pPr>
        <w:spacing w:after="240"/>
        <w:jc w:val="both"/>
        <w:rPr>
          <w:rFonts w:ascii="Times New Roman" w:eastAsia="Times New Roman" w:hAnsi="Times New Roman"/>
          <w:noProof/>
          <w:sz w:val="24"/>
          <w:szCs w:val="24"/>
        </w:rPr>
      </w:pPr>
      <w:r>
        <w:rPr>
          <w:rFonts w:ascii="Times New Roman" w:hAnsi="Times New Roman"/>
          <w:noProof/>
          <w:sz w:val="24"/>
        </w:rPr>
        <w:t>Koska asetuksen soveltamisesta on saatu tähän mennessä vain vähän kokemuksia, komissio katsoo, ettei asetuksen muuttaminen ole perusteltua.</w:t>
      </w:r>
    </w:p>
    <w:p>
      <w:pPr>
        <w:spacing w:after="120"/>
        <w:jc w:val="both"/>
        <w:rPr>
          <w:rFonts w:ascii="Times New Roman" w:eastAsia="Times New Roman" w:hAnsi="Times New Roman"/>
          <w:noProof/>
          <w:sz w:val="24"/>
          <w:szCs w:val="24"/>
        </w:rPr>
      </w:pPr>
      <w:r>
        <w:rPr>
          <w:rFonts w:ascii="Times New Roman" w:hAnsi="Times New Roman"/>
          <w:noProof/>
          <w:sz w:val="24"/>
        </w:rPr>
        <w:t>Sidosryhmät ja kansalliset täytäntöönpanoelimet ovat samaa mieltä siitä, että useat niistä esteistä, jotka haittaavat matkustajien oikeuksien toteutumista, voidaan poistaa parantamalla nykyisen asetuksen soveltamista. Komissio toteuttaa siksi toimia ja antaa sidosryhmille ja kansallisille täytäntöönpanoelimille suosituksia seuraavasti:</w:t>
      </w:r>
    </w:p>
    <w:p>
      <w:pPr>
        <w:pStyle w:val="ListParagraph"/>
        <w:numPr>
          <w:ilvl w:val="0"/>
          <w:numId w:val="43"/>
        </w:numPr>
        <w:spacing w:after="120"/>
        <w:ind w:left="567" w:hanging="567"/>
        <w:contextualSpacing w:val="0"/>
        <w:jc w:val="both"/>
        <w:rPr>
          <w:noProof/>
        </w:rPr>
      </w:pPr>
      <w:r>
        <w:rPr>
          <w:noProof/>
        </w:rPr>
        <w:t>Komissio järjestää kevään 2016 ja vuoden 2017 lopun välisenä aikana pääasiassa sosiaalisessa mediassa kolmannen tiedotuskampanjan, jolla on määrä lisätä matkustajien tietoisuutta oikeuksistaan. Komissio kehottaa kansallisia täytäntöönpanoelimiä, toimialaa ja matkustajien oikeuksien parissa toimivia organisaatioita yhdistämään voimansa ja käynnistämään samanlaisia toimia omalla toimialueellaan.</w:t>
      </w:r>
    </w:p>
    <w:p>
      <w:pPr>
        <w:pStyle w:val="ListParagraph"/>
        <w:numPr>
          <w:ilvl w:val="0"/>
          <w:numId w:val="43"/>
        </w:numPr>
        <w:spacing w:after="120"/>
        <w:ind w:left="567" w:hanging="567"/>
        <w:contextualSpacing w:val="0"/>
        <w:jc w:val="both"/>
        <w:rPr>
          <w:noProof/>
        </w:rPr>
      </w:pPr>
      <w:r>
        <w:rPr>
          <w:noProof/>
        </w:rPr>
        <w:t>Kansallisia täytäntöönpanoelimiä kannustetaan tarkastamaan linja-autoja ja terminaaleja esimerkiksi sen todentamiseksi, miten asetusta sovelletaan käytännössä, ja toiminnanharjoittajien valistamiseksi niille asetuksessa säädetyistä velvollisuuksista. Kansallisia täytäntöönpanoelimiä kannustetaan myös tarkistamaan liikenteenharjoittajien kotisivut sen varmistamiseksi, että ne sisältävät tietoa matkustajien oikeuksista ja että yleiset sopimusehdot ovat asetuksen mukaiset.</w:t>
      </w:r>
    </w:p>
    <w:p>
      <w:pPr>
        <w:pStyle w:val="ListParagraph"/>
        <w:numPr>
          <w:ilvl w:val="0"/>
          <w:numId w:val="43"/>
        </w:numPr>
        <w:spacing w:after="120"/>
        <w:ind w:left="567" w:hanging="567"/>
        <w:contextualSpacing w:val="0"/>
        <w:jc w:val="both"/>
        <w:rPr>
          <w:noProof/>
        </w:rPr>
      </w:pPr>
      <w:r>
        <w:rPr>
          <w:noProof/>
        </w:rPr>
        <w:t>Jäsenvaltioita, joissa ei tällä hetkellä ole vaihtoehtoisia riidanratkaisumenettelyjä matkustajien oikeuksien puolustamiseen, kannustetaan ottamaan tällaiset menettelyt käyttöön direktiivin 2013/11/EU</w:t>
      </w:r>
      <w:r>
        <w:rPr>
          <w:rStyle w:val="FootnoteReference"/>
          <w:noProof/>
        </w:rPr>
        <w:footnoteReference w:id="32"/>
      </w:r>
      <w:r>
        <w:rPr>
          <w:noProof/>
        </w:rPr>
        <w:t xml:space="preserve"> mukaisesti, jotta matkustajat voisivat hakea korvausta nykyistä nopeammin ja edullisemmin.</w:t>
      </w:r>
    </w:p>
    <w:p>
      <w:pPr>
        <w:pStyle w:val="ListParagraph"/>
        <w:numPr>
          <w:ilvl w:val="0"/>
          <w:numId w:val="43"/>
        </w:numPr>
        <w:spacing w:after="120"/>
        <w:ind w:left="567" w:hanging="567"/>
        <w:contextualSpacing w:val="0"/>
        <w:jc w:val="both"/>
        <w:rPr>
          <w:noProof/>
        </w:rPr>
      </w:pPr>
      <w:r>
        <w:rPr>
          <w:noProof/>
        </w:rPr>
        <w:t>Komissio järjestää edelleen kansallisten täytäntöönpanoelinten ja osapuolia edustavien elinten kanssa säännöllisiä kokouksia, jotta päästäisiin yhteisymmärrykseen asetuksen tulkinnasta ja täytäntöönpanosta ja edistettäisiin yhteistyötä ja kokemusten vaihtoa (sekä esiin tulleista ongelmista että hyvistä toimintatavoista).</w:t>
      </w:r>
    </w:p>
    <w:p>
      <w:pPr>
        <w:pStyle w:val="ListParagraph"/>
        <w:numPr>
          <w:ilvl w:val="0"/>
          <w:numId w:val="43"/>
        </w:numPr>
        <w:spacing w:after="120"/>
        <w:ind w:left="567" w:hanging="567"/>
        <w:contextualSpacing w:val="0"/>
        <w:jc w:val="both"/>
        <w:rPr>
          <w:noProof/>
        </w:rPr>
      </w:pPr>
      <w:r>
        <w:rPr>
          <w:noProof/>
        </w:rPr>
        <w:t>Komissio julkaisee tarvittaessa asetukseen liittyviä yleisiä tulkintaohjeita tiettyjen säännösten merkityksen selventämiseksi (kuten se on aiemmin tehnyt eri liikennemuotojen osalta) ja/tai tiettyjen aihealueiden hyviä toimintatapoja käsitteleviä asiakirjoja (esimerkiksi siitä, miten voidaan vastata paremmin vammaisten ja liikuntarajoitteisten henkilöiden erityistarpeisiin).</w:t>
      </w:r>
    </w:p>
    <w:p>
      <w:pPr>
        <w:pStyle w:val="ListParagraph"/>
        <w:numPr>
          <w:ilvl w:val="0"/>
          <w:numId w:val="43"/>
        </w:numPr>
        <w:spacing w:after="120"/>
        <w:ind w:left="567" w:hanging="567"/>
        <w:contextualSpacing w:val="0"/>
        <w:jc w:val="both"/>
        <w:rPr>
          <w:noProof/>
        </w:rPr>
      </w:pPr>
      <w:r>
        <w:rPr>
          <w:noProof/>
        </w:rPr>
        <w:t>Komissio kerää parhaillaan tietoja paikallisista ja kansallisista hyvistä toimintatavoista, joilla parannetaan vammaisten ja liikuntarajoitteisten henkilöiden mahdollisuuksia käyttää linja-autoliikennettä. Komissio esittelee keräämänsä tiedot kansallisille täytäntöönpanoelimille ja osapuolia edustaville elimille säännöllisissä kokouksissa. Komissio harkitsee parhaillaan myös vammaisten ja liikuntarajoitteisten henkilöiden kuljettamiseen liittyviä hyviä toimintatapoja koskevien tietojen julkaisemista kaikkien liikennemuotojen osalta.</w:t>
      </w:r>
    </w:p>
    <w:p>
      <w:pPr>
        <w:pStyle w:val="ListParagraph"/>
        <w:numPr>
          <w:ilvl w:val="0"/>
          <w:numId w:val="43"/>
        </w:numPr>
        <w:spacing w:after="120"/>
        <w:ind w:left="567" w:hanging="567"/>
        <w:contextualSpacing w:val="0"/>
        <w:jc w:val="both"/>
        <w:rPr>
          <w:noProof/>
        </w:rPr>
      </w:pPr>
      <w:r>
        <w:rPr>
          <w:noProof/>
        </w:rPr>
        <w:t>Komissio kannustaa kansallisia ja paikallisia viranomaisia sekä yksityisiä sijoittajia varmistamaan linja-autoasemien ja -terminaalien multimodaaliyhteydet muihin liikennemuotoihin, erityisesti rautateihin sekä seutu- ja paikallisliikenteeseen kaupunkisolmukohdissa, TEN-T-asetuksen tavoitteiden mukaisesti</w:t>
      </w:r>
      <w:r>
        <w:rPr>
          <w:rStyle w:val="FootnoteReference"/>
          <w:noProof/>
        </w:rPr>
        <w:footnoteReference w:id="33"/>
      </w:r>
      <w:r>
        <w:rPr>
          <w:noProof/>
        </w:rPr>
        <w:t xml:space="preserve"> ja kunnostamaan nykyisiä linja-autoterminaaleja tai rakentamaan uusia alan viimeisintä kehitystä edustavia terminaaleja, jotka ovat myös täysin esteettömiä vammaisille ja liikuntarajoitteisille henkilöille. Tällaisille toimille voi saada EU:n tukea Verkkojen Eurooppa -rahoitusvälineestä</w:t>
      </w:r>
      <w:r>
        <w:rPr>
          <w:rStyle w:val="FootnoteReference"/>
          <w:noProof/>
        </w:rPr>
        <w:footnoteReference w:id="34"/>
      </w:r>
      <w:r>
        <w:rPr>
          <w:noProof/>
        </w:rPr>
        <w:t>, jos kyseinen terminaali sijaitsee TEN-T-verkon kaupunkisolmukohdassa, tai muutoin Euroopan rakenne- ja investointirahastoista, joista myös tuetaan joukkoliikenteen kehittämistä.</w:t>
      </w:r>
    </w:p>
    <w:p>
      <w:pPr>
        <w:pStyle w:val="ListParagraph"/>
        <w:numPr>
          <w:ilvl w:val="0"/>
          <w:numId w:val="43"/>
        </w:numPr>
        <w:spacing w:after="120"/>
        <w:ind w:left="567" w:hanging="567"/>
        <w:contextualSpacing w:val="0"/>
        <w:jc w:val="both"/>
        <w:rPr>
          <w:noProof/>
        </w:rPr>
      </w:pPr>
      <w:r>
        <w:rPr>
          <w:noProof/>
        </w:rPr>
        <w:t>Komissio kannustaa niitä jäsenvaltioita, jotka soveltavat nykyisin vapautuksia asetuksesta</w:t>
      </w:r>
      <w:r>
        <w:rPr>
          <w:rStyle w:val="FootnoteReference"/>
          <w:noProof/>
        </w:rPr>
        <w:footnoteReference w:id="35"/>
      </w:r>
      <w:r>
        <w:rPr>
          <w:noProof/>
        </w:rPr>
        <w:t xml:space="preserve"> tai sen osista, tarkistamaan nykyisten kokemusten perusteella, onko vapautuksia tarpeen jatkaa.</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r>
        <w:tab/>
        <w:t>Euroopan parlamentin ja neuvoston asetus (EU) N:o 181/2011, annettu 16 päivänä helmikuuta 2011, matkustajien oikeuksista linja-autoliikenteessä sekä asetuksen (EY) N:o 2006/2004 muuttamisesta (EUVL L 55, 28.2.2011, s. 1).</w:t>
      </w:r>
    </w:p>
  </w:footnote>
  <w:footnote w:id="3">
    <w:p>
      <w:pPr>
        <w:pStyle w:val="FootnoteText"/>
      </w:pPr>
      <w:r>
        <w:rPr>
          <w:rStyle w:val="FootnoteReference"/>
        </w:rPr>
        <w:footnoteRef/>
      </w:r>
      <w:r>
        <w:t xml:space="preserve"> </w:t>
      </w:r>
      <w:r>
        <w:tab/>
        <w:t>Jäsenvaltioiden nimeämien asetuksen täytäntöönpanosta vastaavien kansallisten viranomaisten oli julkaistava kahden edellisen kalenterivuoden toiminnastaan kertomus viimeistään 1. kesäkuuta 2015. Useimmat viranomaiset julkaisivat kertomuksensa kotisivuillaan.</w:t>
      </w:r>
    </w:p>
  </w:footnote>
  <w:footnote w:id="4">
    <w:p>
      <w:pPr>
        <w:pStyle w:val="FootnoteText"/>
        <w:rPr>
          <w:i/>
        </w:rPr>
      </w:pPr>
      <w:r>
        <w:rPr>
          <w:rStyle w:val="FootnoteReference"/>
        </w:rPr>
        <w:footnoteRef/>
      </w:r>
      <w:r>
        <w:t xml:space="preserve"> </w:t>
      </w:r>
      <w:r>
        <w:tab/>
        <w:t>Komissio kehotti matkustajia (myös vammaisia matkustajia), liikenteenharjoittajia ja terminaalinpitäjiä EU:n tasolla edustavia organisaatioita lähettämään huomioitaan asetuksen toiminnasta kirjallisesti ja osallistumaan Brysselissä 1. maaliskuuta 2016 järjestettyyn tapaamiseen. Seuraavat järjestöt osallistuivat kuulemiseen: Association of Pan-European Coach Terminals (APC, eurooppalaisten linja-autoterminaalinpitäjien järjestö), the European Alliance for Coach Tourism (ECTA, Euroopan linja-automatkailualan järjestö), Euroopan vammaisfoorumi (EDF), Euroopan matkustajaliitto (EPF), European Passenger Transport Operators (EPTO, eurooppalaisten yksityisten joukkoliikenneoperaattoreiden toimialajärjestö), Kansainvälinen maantiekuljetusliitto (IRU) ja International Association of Public Transport (UITP, julkisen liikenteen kansainvälinen liitto). Lisäksi saksalainen matkustajajärjestö ProRail ja ranskalainen linja-autoyhtiö Ouibus antoivat palautetta oma-aloitteisesti.</w:t>
      </w:r>
    </w:p>
  </w:footnote>
  <w:footnote w:id="5">
    <w:p>
      <w:pPr>
        <w:pStyle w:val="FootnoteText"/>
      </w:pPr>
      <w:r>
        <w:rPr>
          <w:rStyle w:val="FootnoteReference"/>
        </w:rPr>
        <w:footnoteRef/>
      </w:r>
      <w:r>
        <w:tab/>
        <w:t>http://ec.europa.eu/transport/modes/road/studies/doc/2016-04-passenger-transport-by-coach-in-europe.pdf</w:t>
      </w:r>
    </w:p>
    <w:p>
      <w:pPr>
        <w:pStyle w:val="FootnoteText"/>
      </w:pPr>
    </w:p>
  </w:footnote>
  <w:footnote w:id="6">
    <w:p>
      <w:pPr>
        <w:pStyle w:val="FootnoteText"/>
      </w:pPr>
      <w:r>
        <w:rPr>
          <w:rStyle w:val="FootnoteReference"/>
        </w:rPr>
        <w:footnoteRef/>
      </w:r>
      <w:r>
        <w:tab/>
        <w:t xml:space="preserve">EU transport in figures – Statistical pocketbook 2015. </w:t>
      </w:r>
    </w:p>
  </w:footnote>
  <w:footnote w:id="7">
    <w:p>
      <w:pPr>
        <w:pStyle w:val="FootnoteText"/>
      </w:pPr>
      <w:r>
        <w:rPr>
          <w:rStyle w:val="FootnoteReference"/>
        </w:rPr>
        <w:footnoteRef/>
      </w:r>
      <w:r>
        <w:tab/>
        <w:t>KOM(2008) 817 lopullinen.</w:t>
      </w:r>
    </w:p>
  </w:footnote>
  <w:footnote w:id="8">
    <w:p>
      <w:pPr>
        <w:pStyle w:val="FootnoteText"/>
        <w:rPr>
          <w:lang w:val="en-US"/>
        </w:rPr>
      </w:pPr>
      <w:r>
        <w:rPr>
          <w:rStyle w:val="FootnoteReference"/>
        </w:rPr>
        <w:footnoteRef/>
      </w:r>
      <w:r>
        <w:t xml:space="preserve"> </w:t>
      </w:r>
      <w:r>
        <w:tab/>
        <w:t xml:space="preserve">Saksassa markkinat vapautettiin vuonna 2013. Sallittujen säännöllisen linja-autoliikenteen pitkän matkan reittien määrä kasvoi 86:sta 277:ään joulukuun 2012 ja tammikuun 2015 välisenä aikana. Näiden palvelujen matkustajamäärä oli 17–19 miljoonaa vuonna 2014. Ranskassa kotimaan markkinat vapautettiin elokuussa 2015. Vapauttamisen jälkeisten kuuden kuukauden aikana pitkän matkan linja-autoilla kulki 1,5 miljoonaa matkustajaa 168 kohteen välillä (koko vuonna 2013 kotimaan pitkän matkan linja-autoreiteillä matkusti vain 110 000 matkustajaa ja tarjolla oli vain 68 määräpaikkaa). </w:t>
      </w:r>
      <w:r>
        <w:rPr>
          <w:lang w:val="en-US"/>
        </w:rPr>
        <w:t>Lähde: Comprehensive Study on Passenger Transport by Coach in Europe (2016).</w:t>
      </w:r>
    </w:p>
  </w:footnote>
  <w:footnote w:id="9">
    <w:p>
      <w:pPr>
        <w:pStyle w:val="FootnoteText"/>
      </w:pPr>
      <w:r>
        <w:rPr>
          <w:rStyle w:val="FootnoteReference"/>
        </w:rPr>
        <w:footnoteRef/>
      </w:r>
      <w:r>
        <w:t xml:space="preserve"> </w:t>
      </w:r>
      <w:r>
        <w:tab/>
        <w:t>Esimerkiksi toisin kuin muissa liikennemuodoissa, pitkäaikaisista viivästymisistä ja matkan peruuntumisesta ei makseta korvauksia saapumisen myöhästyessä.</w:t>
      </w:r>
    </w:p>
  </w:footnote>
  <w:footnote w:id="10">
    <w:p>
      <w:pPr>
        <w:pStyle w:val="FootnoteText"/>
      </w:pPr>
      <w:r>
        <w:rPr>
          <w:rStyle w:val="FootnoteReference"/>
        </w:rPr>
        <w:footnoteRef/>
      </w:r>
      <w:r>
        <w:t xml:space="preserve"> </w:t>
      </w:r>
      <w:r>
        <w:tab/>
        <w:t>Yhdistyneessä kuningaskunnassa vuonna 2013 tehty National Travel Survey, Irlannissa vuonna 2012 tehty NTA:n National Household Travel Survey ja Saksassa IGES-konsulttiyhtiön vuonna 2013 tekemä tutkimus.</w:t>
      </w:r>
    </w:p>
  </w:footnote>
  <w:footnote w:id="11">
    <w:p>
      <w:pPr>
        <w:pStyle w:val="FootnoteText"/>
      </w:pPr>
      <w:r>
        <w:rPr>
          <w:rStyle w:val="FootnoteReference"/>
        </w:rPr>
        <w:footnoteRef/>
      </w:r>
      <w:r>
        <w:tab/>
        <w:t xml:space="preserve"> Lisäksi pientä osaa säännöksistä (joista tärkein koskee korvausta ja avustamista, joita liikenteenharjoittajilta edellytetään tieliikenneonnettomuuksien aiheuttaman matkustajien kuoleman tai henkilövahingon taikka matkatavaroiden katoamisen tai vahingoittumisen yhteydessä) sovelletaan myös ”satunnaisliikenteeseen”, jossa on kyse asiakkaan tai liikenteenharjoittajan omasta aloitteesta muodostetun ryhmän kuljettamisesta linja-autolla.</w:t>
      </w:r>
    </w:p>
  </w:footnote>
  <w:footnote w:id="12">
    <w:p>
      <w:pPr>
        <w:pStyle w:val="FootnoteText"/>
      </w:pPr>
      <w:r>
        <w:rPr>
          <w:rStyle w:val="FootnoteReference"/>
        </w:rPr>
        <w:footnoteRef/>
      </w:r>
      <w:r>
        <w:tab/>
        <w:t xml:space="preserve"> http://ec.europa.eu/transport/themes/passengers/road/doc/exemptions-from-bus-coach-passengers-rights-and-obligations.pdf</w:t>
      </w:r>
    </w:p>
  </w:footnote>
  <w:footnote w:id="13">
    <w:p>
      <w:pPr>
        <w:pStyle w:val="FootnoteText"/>
      </w:pPr>
      <w:r>
        <w:rPr>
          <w:rStyle w:val="FootnoteReference"/>
          <w:color w:val="0D0D0D" w:themeColor="text1" w:themeTint="F2"/>
        </w:rPr>
        <w:footnoteRef/>
      </w:r>
      <w:r>
        <w:tab/>
        <w:t xml:space="preserve"> Euroopan parlamentin ja neuvoston direktiivi (EU) 2015/2302, annettu 25 päivänä marraskuuta 2015, matkapaketeista ja yhdistetyistä matkajärjestelyistä sekä asetuksen (EY) N:o 2006/2004 ja Euroopan parlamentin ja neuvoston direktiivin 2011/83/EU muuttamisesta ja neuvoston direktiivin 90/314/ETY kumoamisesta (EUVL L 326, 11.12.2015, s. 1). Direktiivi on saatettava osaksi jäsenvaltioiden kansallista lainsäädäntöä 1. tammikuuta 2018 mennessä. Siihen asti sovelletaan direktiiviä 90/314/ETY.</w:t>
      </w:r>
    </w:p>
  </w:footnote>
  <w:footnote w:id="14">
    <w:p>
      <w:pPr>
        <w:pStyle w:val="FootnoteText"/>
      </w:pPr>
      <w:r>
        <w:rPr>
          <w:rStyle w:val="FootnoteReference"/>
        </w:rPr>
        <w:footnoteRef/>
      </w:r>
      <w:r>
        <w:t xml:space="preserve"> Euroopan parlamentin ja neuvoston asetus (EY) N:o 661/2009, annettu 13 päivänä heinäkuuta 2009, moottoriajoneuvojen, niiden perävaunujen sekä niihin tarkoitettujen järjestelmien, osien ja erillisten teknisten yksiköiden yleiseen turvallisuuteen liittyvistä tyyppihyväksyntävaatimuksista (EUVL L 200, 31.7.2009, s. 1).</w:t>
      </w:r>
    </w:p>
  </w:footnote>
  <w:footnote w:id="15">
    <w:p>
      <w:pPr>
        <w:pStyle w:val="FootnoteText"/>
      </w:pPr>
      <w:r>
        <w:rPr>
          <w:rStyle w:val="FootnoteReference"/>
        </w:rPr>
        <w:footnoteRef/>
      </w:r>
      <w:r>
        <w:tab/>
        <w:t xml:space="preserve"> Euroopan parlamentin ja neuvoston asetus (EY) N:o 2006/2004, annettu 27 päivänä lokakuuta 2004, kuluttajansuojalainsäädännön täytäntöönpanosta vastaavien kansallisten viranomaisten yhteistyöstä (EUVL L 364, 9.12.2004, s. 1).</w:t>
      </w:r>
    </w:p>
  </w:footnote>
  <w:footnote w:id="16">
    <w:p>
      <w:pPr>
        <w:pStyle w:val="FootnoteText"/>
      </w:pPr>
      <w:r>
        <w:rPr>
          <w:rStyle w:val="FootnoteReference"/>
          <w:color w:val="0D0D0D" w:themeColor="text1" w:themeTint="F2"/>
        </w:rPr>
        <w:footnoteRef/>
      </w:r>
      <w:r>
        <w:tab/>
        <w:t xml:space="preserve"> </w:t>
      </w:r>
      <w:r>
        <w:rPr>
          <w:color w:val="0D0D0D" w:themeColor="text1" w:themeTint="F2"/>
        </w:rPr>
        <w:t xml:space="preserve">Asetuksen täytäntöönpanosta vastaavien kansallisten täytäntöönpanoelinten luettelo on saatavilla osoitteessa </w:t>
      </w:r>
      <w:r>
        <w:t>http://ec.europa.eu/transport/themes/passengers/road/doc/2011_0181_national_enforcement_bodies.pdf</w:t>
      </w:r>
    </w:p>
  </w:footnote>
  <w:footnote w:id="17">
    <w:p>
      <w:pPr>
        <w:pStyle w:val="FootnoteText"/>
      </w:pPr>
      <w:r>
        <w:rPr>
          <w:rStyle w:val="FootnoteReference"/>
        </w:rPr>
        <w:footnoteRef/>
      </w:r>
      <w:r>
        <w:tab/>
        <w:t xml:space="preserve"> Luvut on saatu kansallisten täytäntöönpanoelinten toimintakertomuksista ja kuvaavat tilannetta 1. maaliskuuta 2013 ja 1. tammikuuta 2015 välisenä aikana. Jos lukuja ei ole saatavilla (..), kyseisessä jäsenvaltiossa ei ollut toiminnassa kansallista täytäntöönpanoelintä tai käytössä ei ollut asetusta rikkoviin toiminnanharjoittajiin sovellettavaa seuraamusjärjestelmää taikka kansallinen täytäntöönpanoelin ei ollut julkaissut toimintakertomustaan.</w:t>
      </w:r>
    </w:p>
    <w:p>
      <w:pPr>
        <w:pStyle w:val="FootnoteText"/>
      </w:pPr>
      <w:r>
        <w:tab/>
        <w:t>Kaikissa täytäntöönpanoelinten toimintakertomuksissa ei ilmoiteta valitusten syitä, joten taulukossa esitettäviin lukuihin saattaa sisältyä valituksia, jotka eivät kuulu asetuksen soveltamisalaan.</w:t>
      </w:r>
    </w:p>
  </w:footnote>
  <w:footnote w:id="18">
    <w:p>
      <w:pPr>
        <w:pStyle w:val="FootnoteText"/>
      </w:pPr>
      <w:r>
        <w:rPr>
          <w:rStyle w:val="FootnoteReference"/>
        </w:rPr>
        <w:footnoteRef/>
      </w:r>
      <w:r>
        <w:tab/>
        <w:t xml:space="preserve"> Esimerkiksi Bulgarian, Saksan, Viron, Espanjan, Ranskan, Liettuan, Suomen ja Ruotsin kansalliset täytäntöönpanoelimet tarkastivat liikenteenharjoittajia ja terminaaleja. Lisäksi Saksan kansallinen täytäntöönpanoelin järjesti tapaamisia toiminnanharjoittajien kanssa ennen asetuksen soveltamisen aloittamista valmistellakseen niitä asetuksen soveltamiseen ja julkaisi linja-automatkustajien oikeuksia esitteleviä lehtisiä. Suomen kansalliset täytäntöönpanoelimet osallistuivat matkailumessuille tiedottaakseen matkustajien oikeuksista. </w:t>
      </w:r>
    </w:p>
  </w:footnote>
  <w:footnote w:id="19">
    <w:p>
      <w:pPr>
        <w:pStyle w:val="FootnoteText"/>
      </w:pPr>
      <w:r>
        <w:rPr>
          <w:rStyle w:val="FootnoteReference"/>
        </w:rPr>
        <w:footnoteRef/>
      </w:r>
      <w:r>
        <w:t xml:space="preserve"> Vaikka vammaisten ja liikuntarajoitteisten henkilöiden avustaminen asianmukaisesti edellyttäisi kaikkien sellaisten miehitettyjen terminaalien nimeämistä matkustajia avustaviksi, joissa matkustajavirta on merkittävä, jäsenvaltiot voivat noudattaa asetuksen mukaista velvoitettaan nimeämällä vain yhden terminaalin. Niiltä ei myöskään edellytetä, että nimettävä terminaali olisi terminaali, jossa lähtevien tai saapuvien matkustajien määrä on merkittävä.</w:t>
      </w:r>
    </w:p>
  </w:footnote>
  <w:footnote w:id="20">
    <w:p>
      <w:pPr>
        <w:pStyle w:val="FootnoteText"/>
      </w:pPr>
      <w:r>
        <w:rPr>
          <w:rStyle w:val="FootnoteReference"/>
        </w:rPr>
        <w:footnoteRef/>
      </w:r>
      <w:r>
        <w:t xml:space="preserve"> Terminaalin määritelmä, ks. asetuksen 3 artiklan m alakohta.</w:t>
      </w:r>
    </w:p>
  </w:footnote>
  <w:footnote w:id="21">
    <w:p>
      <w:pPr>
        <w:pStyle w:val="FootnoteText"/>
      </w:pPr>
      <w:r>
        <w:rPr>
          <w:rStyle w:val="FootnoteReference"/>
        </w:rPr>
        <w:footnoteRef/>
      </w:r>
      <w:r>
        <w:t xml:space="preserve"> Luettelo jäsenvaltioiden nimeämistä ja komissiolle ilmoittamista terminaaleista on saatavilla osoitteessa</w:t>
      </w:r>
    </w:p>
    <w:p>
      <w:pPr>
        <w:pStyle w:val="FootnoteText"/>
      </w:pPr>
      <w:r>
        <w:t xml:space="preserve"> http://ec.europa.eu/transport/themes/passengers/road/doc/designated_bus_terminals.pdf</w:t>
      </w:r>
    </w:p>
  </w:footnote>
  <w:footnote w:id="22">
    <w:p>
      <w:pPr>
        <w:pStyle w:val="FootnoteText"/>
      </w:pPr>
      <w:r>
        <w:rPr>
          <w:rStyle w:val="FootnoteReference"/>
        </w:rPr>
        <w:footnoteRef/>
      </w:r>
      <w:r>
        <w:t xml:space="preserve"> Ks. alaviite 3. </w:t>
      </w:r>
    </w:p>
  </w:footnote>
  <w:footnote w:id="23">
    <w:p>
      <w:pPr>
        <w:pStyle w:val="FootnoteText"/>
        <w:rPr>
          <w:lang w:val="en-US"/>
        </w:rPr>
      </w:pPr>
      <w:r>
        <w:rPr>
          <w:rStyle w:val="FootnoteReference"/>
        </w:rPr>
        <w:footnoteRef/>
      </w:r>
      <w:r>
        <w:t xml:space="preserve"> Ranskassa ja Saksassa toiminnanharjoittajien edellytetään käyttävän vuoteen 2018 mennessä vain linja-autoja, joilla voidaan kuljettaa vammaisia matkustajia, ja Espanjassa ja Yhdistyneessä kuningaskunnassa tätä edellytetään vuoteen 2020 mennessä. </w:t>
      </w:r>
      <w:r>
        <w:rPr>
          <w:lang w:val="en-US"/>
        </w:rPr>
        <w:t>Lähde: Comprehensive Study on Passenger Transport by Coach in Europe (2016).</w:t>
      </w:r>
    </w:p>
  </w:footnote>
  <w:footnote w:id="24">
    <w:p>
      <w:pPr>
        <w:pStyle w:val="FootnoteText"/>
      </w:pPr>
      <w:r>
        <w:rPr>
          <w:rStyle w:val="FootnoteReference"/>
        </w:rPr>
        <w:footnoteRef/>
      </w:r>
      <w:r>
        <w:t xml:space="preserve"> Muun muassa Belgiassa Vallonian julkisen liikenteen yhtiö Société Régionale Wallonne du Transport on vuodesta 2013 lähtien tarkastanut linja-autolinjojensa esteettömyyttä vammaisia henkilöitä edustavien paikallisjärjestöjen avustamana ja Riikan kansainvälisen linja-autoterminaalin (Rīgas Starptautiskā autoosta) omistaja teki yhteistyötä Apeirons-vammaisjärjestön kanssa tehdäkseen terminaalista täysin esteettömän vammaisille ja liikuntarajoitteisille matkustajille. </w:t>
      </w:r>
    </w:p>
  </w:footnote>
  <w:footnote w:id="25">
    <w:p>
      <w:pPr>
        <w:pStyle w:val="FootnoteText"/>
      </w:pPr>
      <w:r>
        <w:rPr>
          <w:rStyle w:val="FootnoteReference"/>
        </w:rPr>
        <w:footnoteRef/>
      </w:r>
      <w:r>
        <w:t xml:space="preserve"> Ks. tämän kertomuksen 2 kohta.</w:t>
      </w:r>
    </w:p>
  </w:footnote>
  <w:footnote w:id="26">
    <w:p>
      <w:pPr>
        <w:pStyle w:val="FootnoteText"/>
      </w:pPr>
      <w:r>
        <w:rPr>
          <w:rStyle w:val="FootnoteReference"/>
        </w:rPr>
        <w:footnoteRef/>
      </w:r>
      <w:r>
        <w:t xml:space="preserve"> Ks. edellä oleva 2 kohta, jossa käsitellään jäsenvaltioiden soveltamia vapautuksia.</w:t>
      </w:r>
    </w:p>
  </w:footnote>
  <w:footnote w:id="27">
    <w:p>
      <w:pPr>
        <w:pStyle w:val="FootnoteText"/>
      </w:pPr>
      <w:r>
        <w:rPr>
          <w:rStyle w:val="FootnoteReference"/>
        </w:rPr>
        <w:footnoteRef/>
      </w:r>
      <w:r>
        <w:t xml:space="preserve"> Joissakin kansallisten täytäntöönpanoelinten kertomuksissa ilmoitetaan valitusten syyt. Lisäksi komission rahoittama Europe Direct </w:t>
      </w:r>
      <w:r>
        <w:noBreakHyphen/>
        <w:t>keskustietopalvelu (EDCC), joka tarjoaa kansalaisille ja yrityksille veloituksetta tietoa EU:n lainsäädännöstä, ilmoitti, että yli 80 prosenttia palvelun asetuksen soveltamisen aloittamisen jälkeen saamista kaikkiaan 99 kyselystä liittyi matkustajien oikeuksiin viivästymisen tai peruuttamisen tapauksessa.</w:t>
      </w:r>
      <w:r>
        <w:rPr>
          <w:highlight w:val="yellow"/>
        </w:rPr>
        <w:t xml:space="preserve"> </w:t>
      </w:r>
    </w:p>
  </w:footnote>
  <w:footnote w:id="28">
    <w:p>
      <w:pPr>
        <w:pStyle w:val="FootnoteText"/>
      </w:pPr>
      <w:r>
        <w:rPr>
          <w:rStyle w:val="FootnoteReference"/>
        </w:rPr>
        <w:footnoteRef/>
      </w:r>
      <w:r>
        <w:t xml:space="preserve"> Esimerkiksi jos matkustajan matkatavarat katosivat tai varastettiin matkan aikana tai matkustaja ei voinut istua varaamallaan istumapaikalla.</w:t>
      </w:r>
    </w:p>
  </w:footnote>
  <w:footnote w:id="29">
    <w:p>
      <w:pPr>
        <w:pStyle w:val="FootnoteText"/>
      </w:pPr>
      <w:r>
        <w:rPr>
          <w:rStyle w:val="FootnoteReference"/>
        </w:rPr>
        <w:footnoteRef/>
      </w:r>
      <w:r>
        <w:t xml:space="preserve"> EU:ssa asuvilla kuluttajilla olisi kuluttajariitojen vaihtoehtoisesta riidanratkaisusta 21. toukokuuta 2013 annetun Euroopan parlamentin ja neuvoston direktiivin 2013/11/EU (EUVL L 165, 18.6.2013, s. 63) mukaan oltava mahdollisuus käyttää vaihtoehtoisia riidanratkaisumenettelyjä sopimusriidoissa, joissa toisena osapuolena on EU:hun sijoittautunut elinkeinonharjoittaja, kuten kuljetusalalla toimiva elinkeinonharjoittaja.</w:t>
      </w:r>
    </w:p>
  </w:footnote>
  <w:footnote w:id="30">
    <w:p>
      <w:pPr>
        <w:pStyle w:val="FootnoteText"/>
      </w:pPr>
      <w:r>
        <w:rPr>
          <w:rStyle w:val="FootnoteReference"/>
        </w:rPr>
        <w:footnoteRef/>
      </w:r>
      <w:r>
        <w:t xml:space="preserve"> Perustellut lausunnot lähetettiin Itävallalle, Kreikalle, Italialle, Luxemburgille ja Portugalille sekä viralliset ilmoitukset seitsemälle muulle jäsenvaltiolle.</w:t>
      </w:r>
    </w:p>
  </w:footnote>
  <w:footnote w:id="31">
    <w:p>
      <w:pPr>
        <w:pStyle w:val="FootnoteText"/>
      </w:pPr>
      <w:r>
        <w:rPr>
          <w:rStyle w:val="FootnoteReference"/>
        </w:rPr>
        <w:footnoteRef/>
      </w:r>
      <w:r>
        <w:t xml:space="preserve"> Komissio selvensi esimerkiksi, että jos liikennöitävä aikataulun mukainen matka on 250 km tai enemmän, koko asetuksen säännöksiä olisi sovellettava kaikkiin matkustajiin, vaikka nämä matkustaisivat kyseisellä reitillä 250:tä km lyhyemmän matkan.</w:t>
      </w:r>
    </w:p>
  </w:footnote>
  <w:footnote w:id="32">
    <w:p>
      <w:pPr>
        <w:pStyle w:val="FootnoteText"/>
      </w:pPr>
      <w:r>
        <w:rPr>
          <w:rStyle w:val="FootnoteReference"/>
        </w:rPr>
        <w:footnoteRef/>
      </w:r>
      <w:r>
        <w:t xml:space="preserve"> Ks. alaviite 28.</w:t>
      </w:r>
    </w:p>
  </w:footnote>
  <w:footnote w:id="33">
    <w:p>
      <w:pPr>
        <w:pStyle w:val="FootnoteText"/>
        <w:rPr>
          <w:lang w:val="hu-HU"/>
        </w:rPr>
      </w:pPr>
      <w:r>
        <w:rPr>
          <w:rStyle w:val="FootnoteReference"/>
        </w:rPr>
        <w:footnoteRef/>
      </w:r>
      <w:r>
        <w:t xml:space="preserve"> Unionin suuntaviivoista Euroopan laajuisen liikenneverkon kehittämiseksi annettu asetus (EU) N:o 1315/2013 (EUVL L 348, 20.12.2013, s. 1).</w:t>
      </w:r>
    </w:p>
  </w:footnote>
  <w:footnote w:id="34">
    <w:p>
      <w:pPr>
        <w:pStyle w:val="FootnoteText"/>
        <w:rPr>
          <w:lang w:val="hu-HU"/>
        </w:rPr>
      </w:pPr>
      <w:r>
        <w:rPr>
          <w:rStyle w:val="FootnoteReference"/>
        </w:rPr>
        <w:footnoteRef/>
      </w:r>
      <w:r>
        <w:t xml:space="preserve"> Yksityiskohtaiset ehdot varojen hakemiselle Verkkojen Eurooppa -välineestä, ks. Euroopan parlamentin ja neuvoston asetus (EU) N:o 1315/2013, annettu 11 päivänä joulukuuta 2013, unionin suuntaviivoista Euroopan laajuisen liikenneverkon kehittämiseksi ja päätöksen N:o 661/2010/EU kumoamisesta (EUVL L 348, 20.12.2013, s. 1) ja Euroopan parlamentin ja neuvoston asetus (EU) N:o 1316/2013, annettu 11 päivänä joulukuuta 2013, Verkkojen Eurooppa -välineen perustamisesta sekä asetuksen (EU) N:o 913/2010 muuttamisesta ja asetusten (EY) N:o 680/2007 ja (EY) N:o 67/2010 kumoamisesta (EUVL L 348, 20.12.2013, s. 129).</w:t>
      </w:r>
    </w:p>
  </w:footnote>
  <w:footnote w:id="35">
    <w:p>
      <w:pPr>
        <w:pStyle w:val="FootnoteText"/>
      </w:pPr>
      <w:r>
        <w:rPr>
          <w:rStyle w:val="FootnoteReference"/>
        </w:rPr>
        <w:footnoteRef/>
      </w:r>
      <w:r>
        <w:t xml:space="preserve"> Ks. edellä oleva 2 kohta.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ECB"/>
    <w:multiLevelType w:val="hybridMultilevel"/>
    <w:tmpl w:val="5E565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13294B"/>
    <w:multiLevelType w:val="hybridMultilevel"/>
    <w:tmpl w:val="CD58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B581E"/>
    <w:multiLevelType w:val="hybridMultilevel"/>
    <w:tmpl w:val="89E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06058"/>
    <w:multiLevelType w:val="hybridMultilevel"/>
    <w:tmpl w:val="9BD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10383"/>
    <w:multiLevelType w:val="hybridMultilevel"/>
    <w:tmpl w:val="C82854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AF26D49"/>
    <w:multiLevelType w:val="hybridMultilevel"/>
    <w:tmpl w:val="A68275F6"/>
    <w:lvl w:ilvl="0" w:tplc="3DF2C38E">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
    <w:nsid w:val="1DEB7B4E"/>
    <w:multiLevelType w:val="hybridMultilevel"/>
    <w:tmpl w:val="88386784"/>
    <w:lvl w:ilvl="0" w:tplc="4BC05A7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57BEF"/>
    <w:multiLevelType w:val="hybridMultilevel"/>
    <w:tmpl w:val="8020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8B60FE"/>
    <w:multiLevelType w:val="hybridMultilevel"/>
    <w:tmpl w:val="57D0632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nsid w:val="26386E47"/>
    <w:multiLevelType w:val="hybridMultilevel"/>
    <w:tmpl w:val="8DBCE6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27EA6345"/>
    <w:multiLevelType w:val="hybridMultilevel"/>
    <w:tmpl w:val="A3768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30975262"/>
    <w:multiLevelType w:val="hybridMultilevel"/>
    <w:tmpl w:val="7C02F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1194AB9"/>
    <w:multiLevelType w:val="hybridMultilevel"/>
    <w:tmpl w:val="E45A07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2A9420B"/>
    <w:multiLevelType w:val="hybridMultilevel"/>
    <w:tmpl w:val="0C56AB8C"/>
    <w:lvl w:ilvl="0" w:tplc="08090001">
      <w:start w:val="1"/>
      <w:numFmt w:val="bullet"/>
      <w:lvlText w:val=""/>
      <w:lvlJc w:val="left"/>
      <w:pPr>
        <w:tabs>
          <w:tab w:val="num" w:pos="1296"/>
        </w:tabs>
        <w:ind w:left="1296" w:hanging="567"/>
      </w:pPr>
      <w:rPr>
        <w:rFonts w:ascii="Symbol" w:hAnsi="Symbol" w:hint="default"/>
      </w:rPr>
    </w:lvl>
    <w:lvl w:ilvl="1" w:tplc="08090003">
      <w:numFmt w:val="bullet"/>
      <w:lvlText w:val="-"/>
      <w:lvlJc w:val="left"/>
      <w:pPr>
        <w:tabs>
          <w:tab w:val="num" w:pos="2169"/>
        </w:tabs>
        <w:ind w:left="2169" w:hanging="360"/>
      </w:pPr>
      <w:rPr>
        <w:rFonts w:ascii="Times New Roman" w:eastAsia="Times New Roman" w:hAnsi="Times New Roman" w:cs="Times New Roman" w:hint="default"/>
      </w:rPr>
    </w:lvl>
    <w:lvl w:ilvl="2" w:tplc="08090005">
      <w:start w:val="1"/>
      <w:numFmt w:val="bullet"/>
      <w:lvlText w:val=""/>
      <w:lvlJc w:val="left"/>
      <w:pPr>
        <w:tabs>
          <w:tab w:val="num" w:pos="2889"/>
        </w:tabs>
        <w:ind w:left="2889" w:hanging="360"/>
      </w:pPr>
      <w:rPr>
        <w:rFonts w:ascii="Wingdings" w:hAnsi="Wingdings" w:hint="default"/>
      </w:rPr>
    </w:lvl>
    <w:lvl w:ilvl="3" w:tplc="08090001">
      <w:start w:val="1"/>
      <w:numFmt w:val="bullet"/>
      <w:lvlText w:val=""/>
      <w:lvlJc w:val="left"/>
      <w:pPr>
        <w:tabs>
          <w:tab w:val="num" w:pos="3609"/>
        </w:tabs>
        <w:ind w:left="3609" w:hanging="360"/>
      </w:pPr>
      <w:rPr>
        <w:rFonts w:ascii="Symbol" w:hAnsi="Symbol" w:hint="default"/>
      </w:rPr>
    </w:lvl>
    <w:lvl w:ilvl="4" w:tplc="08090003">
      <w:start w:val="1"/>
      <w:numFmt w:val="bullet"/>
      <w:lvlText w:val="o"/>
      <w:lvlJc w:val="left"/>
      <w:pPr>
        <w:tabs>
          <w:tab w:val="num" w:pos="4329"/>
        </w:tabs>
        <w:ind w:left="4329" w:hanging="360"/>
      </w:pPr>
      <w:rPr>
        <w:rFonts w:ascii="Courier New" w:hAnsi="Courier New" w:cs="Courier New" w:hint="default"/>
      </w:rPr>
    </w:lvl>
    <w:lvl w:ilvl="5" w:tplc="08090005" w:tentative="1">
      <w:start w:val="1"/>
      <w:numFmt w:val="bullet"/>
      <w:lvlText w:val=""/>
      <w:lvlJc w:val="left"/>
      <w:pPr>
        <w:tabs>
          <w:tab w:val="num" w:pos="5049"/>
        </w:tabs>
        <w:ind w:left="5049" w:hanging="360"/>
      </w:pPr>
      <w:rPr>
        <w:rFonts w:ascii="Wingdings" w:hAnsi="Wingdings" w:hint="default"/>
      </w:rPr>
    </w:lvl>
    <w:lvl w:ilvl="6" w:tplc="08090001" w:tentative="1">
      <w:start w:val="1"/>
      <w:numFmt w:val="bullet"/>
      <w:lvlText w:val=""/>
      <w:lvlJc w:val="left"/>
      <w:pPr>
        <w:tabs>
          <w:tab w:val="num" w:pos="5769"/>
        </w:tabs>
        <w:ind w:left="5769" w:hanging="360"/>
      </w:pPr>
      <w:rPr>
        <w:rFonts w:ascii="Symbol" w:hAnsi="Symbol" w:hint="default"/>
      </w:rPr>
    </w:lvl>
    <w:lvl w:ilvl="7" w:tplc="08090003" w:tentative="1">
      <w:start w:val="1"/>
      <w:numFmt w:val="bullet"/>
      <w:lvlText w:val="o"/>
      <w:lvlJc w:val="left"/>
      <w:pPr>
        <w:tabs>
          <w:tab w:val="num" w:pos="6489"/>
        </w:tabs>
        <w:ind w:left="6489" w:hanging="360"/>
      </w:pPr>
      <w:rPr>
        <w:rFonts w:ascii="Courier New" w:hAnsi="Courier New" w:cs="Courier New" w:hint="default"/>
      </w:rPr>
    </w:lvl>
    <w:lvl w:ilvl="8" w:tplc="08090005" w:tentative="1">
      <w:start w:val="1"/>
      <w:numFmt w:val="bullet"/>
      <w:lvlText w:val=""/>
      <w:lvlJc w:val="left"/>
      <w:pPr>
        <w:tabs>
          <w:tab w:val="num" w:pos="7209"/>
        </w:tabs>
        <w:ind w:left="7209" w:hanging="360"/>
      </w:pPr>
      <w:rPr>
        <w:rFonts w:ascii="Wingdings" w:hAnsi="Wingdings" w:hint="default"/>
      </w:rPr>
    </w:lvl>
  </w:abstractNum>
  <w:abstractNum w:abstractNumId="14">
    <w:nsid w:val="338F246A"/>
    <w:multiLevelType w:val="hybridMultilevel"/>
    <w:tmpl w:val="4AF4F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72198B"/>
    <w:multiLevelType w:val="hybridMultilevel"/>
    <w:tmpl w:val="1A7E9D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B609B"/>
    <w:multiLevelType w:val="hybridMultilevel"/>
    <w:tmpl w:val="ADDA2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5B20AB"/>
    <w:multiLevelType w:val="hybridMultilevel"/>
    <w:tmpl w:val="5EAE9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9B6284"/>
    <w:multiLevelType w:val="hybridMultilevel"/>
    <w:tmpl w:val="FB2C6B1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EB5F01"/>
    <w:multiLevelType w:val="hybridMultilevel"/>
    <w:tmpl w:val="2F3C84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nsid w:val="447B5BDD"/>
    <w:multiLevelType w:val="hybridMultilevel"/>
    <w:tmpl w:val="A9C69014"/>
    <w:lvl w:ilvl="0" w:tplc="08090001">
      <w:start w:val="1"/>
      <w:numFmt w:val="bullet"/>
      <w:lvlText w:val=""/>
      <w:lvlJc w:val="left"/>
      <w:pPr>
        <w:ind w:left="6120" w:hanging="360"/>
      </w:pPr>
      <w:rPr>
        <w:rFonts w:ascii="Symbol" w:hAnsi="Symbol" w:hint="default"/>
      </w:rPr>
    </w:lvl>
    <w:lvl w:ilvl="1" w:tplc="08090003">
      <w:start w:val="1"/>
      <w:numFmt w:val="bullet"/>
      <w:lvlText w:val="o"/>
      <w:lvlJc w:val="left"/>
      <w:pPr>
        <w:ind w:left="6840" w:hanging="360"/>
      </w:pPr>
      <w:rPr>
        <w:rFonts w:ascii="Courier New" w:hAnsi="Courier New" w:cs="Courier New" w:hint="default"/>
      </w:rPr>
    </w:lvl>
    <w:lvl w:ilvl="2" w:tplc="08090005">
      <w:start w:val="1"/>
      <w:numFmt w:val="bullet"/>
      <w:lvlText w:val=""/>
      <w:lvlJc w:val="left"/>
      <w:pPr>
        <w:ind w:left="7560" w:hanging="360"/>
      </w:pPr>
      <w:rPr>
        <w:rFonts w:ascii="Wingdings" w:hAnsi="Wingdings" w:hint="default"/>
      </w:rPr>
    </w:lvl>
    <w:lvl w:ilvl="3" w:tplc="08090001">
      <w:start w:val="1"/>
      <w:numFmt w:val="bullet"/>
      <w:lvlText w:val=""/>
      <w:lvlJc w:val="left"/>
      <w:pPr>
        <w:ind w:left="8280" w:hanging="360"/>
      </w:pPr>
      <w:rPr>
        <w:rFonts w:ascii="Symbol" w:hAnsi="Symbol" w:hint="default"/>
      </w:rPr>
    </w:lvl>
    <w:lvl w:ilvl="4" w:tplc="08090003">
      <w:start w:val="1"/>
      <w:numFmt w:val="bullet"/>
      <w:lvlText w:val="o"/>
      <w:lvlJc w:val="left"/>
      <w:pPr>
        <w:ind w:left="9000" w:hanging="360"/>
      </w:pPr>
      <w:rPr>
        <w:rFonts w:ascii="Courier New" w:hAnsi="Courier New" w:cs="Courier New" w:hint="default"/>
      </w:rPr>
    </w:lvl>
    <w:lvl w:ilvl="5" w:tplc="08090005">
      <w:start w:val="1"/>
      <w:numFmt w:val="bullet"/>
      <w:lvlText w:val=""/>
      <w:lvlJc w:val="left"/>
      <w:pPr>
        <w:ind w:left="9720" w:hanging="360"/>
      </w:pPr>
      <w:rPr>
        <w:rFonts w:ascii="Wingdings" w:hAnsi="Wingdings" w:hint="default"/>
      </w:rPr>
    </w:lvl>
    <w:lvl w:ilvl="6" w:tplc="08090001">
      <w:start w:val="1"/>
      <w:numFmt w:val="bullet"/>
      <w:lvlText w:val=""/>
      <w:lvlJc w:val="left"/>
      <w:pPr>
        <w:ind w:left="10440" w:hanging="360"/>
      </w:pPr>
      <w:rPr>
        <w:rFonts w:ascii="Symbol" w:hAnsi="Symbol" w:hint="default"/>
      </w:rPr>
    </w:lvl>
    <w:lvl w:ilvl="7" w:tplc="08090003">
      <w:start w:val="1"/>
      <w:numFmt w:val="bullet"/>
      <w:lvlText w:val="o"/>
      <w:lvlJc w:val="left"/>
      <w:pPr>
        <w:ind w:left="11160" w:hanging="360"/>
      </w:pPr>
      <w:rPr>
        <w:rFonts w:ascii="Courier New" w:hAnsi="Courier New" w:cs="Courier New" w:hint="default"/>
      </w:rPr>
    </w:lvl>
    <w:lvl w:ilvl="8" w:tplc="08090005">
      <w:start w:val="1"/>
      <w:numFmt w:val="bullet"/>
      <w:lvlText w:val=""/>
      <w:lvlJc w:val="left"/>
      <w:pPr>
        <w:ind w:left="11880" w:hanging="360"/>
      </w:pPr>
      <w:rPr>
        <w:rFonts w:ascii="Wingdings" w:hAnsi="Wingdings" w:hint="default"/>
      </w:rPr>
    </w:lvl>
  </w:abstractNum>
  <w:abstractNum w:abstractNumId="21">
    <w:nsid w:val="47B35768"/>
    <w:multiLevelType w:val="hybridMultilevel"/>
    <w:tmpl w:val="9D44D6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nsid w:val="48052000"/>
    <w:multiLevelType w:val="hybridMultilevel"/>
    <w:tmpl w:val="8E62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662A4C"/>
    <w:multiLevelType w:val="hybridMultilevel"/>
    <w:tmpl w:val="E6FE61B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16605BD"/>
    <w:multiLevelType w:val="hybridMultilevel"/>
    <w:tmpl w:val="A1EC48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52222296"/>
    <w:multiLevelType w:val="hybridMultilevel"/>
    <w:tmpl w:val="29E237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4E778F1"/>
    <w:multiLevelType w:val="hybridMultilevel"/>
    <w:tmpl w:val="7B3E6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0E54DD"/>
    <w:multiLevelType w:val="hybridMultilevel"/>
    <w:tmpl w:val="8D906510"/>
    <w:lvl w:ilvl="0" w:tplc="5B5A14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576858"/>
    <w:multiLevelType w:val="hybridMultilevel"/>
    <w:tmpl w:val="9242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D421EF"/>
    <w:multiLevelType w:val="hybridMultilevel"/>
    <w:tmpl w:val="3B7C7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8218C4"/>
    <w:multiLevelType w:val="hybridMultilevel"/>
    <w:tmpl w:val="AB52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5F488A"/>
    <w:multiLevelType w:val="hybridMultilevel"/>
    <w:tmpl w:val="F762FB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31C00DE"/>
    <w:multiLevelType w:val="hybridMultilevel"/>
    <w:tmpl w:val="0058A552"/>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FC7684"/>
    <w:multiLevelType w:val="hybridMultilevel"/>
    <w:tmpl w:val="4614C20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6E958AF"/>
    <w:multiLevelType w:val="hybridMultilevel"/>
    <w:tmpl w:val="E6FE61B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91C3133"/>
    <w:multiLevelType w:val="hybridMultilevel"/>
    <w:tmpl w:val="6A604DF0"/>
    <w:lvl w:ilvl="0" w:tplc="4E1C1862">
      <w:start w:val="1"/>
      <w:numFmt w:val="bullet"/>
      <w:lvlText w:val="•"/>
      <w:lvlJc w:val="left"/>
      <w:pPr>
        <w:tabs>
          <w:tab w:val="num" w:pos="720"/>
        </w:tabs>
        <w:ind w:left="720" w:hanging="360"/>
      </w:pPr>
      <w:rPr>
        <w:rFonts w:ascii="Times New Roman" w:hAnsi="Times New Roman" w:hint="default"/>
      </w:rPr>
    </w:lvl>
    <w:lvl w:ilvl="1" w:tplc="BF466B1E">
      <w:start w:val="1"/>
      <w:numFmt w:val="bullet"/>
      <w:lvlText w:val="•"/>
      <w:lvlJc w:val="left"/>
      <w:pPr>
        <w:tabs>
          <w:tab w:val="num" w:pos="1440"/>
        </w:tabs>
        <w:ind w:left="1440" w:hanging="360"/>
      </w:pPr>
      <w:rPr>
        <w:rFonts w:ascii="Times New Roman" w:hAnsi="Times New Roman" w:hint="default"/>
      </w:rPr>
    </w:lvl>
    <w:lvl w:ilvl="2" w:tplc="E9027290" w:tentative="1">
      <w:start w:val="1"/>
      <w:numFmt w:val="bullet"/>
      <w:lvlText w:val="•"/>
      <w:lvlJc w:val="left"/>
      <w:pPr>
        <w:tabs>
          <w:tab w:val="num" w:pos="2160"/>
        </w:tabs>
        <w:ind w:left="2160" w:hanging="360"/>
      </w:pPr>
      <w:rPr>
        <w:rFonts w:ascii="Times New Roman" w:hAnsi="Times New Roman" w:hint="default"/>
      </w:rPr>
    </w:lvl>
    <w:lvl w:ilvl="3" w:tplc="8AD6C3CA" w:tentative="1">
      <w:start w:val="1"/>
      <w:numFmt w:val="bullet"/>
      <w:lvlText w:val="•"/>
      <w:lvlJc w:val="left"/>
      <w:pPr>
        <w:tabs>
          <w:tab w:val="num" w:pos="2880"/>
        </w:tabs>
        <w:ind w:left="2880" w:hanging="360"/>
      </w:pPr>
      <w:rPr>
        <w:rFonts w:ascii="Times New Roman" w:hAnsi="Times New Roman" w:hint="default"/>
      </w:rPr>
    </w:lvl>
    <w:lvl w:ilvl="4" w:tplc="A91C3910" w:tentative="1">
      <w:start w:val="1"/>
      <w:numFmt w:val="bullet"/>
      <w:lvlText w:val="•"/>
      <w:lvlJc w:val="left"/>
      <w:pPr>
        <w:tabs>
          <w:tab w:val="num" w:pos="3600"/>
        </w:tabs>
        <w:ind w:left="3600" w:hanging="360"/>
      </w:pPr>
      <w:rPr>
        <w:rFonts w:ascii="Times New Roman" w:hAnsi="Times New Roman" w:hint="default"/>
      </w:rPr>
    </w:lvl>
    <w:lvl w:ilvl="5" w:tplc="7F183638" w:tentative="1">
      <w:start w:val="1"/>
      <w:numFmt w:val="bullet"/>
      <w:lvlText w:val="•"/>
      <w:lvlJc w:val="left"/>
      <w:pPr>
        <w:tabs>
          <w:tab w:val="num" w:pos="4320"/>
        </w:tabs>
        <w:ind w:left="4320" w:hanging="360"/>
      </w:pPr>
      <w:rPr>
        <w:rFonts w:ascii="Times New Roman" w:hAnsi="Times New Roman" w:hint="default"/>
      </w:rPr>
    </w:lvl>
    <w:lvl w:ilvl="6" w:tplc="6F5C989A" w:tentative="1">
      <w:start w:val="1"/>
      <w:numFmt w:val="bullet"/>
      <w:lvlText w:val="•"/>
      <w:lvlJc w:val="left"/>
      <w:pPr>
        <w:tabs>
          <w:tab w:val="num" w:pos="5040"/>
        </w:tabs>
        <w:ind w:left="5040" w:hanging="360"/>
      </w:pPr>
      <w:rPr>
        <w:rFonts w:ascii="Times New Roman" w:hAnsi="Times New Roman" w:hint="default"/>
      </w:rPr>
    </w:lvl>
    <w:lvl w:ilvl="7" w:tplc="BCC0BA18" w:tentative="1">
      <w:start w:val="1"/>
      <w:numFmt w:val="bullet"/>
      <w:lvlText w:val="•"/>
      <w:lvlJc w:val="left"/>
      <w:pPr>
        <w:tabs>
          <w:tab w:val="num" w:pos="5760"/>
        </w:tabs>
        <w:ind w:left="5760" w:hanging="360"/>
      </w:pPr>
      <w:rPr>
        <w:rFonts w:ascii="Times New Roman" w:hAnsi="Times New Roman" w:hint="default"/>
      </w:rPr>
    </w:lvl>
    <w:lvl w:ilvl="8" w:tplc="CD4C64A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AC015EA"/>
    <w:multiLevelType w:val="hybridMultilevel"/>
    <w:tmpl w:val="CAF4917E"/>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8B7B5C"/>
    <w:multiLevelType w:val="hybridMultilevel"/>
    <w:tmpl w:val="ACD2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874D61"/>
    <w:multiLevelType w:val="hybridMultilevel"/>
    <w:tmpl w:val="B53E89F2"/>
    <w:lvl w:ilvl="0" w:tplc="3DF2C38E">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9">
    <w:nsid w:val="784539A0"/>
    <w:multiLevelType w:val="hybridMultilevel"/>
    <w:tmpl w:val="FE96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C215A3E"/>
    <w:multiLevelType w:val="hybridMultilevel"/>
    <w:tmpl w:val="FD02E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EE3E86"/>
    <w:multiLevelType w:val="hybridMultilevel"/>
    <w:tmpl w:val="CE48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nsid w:val="7EF95F63"/>
    <w:multiLevelType w:val="hybridMultilevel"/>
    <w:tmpl w:val="CF044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0"/>
  </w:num>
  <w:num w:numId="5">
    <w:abstractNumId w:val="11"/>
  </w:num>
  <w:num w:numId="6">
    <w:abstractNumId w:val="39"/>
  </w:num>
  <w:num w:numId="7">
    <w:abstractNumId w:val="33"/>
    <w:lvlOverride w:ilvl="0"/>
    <w:lvlOverride w:ilvl="1">
      <w:startOverride w:val="1"/>
    </w:lvlOverride>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2"/>
  </w:num>
  <w:num w:numId="11">
    <w:abstractNumId w:val="24"/>
  </w:num>
  <w:num w:numId="12">
    <w:abstractNumId w:val="9"/>
  </w:num>
  <w:num w:numId="13">
    <w:abstractNumId w:val="41"/>
  </w:num>
  <w:num w:numId="14">
    <w:abstractNumId w:val="21"/>
  </w:num>
  <w:num w:numId="15">
    <w:abstractNumId w:val="0"/>
  </w:num>
  <w:num w:numId="16">
    <w:abstractNumId w:val="8"/>
  </w:num>
  <w:num w:numId="17">
    <w:abstractNumId w:val="17"/>
  </w:num>
  <w:num w:numId="18">
    <w:abstractNumId w:val="13"/>
  </w:num>
  <w:num w:numId="19">
    <w:abstractNumId w:val="4"/>
  </w:num>
  <w:num w:numId="20">
    <w:abstractNumId w:val="18"/>
  </w:num>
  <w:num w:numId="21">
    <w:abstractNumId w:val="23"/>
  </w:num>
  <w:num w:numId="22">
    <w:abstractNumId w:val="31"/>
  </w:num>
  <w:num w:numId="23">
    <w:abstractNumId w:val="26"/>
  </w:num>
  <w:num w:numId="24">
    <w:abstractNumId w:val="34"/>
  </w:num>
  <w:num w:numId="25">
    <w:abstractNumId w:val="35"/>
  </w:num>
  <w:num w:numId="26">
    <w:abstractNumId w:val="12"/>
  </w:num>
  <w:num w:numId="27">
    <w:abstractNumId w:val="1"/>
  </w:num>
  <w:num w:numId="28">
    <w:abstractNumId w:val="28"/>
  </w:num>
  <w:num w:numId="29">
    <w:abstractNumId w:val="7"/>
  </w:num>
  <w:num w:numId="30">
    <w:abstractNumId w:val="2"/>
  </w:num>
  <w:num w:numId="31">
    <w:abstractNumId w:val="6"/>
  </w:num>
  <w:num w:numId="32">
    <w:abstractNumId w:val="29"/>
  </w:num>
  <w:num w:numId="33">
    <w:abstractNumId w:val="40"/>
  </w:num>
  <w:num w:numId="34">
    <w:abstractNumId w:val="16"/>
  </w:num>
  <w:num w:numId="35">
    <w:abstractNumId w:val="27"/>
  </w:num>
  <w:num w:numId="36">
    <w:abstractNumId w:val="37"/>
  </w:num>
  <w:num w:numId="37">
    <w:abstractNumId w:val="25"/>
  </w:num>
  <w:num w:numId="38">
    <w:abstractNumId w:val="22"/>
  </w:num>
  <w:num w:numId="39">
    <w:abstractNumId w:val="38"/>
  </w:num>
  <w:num w:numId="40">
    <w:abstractNumId w:val="36"/>
  </w:num>
  <w:num w:numId="41">
    <w:abstractNumId w:val="5"/>
  </w:num>
  <w:num w:numId="42">
    <w:abstractNumId w:val="32"/>
  </w:num>
  <w:num w:numId="43">
    <w:abstractNumId w:val="15"/>
  </w:num>
  <w:num w:numId="44">
    <w:abstractNumId w:val="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COVERPAGE_EXISTS" w:val="True"/>
    <w:docVar w:name="DocStatus" w:val="Green"/>
    <w:docVar w:name="LW_CONFIDENCE" w:val=" "/>
    <w:docVar w:name="LW_CONST_RESTREINT_UE" w:val="RESTREINT UE"/>
    <w:docVar w:name="LW_CORRIGENDUM" w:val="&lt;UNUSED&gt;"/>
    <w:docVar w:name="LW_COVERPAGE_GUID" w:val="00D685F24964472F92F596E8FB39156F"/>
    <w:docVar w:name="LW_CROSSREFERENCE" w:val="&lt;UNUSED&gt;"/>
    <w:docVar w:name="LW_DocType" w:val="NORMAL"/>
    <w:docVar w:name="LW_EMISSION" w:val="27.9.2016"/>
    <w:docVar w:name="LW_EMISSION_ISODATE" w:val="2016-09-27"/>
    <w:docVar w:name="LW_EMISSION_LOCATION" w:val="BRX"/>
    <w:docVar w:name="LW_EMISSION_PREFIX" w:val="Bryssel "/>
    <w:docVar w:name="LW_EMISSION_SUFFIX" w:val=" "/>
    <w:docVar w:name="LW_ID_DOCTYPE_NONLW" w:val="CP-006"/>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6) 619"/>
    <w:docVar w:name="LW_REF.INTERNE" w:val="&lt;UNUSED&gt;"/>
    <w:docVar w:name="LW_SOUS.TITRE.OBJ.CP" w:val="&lt;UNUSED&gt;"/>
    <w:docVar w:name="LW_SUPERTITRE" w:val="&lt;UNUSED&gt;"/>
    <w:docVar w:name="LW_TITRE.OBJ.CP" w:val="Kertomus matkustajien oikeuksista linja-autoliikenteessä sekä asetuksen (EY) N:o 2006/2004 muuttamisesta annetun asetuksen (EU) N:o 181/2011 soveltamisesta"/>
    <w:docVar w:name="LW_TYPE.DOC.CP" w:val="KOMISSION KERTOMUS EUROOPAN PARLAMENTILLE JA NEUVOSTOLLE"/>
    <w:docVar w:name="Stamp" w:val="\\dossiers.dgt.cec.eu.int\dossiers\MOVE\MOVE-2016-00780\MOVE-2016-00780-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pPr>
      <w:spacing w:after="0" w:line="240" w:lineRule="auto"/>
    </w:pPr>
    <w:rPr>
      <w:szCs w:val="21"/>
    </w:rPr>
  </w:style>
  <w:style w:type="character" w:customStyle="1" w:styleId="PlainTextChar">
    <w:name w:val="Plain Text Char"/>
    <w:link w:val="PlainText"/>
    <w:uiPriority w:val="99"/>
    <w:semiHidden/>
    <w:rPr>
      <w:sz w:val="22"/>
      <w:szCs w:val="21"/>
      <w:lang w:eastAsia="fi-FI"/>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paragraph" w:customStyle="1" w:styleId="Briefingheading1">
    <w:name w:val="Briefing heading 1"/>
    <w:basedOn w:val="Normal"/>
    <w:pPr>
      <w:spacing w:after="120"/>
      <w:jc w:val="center"/>
    </w:pPr>
    <w:rPr>
      <w:rFonts w:ascii="Arial" w:hAnsi="Arial" w:cs="Arial"/>
      <w:b/>
    </w:rPr>
  </w:style>
  <w:style w:type="paragraph" w:styleId="FootnoteText">
    <w:name w:val="footnote text"/>
    <w:basedOn w:val="Normal"/>
    <w:autoRedefine/>
    <w:uiPriority w:val="99"/>
    <w:unhideWhenUsed/>
    <w:pPr>
      <w:spacing w:after="0"/>
      <w:ind w:left="142" w:hanging="142"/>
      <w:jc w:val="both"/>
    </w:pPr>
    <w:rPr>
      <w:rFonts w:ascii="Times New Roman" w:hAnsi="Times New Roman"/>
      <w:sz w:val="20"/>
      <w:szCs w:val="20"/>
    </w:rPr>
  </w:style>
  <w:style w:type="character" w:customStyle="1" w:styleId="FootnoteTextChar">
    <w:name w:val="Footnote Text Char"/>
    <w:uiPriority w:val="99"/>
    <w:rPr>
      <w:lang w:eastAsia="fi-FI"/>
    </w:rPr>
  </w:style>
  <w:style w:type="character" w:styleId="FootnoteReference">
    <w:name w:val="footnote reference"/>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i-FI"/>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fi-FI"/>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i-FI"/>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i-FI"/>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after="0" w:line="240" w:lineRule="auto"/>
    </w:pPr>
    <w:rPr>
      <w:rFonts w:ascii="Times New Roman" w:eastAsiaTheme="minorHAnsi" w:hAnsi="Times New Roman"/>
      <w:sz w:val="24"/>
      <w:szCs w:val="24"/>
    </w:rPr>
  </w:style>
  <w:style w:type="paragraph" w:styleId="NormalWeb">
    <w:name w:val="Normal (Web)"/>
    <w:basedOn w:val="Normal"/>
    <w:uiPriority w:val="99"/>
    <w:unhideWhenUsed/>
    <w:pPr>
      <w:spacing w:before="180" w:after="180" w:line="300" w:lineRule="atLeas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fi-F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pPr>
      <w:spacing w:after="0" w:line="240" w:lineRule="auto"/>
    </w:pPr>
    <w:rPr>
      <w:szCs w:val="21"/>
    </w:rPr>
  </w:style>
  <w:style w:type="character" w:customStyle="1" w:styleId="PlainTextChar">
    <w:name w:val="Vain tekstinä Char"/>
    <w:link w:val="PlainText"/>
    <w:uiPriority w:val="99"/>
    <w:semiHidden/>
    <w:rPr>
      <w:sz w:val="22"/>
      <w:szCs w:val="21"/>
      <w:lang w:eastAsia="fi-FI"/>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paragraph" w:customStyle="1" w:styleId="Briefingheading1">
    <w:name w:val="Briefing heading 1"/>
    <w:basedOn w:val="Normal"/>
    <w:pPr>
      <w:spacing w:after="120"/>
      <w:jc w:val="center"/>
    </w:pPr>
    <w:rPr>
      <w:rFonts w:ascii="Arial" w:hAnsi="Arial" w:cs="Arial"/>
      <w:b/>
    </w:rPr>
  </w:style>
  <w:style w:type="paragraph" w:styleId="FootnoteText">
    <w:name w:val="footnote text"/>
    <w:basedOn w:val="Normal"/>
    <w:autoRedefine/>
    <w:uiPriority w:val="99"/>
    <w:unhideWhenUsed/>
    <w:rsid w:val="009A3A7B"/>
    <w:pPr>
      <w:spacing w:after="0"/>
      <w:ind w:left="142" w:hanging="142"/>
      <w:jc w:val="both"/>
    </w:pPr>
    <w:rPr>
      <w:rFonts w:ascii="Times New Roman" w:hAnsi="Times New Roman"/>
      <w:sz w:val="20"/>
      <w:szCs w:val="20"/>
    </w:rPr>
  </w:style>
  <w:style w:type="character" w:customStyle="1" w:styleId="FootnoteTextChar">
    <w:name w:val="Footnote Text Char"/>
    <w:uiPriority w:val="99"/>
    <w:rPr>
      <w:lang w:eastAsia="fi-FI"/>
    </w:rPr>
  </w:style>
  <w:style w:type="character" w:styleId="FootnoteReference">
    <w:name w:val="footnote reference"/>
    <w:unhideWhenUsed/>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Kommentin teksti Char"/>
    <w:link w:val="CommentText"/>
    <w:uiPriority w:val="99"/>
    <w:semiHidden/>
    <w:rPr>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Kommentin otsikko Char"/>
    <w:link w:val="CommentSubject"/>
    <w:uiPriority w:val="99"/>
    <w:semiHidden/>
    <w:rPr>
      <w:b/>
      <w:bCs/>
      <w:lang w:eastAsia="fi-FI"/>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Seliteteksti Char"/>
    <w:link w:val="BalloonText"/>
    <w:uiPriority w:val="99"/>
    <w:semiHidden/>
    <w:rPr>
      <w:rFonts w:ascii="Tahoma" w:hAnsi="Tahoma" w:cs="Tahoma"/>
      <w:sz w:val="16"/>
      <w:szCs w:val="16"/>
      <w:lang w:eastAsia="fi-FI"/>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Ylätunniste Char"/>
    <w:link w:val="Header"/>
    <w:uiPriority w:val="99"/>
    <w:rPr>
      <w:sz w:val="22"/>
      <w:szCs w:val="22"/>
      <w:lang w:eastAsia="fi-FI"/>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Alatunniste Char"/>
    <w:link w:val="Footer"/>
    <w:uiPriority w:val="99"/>
    <w:rPr>
      <w:sz w:val="22"/>
      <w:szCs w:val="22"/>
      <w:lang w:eastAsia="fi-FI"/>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fi-FI"/>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fi-FI"/>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paragraph" w:customStyle="1" w:styleId="CM4">
    <w:name w:val="CM4"/>
    <w:basedOn w:val="Normal"/>
    <w:next w:val="Normal"/>
    <w:uiPriority w:val="99"/>
    <w:pPr>
      <w:autoSpaceDE w:val="0"/>
      <w:autoSpaceDN w:val="0"/>
      <w:adjustRightInd w:val="0"/>
      <w:spacing w:after="0" w:line="240" w:lineRule="auto"/>
    </w:pPr>
    <w:rPr>
      <w:rFonts w:ascii="Times New Roman" w:eastAsiaTheme="minorHAnsi" w:hAnsi="Times New Roman"/>
      <w:sz w:val="24"/>
      <w:szCs w:val="24"/>
    </w:rPr>
  </w:style>
  <w:style w:type="paragraph" w:styleId="NormalWeb">
    <w:name w:val="Normal (Web)"/>
    <w:basedOn w:val="Normal"/>
    <w:uiPriority w:val="99"/>
    <w:unhideWhenUsed/>
    <w:pPr>
      <w:spacing w:before="180" w:after="180" w:line="300"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9479">
      <w:bodyDiv w:val="1"/>
      <w:marLeft w:val="0"/>
      <w:marRight w:val="0"/>
      <w:marTop w:val="0"/>
      <w:marBottom w:val="0"/>
      <w:divBdr>
        <w:top w:val="none" w:sz="0" w:space="0" w:color="auto"/>
        <w:left w:val="none" w:sz="0" w:space="0" w:color="auto"/>
        <w:bottom w:val="none" w:sz="0" w:space="0" w:color="auto"/>
        <w:right w:val="none" w:sz="0" w:space="0" w:color="auto"/>
      </w:divBdr>
    </w:div>
    <w:div w:id="237907367">
      <w:bodyDiv w:val="1"/>
      <w:marLeft w:val="0"/>
      <w:marRight w:val="0"/>
      <w:marTop w:val="0"/>
      <w:marBottom w:val="0"/>
      <w:divBdr>
        <w:top w:val="none" w:sz="0" w:space="0" w:color="auto"/>
        <w:left w:val="none" w:sz="0" w:space="0" w:color="auto"/>
        <w:bottom w:val="none" w:sz="0" w:space="0" w:color="auto"/>
        <w:right w:val="none" w:sz="0" w:space="0" w:color="auto"/>
      </w:divBdr>
    </w:div>
    <w:div w:id="405734241">
      <w:bodyDiv w:val="1"/>
      <w:marLeft w:val="0"/>
      <w:marRight w:val="0"/>
      <w:marTop w:val="0"/>
      <w:marBottom w:val="0"/>
      <w:divBdr>
        <w:top w:val="none" w:sz="0" w:space="0" w:color="auto"/>
        <w:left w:val="none" w:sz="0" w:space="0" w:color="auto"/>
        <w:bottom w:val="none" w:sz="0" w:space="0" w:color="auto"/>
        <w:right w:val="none" w:sz="0" w:space="0" w:color="auto"/>
      </w:divBdr>
    </w:div>
    <w:div w:id="470563618">
      <w:bodyDiv w:val="1"/>
      <w:marLeft w:val="0"/>
      <w:marRight w:val="0"/>
      <w:marTop w:val="0"/>
      <w:marBottom w:val="0"/>
      <w:divBdr>
        <w:top w:val="none" w:sz="0" w:space="0" w:color="auto"/>
        <w:left w:val="none" w:sz="0" w:space="0" w:color="auto"/>
        <w:bottom w:val="none" w:sz="0" w:space="0" w:color="auto"/>
        <w:right w:val="none" w:sz="0" w:space="0" w:color="auto"/>
      </w:divBdr>
    </w:div>
    <w:div w:id="653413327">
      <w:bodyDiv w:val="1"/>
      <w:marLeft w:val="0"/>
      <w:marRight w:val="0"/>
      <w:marTop w:val="0"/>
      <w:marBottom w:val="0"/>
      <w:divBdr>
        <w:top w:val="none" w:sz="0" w:space="0" w:color="auto"/>
        <w:left w:val="none" w:sz="0" w:space="0" w:color="auto"/>
        <w:bottom w:val="none" w:sz="0" w:space="0" w:color="auto"/>
        <w:right w:val="none" w:sz="0" w:space="0" w:color="auto"/>
      </w:divBdr>
    </w:div>
    <w:div w:id="755177005">
      <w:bodyDiv w:val="1"/>
      <w:marLeft w:val="0"/>
      <w:marRight w:val="0"/>
      <w:marTop w:val="0"/>
      <w:marBottom w:val="0"/>
      <w:divBdr>
        <w:top w:val="none" w:sz="0" w:space="0" w:color="auto"/>
        <w:left w:val="none" w:sz="0" w:space="0" w:color="auto"/>
        <w:bottom w:val="none" w:sz="0" w:space="0" w:color="auto"/>
        <w:right w:val="none" w:sz="0" w:space="0" w:color="auto"/>
      </w:divBdr>
      <w:divsChild>
        <w:div w:id="456069119">
          <w:marLeft w:val="0"/>
          <w:marRight w:val="0"/>
          <w:marTop w:val="100"/>
          <w:marBottom w:val="100"/>
          <w:divBdr>
            <w:top w:val="none" w:sz="0" w:space="0" w:color="auto"/>
            <w:left w:val="none" w:sz="0" w:space="0" w:color="auto"/>
            <w:bottom w:val="none" w:sz="0" w:space="0" w:color="auto"/>
            <w:right w:val="none" w:sz="0" w:space="0" w:color="auto"/>
          </w:divBdr>
        </w:div>
      </w:divsChild>
    </w:div>
    <w:div w:id="848833393">
      <w:bodyDiv w:val="1"/>
      <w:marLeft w:val="0"/>
      <w:marRight w:val="0"/>
      <w:marTop w:val="0"/>
      <w:marBottom w:val="0"/>
      <w:divBdr>
        <w:top w:val="none" w:sz="0" w:space="0" w:color="auto"/>
        <w:left w:val="none" w:sz="0" w:space="0" w:color="auto"/>
        <w:bottom w:val="none" w:sz="0" w:space="0" w:color="auto"/>
        <w:right w:val="none" w:sz="0" w:space="0" w:color="auto"/>
      </w:divBdr>
      <w:divsChild>
        <w:div w:id="6442091">
          <w:marLeft w:val="1166"/>
          <w:marRight w:val="0"/>
          <w:marTop w:val="67"/>
          <w:marBottom w:val="0"/>
          <w:divBdr>
            <w:top w:val="none" w:sz="0" w:space="0" w:color="auto"/>
            <w:left w:val="none" w:sz="0" w:space="0" w:color="auto"/>
            <w:bottom w:val="none" w:sz="0" w:space="0" w:color="auto"/>
            <w:right w:val="none" w:sz="0" w:space="0" w:color="auto"/>
          </w:divBdr>
        </w:div>
        <w:div w:id="799153977">
          <w:marLeft w:val="1166"/>
          <w:marRight w:val="0"/>
          <w:marTop w:val="67"/>
          <w:marBottom w:val="0"/>
          <w:divBdr>
            <w:top w:val="none" w:sz="0" w:space="0" w:color="auto"/>
            <w:left w:val="none" w:sz="0" w:space="0" w:color="auto"/>
            <w:bottom w:val="none" w:sz="0" w:space="0" w:color="auto"/>
            <w:right w:val="none" w:sz="0" w:space="0" w:color="auto"/>
          </w:divBdr>
        </w:div>
        <w:div w:id="846408632">
          <w:marLeft w:val="1166"/>
          <w:marRight w:val="0"/>
          <w:marTop w:val="67"/>
          <w:marBottom w:val="0"/>
          <w:divBdr>
            <w:top w:val="none" w:sz="0" w:space="0" w:color="auto"/>
            <w:left w:val="none" w:sz="0" w:space="0" w:color="auto"/>
            <w:bottom w:val="none" w:sz="0" w:space="0" w:color="auto"/>
            <w:right w:val="none" w:sz="0" w:space="0" w:color="auto"/>
          </w:divBdr>
        </w:div>
        <w:div w:id="888804233">
          <w:marLeft w:val="1166"/>
          <w:marRight w:val="0"/>
          <w:marTop w:val="67"/>
          <w:marBottom w:val="0"/>
          <w:divBdr>
            <w:top w:val="none" w:sz="0" w:space="0" w:color="auto"/>
            <w:left w:val="none" w:sz="0" w:space="0" w:color="auto"/>
            <w:bottom w:val="none" w:sz="0" w:space="0" w:color="auto"/>
            <w:right w:val="none" w:sz="0" w:space="0" w:color="auto"/>
          </w:divBdr>
        </w:div>
        <w:div w:id="1289358451">
          <w:marLeft w:val="1166"/>
          <w:marRight w:val="0"/>
          <w:marTop w:val="67"/>
          <w:marBottom w:val="0"/>
          <w:divBdr>
            <w:top w:val="none" w:sz="0" w:space="0" w:color="auto"/>
            <w:left w:val="none" w:sz="0" w:space="0" w:color="auto"/>
            <w:bottom w:val="none" w:sz="0" w:space="0" w:color="auto"/>
            <w:right w:val="none" w:sz="0" w:space="0" w:color="auto"/>
          </w:divBdr>
        </w:div>
        <w:div w:id="1546601503">
          <w:marLeft w:val="1166"/>
          <w:marRight w:val="0"/>
          <w:marTop w:val="67"/>
          <w:marBottom w:val="0"/>
          <w:divBdr>
            <w:top w:val="none" w:sz="0" w:space="0" w:color="auto"/>
            <w:left w:val="none" w:sz="0" w:space="0" w:color="auto"/>
            <w:bottom w:val="none" w:sz="0" w:space="0" w:color="auto"/>
            <w:right w:val="none" w:sz="0" w:space="0" w:color="auto"/>
          </w:divBdr>
        </w:div>
        <w:div w:id="1753771485">
          <w:marLeft w:val="1166"/>
          <w:marRight w:val="0"/>
          <w:marTop w:val="67"/>
          <w:marBottom w:val="0"/>
          <w:divBdr>
            <w:top w:val="none" w:sz="0" w:space="0" w:color="auto"/>
            <w:left w:val="none" w:sz="0" w:space="0" w:color="auto"/>
            <w:bottom w:val="none" w:sz="0" w:space="0" w:color="auto"/>
            <w:right w:val="none" w:sz="0" w:space="0" w:color="auto"/>
          </w:divBdr>
        </w:div>
      </w:divsChild>
    </w:div>
    <w:div w:id="953709520">
      <w:bodyDiv w:val="1"/>
      <w:marLeft w:val="0"/>
      <w:marRight w:val="0"/>
      <w:marTop w:val="0"/>
      <w:marBottom w:val="0"/>
      <w:divBdr>
        <w:top w:val="none" w:sz="0" w:space="0" w:color="auto"/>
        <w:left w:val="none" w:sz="0" w:space="0" w:color="auto"/>
        <w:bottom w:val="none" w:sz="0" w:space="0" w:color="auto"/>
        <w:right w:val="none" w:sz="0" w:space="0" w:color="auto"/>
      </w:divBdr>
    </w:div>
    <w:div w:id="1054037242">
      <w:bodyDiv w:val="1"/>
      <w:marLeft w:val="0"/>
      <w:marRight w:val="0"/>
      <w:marTop w:val="0"/>
      <w:marBottom w:val="0"/>
      <w:divBdr>
        <w:top w:val="none" w:sz="0" w:space="0" w:color="auto"/>
        <w:left w:val="none" w:sz="0" w:space="0" w:color="auto"/>
        <w:bottom w:val="none" w:sz="0" w:space="0" w:color="auto"/>
        <w:right w:val="none" w:sz="0" w:space="0" w:color="auto"/>
      </w:divBdr>
    </w:div>
    <w:div w:id="1103303093">
      <w:bodyDiv w:val="1"/>
      <w:marLeft w:val="0"/>
      <w:marRight w:val="0"/>
      <w:marTop w:val="0"/>
      <w:marBottom w:val="0"/>
      <w:divBdr>
        <w:top w:val="none" w:sz="0" w:space="0" w:color="auto"/>
        <w:left w:val="none" w:sz="0" w:space="0" w:color="auto"/>
        <w:bottom w:val="none" w:sz="0" w:space="0" w:color="auto"/>
        <w:right w:val="none" w:sz="0" w:space="0" w:color="auto"/>
      </w:divBdr>
    </w:div>
    <w:div w:id="1168445632">
      <w:bodyDiv w:val="1"/>
      <w:marLeft w:val="0"/>
      <w:marRight w:val="0"/>
      <w:marTop w:val="0"/>
      <w:marBottom w:val="0"/>
      <w:divBdr>
        <w:top w:val="none" w:sz="0" w:space="0" w:color="auto"/>
        <w:left w:val="none" w:sz="0" w:space="0" w:color="auto"/>
        <w:bottom w:val="none" w:sz="0" w:space="0" w:color="auto"/>
        <w:right w:val="none" w:sz="0" w:space="0" w:color="auto"/>
      </w:divBdr>
    </w:div>
    <w:div w:id="1214729381">
      <w:bodyDiv w:val="1"/>
      <w:marLeft w:val="0"/>
      <w:marRight w:val="0"/>
      <w:marTop w:val="0"/>
      <w:marBottom w:val="0"/>
      <w:divBdr>
        <w:top w:val="none" w:sz="0" w:space="0" w:color="auto"/>
        <w:left w:val="none" w:sz="0" w:space="0" w:color="auto"/>
        <w:bottom w:val="none" w:sz="0" w:space="0" w:color="auto"/>
        <w:right w:val="none" w:sz="0" w:space="0" w:color="auto"/>
      </w:divBdr>
    </w:div>
    <w:div w:id="1303002630">
      <w:bodyDiv w:val="1"/>
      <w:marLeft w:val="0"/>
      <w:marRight w:val="0"/>
      <w:marTop w:val="0"/>
      <w:marBottom w:val="0"/>
      <w:divBdr>
        <w:top w:val="none" w:sz="0" w:space="0" w:color="auto"/>
        <w:left w:val="none" w:sz="0" w:space="0" w:color="auto"/>
        <w:bottom w:val="none" w:sz="0" w:space="0" w:color="auto"/>
        <w:right w:val="none" w:sz="0" w:space="0" w:color="auto"/>
      </w:divBdr>
    </w:div>
    <w:div w:id="1315798325">
      <w:bodyDiv w:val="1"/>
      <w:marLeft w:val="0"/>
      <w:marRight w:val="0"/>
      <w:marTop w:val="0"/>
      <w:marBottom w:val="0"/>
      <w:divBdr>
        <w:top w:val="none" w:sz="0" w:space="0" w:color="auto"/>
        <w:left w:val="none" w:sz="0" w:space="0" w:color="auto"/>
        <w:bottom w:val="none" w:sz="0" w:space="0" w:color="auto"/>
        <w:right w:val="none" w:sz="0" w:space="0" w:color="auto"/>
      </w:divBdr>
    </w:div>
    <w:div w:id="1444306461">
      <w:bodyDiv w:val="1"/>
      <w:marLeft w:val="0"/>
      <w:marRight w:val="0"/>
      <w:marTop w:val="0"/>
      <w:marBottom w:val="0"/>
      <w:divBdr>
        <w:top w:val="none" w:sz="0" w:space="0" w:color="auto"/>
        <w:left w:val="none" w:sz="0" w:space="0" w:color="auto"/>
        <w:bottom w:val="none" w:sz="0" w:space="0" w:color="auto"/>
        <w:right w:val="none" w:sz="0" w:space="0" w:color="auto"/>
      </w:divBdr>
    </w:div>
    <w:div w:id="1787966783">
      <w:bodyDiv w:val="1"/>
      <w:marLeft w:val="0"/>
      <w:marRight w:val="0"/>
      <w:marTop w:val="0"/>
      <w:marBottom w:val="0"/>
      <w:divBdr>
        <w:top w:val="none" w:sz="0" w:space="0" w:color="auto"/>
        <w:left w:val="none" w:sz="0" w:space="0" w:color="auto"/>
        <w:bottom w:val="none" w:sz="0" w:space="0" w:color="auto"/>
        <w:right w:val="none" w:sz="0" w:space="0" w:color="auto"/>
      </w:divBdr>
      <w:divsChild>
        <w:div w:id="1946770284">
          <w:marLeft w:val="0"/>
          <w:marRight w:val="0"/>
          <w:marTop w:val="100"/>
          <w:marBottom w:val="100"/>
          <w:divBdr>
            <w:top w:val="none" w:sz="0" w:space="0" w:color="auto"/>
            <w:left w:val="none" w:sz="0" w:space="0" w:color="auto"/>
            <w:bottom w:val="none" w:sz="0" w:space="0" w:color="auto"/>
            <w:right w:val="none" w:sz="0" w:space="0" w:color="auto"/>
          </w:divBdr>
        </w:div>
      </w:divsChild>
    </w:div>
    <w:div w:id="1907761086">
      <w:bodyDiv w:val="1"/>
      <w:marLeft w:val="0"/>
      <w:marRight w:val="0"/>
      <w:marTop w:val="0"/>
      <w:marBottom w:val="0"/>
      <w:divBdr>
        <w:top w:val="none" w:sz="0" w:space="0" w:color="auto"/>
        <w:left w:val="none" w:sz="0" w:space="0" w:color="auto"/>
        <w:bottom w:val="none" w:sz="0" w:space="0" w:color="auto"/>
        <w:right w:val="none" w:sz="0" w:space="0" w:color="auto"/>
      </w:divBdr>
    </w:div>
    <w:div w:id="19983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E78C0B351914799A4E8D8C6FD862B" ma:contentTypeVersion="0" ma:contentTypeDescription="Create a new document." ma:contentTypeScope="" ma:versionID="e58cc92e61c7379ecee670d24426d4b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5993-4182-4A3D-A8E7-A62574FF84F4}">
  <ds:schemaRefs>
    <ds:schemaRef ds:uri="http://schemas.microsoft.com/office/2006/metadata/properties"/>
  </ds:schemaRefs>
</ds:datastoreItem>
</file>

<file path=customXml/itemProps2.xml><?xml version="1.0" encoding="utf-8"?>
<ds:datastoreItem xmlns:ds="http://schemas.openxmlformats.org/officeDocument/2006/customXml" ds:itemID="{24319A5B-2E02-44B3-99CC-AF5D1E1B0D1A}">
  <ds:schemaRefs>
    <ds:schemaRef ds:uri="http://schemas.microsoft.com/sharepoint/v3/contenttype/forms"/>
  </ds:schemaRefs>
</ds:datastoreItem>
</file>

<file path=customXml/itemProps3.xml><?xml version="1.0" encoding="utf-8"?>
<ds:datastoreItem xmlns:ds="http://schemas.openxmlformats.org/officeDocument/2006/customXml" ds:itemID="{8A996C5D-019F-471D-8FA4-605DF3D9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750FAB-BE04-4360-AD0F-BAF2E78A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13</Pages>
  <Words>2684</Words>
  <Characters>23436</Characters>
  <Application>Microsoft Office Word</Application>
  <DocSecurity>0</DocSecurity>
  <Lines>434</Lines>
  <Paragraphs>207</Paragraphs>
  <ScaleCrop>false</ScaleCrop>
  <HeadingPairs>
    <vt:vector size="8" baseType="variant">
      <vt:variant>
        <vt:lpstr>Title</vt:lpstr>
      </vt:variant>
      <vt:variant>
        <vt:i4>1</vt:i4>
      </vt:variant>
      <vt:variant>
        <vt:lpstr>Otsikko</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Manager/>
  <Company/>
  <LinksUpToDate>false</LinksUpToDate>
  <CharactersWithSpaces>25913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2016-06-16T13:52:00Z</cp:lastPrinted>
  <dcterms:created xsi:type="dcterms:W3CDTF">2016-08-22T11:36:00Z</dcterms:created>
  <dcterms:modified xsi:type="dcterms:W3CDTF">2016-09-16T10:16:00Z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NewReviewCycle">
    <vt:lpwstr/>
  </property>
  <property fmtid="{D5CDD505-2E9C-101B-9397-08002B2CF9AE}" pid="6" name="DocStatus">
    <vt:lpwstr>Green</vt:lpwstr>
  </property>
  <property fmtid="{D5CDD505-2E9C-101B-9397-08002B2CF9AE}" pid="7" name="ContentTypeId">
    <vt:lpwstr>0x010100143E78C0B351914799A4E8D8C6FD862B</vt:lpwstr>
  </property>
</Properties>
</file>