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93DE5927A7B4F33A02881A82084E33C" style="width:450.8pt;height:325.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before="120" w:after="120"/>
        <w:jc w:val="both"/>
        <w:rPr>
          <w:rFonts w:ascii="Times New Roman" w:hAnsi="Times New Roman" w:cs="Times New Roman"/>
          <w:noProof/>
          <w:sz w:val="24"/>
          <w:szCs w:val="24"/>
        </w:rPr>
      </w:pPr>
      <w:bookmarkStart w:id="1" w:name="_GoBack"/>
      <w:bookmarkEnd w:id="1"/>
    </w:p>
    <w:p>
      <w:pPr>
        <w:spacing w:before="120" w:after="120"/>
        <w:jc w:val="both"/>
        <w:rPr>
          <w:rFonts w:ascii="Times New Roman" w:hAnsi="Times New Roman" w:cs="Times New Roman"/>
          <w:noProof/>
          <w:sz w:val="24"/>
          <w:szCs w:val="24"/>
        </w:rPr>
      </w:pPr>
      <w:r>
        <w:rPr>
          <w:rFonts w:ascii="Times New Roman" w:hAnsi="Times New Roman"/>
          <w:noProof/>
          <w:sz w:val="24"/>
        </w:rPr>
        <w:t>EUROPAPARLAMENTET, EUROPEISKA UNIONENS RÅD OCH EUROPEISKA KOMMISSIONEN HAR ENATS OM FÖLJANDE</w:t>
      </w:r>
    </w:p>
    <w:p>
      <w:pPr>
        <w:jc w:val="both"/>
        <w:rPr>
          <w:rFonts w:ascii="Times New Roman" w:hAnsi="Times New Roman" w:cs="Times New Roman"/>
          <w:noProof/>
          <w:sz w:val="24"/>
          <w:szCs w:val="24"/>
        </w:rPr>
      </w:pPr>
      <w:r>
        <w:rPr>
          <w:rFonts w:ascii="Times New Roman" w:hAnsi="Times New Roman"/>
          <w:noProof/>
          <w:sz w:val="24"/>
        </w:rPr>
        <w:t>med beaktande av fördraget om Europeiska unionens funktionssätt (EUF-fördraget), särskilt artikel 295, och fördraget om upprättandet av Europeiska atomenergigemenskapen (Euratomfördraget), särskilt artikel 106a, och</w:t>
      </w:r>
    </w:p>
    <w:p>
      <w:pPr>
        <w:jc w:val="both"/>
        <w:rPr>
          <w:rFonts w:ascii="Times New Roman" w:hAnsi="Times New Roman" w:cs="Times New Roman"/>
          <w:noProof/>
          <w:sz w:val="24"/>
          <w:szCs w:val="24"/>
        </w:rPr>
      </w:pPr>
      <w:r>
        <w:rPr>
          <w:rFonts w:ascii="Times New Roman" w:hAnsi="Times New Roman"/>
          <w:noProof/>
          <w:sz w:val="24"/>
        </w:rPr>
        <w:t>av följande skäl:</w:t>
      </w:r>
    </w:p>
    <w:p>
      <w:pPr>
        <w:jc w:val="both"/>
        <w:rPr>
          <w:rFonts w:ascii="Times New Roman" w:hAnsi="Times New Roman" w:cs="Times New Roman"/>
          <w:noProof/>
          <w:sz w:val="24"/>
          <w:szCs w:val="24"/>
        </w:rPr>
      </w:pPr>
      <w:r>
        <w:rPr>
          <w:rFonts w:ascii="Times New Roman" w:hAnsi="Times New Roman"/>
          <w:noProof/>
          <w:sz w:val="24"/>
        </w:rPr>
        <w:t xml:space="preserve">(1) Europaparlamentet, Europeiska unionens råd och Europeiska kommissionen (nedan kallade </w:t>
      </w:r>
      <w:r>
        <w:rPr>
          <w:rFonts w:ascii="Times New Roman" w:hAnsi="Times New Roman"/>
          <w:i/>
          <w:noProof/>
          <w:sz w:val="24"/>
        </w:rPr>
        <w:t>de tre institutionerna</w:t>
      </w:r>
      <w:r>
        <w:rPr>
          <w:rFonts w:ascii="Times New Roman" w:hAnsi="Times New Roman"/>
          <w:noProof/>
          <w:sz w:val="24"/>
        </w:rPr>
        <w:t>) för en öppen, tydlig och regelbunden dialog med de representativa sammanslutningarna och det civila samhället i enlighet med fördraget om Europeiska unionen (EU-fördraget), särskilt artikel 11.1 och 11.2.</w:t>
      </w:r>
    </w:p>
    <w:p>
      <w:pPr>
        <w:jc w:val="both"/>
        <w:rPr>
          <w:rFonts w:ascii="Times New Roman" w:hAnsi="Times New Roman" w:cs="Times New Roman"/>
          <w:noProof/>
          <w:sz w:val="24"/>
          <w:szCs w:val="24"/>
        </w:rPr>
      </w:pPr>
      <w:r>
        <w:rPr>
          <w:rFonts w:ascii="Times New Roman" w:hAnsi="Times New Roman"/>
          <w:noProof/>
          <w:sz w:val="24"/>
        </w:rPr>
        <w:t>(2) Denna öppenhet ger alla berörda parter möjlighet att framföra sina synpunkter på beslut som kan påverka dem, så att de på ett ändamålsenligt sätt kan bidra till det faktaunderlag som ligger till grund för de politiska förslagen. Kontakterna med de berörda parterna bidrar till ett bättre beslutsfattande tack vare de externa synpunkter som kommer in och den sakkunskap som tillförs.</w:t>
      </w:r>
    </w:p>
    <w:p>
      <w:pPr>
        <w:jc w:val="both"/>
        <w:rPr>
          <w:rFonts w:ascii="Times New Roman" w:hAnsi="Times New Roman" w:cs="Times New Roman"/>
          <w:noProof/>
          <w:sz w:val="24"/>
          <w:szCs w:val="24"/>
        </w:rPr>
      </w:pPr>
      <w:r>
        <w:rPr>
          <w:rFonts w:ascii="Times New Roman" w:hAnsi="Times New Roman"/>
          <w:noProof/>
          <w:sz w:val="24"/>
        </w:rPr>
        <w:t>(3) De tre institutionerna hävdar att öppenhet och ansvarsskyldighet är viktigt för att invånarna i Europeiska unionen ska känna att de politiska, lagstiftningsmässiga och administrativa förfarandena i unionen är legitima.</w:t>
      </w:r>
    </w:p>
    <w:p>
      <w:pPr>
        <w:jc w:val="both"/>
        <w:rPr>
          <w:rFonts w:ascii="Times New Roman" w:hAnsi="Times New Roman" w:cs="Times New Roman"/>
          <w:noProof/>
          <w:sz w:val="24"/>
          <w:szCs w:val="24"/>
        </w:rPr>
      </w:pPr>
      <w:r>
        <w:rPr>
          <w:rFonts w:ascii="Times New Roman" w:hAnsi="Times New Roman"/>
          <w:noProof/>
          <w:sz w:val="24"/>
        </w:rPr>
        <w:t>(4) Öppenhet när det gäller intressebevakning är särskilt viktigt för att allmänheten ska kunna följa intresseföreträdarnas verksamhet och potentiella inflytande.</w:t>
      </w:r>
      <w:r>
        <w:rPr>
          <w:noProof/>
        </w:rPr>
        <w:t xml:space="preserve"> </w:t>
      </w:r>
      <w:r>
        <w:rPr>
          <w:rFonts w:ascii="Times New Roman" w:hAnsi="Times New Roman"/>
          <w:noProof/>
          <w:sz w:val="24"/>
        </w:rPr>
        <w:t>De tre institutionerna anser att denna öppenhet bäst säkerställs genom en uppförandekod med de regler och principer som gäller för intresseföreträdare som ansluter sig till öppenhetsregistret och därigenom till uppförandekoden.</w:t>
      </w:r>
    </w:p>
    <w:p>
      <w:pPr>
        <w:jc w:val="both"/>
        <w:rPr>
          <w:rFonts w:ascii="Times New Roman" w:hAnsi="Times New Roman" w:cs="Times New Roman"/>
          <w:noProof/>
          <w:sz w:val="24"/>
          <w:szCs w:val="24"/>
        </w:rPr>
      </w:pPr>
      <w:r>
        <w:rPr>
          <w:rFonts w:ascii="Times New Roman" w:hAnsi="Times New Roman"/>
          <w:noProof/>
          <w:sz w:val="24"/>
        </w:rPr>
        <w:t>(5) Med tanke på den positiva erfarenheten av öppenhetsregistret för organisationer och egenföretagare som är involverade i utformning och genomförande av EU:s politik, som inrättats genom avtalet mellan Europaparlamentet och Europeiska kommissionen av den 16 april 2014</w:t>
      </w:r>
      <w:r>
        <w:rPr>
          <w:rStyle w:val="FootnoteReference"/>
          <w:rFonts w:ascii="Times New Roman" w:hAnsi="Times New Roman"/>
          <w:noProof/>
          <w:sz w:val="24"/>
        </w:rPr>
        <w:footnoteReference w:id="1"/>
      </w:r>
      <w:r>
        <w:rPr>
          <w:rFonts w:ascii="Times New Roman" w:hAnsi="Times New Roman"/>
          <w:noProof/>
          <w:sz w:val="24"/>
        </w:rPr>
        <w:t>, anser de tre institutionerna att detta avtal bör utökas på lämpligt sätt.</w:t>
      </w:r>
    </w:p>
    <w:p>
      <w:pPr>
        <w:jc w:val="both"/>
        <w:rPr>
          <w:rFonts w:ascii="Times New Roman" w:hAnsi="Times New Roman" w:cs="Times New Roman"/>
          <w:noProof/>
          <w:sz w:val="24"/>
          <w:szCs w:val="24"/>
        </w:rPr>
      </w:pPr>
      <w:r>
        <w:rPr>
          <w:rFonts w:ascii="Times New Roman" w:hAnsi="Times New Roman"/>
          <w:noProof/>
          <w:sz w:val="24"/>
        </w:rPr>
        <w:t xml:space="preserve">(6) De tre institutionerna inser behovet av att inrätta ett obligatoriskt öppenhetsregister (nedan kallat </w:t>
      </w:r>
      <w:r>
        <w:rPr>
          <w:rFonts w:ascii="Times New Roman" w:hAnsi="Times New Roman"/>
          <w:i/>
          <w:noProof/>
          <w:sz w:val="24"/>
        </w:rPr>
        <w:t>registret</w:t>
      </w:r>
      <w:r>
        <w:rPr>
          <w:rFonts w:ascii="Times New Roman" w:hAnsi="Times New Roman"/>
          <w:noProof/>
          <w:sz w:val="24"/>
        </w:rPr>
        <w:t>) och av att vissa typer av samverkan med dem underställs krav på registrering i förhand, vilket innebär att det inte går att bedriva intressebevakning utan att vara registrerad, så att det säkerställs att intressebevakningen bedrivs enligt reglerna och principerna i uppförandekoden.</w:t>
      </w:r>
    </w:p>
    <w:p>
      <w:pPr>
        <w:jc w:val="both"/>
        <w:rPr>
          <w:rFonts w:ascii="Times New Roman" w:hAnsi="Times New Roman" w:cs="Times New Roman"/>
          <w:noProof/>
          <w:sz w:val="24"/>
          <w:szCs w:val="24"/>
        </w:rPr>
      </w:pPr>
      <w:r>
        <w:rPr>
          <w:rFonts w:ascii="Times New Roman" w:hAnsi="Times New Roman"/>
          <w:noProof/>
          <w:sz w:val="24"/>
        </w:rPr>
        <w:t>(7) De tre institutionerna svarar därigenom på behovet av att så snabbt som möjligt anta ett internationellt avtal om ett obligatoriskt register, i enlighet med Europaparlamentets resolution av den 28 april 2016 om allmänhetens tillgång till handlingar</w:t>
      </w:r>
      <w:r>
        <w:rPr>
          <w:rStyle w:val="FootnoteReference"/>
          <w:rFonts w:ascii="Times New Roman" w:hAnsi="Times New Roman"/>
          <w:noProof/>
          <w:sz w:val="24"/>
        </w:rPr>
        <w:footnoteReference w:id="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(8) Driften av registret bör inte inkräkta på någon av de tre institutionernas behörighet eller påverka deras respektive interna organisatoriska befogenheter, utan att det påverkar det avtal som de ska sluta om närmare bestämmelser om deras bidrag till sekretariatets administrativa och ekonomiska resurser.</w:t>
      </w:r>
    </w:p>
    <w:p>
      <w:pPr>
        <w:jc w:val="both"/>
        <w:rPr>
          <w:rFonts w:ascii="Times New Roman" w:hAnsi="Times New Roman" w:cs="Times New Roman"/>
          <w:noProof/>
          <w:sz w:val="24"/>
          <w:szCs w:val="24"/>
        </w:rPr>
      </w:pPr>
      <w:r>
        <w:rPr>
          <w:rFonts w:ascii="Times New Roman" w:hAnsi="Times New Roman"/>
          <w:noProof/>
          <w:sz w:val="24"/>
        </w:rPr>
        <w:t>(9) De tre institutionerna bör samarbeta lojalt med varandra vid genomförandet av detta avtal.</w:t>
      </w:r>
    </w:p>
    <w:p>
      <w:pPr>
        <w:jc w:val="both"/>
        <w:rPr>
          <w:rFonts w:ascii="Times New Roman" w:hAnsi="Times New Roman" w:cs="Times New Roman"/>
          <w:noProof/>
          <w:sz w:val="24"/>
          <w:szCs w:val="24"/>
        </w:rPr>
      </w:pPr>
      <w:r>
        <w:rPr>
          <w:rFonts w:ascii="Times New Roman" w:hAnsi="Times New Roman"/>
          <w:noProof/>
          <w:sz w:val="24"/>
        </w:rPr>
        <w:t>(10) Vilken som helst av de tre institutionerna får bedriva en annan politik för god förvaltning och öppenhet utanför ramen för detta avtal, i den utsträckning en sådan politik inte inkräktar på detta avtals genomförande och syften.</w:t>
      </w:r>
    </w:p>
    <w:p>
      <w:pPr>
        <w:jc w:val="both"/>
        <w:rPr>
          <w:rFonts w:ascii="Times New Roman" w:hAnsi="Times New Roman" w:cs="Times New Roman"/>
          <w:noProof/>
          <w:sz w:val="24"/>
          <w:szCs w:val="24"/>
        </w:rPr>
      </w:pPr>
      <w:r>
        <w:rPr>
          <w:rFonts w:ascii="Times New Roman" w:hAnsi="Times New Roman"/>
          <w:noProof/>
          <w:sz w:val="24"/>
        </w:rPr>
        <w:t>(11) Avtalet bör inte påverka utövandet av rättigheter enligt artikel 11.4 i EU-fördraget (det europeiska medborgarinitiativet) och artikel 227 i EUF-fördraget (rätten att göra framställningar till Europaparlamentet).</w:t>
      </w:r>
    </w:p>
    <w:p>
      <w:pPr>
        <w:rPr>
          <w:rFonts w:ascii="Times New Roman" w:hAnsi="Times New Roman" w:cs="Times New Roman"/>
          <w:noProof/>
          <w:sz w:val="24"/>
          <w:szCs w:val="24"/>
        </w:rPr>
      </w:pPr>
      <w:r>
        <w:rPr>
          <w:rFonts w:ascii="Times New Roman" w:hAnsi="Times New Roman"/>
          <w:noProof/>
          <w:sz w:val="24"/>
        </w:rPr>
        <w:t>HÄRIGENOM FÖRESKRIVS FÖLJANDE.</w:t>
      </w:r>
    </w:p>
    <w:p>
      <w:pPr>
        <w:pStyle w:val="article"/>
        <w:rPr>
          <w:noProof/>
        </w:rPr>
      </w:pPr>
      <w:r>
        <w:rPr>
          <w:noProof/>
        </w:rPr>
        <w:t>Artikel 1</w:t>
      </w:r>
    </w:p>
    <w:p>
      <w:pPr>
        <w:jc w:val="center"/>
        <w:rPr>
          <w:rFonts w:ascii="Times New Roman" w:hAnsi="Times New Roman" w:cs="Times New Roman"/>
          <w:b/>
          <w:noProof/>
          <w:sz w:val="24"/>
          <w:szCs w:val="24"/>
        </w:rPr>
      </w:pPr>
      <w:r>
        <w:rPr>
          <w:rFonts w:ascii="Times New Roman" w:hAnsi="Times New Roman"/>
          <w:b/>
          <w:noProof/>
          <w:sz w:val="24"/>
        </w:rPr>
        <w:t>Det interinstitutionella avtalets syfte och tillämpningsområde</w:t>
      </w:r>
    </w:p>
    <w:p>
      <w:pPr>
        <w:jc w:val="both"/>
        <w:rPr>
          <w:rFonts w:ascii="Times New Roman" w:hAnsi="Times New Roman" w:cs="Times New Roman"/>
          <w:noProof/>
          <w:sz w:val="24"/>
          <w:szCs w:val="24"/>
        </w:rPr>
      </w:pPr>
      <w:r>
        <w:rPr>
          <w:rFonts w:ascii="Times New Roman" w:hAnsi="Times New Roman"/>
          <w:noProof/>
          <w:sz w:val="24"/>
        </w:rPr>
        <w:t xml:space="preserve">Detta interinstitutionella avtal fastställer en ram för en öppen och etisk samverkan mellan de intresseföreträdare som utövar sådan verksamhet som omfattas av detta avtal och någon av de tre institutionerna. </w:t>
      </w:r>
    </w:p>
    <w:p>
      <w:pPr>
        <w:jc w:val="center"/>
        <w:rPr>
          <w:rFonts w:ascii="Times New Roman" w:hAnsi="Times New Roman" w:cs="Times New Roman"/>
          <w:noProof/>
          <w:sz w:val="24"/>
          <w:szCs w:val="24"/>
        </w:rPr>
      </w:pPr>
      <w:r>
        <w:rPr>
          <w:rFonts w:ascii="Times New Roman" w:hAnsi="Times New Roman"/>
          <w:noProof/>
          <w:sz w:val="24"/>
        </w:rPr>
        <w:t>Artikel 2</w:t>
      </w:r>
    </w:p>
    <w:p>
      <w:pPr>
        <w:jc w:val="center"/>
        <w:rPr>
          <w:rFonts w:ascii="Times New Roman" w:hAnsi="Times New Roman" w:cs="Times New Roman"/>
          <w:noProof/>
          <w:color w:val="0070C0"/>
          <w:sz w:val="24"/>
          <w:szCs w:val="24"/>
        </w:rPr>
      </w:pPr>
      <w:r>
        <w:rPr>
          <w:rFonts w:ascii="Times New Roman" w:hAnsi="Times New Roman"/>
          <w:b/>
          <w:noProof/>
          <w:sz w:val="24"/>
        </w:rPr>
        <w:t>Definitioner</w:t>
      </w:r>
    </w:p>
    <w:p>
      <w:pPr>
        <w:jc w:val="both"/>
        <w:rPr>
          <w:rFonts w:ascii="Times New Roman" w:hAnsi="Times New Roman" w:cs="Times New Roman"/>
          <w:noProof/>
          <w:sz w:val="24"/>
          <w:szCs w:val="24"/>
        </w:rPr>
      </w:pPr>
      <w:r>
        <w:rPr>
          <w:rFonts w:ascii="Times New Roman" w:hAnsi="Times New Roman"/>
          <w:noProof/>
          <w:sz w:val="24"/>
        </w:rPr>
        <w:t>I detta interinstitutionella avtal avses med</w:t>
      </w:r>
    </w:p>
    <w:p>
      <w:pPr>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i/>
          <w:noProof/>
          <w:sz w:val="24"/>
        </w:rPr>
        <w:t>intresseföreträdare</w:t>
      </w:r>
      <w:r>
        <w:rPr>
          <w:rFonts w:ascii="Times New Roman" w:hAnsi="Times New Roman"/>
          <w:noProof/>
          <w:sz w:val="24"/>
        </w:rPr>
        <w:t xml:space="preserve">: fysisk eller juridisk person, eller formella/informella grupper, sammanslutningar eller nätverk av sådana, som utövar sådan verksamhet som omfattas av detta avtal, </w:t>
      </w:r>
    </w:p>
    <w:p>
      <w:pPr>
        <w:jc w:val="both"/>
        <w:rPr>
          <w:rFonts w:ascii="Times New Roman" w:hAnsi="Times New Roman" w:cs="Times New Roman"/>
          <w:noProof/>
          <w:sz w:val="24"/>
          <w:szCs w:val="24"/>
        </w:rPr>
      </w:pPr>
      <w:r>
        <w:rPr>
          <w:rFonts w:ascii="Times New Roman" w:hAnsi="Times New Roman"/>
          <w:noProof/>
          <w:sz w:val="24"/>
        </w:rPr>
        <w:t xml:space="preserve">b) </w:t>
      </w:r>
      <w:r>
        <w:rPr>
          <w:rFonts w:ascii="Times New Roman" w:hAnsi="Times New Roman"/>
          <w:i/>
          <w:noProof/>
          <w:sz w:val="24"/>
        </w:rPr>
        <w:t>sökande</w:t>
      </w:r>
      <w:r>
        <w:rPr>
          <w:rFonts w:ascii="Times New Roman" w:hAnsi="Times New Roman"/>
          <w:noProof/>
          <w:sz w:val="24"/>
        </w:rPr>
        <w:t>: intresseföreträdare som ansöker om att få ansluta sig till registret,</w:t>
      </w:r>
    </w:p>
    <w:p>
      <w:pPr>
        <w:jc w:val="both"/>
        <w:rPr>
          <w:rFonts w:ascii="Times New Roman" w:hAnsi="Times New Roman" w:cs="Times New Roman"/>
          <w:noProof/>
          <w:sz w:val="24"/>
          <w:szCs w:val="24"/>
        </w:rPr>
      </w:pPr>
      <w:r>
        <w:rPr>
          <w:rFonts w:ascii="Times New Roman" w:hAnsi="Times New Roman"/>
          <w:noProof/>
          <w:sz w:val="24"/>
        </w:rPr>
        <w:t xml:space="preserve">c) </w:t>
      </w:r>
      <w:r>
        <w:rPr>
          <w:rFonts w:ascii="Times New Roman" w:hAnsi="Times New Roman"/>
          <w:i/>
          <w:noProof/>
          <w:sz w:val="24"/>
        </w:rPr>
        <w:t>registrerad</w:t>
      </w:r>
      <w:r>
        <w:rPr>
          <w:rFonts w:ascii="Times New Roman" w:hAnsi="Times New Roman"/>
          <w:noProof/>
          <w:sz w:val="24"/>
        </w:rPr>
        <w:t xml:space="preserve">: intresseföreträdare som är införd i registret, </w:t>
      </w:r>
    </w:p>
    <w:p>
      <w:pPr>
        <w:jc w:val="both"/>
        <w:rPr>
          <w:rFonts w:ascii="Times New Roman" w:hAnsi="Times New Roman" w:cs="Times New Roman"/>
          <w:noProof/>
          <w:sz w:val="24"/>
          <w:szCs w:val="24"/>
        </w:rPr>
      </w:pPr>
      <w:r>
        <w:rPr>
          <w:rFonts w:ascii="Times New Roman" w:hAnsi="Times New Roman"/>
          <w:noProof/>
          <w:sz w:val="24"/>
        </w:rPr>
        <w:t xml:space="preserve">d) </w:t>
      </w:r>
      <w:r>
        <w:rPr>
          <w:rFonts w:ascii="Times New Roman" w:hAnsi="Times New Roman"/>
          <w:i/>
          <w:noProof/>
          <w:sz w:val="24"/>
        </w:rPr>
        <w:t>klient</w:t>
      </w:r>
      <w:r>
        <w:rPr>
          <w:rFonts w:ascii="Times New Roman" w:hAnsi="Times New Roman"/>
          <w:noProof/>
          <w:sz w:val="24"/>
        </w:rPr>
        <w:t>: intresseföreträdare som har gett en mellanhand i uppdrag att företräda klientens intressen gentemot någon av de tre institutionerna,</w:t>
      </w:r>
    </w:p>
    <w:p>
      <w:pPr>
        <w:jc w:val="both"/>
        <w:rPr>
          <w:rFonts w:ascii="Times New Roman" w:hAnsi="Times New Roman" w:cs="Times New Roman"/>
          <w:noProof/>
          <w:sz w:val="24"/>
          <w:szCs w:val="24"/>
        </w:rPr>
      </w:pPr>
      <w:r>
        <w:rPr>
          <w:rFonts w:ascii="Times New Roman" w:hAnsi="Times New Roman"/>
          <w:noProof/>
          <w:sz w:val="24"/>
        </w:rPr>
        <w:t xml:space="preserve">e) </w:t>
      </w:r>
      <w:r>
        <w:rPr>
          <w:rFonts w:ascii="Times New Roman" w:hAnsi="Times New Roman"/>
          <w:i/>
          <w:noProof/>
          <w:sz w:val="24"/>
        </w:rPr>
        <w:t>mellanhand</w:t>
      </w:r>
      <w:r>
        <w:rPr>
          <w:rFonts w:ascii="Times New Roman" w:hAnsi="Times New Roman"/>
          <w:noProof/>
          <w:sz w:val="24"/>
        </w:rPr>
        <w:t>: intresseföreträdare som företräder klientens intressen gentemot någon av de tre institutionerna,</w:t>
      </w:r>
    </w:p>
    <w:p>
      <w:pPr>
        <w:jc w:val="both"/>
        <w:rPr>
          <w:rFonts w:ascii="Times New Roman" w:hAnsi="Times New Roman" w:cs="Times New Roman"/>
          <w:noProof/>
          <w:sz w:val="24"/>
          <w:szCs w:val="24"/>
        </w:rPr>
      </w:pPr>
      <w:r>
        <w:rPr>
          <w:rFonts w:ascii="Times New Roman" w:hAnsi="Times New Roman"/>
          <w:noProof/>
          <w:sz w:val="24"/>
        </w:rPr>
        <w:t xml:space="preserve">f) </w:t>
      </w:r>
      <w:r>
        <w:rPr>
          <w:rFonts w:ascii="Times New Roman" w:hAnsi="Times New Roman"/>
          <w:i/>
          <w:noProof/>
          <w:sz w:val="24"/>
        </w:rPr>
        <w:t>förhållande mellan klient och mellanhand</w:t>
      </w:r>
      <w:r>
        <w:rPr>
          <w:rFonts w:ascii="Times New Roman" w:hAnsi="Times New Roman"/>
          <w:noProof/>
          <w:sz w:val="24"/>
        </w:rPr>
        <w:t xml:space="preserve">: avtalsförhållande mellan en klient och en eller flera (under)leverantörer av tjänster i fråga om tillhandahållande av verksamhet som omfattas av detta avtal, </w:t>
      </w:r>
    </w:p>
    <w:p>
      <w:pPr>
        <w:jc w:val="both"/>
        <w:rPr>
          <w:rFonts w:ascii="Times New Roman" w:hAnsi="Times New Roman" w:cs="Times New Roman"/>
          <w:noProof/>
          <w:sz w:val="24"/>
          <w:szCs w:val="24"/>
        </w:rPr>
      </w:pPr>
      <w:r>
        <w:rPr>
          <w:rFonts w:ascii="Times New Roman" w:hAnsi="Times New Roman"/>
          <w:noProof/>
          <w:sz w:val="24"/>
        </w:rPr>
        <w:t xml:space="preserve">g) </w:t>
      </w:r>
      <w:r>
        <w:rPr>
          <w:rFonts w:ascii="Times New Roman" w:hAnsi="Times New Roman"/>
          <w:i/>
          <w:noProof/>
          <w:sz w:val="24"/>
        </w:rPr>
        <w:t>tjänsteman</w:t>
      </w:r>
      <w:r>
        <w:rPr>
          <w:rFonts w:ascii="Times New Roman" w:hAnsi="Times New Roman"/>
          <w:noProof/>
          <w:sz w:val="24"/>
        </w:rPr>
        <w:t>: avser alla personalkategorier inom någon av de tre institutionerna.</w:t>
      </w:r>
    </w:p>
    <w:p>
      <w:pPr>
        <w:jc w:val="center"/>
        <w:rPr>
          <w:rFonts w:ascii="Times New Roman" w:hAnsi="Times New Roman" w:cs="Times New Roman"/>
          <w:noProof/>
          <w:sz w:val="24"/>
          <w:szCs w:val="24"/>
        </w:rPr>
      </w:pPr>
    </w:p>
    <w:p>
      <w:pPr>
        <w:jc w:val="center"/>
        <w:rPr>
          <w:rFonts w:ascii="Times New Roman" w:hAnsi="Times New Roman" w:cs="Times New Roman"/>
          <w:noProof/>
          <w:color w:val="0070C0"/>
          <w:sz w:val="24"/>
          <w:szCs w:val="24"/>
        </w:rPr>
      </w:pPr>
      <w:r>
        <w:rPr>
          <w:rFonts w:ascii="Times New Roman" w:hAnsi="Times New Roman"/>
          <w:noProof/>
          <w:sz w:val="24"/>
        </w:rPr>
        <w:t>Artikel 3</w:t>
      </w:r>
    </w:p>
    <w:p>
      <w:pPr>
        <w:jc w:val="center"/>
        <w:rPr>
          <w:rFonts w:ascii="Times New Roman" w:hAnsi="Times New Roman" w:cs="Times New Roman"/>
          <w:b/>
          <w:noProof/>
          <w:sz w:val="24"/>
          <w:szCs w:val="24"/>
        </w:rPr>
      </w:pPr>
      <w:r>
        <w:rPr>
          <w:rFonts w:ascii="Times New Roman" w:hAnsi="Times New Roman"/>
          <w:b/>
          <w:noProof/>
          <w:sz w:val="24"/>
        </w:rPr>
        <w:t>Verksamhet som omfattas respektive inte omfattas av det interinstitutionella avtalet</w:t>
      </w:r>
    </w:p>
    <w:p>
      <w:pPr>
        <w:jc w:val="both"/>
        <w:rPr>
          <w:rFonts w:ascii="Times New Roman" w:hAnsi="Times New Roman" w:cs="Times New Roman"/>
          <w:noProof/>
          <w:sz w:val="24"/>
          <w:szCs w:val="24"/>
        </w:rPr>
      </w:pPr>
      <w:r>
        <w:rPr>
          <w:rFonts w:ascii="Times New Roman" w:hAnsi="Times New Roman"/>
          <w:noProof/>
          <w:sz w:val="24"/>
        </w:rPr>
        <w:t>1. Detta avtal omfattar verksamhet som främjar vissa intressen genom samverkan med någon av de undertecknande institutionerna, deras ledamöter eller tjänstemän i syfte att påverka utformning eller genomförande av politik eller lagstiftning, eller beslutsprocessen inom dessa institutioner, om inte ett undantag enligt punkt 2 eller artikel 4 är tillämpligt.</w:t>
      </w:r>
    </w:p>
    <w:p>
      <w:pPr>
        <w:jc w:val="both"/>
        <w:rPr>
          <w:rFonts w:ascii="Times New Roman" w:hAnsi="Times New Roman" w:cs="Times New Roman"/>
          <w:noProof/>
          <w:sz w:val="24"/>
          <w:szCs w:val="24"/>
        </w:rPr>
      </w:pPr>
      <w:r>
        <w:rPr>
          <w:rFonts w:ascii="Times New Roman" w:hAnsi="Times New Roman"/>
          <w:noProof/>
          <w:sz w:val="24"/>
        </w:rPr>
        <w:t>2. Följande verksamhet anses inte vara verksamhet i den mening som avses i punkt 1:</w:t>
      </w:r>
    </w:p>
    <w:p>
      <w:pPr>
        <w:jc w:val="both"/>
        <w:rPr>
          <w:rFonts w:ascii="Times New Roman" w:hAnsi="Times New Roman" w:cs="Times New Roman"/>
          <w:noProof/>
          <w:sz w:val="24"/>
          <w:szCs w:val="24"/>
        </w:rPr>
      </w:pPr>
      <w:r>
        <w:rPr>
          <w:rFonts w:ascii="Times New Roman" w:hAnsi="Times New Roman"/>
          <w:noProof/>
          <w:sz w:val="24"/>
        </w:rPr>
        <w:t>a) Tillhandahållande av juridisk eller annan professionell rådgivning inom ramen för ett förhållande mellan klient och mellanhand,</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om det handlar om rådgivning inom ramen för förlikning eller medling som sker i syfte att undvika ett förfarande inför domstol eller förvaltningsmyndighet,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om det handlar om rådgivning till klienter i syfte att hjälpa dem att organisera sin verksamhet i överensstämmelse med gällande regelverk, eller</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om det handlar om att företräda klienter och skydda deras grundläggande eller processuella rättigheter, såsom rätten att höras, en klients grundläggande rätt till rättvis prövning, inklusive rätten till försvar vid administrativa förfaranden, exempelvis verksamhet som utförs av jurister eller andra som tillhandahåller sådan rådgivning.</w:t>
      </w:r>
    </w:p>
    <w:p>
      <w:pPr>
        <w:jc w:val="both"/>
        <w:rPr>
          <w:rFonts w:ascii="Times New Roman" w:hAnsi="Times New Roman" w:cs="Times New Roman"/>
          <w:noProof/>
          <w:sz w:val="24"/>
          <w:szCs w:val="24"/>
        </w:rPr>
      </w:pPr>
      <w:r>
        <w:rPr>
          <w:rFonts w:ascii="Times New Roman" w:hAnsi="Times New Roman"/>
          <w:noProof/>
          <w:sz w:val="24"/>
        </w:rPr>
        <w:t>c) Inlagor som en part eller tredje part lämnar inom ramen för ett rättsligt eller administrativt förfarande som fastställs i EU-lagstiftning eller internationell lagstiftning som är tillämplig i unionen, och inlagor som baseras på ett avtalsförhållande med institutionen eller på ett bidragsavtal som finansieras med EU-medel.</w:t>
      </w:r>
    </w:p>
    <w:p>
      <w:pPr>
        <w:jc w:val="both"/>
        <w:rPr>
          <w:rFonts w:ascii="Times New Roman" w:hAnsi="Times New Roman" w:cs="Times New Roman"/>
          <w:noProof/>
          <w:sz w:val="24"/>
          <w:szCs w:val="24"/>
        </w:rPr>
      </w:pPr>
      <w:r>
        <w:rPr>
          <w:rFonts w:ascii="Times New Roman" w:hAnsi="Times New Roman"/>
          <w:noProof/>
          <w:sz w:val="24"/>
        </w:rPr>
        <w:t>c) Verksamhet som bedrivs av arbetsmarknadens parter inom ramen för  dialogen mellan arbetsmarknadens parter enligt artikel 152 i EUF-fördraget.</w:t>
      </w:r>
    </w:p>
    <w:p>
      <w:pPr>
        <w:jc w:val="both"/>
        <w:rPr>
          <w:rFonts w:ascii="Times New Roman" w:hAnsi="Times New Roman" w:cs="Times New Roman"/>
          <w:noProof/>
          <w:sz w:val="24"/>
          <w:szCs w:val="24"/>
        </w:rPr>
      </w:pPr>
      <w:r>
        <w:rPr>
          <w:rFonts w:ascii="Times New Roman" w:hAnsi="Times New Roman"/>
          <w:noProof/>
          <w:sz w:val="24"/>
        </w:rPr>
        <w:t>d) Inlagor som lämnas på direkt och särskild begäran av någon av de tre institutionerna, deras ledamöter eller tjänstemän, såsom förfrågningar om faktauppgifter, data eller sakkunskap.</w:t>
      </w:r>
    </w:p>
    <w:p>
      <w:pPr>
        <w:jc w:val="both"/>
        <w:rPr>
          <w:rFonts w:ascii="Times New Roman" w:hAnsi="Times New Roman" w:cs="Times New Roman"/>
          <w:noProof/>
          <w:sz w:val="24"/>
          <w:szCs w:val="24"/>
        </w:rPr>
      </w:pPr>
      <w:r>
        <w:rPr>
          <w:rFonts w:ascii="Times New Roman" w:hAnsi="Times New Roman"/>
          <w:noProof/>
          <w:sz w:val="24"/>
        </w:rPr>
        <w:t>d) Kommunikation mellan medborgarna, enbart i deras egenskap av privatpersoner, och någon av de tre institutionerna.</w:t>
      </w:r>
    </w:p>
    <w:p>
      <w:pPr>
        <w:jc w:val="center"/>
        <w:rPr>
          <w:rFonts w:ascii="Times New Roman" w:hAnsi="Times New Roman" w:cs="Times New Roman"/>
          <w:noProof/>
          <w:sz w:val="24"/>
          <w:szCs w:val="24"/>
        </w:rPr>
      </w:pPr>
      <w:r>
        <w:rPr>
          <w:rFonts w:ascii="Times New Roman" w:hAnsi="Times New Roman"/>
          <w:noProof/>
          <w:sz w:val="24"/>
        </w:rPr>
        <w:t>Artikel 4</w:t>
      </w:r>
    </w:p>
    <w:p>
      <w:pPr>
        <w:jc w:val="center"/>
        <w:rPr>
          <w:rFonts w:ascii="Times New Roman" w:hAnsi="Times New Roman" w:cs="Times New Roman"/>
          <w:b/>
          <w:noProof/>
          <w:sz w:val="24"/>
          <w:szCs w:val="24"/>
        </w:rPr>
      </w:pPr>
      <w:r>
        <w:rPr>
          <w:rFonts w:ascii="Times New Roman" w:hAnsi="Times New Roman"/>
          <w:b/>
          <w:noProof/>
          <w:sz w:val="24"/>
        </w:rPr>
        <w:t>Organ som inte omfattas av det interinstitutionella avtalet</w:t>
      </w:r>
    </w:p>
    <w:p>
      <w:pPr>
        <w:jc w:val="both"/>
        <w:rPr>
          <w:rFonts w:ascii="Times New Roman" w:hAnsi="Times New Roman" w:cs="Times New Roman"/>
          <w:noProof/>
          <w:sz w:val="24"/>
          <w:szCs w:val="24"/>
        </w:rPr>
      </w:pPr>
      <w:r>
        <w:rPr>
          <w:rFonts w:ascii="Times New Roman" w:hAnsi="Times New Roman"/>
          <w:noProof/>
          <w:sz w:val="24"/>
        </w:rPr>
        <w:t>1. Politiska partier är undantagna från kravet på registrering. Organisationer vars verksamhet omfattas av avtalet och som bildas eller stöds av politiska partier är dock inte undantagna från kravet på registrering.</w:t>
      </w:r>
    </w:p>
    <w:p>
      <w:pPr>
        <w:jc w:val="both"/>
        <w:rPr>
          <w:rFonts w:ascii="Times New Roman" w:hAnsi="Times New Roman" w:cs="Times New Roman"/>
          <w:noProof/>
          <w:sz w:val="24"/>
          <w:szCs w:val="24"/>
        </w:rPr>
      </w:pPr>
      <w:r>
        <w:rPr>
          <w:rFonts w:ascii="Times New Roman" w:hAnsi="Times New Roman"/>
          <w:noProof/>
          <w:sz w:val="24"/>
        </w:rPr>
        <w:t>2. Kyrkor och religiösa sammanslutningar eller samfund samt filosofiska och konfessionslösa organisationer enligt artikel 17 i EUF-fördraget är undantagna från kravet på registrering. Representationskontor, juridiska personer, byråer och nätverk som har inträttats för intressebevakning för kyrkor och religiösa samfund samt filosofiska och konfessionslösa organisationer gentemot EU-institutionerna, och sammanslutningar av dem, är dock inte undantagna från kravet på registrering.</w:t>
      </w:r>
    </w:p>
    <w:p>
      <w:pPr>
        <w:jc w:val="both"/>
        <w:rPr>
          <w:rFonts w:ascii="Times New Roman" w:hAnsi="Times New Roman" w:cs="Times New Roman"/>
          <w:noProof/>
          <w:sz w:val="24"/>
          <w:szCs w:val="24"/>
        </w:rPr>
      </w:pPr>
      <w:r>
        <w:rPr>
          <w:rFonts w:ascii="Times New Roman" w:hAnsi="Times New Roman"/>
          <w:noProof/>
          <w:sz w:val="24"/>
        </w:rPr>
        <w:t xml:space="preserve">3. Offentliga myndigheter i medlemsstaterna (inklusive ständiga representationer och ambassader) på nationell och subnationell nivå är undantagna från kravet på registrering, liksom sammanslutningar av offentliga myndigheter på europeisk, nationell eller subnationell nivå, på villkor att de enbart agerar på de berörda offentliga organens vägnar.  </w:t>
      </w:r>
    </w:p>
    <w:p>
      <w:pPr>
        <w:jc w:val="both"/>
        <w:rPr>
          <w:rFonts w:ascii="Times New Roman" w:hAnsi="Times New Roman" w:cs="Times New Roman"/>
          <w:noProof/>
          <w:sz w:val="24"/>
          <w:szCs w:val="24"/>
        </w:rPr>
      </w:pPr>
      <w:r>
        <w:rPr>
          <w:rFonts w:ascii="Times New Roman" w:hAnsi="Times New Roman"/>
          <w:noProof/>
          <w:sz w:val="24"/>
        </w:rPr>
        <w:t>4. Offentliga myndigheter i tredjeländer (inklusive diplomatiska beskickningar) är undantagna från kravet på registrering.</w:t>
      </w:r>
    </w:p>
    <w:p>
      <w:pPr>
        <w:jc w:val="both"/>
        <w:rPr>
          <w:rFonts w:ascii="Times New Roman" w:hAnsi="Times New Roman" w:cs="Times New Roman"/>
          <w:noProof/>
          <w:sz w:val="24"/>
          <w:szCs w:val="24"/>
        </w:rPr>
      </w:pPr>
      <w:r>
        <w:rPr>
          <w:rFonts w:ascii="Times New Roman" w:hAnsi="Times New Roman"/>
          <w:noProof/>
          <w:sz w:val="24"/>
        </w:rPr>
        <w:t>5. Mellanstatliga organisationer, inklusive byråer och organ som utgår från dem, är undantagna från kravet på registrering.</w:t>
      </w:r>
    </w:p>
    <w:p>
      <w:pPr>
        <w:jc w:val="center"/>
        <w:rPr>
          <w:rFonts w:ascii="Times New Roman" w:hAnsi="Times New Roman" w:cs="Times New Roman"/>
          <w:b/>
          <w:noProof/>
          <w:sz w:val="24"/>
          <w:szCs w:val="24"/>
        </w:rPr>
      </w:pPr>
      <w:r>
        <w:rPr>
          <w:rFonts w:ascii="Times New Roman" w:hAnsi="Times New Roman"/>
          <w:noProof/>
          <w:sz w:val="24"/>
        </w:rPr>
        <w:t>Artikel 5</w:t>
      </w:r>
    </w:p>
    <w:p>
      <w:pPr>
        <w:jc w:val="center"/>
        <w:rPr>
          <w:rFonts w:ascii="Times New Roman" w:hAnsi="Times New Roman" w:cs="Times New Roman"/>
          <w:b/>
          <w:noProof/>
          <w:sz w:val="24"/>
          <w:szCs w:val="24"/>
        </w:rPr>
      </w:pPr>
      <w:r>
        <w:rPr>
          <w:rFonts w:ascii="Times New Roman" w:hAnsi="Times New Roman"/>
          <w:b/>
          <w:noProof/>
          <w:sz w:val="24"/>
        </w:rPr>
        <w:t>Samverkan där registrering krävs</w:t>
      </w:r>
    </w:p>
    <w:p>
      <w:pPr>
        <w:jc w:val="both"/>
        <w:rPr>
          <w:rFonts w:ascii="Times New Roman" w:hAnsi="Times New Roman" w:cs="Times New Roman"/>
          <w:noProof/>
          <w:sz w:val="24"/>
          <w:szCs w:val="24"/>
        </w:rPr>
      </w:pPr>
      <w:r>
        <w:rPr>
          <w:rFonts w:ascii="Times New Roman" w:hAnsi="Times New Roman"/>
          <w:noProof/>
          <w:sz w:val="24"/>
        </w:rPr>
        <w:t>1. De tre institutionerna har enats om att kräva förhandsregistrering av intresseföreträdare när det gäller följande typer av samverkan:</w:t>
      </w:r>
    </w:p>
    <w:p>
      <w:pPr>
        <w:rPr>
          <w:rFonts w:ascii="Times New Roman" w:hAnsi="Times New Roman" w:cs="Times New Roman"/>
          <w:b/>
          <w:noProof/>
          <w:sz w:val="24"/>
          <w:szCs w:val="24"/>
        </w:rPr>
      </w:pPr>
      <w:r>
        <w:rPr>
          <w:rFonts w:ascii="Times New Roman" w:hAnsi="Times New Roman"/>
          <w:b/>
          <w:noProof/>
          <w:sz w:val="24"/>
        </w:rPr>
        <w:t xml:space="preserve">I Europaparlamentet </w:t>
      </w: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Tillträde till parlamentets byggnader: rätt för enskilda som företräder eller arbetar för intresseföreträdare att ansöka om passerkort med längre giltighetstid till Europaparlamentets lokaler.</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 xml:space="preserve">Offentliga utfrågningar i utskott: möjlighet för intresseföreträdare att bli inbjudna som talare vid en utskottsutfrågning, utan att det påverkar bestämmelserna i artikel 3.2 b. </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Stödverksamhet: beviljande av stöd till evenemang som anordnas av intresseföreträdare.</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Möten: möten mellan intresseföreträdare och ledamöter av Europaparlamentet, generalsekreteraren, generaldirektörerna och generalsekreterarna för de politiska grupperna.</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noProof/>
          <w:sz w:val="24"/>
          <w:szCs w:val="24"/>
        </w:rPr>
      </w:pPr>
      <w:r>
        <w:rPr>
          <w:rFonts w:ascii="Times New Roman" w:hAnsi="Times New Roman"/>
          <w:noProof/>
          <w:sz w:val="24"/>
        </w:rPr>
        <w:t>Evenemang: värdskap för evenemang som anordnas av intresseföreträdare i Europaparlamentets lokaler.</w:t>
      </w:r>
    </w:p>
    <w:p>
      <w:pPr>
        <w:pStyle w:val="ListParagraph"/>
        <w:jc w:val="both"/>
        <w:rPr>
          <w:rFonts w:ascii="Times New Roman" w:hAnsi="Times New Roman" w:cs="Times New Roman"/>
          <w:noProof/>
          <w:sz w:val="24"/>
          <w:szCs w:val="24"/>
        </w:rPr>
      </w:pPr>
    </w:p>
    <w:p>
      <w:pPr>
        <w:pStyle w:val="ListParagraph"/>
        <w:numPr>
          <w:ilvl w:val="0"/>
          <w:numId w:val="14"/>
        </w:numPr>
        <w:jc w:val="both"/>
        <w:rPr>
          <w:rFonts w:ascii="Times New Roman" w:hAnsi="Times New Roman" w:cs="Times New Roman"/>
          <w:i/>
          <w:noProof/>
          <w:sz w:val="24"/>
          <w:szCs w:val="24"/>
        </w:rPr>
      </w:pPr>
      <w:r>
        <w:rPr>
          <w:rFonts w:ascii="Times New Roman" w:hAnsi="Times New Roman"/>
          <w:noProof/>
          <w:sz w:val="24"/>
        </w:rPr>
        <w:t>Meddelanden: automatiska meddelanden till intresseföreträdarna om Europaparlamentets verksamhet.</w:t>
      </w:r>
    </w:p>
    <w:p>
      <w:pPr>
        <w:pStyle w:val="ListParagraph"/>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I Europeiska unionens råd</w:t>
      </w:r>
    </w:p>
    <w:p>
      <w:pPr>
        <w:pStyle w:val="ListParagraph"/>
        <w:numPr>
          <w:ilvl w:val="0"/>
          <w:numId w:val="15"/>
        </w:numPr>
        <w:jc w:val="both"/>
        <w:rPr>
          <w:rFonts w:ascii="Times New Roman" w:hAnsi="Times New Roman" w:cs="Times New Roman"/>
          <w:noProof/>
          <w:sz w:val="24"/>
          <w:szCs w:val="24"/>
        </w:rPr>
      </w:pPr>
      <w:r>
        <w:rPr>
          <w:rFonts w:ascii="Times New Roman" w:hAnsi="Times New Roman"/>
          <w:noProof/>
          <w:sz w:val="24"/>
        </w:rPr>
        <w:t>Möten: möten mellan intresseföreträdare och ambassadören för pågående eller kommande ordförandeskap i Europeiska unionens råd samt ambassadörens ställföreträdare i de ständiga representanternas kommitté, rådets generalsekreterare och generaldirektörerna.</w:t>
      </w:r>
    </w:p>
    <w:p>
      <w:pPr>
        <w:pStyle w:val="ListParagraph"/>
        <w:jc w:val="both"/>
        <w:rPr>
          <w:rFonts w:ascii="Times New Roman" w:hAnsi="Times New Roman" w:cs="Times New Roman"/>
          <w:noProof/>
          <w:sz w:val="24"/>
          <w:szCs w:val="24"/>
        </w:rPr>
      </w:pPr>
    </w:p>
    <w:p>
      <w:pPr>
        <w:pStyle w:val="ListParagraph"/>
        <w:numPr>
          <w:ilvl w:val="0"/>
          <w:numId w:val="15"/>
        </w:numPr>
        <w:jc w:val="both"/>
        <w:rPr>
          <w:rFonts w:ascii="Times New Roman" w:hAnsi="Times New Roman" w:cs="Times New Roman"/>
          <w:noProof/>
          <w:sz w:val="24"/>
          <w:szCs w:val="24"/>
        </w:rPr>
      </w:pPr>
      <w:r>
        <w:rPr>
          <w:rFonts w:ascii="Times New Roman" w:hAnsi="Times New Roman"/>
          <w:noProof/>
          <w:sz w:val="24"/>
        </w:rPr>
        <w:t>Meddelanden: automatiska meddelanden till intresseföreträdarna om rådets verksamhet.</w:t>
      </w:r>
    </w:p>
    <w:p>
      <w:pPr>
        <w:pStyle w:val="ListParagraph"/>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 xml:space="preserve">I Europeiska kommissionen </w:t>
      </w: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Möten: möten mellan intresseföreträdare och kommissionsledamöter, kanslipersonal och generaldirektörer.</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Expertgrupper: utnämning av vissa typer av medlemmar i expertgrupper</w:t>
      </w:r>
      <w:r>
        <w:rPr>
          <w:rStyle w:val="FootnoteReference"/>
          <w:rFonts w:ascii="Times New Roman" w:hAnsi="Times New Roman"/>
          <w:noProof/>
          <w:sz w:val="24"/>
        </w:rPr>
        <w:footnoteReference w:id="3"/>
      </w:r>
      <w:r>
        <w:rPr>
          <w:noProof/>
        </w:rPr>
        <w:t>.</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Offentliga samråd: automatiska meddelanden till intresseföreträdarna om kommissionens samråd; kommissionen skiljer på registrerade och oregistrerade enheter och offentliggör deras bidrag separat.</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Stödverksamhet: beviljande av stöd till evenemang som anordnas av intresseföreträdare.</w:t>
      </w:r>
    </w:p>
    <w:p>
      <w:pPr>
        <w:pStyle w:val="ListParagraph"/>
        <w:jc w:val="both"/>
        <w:rPr>
          <w:rFonts w:ascii="Times New Roman" w:hAnsi="Times New Roman" w:cs="Times New Roman"/>
          <w:noProof/>
          <w:sz w:val="24"/>
          <w:szCs w:val="24"/>
        </w:rPr>
      </w:pPr>
    </w:p>
    <w:p>
      <w:pPr>
        <w:pStyle w:val="ListParagraph"/>
        <w:numPr>
          <w:ilvl w:val="0"/>
          <w:numId w:val="16"/>
        </w:numPr>
        <w:jc w:val="both"/>
        <w:rPr>
          <w:rFonts w:ascii="Times New Roman" w:hAnsi="Times New Roman" w:cs="Times New Roman"/>
          <w:i/>
          <w:noProof/>
          <w:sz w:val="24"/>
          <w:szCs w:val="24"/>
        </w:rPr>
      </w:pPr>
      <w:r>
        <w:rPr>
          <w:rFonts w:ascii="Times New Roman" w:hAnsi="Times New Roman"/>
          <w:noProof/>
          <w:sz w:val="24"/>
        </w:rPr>
        <w:t>E-postlistor: meddelanden via e-postlistor till intresseföreträdare om viss verksamhet inom kommissionen.</w:t>
      </w:r>
    </w:p>
    <w:p>
      <w:pPr>
        <w:jc w:val="both"/>
        <w:rPr>
          <w:rFonts w:ascii="Times New Roman" w:hAnsi="Times New Roman" w:cs="Times New Roman"/>
          <w:i/>
          <w:noProof/>
          <w:sz w:val="24"/>
          <w:szCs w:val="24"/>
        </w:rPr>
      </w:pPr>
      <w:r>
        <w:rPr>
          <w:rFonts w:ascii="Times New Roman" w:hAnsi="Times New Roman"/>
          <w:noProof/>
          <w:sz w:val="24"/>
        </w:rPr>
        <w:t xml:space="preserve">2. Var och en av de tre institutionerna ska vidta de interna åtgärder som behövs för att ge verkan åt de villkor som avses i punkt 1. </w:t>
      </w:r>
    </w:p>
    <w:p>
      <w:pPr>
        <w:jc w:val="both"/>
        <w:rPr>
          <w:rFonts w:ascii="Times New Roman" w:hAnsi="Times New Roman" w:cs="Times New Roman"/>
          <w:noProof/>
          <w:sz w:val="24"/>
          <w:szCs w:val="24"/>
        </w:rPr>
      </w:pPr>
      <w:r>
        <w:rPr>
          <w:rFonts w:ascii="Times New Roman" w:hAnsi="Times New Roman"/>
          <w:noProof/>
          <w:sz w:val="24"/>
        </w:rPr>
        <w:t>3. Varje institution får besluta att kräva registrering även för andra typer av samverkan, så länge som syftet med dessa nya villkor är att förstärka den nuvarande ramen.</w:t>
      </w:r>
    </w:p>
    <w:p>
      <w:pPr>
        <w:jc w:val="both"/>
        <w:rPr>
          <w:rFonts w:ascii="Times New Roman" w:hAnsi="Times New Roman" w:cs="Times New Roman"/>
          <w:noProof/>
          <w:sz w:val="24"/>
          <w:szCs w:val="24"/>
        </w:rPr>
      </w:pPr>
      <w:r>
        <w:rPr>
          <w:rFonts w:ascii="Times New Roman" w:hAnsi="Times New Roman"/>
          <w:noProof/>
          <w:sz w:val="24"/>
        </w:rPr>
        <w:t>4. De villkor som avses i punkterna 1 och 3 ska offentliggöras på registrets webbplats.</w:t>
      </w:r>
    </w:p>
    <w:p>
      <w:pPr>
        <w:jc w:val="center"/>
        <w:rPr>
          <w:rFonts w:ascii="Times New Roman" w:hAnsi="Times New Roman" w:cs="Times New Roman"/>
          <w:noProof/>
          <w:sz w:val="24"/>
          <w:szCs w:val="24"/>
        </w:rPr>
      </w:pPr>
      <w:r>
        <w:rPr>
          <w:rFonts w:ascii="Times New Roman" w:hAnsi="Times New Roman"/>
          <w:noProof/>
          <w:sz w:val="24"/>
        </w:rPr>
        <w:t>Artikel 6</w:t>
      </w:r>
    </w:p>
    <w:p>
      <w:pPr>
        <w:jc w:val="center"/>
        <w:rPr>
          <w:rFonts w:ascii="Times New Roman" w:hAnsi="Times New Roman" w:cs="Times New Roman"/>
          <w:noProof/>
          <w:color w:val="0070C0"/>
          <w:sz w:val="24"/>
          <w:szCs w:val="24"/>
        </w:rPr>
      </w:pPr>
      <w:r>
        <w:rPr>
          <w:rFonts w:ascii="Times New Roman" w:hAnsi="Times New Roman"/>
          <w:b/>
          <w:noProof/>
          <w:sz w:val="24"/>
        </w:rPr>
        <w:t>Sökandens rätt att bli registrerad</w:t>
      </w:r>
    </w:p>
    <w:p>
      <w:pPr>
        <w:jc w:val="both"/>
        <w:rPr>
          <w:rFonts w:ascii="Times New Roman" w:hAnsi="Times New Roman" w:cs="Times New Roman"/>
          <w:noProof/>
          <w:sz w:val="24"/>
          <w:szCs w:val="24"/>
        </w:rPr>
      </w:pPr>
      <w:r>
        <w:rPr>
          <w:rFonts w:ascii="Times New Roman" w:hAnsi="Times New Roman"/>
          <w:noProof/>
          <w:sz w:val="24"/>
        </w:rPr>
        <w:t xml:space="preserve">1. När sökandena ansöker om att bli registrerade måste de bevisa att de har rätt att bli registrerade i fråga om sådan verksamhet som omfattas av detta avtal. </w:t>
      </w:r>
    </w:p>
    <w:p>
      <w:pPr>
        <w:jc w:val="both"/>
        <w:rPr>
          <w:rFonts w:ascii="Times New Roman" w:hAnsi="Times New Roman" w:cs="Times New Roman"/>
          <w:noProof/>
          <w:sz w:val="24"/>
          <w:szCs w:val="24"/>
        </w:rPr>
      </w:pPr>
      <w:r>
        <w:rPr>
          <w:rFonts w:ascii="Times New Roman" w:hAnsi="Times New Roman"/>
          <w:noProof/>
          <w:sz w:val="24"/>
        </w:rPr>
        <w:t xml:space="preserve">2. Därvidlag måste sökandena lämna den information som anges i bilaga II och samtycka till att den informationen offentliggörs. </w:t>
      </w:r>
    </w:p>
    <w:p>
      <w:pPr>
        <w:jc w:val="both"/>
        <w:rPr>
          <w:rFonts w:ascii="Times New Roman" w:hAnsi="Times New Roman" w:cs="Times New Roman"/>
          <w:noProof/>
          <w:sz w:val="24"/>
          <w:szCs w:val="24"/>
        </w:rPr>
      </w:pPr>
      <w:r>
        <w:rPr>
          <w:rFonts w:ascii="Times New Roman" w:hAnsi="Times New Roman"/>
          <w:noProof/>
          <w:sz w:val="24"/>
        </w:rPr>
        <w:t>3. Sökandena kan bli tvungna att lämna handlingar som styrker att de är berättigade till registrering och att den information de lämnat är korrekt.</w:t>
      </w:r>
    </w:p>
    <w:p>
      <w:pPr>
        <w:jc w:val="both"/>
        <w:rPr>
          <w:rFonts w:ascii="Times New Roman" w:hAnsi="Times New Roman" w:cs="Times New Roman"/>
          <w:noProof/>
          <w:sz w:val="24"/>
          <w:szCs w:val="24"/>
        </w:rPr>
      </w:pPr>
      <w:r>
        <w:rPr>
          <w:rFonts w:ascii="Times New Roman" w:hAnsi="Times New Roman"/>
          <w:noProof/>
          <w:sz w:val="24"/>
        </w:rPr>
        <w:t xml:space="preserve">4. Sökandena förs in i registret som registrerade när det har fastställts att de är berättigade till registrering och registreringen anses uppfylla bestämmelserna i bilaga II i fråga om den information som ska lämnas. </w:t>
      </w:r>
    </w:p>
    <w:p>
      <w:pPr>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t>Artikel 7</w:t>
      </w:r>
    </w:p>
    <w:p>
      <w:pPr>
        <w:jc w:val="center"/>
        <w:rPr>
          <w:rFonts w:ascii="Times New Roman" w:hAnsi="Times New Roman" w:cs="Times New Roman"/>
          <w:noProof/>
          <w:color w:val="0070C0"/>
          <w:sz w:val="24"/>
          <w:szCs w:val="24"/>
        </w:rPr>
      </w:pPr>
      <w:r>
        <w:rPr>
          <w:rFonts w:ascii="Times New Roman" w:hAnsi="Times New Roman"/>
          <w:b/>
          <w:noProof/>
          <w:sz w:val="24"/>
        </w:rPr>
        <w:t>Uppförandekod för de registrerade och dess tillämpning</w:t>
      </w:r>
    </w:p>
    <w:p>
      <w:pPr>
        <w:jc w:val="both"/>
        <w:rPr>
          <w:rFonts w:ascii="Times New Roman" w:hAnsi="Times New Roman" w:cs="Times New Roman"/>
          <w:noProof/>
          <w:sz w:val="24"/>
          <w:szCs w:val="24"/>
        </w:rPr>
      </w:pPr>
      <w:r>
        <w:rPr>
          <w:rFonts w:ascii="Times New Roman" w:hAnsi="Times New Roman"/>
          <w:noProof/>
          <w:sz w:val="24"/>
        </w:rPr>
        <w:t>1. De regler och principer som de registrerade ska följa finns i den uppförandekod som bifogas detta avtal (bilaga III). Registreringen innebär att de registrerade samtycker till att följa dessa regler och principer.</w:t>
      </w:r>
    </w:p>
    <w:p>
      <w:pPr>
        <w:jc w:val="both"/>
        <w:rPr>
          <w:rFonts w:ascii="Times New Roman" w:hAnsi="Times New Roman" w:cs="Times New Roman"/>
          <w:noProof/>
          <w:sz w:val="24"/>
          <w:szCs w:val="24"/>
        </w:rPr>
      </w:pPr>
      <w:r>
        <w:rPr>
          <w:rFonts w:ascii="Times New Roman" w:hAnsi="Times New Roman"/>
          <w:noProof/>
          <w:sz w:val="24"/>
        </w:rPr>
        <w:t>2. I enlighet med uppförandekoden kan underlåtenhet att följa bestämmelserna i den leda till utredningar och åtgärder enligt förfarandena i bilaga IV till detta avtal.</w:t>
      </w:r>
    </w:p>
    <w:p>
      <w:pPr>
        <w:jc w:val="both"/>
        <w:rPr>
          <w:rFonts w:ascii="Times New Roman" w:hAnsi="Times New Roman" w:cs="Times New Roman"/>
          <w:noProof/>
          <w:sz w:val="24"/>
          <w:szCs w:val="24"/>
        </w:rPr>
      </w:pPr>
      <w:r>
        <w:rPr>
          <w:rFonts w:ascii="Times New Roman" w:hAnsi="Times New Roman"/>
          <w:noProof/>
          <w:sz w:val="24"/>
        </w:rPr>
        <w:t>Utredningar kan göras efter klagomål eller på sekretariatets eget initiativ.</w:t>
      </w:r>
    </w:p>
    <w:p>
      <w:pPr>
        <w:jc w:val="both"/>
        <w:rPr>
          <w:rFonts w:ascii="Times New Roman" w:hAnsi="Times New Roman" w:cs="Times New Roman"/>
          <w:noProof/>
          <w:sz w:val="24"/>
          <w:szCs w:val="24"/>
        </w:rPr>
      </w:pPr>
      <w:r>
        <w:rPr>
          <w:rFonts w:ascii="Times New Roman" w:hAnsi="Times New Roman"/>
          <w:noProof/>
          <w:sz w:val="24"/>
        </w:rPr>
        <w:t>De tre institutionerna ska vidta de interna åtgärder som behövs för att tillämpa åtgärderna i enlighet med bilaga IV.</w:t>
      </w:r>
    </w:p>
    <w:p>
      <w:pPr>
        <w:pStyle w:val="ListParagraph"/>
        <w:ind w:left="0"/>
        <w:jc w:val="both"/>
        <w:rPr>
          <w:rFonts w:ascii="Times New Roman" w:hAnsi="Times New Roman" w:cs="Times New Roman"/>
          <w:noProof/>
          <w:sz w:val="24"/>
          <w:szCs w:val="24"/>
        </w:rPr>
      </w:pPr>
      <w:r>
        <w:rPr>
          <w:rFonts w:ascii="Times New Roman" w:hAnsi="Times New Roman"/>
          <w:noProof/>
          <w:sz w:val="24"/>
        </w:rPr>
        <w:t>3. I enlighet med uppförandekoden ska de registrerade</w:t>
      </w:r>
    </w:p>
    <w:p>
      <w:pPr>
        <w:pStyle w:val="ListParagraph"/>
        <w:ind w:left="0"/>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på begäran uppvisa handlingar eller annat material som styrker att den information som lämnats är korrekt,</w:t>
      </w:r>
    </w:p>
    <w:p>
      <w:pPr>
        <w:pStyle w:val="ListParagraph"/>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samtycka till att lojalt och konstruktivt samarbeta vid förfrågningar om klargörande och uppdatering,</w:t>
      </w:r>
    </w:p>
    <w:p>
      <w:pPr>
        <w:pStyle w:val="ListParagraph"/>
        <w:jc w:val="both"/>
        <w:rPr>
          <w:rFonts w:ascii="Times New Roman" w:hAnsi="Times New Roman" w:cs="Times New Roman"/>
          <w:noProof/>
          <w:sz w:val="24"/>
          <w:szCs w:val="24"/>
        </w:rPr>
      </w:pPr>
    </w:p>
    <w:p>
      <w:pPr>
        <w:pStyle w:val="ListParagraph"/>
        <w:numPr>
          <w:ilvl w:val="0"/>
          <w:numId w:val="13"/>
        </w:numPr>
        <w:jc w:val="both"/>
        <w:rPr>
          <w:rFonts w:ascii="Times New Roman" w:hAnsi="Times New Roman" w:cs="Times New Roman"/>
          <w:noProof/>
          <w:sz w:val="24"/>
          <w:szCs w:val="24"/>
        </w:rPr>
      </w:pPr>
      <w:r>
        <w:rPr>
          <w:rFonts w:ascii="Times New Roman" w:hAnsi="Times New Roman"/>
          <w:noProof/>
          <w:sz w:val="24"/>
        </w:rPr>
        <w:t>acceptera att de kan bli föremål för utredning och i tillämpliga fall åtgärder enligt bilaga IV.</w:t>
      </w:r>
    </w:p>
    <w:p>
      <w:pPr>
        <w:jc w:val="center"/>
        <w:rPr>
          <w:rFonts w:ascii="Times New Roman" w:hAnsi="Times New Roman" w:cs="Times New Roman"/>
          <w:noProof/>
          <w:sz w:val="24"/>
          <w:szCs w:val="24"/>
        </w:rPr>
      </w:pPr>
      <w:r>
        <w:rPr>
          <w:rFonts w:ascii="Times New Roman" w:hAnsi="Times New Roman"/>
          <w:noProof/>
          <w:sz w:val="24"/>
        </w:rPr>
        <w:t>Artikel 8</w:t>
      </w:r>
    </w:p>
    <w:p>
      <w:pPr>
        <w:jc w:val="center"/>
        <w:rPr>
          <w:rFonts w:ascii="Times New Roman" w:hAnsi="Times New Roman" w:cs="Times New Roman"/>
          <w:b/>
          <w:noProof/>
          <w:sz w:val="24"/>
          <w:szCs w:val="24"/>
        </w:rPr>
      </w:pPr>
      <w:r>
        <w:rPr>
          <w:rFonts w:ascii="Times New Roman" w:hAnsi="Times New Roman"/>
          <w:b/>
          <w:noProof/>
          <w:sz w:val="24"/>
        </w:rPr>
        <w:t>Registrets styrelse</w:t>
      </w:r>
    </w:p>
    <w:p>
      <w:pPr>
        <w:jc w:val="both"/>
        <w:rPr>
          <w:rFonts w:ascii="Times New Roman" w:hAnsi="Times New Roman" w:cs="Times New Roman"/>
          <w:noProof/>
          <w:sz w:val="24"/>
          <w:szCs w:val="24"/>
        </w:rPr>
      </w:pPr>
      <w:r>
        <w:rPr>
          <w:rFonts w:ascii="Times New Roman" w:hAnsi="Times New Roman"/>
          <w:noProof/>
          <w:sz w:val="24"/>
        </w:rPr>
        <w:t xml:space="preserve">1. Registrets styrelse ska bestå av de tre institutionernas generalsekreterare. </w:t>
      </w:r>
    </w:p>
    <w:p>
      <w:pPr>
        <w:jc w:val="both"/>
        <w:rPr>
          <w:rFonts w:ascii="Times New Roman" w:hAnsi="Times New Roman" w:cs="Times New Roman"/>
          <w:noProof/>
          <w:sz w:val="24"/>
          <w:szCs w:val="24"/>
        </w:rPr>
      </w:pPr>
      <w:r>
        <w:rPr>
          <w:rFonts w:ascii="Times New Roman" w:hAnsi="Times New Roman"/>
          <w:noProof/>
          <w:sz w:val="24"/>
        </w:rPr>
        <w:t>2. Styrelsen ska</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övervaka sekretariatets övergripande genomförande av detta avtal och utfärda allmänna anvisningar för detta,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godkänna sekretariatets arbetsordning,</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godkänna utfärdandet av riktlinjer enligt artikel 9.4,</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undersöka och fatta beslut om motiverade förfrågningar om översyn från de registrerade angående sekretariatets beslut i enlighet med bilaga IV till detta avtal,</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noProof/>
        </w:rPr>
        <w:tab/>
      </w:r>
      <w:r>
        <w:rPr>
          <w:noProof/>
        </w:rPr>
        <w:tab/>
      </w:r>
      <w:r>
        <w:rPr>
          <w:rFonts w:ascii="Times New Roman" w:hAnsi="Times New Roman"/>
          <w:noProof/>
          <w:sz w:val="24"/>
        </w:rPr>
        <w:t>godta anmälningar om frivilligt deltagande i enlighet med artiklarna 12 och 13 i avtalet.</w:t>
      </w:r>
    </w:p>
    <w:p>
      <w:pPr>
        <w:jc w:val="both"/>
        <w:rPr>
          <w:rFonts w:ascii="Times New Roman" w:hAnsi="Times New Roman" w:cs="Times New Roman"/>
          <w:noProof/>
          <w:sz w:val="24"/>
          <w:szCs w:val="24"/>
        </w:rPr>
      </w:pPr>
      <w:r>
        <w:rPr>
          <w:rFonts w:ascii="Times New Roman" w:hAnsi="Times New Roman"/>
          <w:noProof/>
          <w:sz w:val="24"/>
        </w:rPr>
        <w:t>3. Styrelsen ska fatta beslut med enhällighet.</w:t>
      </w:r>
    </w:p>
    <w:p>
      <w:pPr>
        <w:jc w:val="both"/>
        <w:rPr>
          <w:rFonts w:ascii="Times New Roman" w:hAnsi="Times New Roman" w:cs="Times New Roman"/>
          <w:noProof/>
          <w:sz w:val="24"/>
          <w:szCs w:val="24"/>
        </w:rPr>
      </w:pPr>
      <w:r>
        <w:rPr>
          <w:rFonts w:ascii="Times New Roman" w:hAnsi="Times New Roman"/>
          <w:noProof/>
          <w:sz w:val="24"/>
        </w:rPr>
        <w:t xml:space="preserve">4. Styrelsen får anta en arbetsordning som reglerar utövandet av dess uppgifter. </w:t>
      </w:r>
    </w:p>
    <w:p>
      <w:pPr>
        <w:jc w:val="center"/>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t>Artikel 9</w:t>
      </w:r>
    </w:p>
    <w:p>
      <w:pPr>
        <w:jc w:val="center"/>
        <w:rPr>
          <w:rFonts w:ascii="Times New Roman" w:hAnsi="Times New Roman" w:cs="Times New Roman"/>
          <w:noProof/>
          <w:color w:val="0070C0"/>
          <w:sz w:val="24"/>
          <w:szCs w:val="24"/>
        </w:rPr>
      </w:pPr>
      <w:r>
        <w:rPr>
          <w:rFonts w:ascii="Times New Roman" w:hAnsi="Times New Roman"/>
          <w:b/>
          <w:noProof/>
          <w:sz w:val="24"/>
        </w:rPr>
        <w:t>Registrets sekretariat</w:t>
      </w:r>
    </w:p>
    <w:p>
      <w:pPr>
        <w:jc w:val="both"/>
        <w:rPr>
          <w:rFonts w:ascii="Times New Roman" w:hAnsi="Times New Roman" w:cs="Times New Roman"/>
          <w:noProof/>
          <w:sz w:val="24"/>
          <w:szCs w:val="24"/>
        </w:rPr>
      </w:pPr>
      <w:r>
        <w:rPr>
          <w:rFonts w:ascii="Times New Roman" w:hAnsi="Times New Roman"/>
          <w:noProof/>
          <w:sz w:val="24"/>
        </w:rPr>
        <w:t>1. Sekretariatet är en gemensam operativ struktur bestående av en samordnare och sekretariatets medlemmar som rapporterar direkt till styrelsen.</w:t>
      </w:r>
    </w:p>
    <w:p>
      <w:pPr>
        <w:jc w:val="both"/>
        <w:rPr>
          <w:rFonts w:ascii="Times New Roman" w:hAnsi="Times New Roman" w:cs="Times New Roman"/>
          <w:noProof/>
          <w:sz w:val="24"/>
          <w:szCs w:val="24"/>
        </w:rPr>
      </w:pPr>
      <w:r>
        <w:rPr>
          <w:rFonts w:ascii="Times New Roman" w:hAnsi="Times New Roman"/>
          <w:noProof/>
          <w:sz w:val="24"/>
        </w:rPr>
        <w:t xml:space="preserve">2. Sekretariatet ska samordnas av en tjänsteman vid Europeiska kommissionens generalsekretariat (nedan kallad </w:t>
      </w:r>
      <w:r>
        <w:rPr>
          <w:rFonts w:ascii="Times New Roman" w:hAnsi="Times New Roman"/>
          <w:i/>
          <w:noProof/>
          <w:sz w:val="24"/>
        </w:rPr>
        <w:t>samordnare</w:t>
      </w:r>
      <w:r>
        <w:rPr>
          <w:rFonts w:ascii="Times New Roman" w:hAnsi="Times New Roman"/>
          <w:noProof/>
          <w:sz w:val="24"/>
        </w:rPr>
        <w:t xml:space="preserve">). Sekretariatets medlemmar ska vara anställda vid Europaparlamentet, rådet och Europeiska kommissionen som lånats ut till sekretariatet av sina institutioner. </w:t>
      </w:r>
    </w:p>
    <w:p>
      <w:pPr>
        <w:jc w:val="both"/>
        <w:rPr>
          <w:rFonts w:ascii="Times New Roman" w:hAnsi="Times New Roman" w:cs="Times New Roman"/>
          <w:noProof/>
          <w:sz w:val="24"/>
          <w:szCs w:val="24"/>
        </w:rPr>
      </w:pPr>
      <w:r>
        <w:rPr>
          <w:rFonts w:ascii="Times New Roman" w:hAnsi="Times New Roman"/>
          <w:noProof/>
          <w:sz w:val="24"/>
        </w:rPr>
        <w:t xml:space="preserve">Samordnaren ska ha det övergripande ansvaret för sekretariatets arbete och övervaka den dagliga verksamheten. </w:t>
      </w:r>
    </w:p>
    <w:p>
      <w:pPr>
        <w:jc w:val="both"/>
        <w:rPr>
          <w:rFonts w:ascii="Times New Roman" w:hAnsi="Times New Roman" w:cs="Times New Roman"/>
          <w:noProof/>
          <w:sz w:val="24"/>
          <w:szCs w:val="24"/>
        </w:rPr>
      </w:pPr>
      <w:r>
        <w:rPr>
          <w:rFonts w:ascii="Times New Roman" w:hAnsi="Times New Roman"/>
          <w:noProof/>
          <w:sz w:val="24"/>
        </w:rPr>
        <w:t>3. Sekretariatet ska huvudsakligen ha följande uppgifter:</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Utarbeta sekretariatets arbetsordning för godkännande av styrelsen.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Rapportera till styrelsen om det övergripande genomförandet av detta avtal.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Övervaka registrets innehåll och säkerställa att endast berättigade sökande registreras, så att uppgifterna i registret håller optimal kvalitet, samtidigt som det är de registrerade som är ytterst ansvariga för att den information de lämnat är korrekt.</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Tillhandahålla en hjälpcentral för de registrerade, de tre institutionerna och alla enheter som deltar på frivillig väg enligt artiklarna 12 och 13.</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Göra utredningar, ta bort registreringar och anta åtgärder i enlighet med bilaga IV till detta avtal.</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Anordna informationskampanjer.</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Utarbeta en årsrapport för föregående kalenderår.</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Säkerställa utveckling och underhåll av registrets webbplats och onlineblanketten för registrering samt andra it-resurser i anslutning till detta. </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noProof/>
        </w:rPr>
        <w:tab/>
      </w:r>
      <w:r>
        <w:rPr>
          <w:rFonts w:ascii="Times New Roman" w:hAnsi="Times New Roman"/>
          <w:noProof/>
          <w:sz w:val="24"/>
        </w:rPr>
        <w:t>Utbyta god praxis och erfarenheter med liknande organ om öppenhet när det gäller intressebevakning.</w:t>
      </w:r>
    </w:p>
    <w:p>
      <w:pPr>
        <w:ind w:left="709" w:hanging="709"/>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Utföra all annan verksamhet som behövs för genomförandet av detta avtal.</w:t>
      </w:r>
    </w:p>
    <w:p>
      <w:pPr>
        <w:jc w:val="both"/>
        <w:rPr>
          <w:rFonts w:ascii="Times New Roman" w:hAnsi="Times New Roman" w:cs="Times New Roman"/>
          <w:noProof/>
          <w:sz w:val="24"/>
          <w:szCs w:val="24"/>
        </w:rPr>
      </w:pPr>
      <w:r>
        <w:rPr>
          <w:rFonts w:ascii="Times New Roman" w:hAnsi="Times New Roman"/>
          <w:noProof/>
          <w:sz w:val="24"/>
        </w:rPr>
        <w:t xml:space="preserve">4. Sekretariatet får för godkännande av styrelsen föreslå riktlinjer för de registrerade för att säkerställa en enhetlig tillämpning av artiklarna 2–6 (definitioner, verksamhet, organ som inte omfattas, samverkan som är underställd krav på registrering och sökandens rätt att bli registrerad) och bilagorna till detta avtal. </w:t>
      </w:r>
    </w:p>
    <w:p>
      <w:pPr>
        <w:jc w:val="both"/>
        <w:rPr>
          <w:rFonts w:ascii="Times New Roman" w:hAnsi="Times New Roman" w:cs="Times New Roman"/>
          <w:noProof/>
          <w:sz w:val="24"/>
          <w:szCs w:val="24"/>
        </w:rPr>
      </w:pPr>
    </w:p>
    <w:p>
      <w:pPr>
        <w:jc w:val="center"/>
        <w:rPr>
          <w:rFonts w:ascii="Times New Roman" w:hAnsi="Times New Roman" w:cs="Times New Roman"/>
          <w:noProof/>
          <w:sz w:val="24"/>
          <w:szCs w:val="24"/>
        </w:rPr>
      </w:pPr>
      <w:r>
        <w:rPr>
          <w:rFonts w:ascii="Times New Roman" w:hAnsi="Times New Roman"/>
          <w:noProof/>
          <w:sz w:val="24"/>
        </w:rPr>
        <w:t>Artikel 10</w:t>
      </w:r>
    </w:p>
    <w:p>
      <w:pPr>
        <w:jc w:val="center"/>
        <w:rPr>
          <w:rFonts w:ascii="Times New Roman" w:hAnsi="Times New Roman" w:cs="Times New Roman"/>
          <w:b/>
          <w:noProof/>
          <w:sz w:val="24"/>
          <w:szCs w:val="24"/>
        </w:rPr>
      </w:pPr>
      <w:r>
        <w:rPr>
          <w:rFonts w:ascii="Times New Roman" w:hAnsi="Times New Roman"/>
          <w:b/>
          <w:noProof/>
          <w:sz w:val="24"/>
        </w:rPr>
        <w:t>Beslut</w:t>
      </w:r>
    </w:p>
    <w:p>
      <w:pPr>
        <w:jc w:val="both"/>
        <w:rPr>
          <w:rFonts w:ascii="Times New Roman" w:hAnsi="Times New Roman" w:cs="Times New Roman"/>
          <w:noProof/>
          <w:sz w:val="24"/>
          <w:szCs w:val="24"/>
        </w:rPr>
      </w:pPr>
      <w:r>
        <w:rPr>
          <w:rFonts w:ascii="Times New Roman" w:hAnsi="Times New Roman"/>
          <w:noProof/>
          <w:sz w:val="24"/>
        </w:rPr>
        <w:t>De tre institutionerna ska inrätta sekretariatet och styrelsen genom ett separat beslut som antas gemensamt av de tre institutionerna innan detta avtal träder i kraft.</w:t>
      </w:r>
    </w:p>
    <w:p>
      <w:pPr>
        <w:jc w:val="center"/>
        <w:rPr>
          <w:rFonts w:ascii="Times New Roman" w:hAnsi="Times New Roman" w:cs="Times New Roman"/>
          <w:noProof/>
          <w:sz w:val="24"/>
          <w:szCs w:val="24"/>
        </w:rPr>
      </w:pPr>
      <w:r>
        <w:rPr>
          <w:rFonts w:ascii="Times New Roman" w:hAnsi="Times New Roman"/>
          <w:noProof/>
          <w:sz w:val="24"/>
        </w:rPr>
        <w:t>Artikel 11</w:t>
      </w:r>
    </w:p>
    <w:p>
      <w:pPr>
        <w:jc w:val="center"/>
        <w:rPr>
          <w:rFonts w:ascii="Times New Roman" w:hAnsi="Times New Roman" w:cs="Times New Roman"/>
          <w:noProof/>
          <w:color w:val="0070C0"/>
          <w:sz w:val="24"/>
          <w:szCs w:val="24"/>
        </w:rPr>
      </w:pPr>
      <w:r>
        <w:rPr>
          <w:rFonts w:ascii="Times New Roman" w:hAnsi="Times New Roman"/>
          <w:b/>
          <w:noProof/>
          <w:sz w:val="24"/>
        </w:rPr>
        <w:t>Resurser</w:t>
      </w:r>
    </w:p>
    <w:p>
      <w:pPr>
        <w:jc w:val="both"/>
        <w:rPr>
          <w:rFonts w:ascii="Times New Roman" w:hAnsi="Times New Roman" w:cs="Times New Roman"/>
          <w:noProof/>
          <w:sz w:val="24"/>
          <w:szCs w:val="24"/>
        </w:rPr>
      </w:pPr>
      <w:r>
        <w:rPr>
          <w:rFonts w:ascii="Times New Roman" w:hAnsi="Times New Roman"/>
          <w:noProof/>
          <w:sz w:val="24"/>
        </w:rPr>
        <w:t xml:space="preserve">1. De tre institutionerna ska säkerställa att sekretariatet förfogar över de personalresurser och administrativa och ekonomiska resurser som behövs för att det ska kunna utföra sina uppgifter korrekt. </w:t>
      </w:r>
    </w:p>
    <w:p>
      <w:pPr>
        <w:jc w:val="both"/>
        <w:rPr>
          <w:rFonts w:ascii="Times New Roman" w:hAnsi="Times New Roman" w:cs="Times New Roman"/>
          <w:noProof/>
          <w:sz w:val="24"/>
          <w:szCs w:val="24"/>
        </w:rPr>
      </w:pPr>
      <w:r>
        <w:rPr>
          <w:rFonts w:ascii="Times New Roman" w:hAnsi="Times New Roman"/>
          <w:noProof/>
          <w:sz w:val="24"/>
        </w:rPr>
        <w:t xml:space="preserve">2. De tre institutionerna ska tillhandahålla de nödvändiga personalresurserna för sekretariatet, vilket i Europaparlamentets och Europeiska unionens råds fall ska ske genom utlåning till kommissionen i enlighet med artiklarna 37 a och 38 i tjänsteföreskrifterna för tjänstemännen i Europeiska gemenskaperna.  </w:t>
      </w:r>
    </w:p>
    <w:p>
      <w:pPr>
        <w:jc w:val="both"/>
        <w:rPr>
          <w:rFonts w:ascii="Times New Roman" w:hAnsi="Times New Roman" w:cs="Times New Roman"/>
          <w:b/>
          <w:i/>
          <w:noProof/>
          <w:sz w:val="24"/>
          <w:szCs w:val="24"/>
        </w:rPr>
      </w:pPr>
      <w:r>
        <w:rPr>
          <w:rFonts w:ascii="Times New Roman" w:hAnsi="Times New Roman"/>
          <w:noProof/>
          <w:sz w:val="24"/>
        </w:rPr>
        <w:t>3. De tre institutionerna bidrar i lika hög grad till sekretariatets verksamhet och driften av registret. De ska sluta ett separat avtal med närmare bestämmelser om deras bidrag till sekretariatets administrativa och ekonomiska resurser.</w:t>
      </w:r>
    </w:p>
    <w:p>
      <w:pPr>
        <w:rPr>
          <w:rFonts w:ascii="Times New Roman" w:hAnsi="Times New Roman" w:cs="Times New Roman"/>
          <w:noProof/>
          <w:sz w:val="24"/>
          <w:szCs w:val="24"/>
        </w:rPr>
      </w:pPr>
    </w:p>
    <w:p>
      <w:pPr>
        <w:jc w:val="center"/>
        <w:rPr>
          <w:rFonts w:ascii="Times New Roman" w:hAnsi="Times New Roman" w:cs="Times New Roman"/>
          <w:noProof/>
          <w:color w:val="0070C0"/>
          <w:sz w:val="24"/>
          <w:szCs w:val="24"/>
        </w:rPr>
      </w:pPr>
      <w:r>
        <w:rPr>
          <w:rFonts w:ascii="Times New Roman" w:hAnsi="Times New Roman"/>
          <w:noProof/>
          <w:sz w:val="24"/>
        </w:rPr>
        <w:t>Artikel 12</w:t>
      </w:r>
    </w:p>
    <w:p>
      <w:pPr>
        <w:jc w:val="center"/>
        <w:rPr>
          <w:rFonts w:ascii="Times New Roman" w:hAnsi="Times New Roman" w:cs="Times New Roman"/>
          <w:b/>
          <w:noProof/>
          <w:sz w:val="24"/>
          <w:szCs w:val="24"/>
        </w:rPr>
      </w:pPr>
      <w:r>
        <w:rPr>
          <w:rFonts w:ascii="Times New Roman" w:hAnsi="Times New Roman"/>
          <w:b/>
          <w:noProof/>
          <w:sz w:val="24"/>
        </w:rPr>
        <w:t xml:space="preserve">Frivilligt deltagande av EU:s övriga institutioner, organ och byråer </w:t>
      </w:r>
    </w:p>
    <w:p>
      <w:pPr>
        <w:jc w:val="both"/>
        <w:rPr>
          <w:rFonts w:ascii="Times New Roman" w:hAnsi="Times New Roman" w:cs="Times New Roman"/>
          <w:noProof/>
          <w:sz w:val="24"/>
          <w:szCs w:val="24"/>
        </w:rPr>
      </w:pPr>
      <w:r>
        <w:rPr>
          <w:rFonts w:ascii="Times New Roman" w:hAnsi="Times New Roman"/>
          <w:noProof/>
          <w:sz w:val="24"/>
        </w:rPr>
        <w:t>1. EU:s övriga institutioner, organ och byråer uppmanas att själva tillämpa detta avtal som ett referensinstrument för sin egen samverkan med intresseföreträdare.</w:t>
      </w:r>
    </w:p>
    <w:p>
      <w:pPr>
        <w:jc w:val="both"/>
        <w:rPr>
          <w:rFonts w:ascii="Times New Roman" w:hAnsi="Times New Roman" w:cs="Times New Roman"/>
          <w:noProof/>
          <w:sz w:val="24"/>
          <w:szCs w:val="24"/>
        </w:rPr>
      </w:pPr>
      <w:r>
        <w:rPr>
          <w:rFonts w:ascii="Times New Roman" w:hAnsi="Times New Roman"/>
          <w:noProof/>
          <w:sz w:val="24"/>
        </w:rPr>
        <w:t>2. EU:s övriga institutioner, organ och byråer kan på frivillig väg anmäla till sekretariatet att de vill att viss verksamhet ska underställas krav på registrering i öppenhetsregistret. Anmälan ska innehålla närmare uppgifter om de föreslagna typerna av verksamhet och villkoren för dem.</w:t>
      </w:r>
    </w:p>
    <w:p>
      <w:pPr>
        <w:jc w:val="both"/>
        <w:rPr>
          <w:rFonts w:ascii="Times New Roman" w:hAnsi="Times New Roman" w:cs="Times New Roman"/>
          <w:noProof/>
          <w:sz w:val="24"/>
          <w:szCs w:val="24"/>
        </w:rPr>
      </w:pPr>
      <w:r>
        <w:rPr>
          <w:rFonts w:ascii="Times New Roman" w:hAnsi="Times New Roman"/>
          <w:noProof/>
          <w:sz w:val="24"/>
        </w:rPr>
        <w:t>3. Om styrelsen anser att de föreslagna typerna av samverkan är förenliga med registrets syften får EU:s institutioner, organ och byråer som berörs kräva registrering för dessa typer av samverkan, och sekretariatet ska tillhandahålla stöd och hjälpcentral mot ett proportionellt bidrag till kostnaderna för sekretariatets verksamhet och driften av registret.</w:t>
      </w:r>
    </w:p>
    <w:p>
      <w:pPr>
        <w:jc w:val="both"/>
        <w:rPr>
          <w:rFonts w:ascii="Times New Roman" w:hAnsi="Times New Roman" w:cs="Times New Roman"/>
          <w:noProof/>
          <w:sz w:val="24"/>
          <w:szCs w:val="24"/>
        </w:rPr>
      </w:pPr>
      <w:r>
        <w:rPr>
          <w:rFonts w:ascii="Times New Roman" w:hAnsi="Times New Roman"/>
          <w:noProof/>
          <w:sz w:val="24"/>
        </w:rPr>
        <w:t>4. Godkännandet av anmälan i föregående punkt innebär inte att anmälande EU-institutioner, EU-organ och EU-byråer får status som part i detta interinstitutionella avtal.</w:t>
      </w:r>
    </w:p>
    <w:p>
      <w:pPr>
        <w:jc w:val="both"/>
        <w:rPr>
          <w:rFonts w:ascii="Times New Roman" w:hAnsi="Times New Roman" w:cs="Times New Roman"/>
          <w:noProof/>
          <w:sz w:val="24"/>
          <w:szCs w:val="24"/>
        </w:rPr>
      </w:pPr>
      <w:r>
        <w:rPr>
          <w:rFonts w:ascii="Times New Roman" w:hAnsi="Times New Roman"/>
          <w:noProof/>
          <w:sz w:val="24"/>
        </w:rPr>
        <w:t>5. De krav som godkänns i enlighet med punkt 3 ska offentliggöras på registrets webbplats.</w:t>
      </w:r>
    </w:p>
    <w:p>
      <w:pPr>
        <w:jc w:val="center"/>
        <w:rPr>
          <w:rFonts w:ascii="Times New Roman" w:hAnsi="Times New Roman" w:cs="Times New Roman"/>
          <w:noProof/>
          <w:color w:val="0070C0"/>
          <w:sz w:val="24"/>
          <w:szCs w:val="24"/>
        </w:rPr>
      </w:pPr>
      <w:r>
        <w:rPr>
          <w:rFonts w:ascii="Times New Roman" w:hAnsi="Times New Roman"/>
          <w:noProof/>
          <w:sz w:val="24"/>
        </w:rPr>
        <w:t>Artikel 13</w:t>
      </w:r>
    </w:p>
    <w:p>
      <w:pPr>
        <w:jc w:val="center"/>
        <w:rPr>
          <w:rFonts w:ascii="Times New Roman" w:hAnsi="Times New Roman" w:cs="Times New Roman"/>
          <w:b/>
          <w:noProof/>
          <w:sz w:val="24"/>
          <w:szCs w:val="24"/>
        </w:rPr>
      </w:pPr>
      <w:r>
        <w:rPr>
          <w:rFonts w:ascii="Times New Roman" w:hAnsi="Times New Roman"/>
          <w:b/>
          <w:noProof/>
          <w:sz w:val="24"/>
        </w:rPr>
        <w:t>Frivilligt deltagande av medlemsstaternas permanenta representationer vid Europeiska unionen</w:t>
      </w:r>
    </w:p>
    <w:p>
      <w:pPr>
        <w:jc w:val="both"/>
        <w:rPr>
          <w:rFonts w:ascii="Times New Roman" w:hAnsi="Times New Roman" w:cs="Times New Roman"/>
          <w:noProof/>
          <w:sz w:val="24"/>
          <w:szCs w:val="24"/>
        </w:rPr>
      </w:pPr>
      <w:r>
        <w:rPr>
          <w:rFonts w:ascii="Times New Roman" w:hAnsi="Times New Roman"/>
          <w:noProof/>
          <w:sz w:val="24"/>
        </w:rPr>
        <w:t>1. Utan att det påverkar tillämpningen av artikel 4.3 i detta avtal kan medlemsstaterna på frivillig väg anmäla till sekretariatet att de vill att viss verksamhet som intresseföreträdare utövar tillsammans med medlemsstaternas ständiga representationer vid Europeiska unionen ska underställas krav på registrering i öppenhetsregistret. Anmälan ska innehålla närmare uppgifter om de föreslagna typerna av verksamhet och villkoren för dem.</w:t>
      </w:r>
    </w:p>
    <w:p>
      <w:pPr>
        <w:jc w:val="both"/>
        <w:rPr>
          <w:rFonts w:ascii="Times New Roman" w:hAnsi="Times New Roman" w:cs="Times New Roman"/>
          <w:noProof/>
          <w:sz w:val="24"/>
          <w:szCs w:val="24"/>
        </w:rPr>
      </w:pPr>
      <w:r>
        <w:rPr>
          <w:rFonts w:ascii="Times New Roman" w:hAnsi="Times New Roman"/>
          <w:noProof/>
          <w:sz w:val="24"/>
        </w:rPr>
        <w:t>2. Om styrelsen anser att de föreslagna typerna av samverkan är förenliga med registrets syften får de berörda ständiga representationerna kräva registrering för dessa typer av samverkan, och sekretariatet ska tillhandahålla stöd och hjälpcentral mot ett proportionellt bidrag till kostnaderna för sekretariatets verksamhet och driften av registret.</w:t>
      </w:r>
    </w:p>
    <w:p>
      <w:pPr>
        <w:jc w:val="both"/>
        <w:rPr>
          <w:rFonts w:ascii="Times New Roman" w:hAnsi="Times New Roman" w:cs="Times New Roman"/>
          <w:noProof/>
          <w:sz w:val="24"/>
          <w:szCs w:val="24"/>
        </w:rPr>
      </w:pPr>
      <w:r>
        <w:rPr>
          <w:rFonts w:ascii="Times New Roman" w:hAnsi="Times New Roman"/>
          <w:noProof/>
          <w:sz w:val="24"/>
        </w:rPr>
        <w:t>3. Godkännandet av anmälan i föregående punkt innebär inte att den anmälande medlemsstaten får status som part i detta interinstitutionella avtal.</w:t>
      </w:r>
    </w:p>
    <w:p>
      <w:pPr>
        <w:jc w:val="both"/>
        <w:rPr>
          <w:rFonts w:ascii="Times New Roman" w:hAnsi="Times New Roman" w:cs="Times New Roman"/>
          <w:noProof/>
          <w:sz w:val="24"/>
          <w:szCs w:val="24"/>
        </w:rPr>
      </w:pPr>
      <w:r>
        <w:rPr>
          <w:rFonts w:ascii="Times New Roman" w:hAnsi="Times New Roman"/>
          <w:noProof/>
          <w:sz w:val="24"/>
        </w:rPr>
        <w:t>4. De krav som godkänns i enlighet med punkt 2 ska offentliggöras på registrets webbplats.</w:t>
      </w:r>
    </w:p>
    <w:p>
      <w:pPr>
        <w:jc w:val="center"/>
        <w:rPr>
          <w:rFonts w:ascii="Times New Roman" w:hAnsi="Times New Roman" w:cs="Times New Roman"/>
          <w:noProof/>
          <w:sz w:val="24"/>
          <w:szCs w:val="24"/>
        </w:rPr>
      </w:pPr>
      <w:r>
        <w:rPr>
          <w:rFonts w:ascii="Times New Roman" w:hAnsi="Times New Roman"/>
          <w:noProof/>
          <w:sz w:val="24"/>
        </w:rPr>
        <w:t>Artikel 14</w:t>
      </w:r>
    </w:p>
    <w:p>
      <w:pPr>
        <w:jc w:val="center"/>
        <w:rPr>
          <w:rFonts w:ascii="Times New Roman" w:hAnsi="Times New Roman" w:cs="Times New Roman"/>
          <w:b/>
          <w:noProof/>
          <w:sz w:val="24"/>
          <w:szCs w:val="24"/>
        </w:rPr>
      </w:pPr>
      <w:r>
        <w:rPr>
          <w:rFonts w:ascii="Times New Roman" w:hAnsi="Times New Roman"/>
          <w:b/>
          <w:noProof/>
          <w:sz w:val="24"/>
        </w:rPr>
        <w:t>Slutbestämmelser och övergångsbestämmelser</w:t>
      </w:r>
    </w:p>
    <w:p>
      <w:pPr>
        <w:jc w:val="both"/>
        <w:rPr>
          <w:rFonts w:ascii="Times New Roman" w:hAnsi="Times New Roman" w:cs="Times New Roman"/>
          <w:noProof/>
          <w:sz w:val="24"/>
          <w:szCs w:val="24"/>
        </w:rPr>
      </w:pPr>
      <w:r>
        <w:rPr>
          <w:rFonts w:ascii="Times New Roman" w:hAnsi="Times New Roman"/>
          <w:noProof/>
          <w:sz w:val="24"/>
        </w:rPr>
        <w:t>1. Detta interinstitutionella avtal är bindande för de undertecknande institutionerna.</w:t>
      </w:r>
    </w:p>
    <w:p>
      <w:pPr>
        <w:jc w:val="both"/>
        <w:rPr>
          <w:rFonts w:ascii="Times New Roman" w:hAnsi="Times New Roman" w:cs="Times New Roman"/>
          <w:noProof/>
          <w:sz w:val="24"/>
          <w:szCs w:val="24"/>
        </w:rPr>
      </w:pPr>
      <w:r>
        <w:rPr>
          <w:rFonts w:ascii="Times New Roman" w:hAnsi="Times New Roman"/>
          <w:noProof/>
          <w:sz w:val="24"/>
        </w:rPr>
        <w:t xml:space="preserve">2. Detta avtal ska ersätta avtalet av den 16 april 2014 mellan Europaparlamentet och Europeiska kommissionen, som ska upphöra att gälla den dag då det här avtalet träder i kraft. </w:t>
      </w:r>
    </w:p>
    <w:p>
      <w:pPr>
        <w:jc w:val="both"/>
        <w:rPr>
          <w:rFonts w:ascii="Times New Roman" w:hAnsi="Times New Roman" w:cs="Times New Roman"/>
          <w:noProof/>
          <w:sz w:val="24"/>
          <w:szCs w:val="24"/>
        </w:rPr>
      </w:pPr>
      <w:r>
        <w:rPr>
          <w:rFonts w:ascii="Times New Roman" w:hAnsi="Times New Roman"/>
          <w:noProof/>
          <w:sz w:val="24"/>
        </w:rPr>
        <w:t xml:space="preserve">3. Detta avtal träder i kraft den tjugonde dagen efter det att det har offentliggjorts i </w:t>
      </w:r>
      <w:r>
        <w:rPr>
          <w:rFonts w:ascii="Times New Roman" w:hAnsi="Times New Roman"/>
          <w:i/>
          <w:noProof/>
          <w:sz w:val="24"/>
        </w:rPr>
        <w:t>Europeiska unionens officiella tidning</w:t>
      </w:r>
      <w:r>
        <w:rPr>
          <w:rFonts w:ascii="Times New Roman" w:hAnsi="Times New Roman"/>
          <w:noProof/>
          <w:sz w:val="24"/>
        </w:rPr>
        <w:t>. Det ska tillämpas från och med den [xx xx xxxx].</w:t>
      </w:r>
    </w:p>
    <w:p>
      <w:pPr>
        <w:jc w:val="both"/>
        <w:rPr>
          <w:rFonts w:ascii="Times New Roman" w:hAnsi="Times New Roman" w:cs="Times New Roman"/>
          <w:noProof/>
          <w:sz w:val="24"/>
          <w:szCs w:val="24"/>
        </w:rPr>
      </w:pPr>
      <w:r>
        <w:rPr>
          <w:rFonts w:ascii="Times New Roman" w:hAnsi="Times New Roman"/>
          <w:noProof/>
          <w:sz w:val="24"/>
        </w:rPr>
        <w:t>4. Intresseföreträdare som redan är registrerade den dag då detta avtal träder i kraft ska ändra sin registrering så att den uppfyller de nya kraven i detta avtal inom sex månader från ikraftträdandet.</w:t>
      </w:r>
    </w:p>
    <w:p>
      <w:pPr>
        <w:jc w:val="both"/>
        <w:rPr>
          <w:rFonts w:ascii="Times New Roman" w:hAnsi="Times New Roman" w:cs="Times New Roman"/>
          <w:noProof/>
          <w:sz w:val="24"/>
          <w:szCs w:val="24"/>
        </w:rPr>
      </w:pPr>
      <w:r>
        <w:rPr>
          <w:rFonts w:ascii="Times New Roman" w:hAnsi="Times New Roman"/>
          <w:noProof/>
          <w:sz w:val="24"/>
        </w:rPr>
        <w:t>5. Utredningar till följd av anmärkningar och klagomål som påbörjats enligt avtalet av den 16 april 2014 mellan Europaparlamentet och Europeiska kommissionen ska genomföras enligt förfarandet i det avtalet.</w:t>
      </w:r>
    </w:p>
    <w:p>
      <w:pPr>
        <w:jc w:val="both"/>
        <w:rPr>
          <w:rFonts w:ascii="Times New Roman" w:hAnsi="Times New Roman" w:cs="Times New Roman"/>
          <w:noProof/>
          <w:sz w:val="24"/>
          <w:szCs w:val="24"/>
        </w:rPr>
      </w:pPr>
      <w:r>
        <w:rPr>
          <w:rFonts w:ascii="Times New Roman" w:hAnsi="Times New Roman"/>
          <w:noProof/>
          <w:sz w:val="24"/>
        </w:rPr>
        <w:t>6. Detta avtal ska ses över fyra år efter ikraftträdandet.</w:t>
      </w:r>
    </w:p>
    <w:p>
      <w:pPr>
        <w:jc w:val="both"/>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rPr>
        <w:t>Upprättat i [ort], [datum]</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2587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Avtal mellan Europaparlamentet och Europeiska kommissionen om öppenhetsregistret för organisationer och egenföretagare som är involverade i utformning och genomförande av EU:s politik (EUT L 277, 19.9.2014, s. 11).</w:t>
      </w:r>
    </w:p>
  </w:footnote>
  <w:footnote w:id="2">
    <w:p>
      <w:pPr>
        <w:pStyle w:val="FootnoteText"/>
        <w:jc w:val="both"/>
      </w:pPr>
      <w:r>
        <w:rPr>
          <w:rStyle w:val="FootnoteReference"/>
        </w:rPr>
        <w:footnoteRef/>
      </w:r>
      <w:r>
        <w:t xml:space="preserve"> </w:t>
      </w:r>
      <w:r>
        <w:rPr>
          <w:rFonts w:ascii="inherit" w:hAnsi="inherit"/>
          <w:sz w:val="18"/>
        </w:rPr>
        <w:t>Europaparlamentets resolution av den 11 mars 2014 om allmänhetens tillgång till handlingar (artikel 104.7 i arbetsordningen) åren 2011–2013, antagen text P8_TA(2016)0202.</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 gäller </w:t>
      </w:r>
      <w:r>
        <w:rPr>
          <w:rFonts w:ascii="inherit" w:hAnsi="inherit"/>
          <w:sz w:val="18"/>
        </w:rPr>
        <w:t>enskilda</w:t>
      </w:r>
      <w:r>
        <w:rPr>
          <w:rFonts w:ascii="Times New Roman" w:hAnsi="Times New Roman"/>
        </w:rPr>
        <w:t xml:space="preserve"> experter som utnämns för att företräda ett gemensamt intresse som delas av de berörda parterna inom ett visst politikområde, som inte företräder en enskild berörd part utan en politik som är gemensam för olika organisationer som företräder berörda parter (typ B-medlemmar) och för organisationer i vid bemärkelse, inklusive företag, sammanslutningar, icke-statliga organisationer, fackföreningar, universitet och högskolor, forskningsinstitut, advokatbyråer och konsultfirmor (typ C-medlemmar), i enlighet med kommissionens beslut C(2016) 3301 av den 30 maj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E270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854C1D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1A783F"/>
    <w:multiLevelType w:val="hybridMultilevel"/>
    <w:tmpl w:val="DC8ECEC4"/>
    <w:lvl w:ilvl="0" w:tplc="E08849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D0DED"/>
    <w:multiLevelType w:val="hybridMultilevel"/>
    <w:tmpl w:val="FFA0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B1C2B"/>
    <w:multiLevelType w:val="hybridMultilevel"/>
    <w:tmpl w:val="0A469AAC"/>
    <w:lvl w:ilvl="0" w:tplc="CB54CA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D2A01"/>
    <w:multiLevelType w:val="hybridMultilevel"/>
    <w:tmpl w:val="B1360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C407B"/>
    <w:multiLevelType w:val="hybridMultilevel"/>
    <w:tmpl w:val="CCC8930C"/>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2AC7"/>
    <w:multiLevelType w:val="hybridMultilevel"/>
    <w:tmpl w:val="E228C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353C3"/>
    <w:multiLevelType w:val="hybridMultilevel"/>
    <w:tmpl w:val="4F98F906"/>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3668F"/>
    <w:multiLevelType w:val="hybridMultilevel"/>
    <w:tmpl w:val="75BC430A"/>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7435CC"/>
    <w:multiLevelType w:val="hybridMultilevel"/>
    <w:tmpl w:val="2D3A5D30"/>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BA0AE1"/>
    <w:multiLevelType w:val="hybridMultilevel"/>
    <w:tmpl w:val="017C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E8444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387673"/>
    <w:multiLevelType w:val="hybridMultilevel"/>
    <w:tmpl w:val="B760633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905EA2"/>
    <w:multiLevelType w:val="hybridMultilevel"/>
    <w:tmpl w:val="D8D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510AB3"/>
    <w:multiLevelType w:val="hybridMultilevel"/>
    <w:tmpl w:val="2C80B514"/>
    <w:lvl w:ilvl="0" w:tplc="E0884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1"/>
  </w:num>
  <w:num w:numId="5">
    <w:abstractNumId w:val="14"/>
  </w:num>
  <w:num w:numId="6">
    <w:abstractNumId w:val="13"/>
  </w:num>
  <w:num w:numId="7">
    <w:abstractNumId w:val="12"/>
  </w:num>
  <w:num w:numId="8">
    <w:abstractNumId w:val="7"/>
  </w:num>
  <w:num w:numId="9">
    <w:abstractNumId w:val="5"/>
  </w:num>
  <w:num w:numId="10">
    <w:abstractNumId w:val="4"/>
  </w:num>
  <w:num w:numId="11">
    <w:abstractNumId w:val="9"/>
  </w:num>
  <w:num w:numId="12">
    <w:abstractNumId w:val="2"/>
  </w:num>
  <w:num w:numId="13">
    <w:abstractNumId w:val="6"/>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93DE5927A7B4F33A02881A82084E33C"/>
    <w:docVar w:name="LW_CROSSREFERENCE" w:val="&lt;UNUSED&gt;"/>
    <w:docVar w:name="LW_DocType" w:val="NORMAL"/>
    <w:docVar w:name="LW_EMISSION" w:val="28.9.2016"/>
    <w:docVar w:name="LW_EMISSION_ISODATE" w:val="2016-09-28"/>
    <w:docVar w:name="LW_EMISSION_LOCATION" w:val="BRX"/>
    <w:docVar w:name="LW_EMISSION_PREFIX" w:val="Bryssel den "/>
    <w:docVar w:name="LW_EMISSION_SUFFIX" w:val=" "/>
    <w:docVar w:name="LW_ID_DOCTYPE_NONLW" w:val="CP-032"/>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627"/>
    <w:docVar w:name="LW_REF.INTERNE" w:val="&lt;UNUSED&gt;"/>
    <w:docVar w:name="LW_SOUS.TITRE.OBJ.CP" w:val="&lt;UNUSED&gt;"/>
    <w:docVar w:name="LW_STATUT" w:val="Förslag till"/>
    <w:docVar w:name="LW_STATUT.CP" w:val="Förslag till"/>
    <w:docVar w:name="LW_SUPERTITRE" w:val="&lt;UNUSED&gt;"/>
    <w:docVar w:name="LW_TITRE.OBJ.CP" w:val="om ett obligatoriskt öppenhetsregister"/>
    <w:docVar w:name="LW_TYPE.DOC.CP" w:val="interinstitutionellt avtal "/>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yline">
    <w:name w:val="Byline"/>
    <w:basedOn w:val="BodyTex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rPr>
      <w:rFonts w:eastAsiaTheme="minorEastAsia"/>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pPr>
      <w:jc w:val="center"/>
    </w:pPr>
    <w:rPr>
      <w:rFonts w:ascii="Times New Roman" w:hAnsi="Times New Roman" w:cs="Times New Roman"/>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137330">
      <w:bodyDiv w:val="1"/>
      <w:marLeft w:val="0"/>
      <w:marRight w:val="0"/>
      <w:marTop w:val="0"/>
      <w:marBottom w:val="0"/>
      <w:divBdr>
        <w:top w:val="none" w:sz="0" w:space="0" w:color="auto"/>
        <w:left w:val="none" w:sz="0" w:space="0" w:color="auto"/>
        <w:bottom w:val="none" w:sz="0" w:space="0" w:color="auto"/>
        <w:right w:val="none" w:sz="0" w:space="0" w:color="auto"/>
      </w:divBdr>
    </w:div>
    <w:div w:id="950666439">
      <w:bodyDiv w:val="1"/>
      <w:marLeft w:val="0"/>
      <w:marRight w:val="0"/>
      <w:marTop w:val="0"/>
      <w:marBottom w:val="0"/>
      <w:divBdr>
        <w:top w:val="none" w:sz="0" w:space="0" w:color="auto"/>
        <w:left w:val="none" w:sz="0" w:space="0" w:color="auto"/>
        <w:bottom w:val="none" w:sz="0" w:space="0" w:color="auto"/>
        <w:right w:val="none" w:sz="0" w:space="0" w:color="auto"/>
      </w:divBdr>
      <w:divsChild>
        <w:div w:id="1024093743">
          <w:marLeft w:val="0"/>
          <w:marRight w:val="0"/>
          <w:marTop w:val="0"/>
          <w:marBottom w:val="0"/>
          <w:divBdr>
            <w:top w:val="none" w:sz="0" w:space="0" w:color="auto"/>
            <w:left w:val="none" w:sz="0" w:space="0" w:color="auto"/>
            <w:bottom w:val="none" w:sz="0" w:space="0" w:color="auto"/>
            <w:right w:val="none" w:sz="0" w:space="0" w:color="auto"/>
          </w:divBdr>
          <w:divsChild>
            <w:div w:id="1807115716">
              <w:marLeft w:val="0"/>
              <w:marRight w:val="0"/>
              <w:marTop w:val="0"/>
              <w:marBottom w:val="0"/>
              <w:divBdr>
                <w:top w:val="none" w:sz="0" w:space="0" w:color="auto"/>
                <w:left w:val="none" w:sz="0" w:space="0" w:color="auto"/>
                <w:bottom w:val="none" w:sz="0" w:space="0" w:color="auto"/>
                <w:right w:val="none" w:sz="0" w:space="0" w:color="auto"/>
              </w:divBdr>
              <w:divsChild>
                <w:div w:id="549729173">
                  <w:marLeft w:val="0"/>
                  <w:marRight w:val="0"/>
                  <w:marTop w:val="0"/>
                  <w:marBottom w:val="0"/>
                  <w:divBdr>
                    <w:top w:val="none" w:sz="0" w:space="0" w:color="auto"/>
                    <w:left w:val="none" w:sz="0" w:space="0" w:color="auto"/>
                    <w:bottom w:val="none" w:sz="0" w:space="0" w:color="auto"/>
                    <w:right w:val="none" w:sz="0" w:space="0" w:color="auto"/>
                  </w:divBdr>
                  <w:divsChild>
                    <w:div w:id="2091151909">
                      <w:marLeft w:val="1"/>
                      <w:marRight w:val="1"/>
                      <w:marTop w:val="0"/>
                      <w:marBottom w:val="0"/>
                      <w:divBdr>
                        <w:top w:val="none" w:sz="0" w:space="0" w:color="auto"/>
                        <w:left w:val="none" w:sz="0" w:space="0" w:color="auto"/>
                        <w:bottom w:val="none" w:sz="0" w:space="0" w:color="auto"/>
                        <w:right w:val="none" w:sz="0" w:space="0" w:color="auto"/>
                      </w:divBdr>
                      <w:divsChild>
                        <w:div w:id="2037270516">
                          <w:marLeft w:val="0"/>
                          <w:marRight w:val="0"/>
                          <w:marTop w:val="0"/>
                          <w:marBottom w:val="0"/>
                          <w:divBdr>
                            <w:top w:val="none" w:sz="0" w:space="0" w:color="auto"/>
                            <w:left w:val="none" w:sz="0" w:space="0" w:color="auto"/>
                            <w:bottom w:val="none" w:sz="0" w:space="0" w:color="auto"/>
                            <w:right w:val="none" w:sz="0" w:space="0" w:color="auto"/>
                          </w:divBdr>
                          <w:divsChild>
                            <w:div w:id="1835298270">
                              <w:marLeft w:val="0"/>
                              <w:marRight w:val="0"/>
                              <w:marTop w:val="0"/>
                              <w:marBottom w:val="360"/>
                              <w:divBdr>
                                <w:top w:val="none" w:sz="0" w:space="0" w:color="auto"/>
                                <w:left w:val="none" w:sz="0" w:space="0" w:color="auto"/>
                                <w:bottom w:val="none" w:sz="0" w:space="0" w:color="auto"/>
                                <w:right w:val="none" w:sz="0" w:space="0" w:color="auto"/>
                              </w:divBdr>
                              <w:divsChild>
                                <w:div w:id="1561743752">
                                  <w:marLeft w:val="0"/>
                                  <w:marRight w:val="0"/>
                                  <w:marTop w:val="0"/>
                                  <w:marBottom w:val="0"/>
                                  <w:divBdr>
                                    <w:top w:val="none" w:sz="0" w:space="0" w:color="auto"/>
                                    <w:left w:val="none" w:sz="0" w:space="0" w:color="auto"/>
                                    <w:bottom w:val="none" w:sz="0" w:space="0" w:color="auto"/>
                                    <w:right w:val="none" w:sz="0" w:space="0" w:color="auto"/>
                                  </w:divBdr>
                                  <w:divsChild>
                                    <w:div w:id="537277906">
                                      <w:marLeft w:val="0"/>
                                      <w:marRight w:val="0"/>
                                      <w:marTop w:val="0"/>
                                      <w:marBottom w:val="0"/>
                                      <w:divBdr>
                                        <w:top w:val="none" w:sz="0" w:space="0" w:color="auto"/>
                                        <w:left w:val="none" w:sz="0" w:space="0" w:color="auto"/>
                                        <w:bottom w:val="none" w:sz="0" w:space="0" w:color="auto"/>
                                        <w:right w:val="none" w:sz="0" w:space="0" w:color="auto"/>
                                      </w:divBdr>
                                      <w:divsChild>
                                        <w:div w:id="2068524399">
                                          <w:marLeft w:val="0"/>
                                          <w:marRight w:val="0"/>
                                          <w:marTop w:val="0"/>
                                          <w:marBottom w:val="0"/>
                                          <w:divBdr>
                                            <w:top w:val="none" w:sz="0" w:space="0" w:color="auto"/>
                                            <w:left w:val="none" w:sz="0" w:space="0" w:color="auto"/>
                                            <w:bottom w:val="none" w:sz="0" w:space="0" w:color="auto"/>
                                            <w:right w:val="none" w:sz="0" w:space="0" w:color="auto"/>
                                          </w:divBdr>
                                          <w:divsChild>
                                            <w:div w:id="1214582528">
                                              <w:marLeft w:val="0"/>
                                              <w:marRight w:val="0"/>
                                              <w:marTop w:val="0"/>
                                              <w:marBottom w:val="0"/>
                                              <w:divBdr>
                                                <w:top w:val="none" w:sz="0" w:space="0" w:color="auto"/>
                                                <w:left w:val="none" w:sz="0" w:space="0" w:color="auto"/>
                                                <w:bottom w:val="none" w:sz="0" w:space="0" w:color="auto"/>
                                                <w:right w:val="none" w:sz="0" w:space="0" w:color="auto"/>
                                              </w:divBdr>
                                              <w:divsChild>
                                                <w:div w:id="9383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03709">
      <w:bodyDiv w:val="1"/>
      <w:marLeft w:val="0"/>
      <w:marRight w:val="0"/>
      <w:marTop w:val="0"/>
      <w:marBottom w:val="0"/>
      <w:divBdr>
        <w:top w:val="none" w:sz="0" w:space="0" w:color="auto"/>
        <w:left w:val="none" w:sz="0" w:space="0" w:color="auto"/>
        <w:bottom w:val="none" w:sz="0" w:space="0" w:color="auto"/>
        <w:right w:val="none" w:sz="0" w:space="0" w:color="auto"/>
      </w:divBdr>
      <w:divsChild>
        <w:div w:id="1326200030">
          <w:marLeft w:val="0"/>
          <w:marRight w:val="0"/>
          <w:marTop w:val="0"/>
          <w:marBottom w:val="0"/>
          <w:divBdr>
            <w:top w:val="none" w:sz="0" w:space="0" w:color="auto"/>
            <w:left w:val="none" w:sz="0" w:space="0" w:color="auto"/>
            <w:bottom w:val="none" w:sz="0" w:space="0" w:color="auto"/>
            <w:right w:val="none" w:sz="0" w:space="0" w:color="auto"/>
          </w:divBdr>
          <w:divsChild>
            <w:div w:id="343822644">
              <w:marLeft w:val="0"/>
              <w:marRight w:val="0"/>
              <w:marTop w:val="0"/>
              <w:marBottom w:val="0"/>
              <w:divBdr>
                <w:top w:val="none" w:sz="0" w:space="0" w:color="auto"/>
                <w:left w:val="none" w:sz="0" w:space="0" w:color="auto"/>
                <w:bottom w:val="none" w:sz="0" w:space="0" w:color="auto"/>
                <w:right w:val="none" w:sz="0" w:space="0" w:color="auto"/>
              </w:divBdr>
              <w:divsChild>
                <w:div w:id="223369666">
                  <w:marLeft w:val="0"/>
                  <w:marRight w:val="0"/>
                  <w:marTop w:val="0"/>
                  <w:marBottom w:val="0"/>
                  <w:divBdr>
                    <w:top w:val="none" w:sz="0" w:space="0" w:color="auto"/>
                    <w:left w:val="none" w:sz="0" w:space="0" w:color="auto"/>
                    <w:bottom w:val="none" w:sz="0" w:space="0" w:color="auto"/>
                    <w:right w:val="none" w:sz="0" w:space="0" w:color="auto"/>
                  </w:divBdr>
                  <w:divsChild>
                    <w:div w:id="365982622">
                      <w:marLeft w:val="1"/>
                      <w:marRight w:val="1"/>
                      <w:marTop w:val="0"/>
                      <w:marBottom w:val="0"/>
                      <w:divBdr>
                        <w:top w:val="none" w:sz="0" w:space="0" w:color="auto"/>
                        <w:left w:val="none" w:sz="0" w:space="0" w:color="auto"/>
                        <w:bottom w:val="none" w:sz="0" w:space="0" w:color="auto"/>
                        <w:right w:val="none" w:sz="0" w:space="0" w:color="auto"/>
                      </w:divBdr>
                      <w:divsChild>
                        <w:div w:id="1459883076">
                          <w:marLeft w:val="0"/>
                          <w:marRight w:val="0"/>
                          <w:marTop w:val="0"/>
                          <w:marBottom w:val="0"/>
                          <w:divBdr>
                            <w:top w:val="none" w:sz="0" w:space="0" w:color="auto"/>
                            <w:left w:val="none" w:sz="0" w:space="0" w:color="auto"/>
                            <w:bottom w:val="none" w:sz="0" w:space="0" w:color="auto"/>
                            <w:right w:val="none" w:sz="0" w:space="0" w:color="auto"/>
                          </w:divBdr>
                          <w:divsChild>
                            <w:div w:id="69814413">
                              <w:marLeft w:val="0"/>
                              <w:marRight w:val="0"/>
                              <w:marTop w:val="0"/>
                              <w:marBottom w:val="360"/>
                              <w:divBdr>
                                <w:top w:val="none" w:sz="0" w:space="0" w:color="auto"/>
                                <w:left w:val="none" w:sz="0" w:space="0" w:color="auto"/>
                                <w:bottom w:val="none" w:sz="0" w:space="0" w:color="auto"/>
                                <w:right w:val="none" w:sz="0" w:space="0" w:color="auto"/>
                              </w:divBdr>
                              <w:divsChild>
                                <w:div w:id="127289579">
                                  <w:marLeft w:val="0"/>
                                  <w:marRight w:val="0"/>
                                  <w:marTop w:val="0"/>
                                  <w:marBottom w:val="0"/>
                                  <w:divBdr>
                                    <w:top w:val="none" w:sz="0" w:space="0" w:color="auto"/>
                                    <w:left w:val="none" w:sz="0" w:space="0" w:color="auto"/>
                                    <w:bottom w:val="none" w:sz="0" w:space="0" w:color="auto"/>
                                    <w:right w:val="none" w:sz="0" w:space="0" w:color="auto"/>
                                  </w:divBdr>
                                  <w:divsChild>
                                    <w:div w:id="1555004451">
                                      <w:marLeft w:val="0"/>
                                      <w:marRight w:val="0"/>
                                      <w:marTop w:val="0"/>
                                      <w:marBottom w:val="0"/>
                                      <w:divBdr>
                                        <w:top w:val="none" w:sz="0" w:space="0" w:color="auto"/>
                                        <w:left w:val="none" w:sz="0" w:space="0" w:color="auto"/>
                                        <w:bottom w:val="none" w:sz="0" w:space="0" w:color="auto"/>
                                        <w:right w:val="none" w:sz="0" w:space="0" w:color="auto"/>
                                      </w:divBdr>
                                      <w:divsChild>
                                        <w:div w:id="981540178">
                                          <w:marLeft w:val="0"/>
                                          <w:marRight w:val="0"/>
                                          <w:marTop w:val="0"/>
                                          <w:marBottom w:val="0"/>
                                          <w:divBdr>
                                            <w:top w:val="none" w:sz="0" w:space="0" w:color="auto"/>
                                            <w:left w:val="none" w:sz="0" w:space="0" w:color="auto"/>
                                            <w:bottom w:val="none" w:sz="0" w:space="0" w:color="auto"/>
                                            <w:right w:val="none" w:sz="0" w:space="0" w:color="auto"/>
                                          </w:divBdr>
                                          <w:divsChild>
                                            <w:div w:id="1197743598">
                                              <w:marLeft w:val="0"/>
                                              <w:marRight w:val="0"/>
                                              <w:marTop w:val="0"/>
                                              <w:marBottom w:val="0"/>
                                              <w:divBdr>
                                                <w:top w:val="none" w:sz="0" w:space="0" w:color="auto"/>
                                                <w:left w:val="none" w:sz="0" w:space="0" w:color="auto"/>
                                                <w:bottom w:val="none" w:sz="0" w:space="0" w:color="auto"/>
                                                <w:right w:val="none" w:sz="0" w:space="0" w:color="auto"/>
                                              </w:divBdr>
                                              <w:divsChild>
                                                <w:div w:id="1143504289">
                                                  <w:marLeft w:val="0"/>
                                                  <w:marRight w:val="0"/>
                                                  <w:marTop w:val="0"/>
                                                  <w:marBottom w:val="0"/>
                                                  <w:divBdr>
                                                    <w:top w:val="none" w:sz="0" w:space="0" w:color="auto"/>
                                                    <w:left w:val="none" w:sz="0" w:space="0" w:color="auto"/>
                                                    <w:bottom w:val="none" w:sz="0" w:space="0" w:color="auto"/>
                                                    <w:right w:val="none" w:sz="0" w:space="0" w:color="auto"/>
                                                  </w:divBdr>
                                                  <w:divsChild>
                                                    <w:div w:id="1083145711">
                                                      <w:marLeft w:val="810"/>
                                                      <w:marRight w:val="810"/>
                                                      <w:marTop w:val="360"/>
                                                      <w:marBottom w:val="0"/>
                                                      <w:divBdr>
                                                        <w:top w:val="none" w:sz="0" w:space="0" w:color="auto"/>
                                                        <w:left w:val="none" w:sz="0" w:space="0" w:color="auto"/>
                                                        <w:bottom w:val="none" w:sz="0" w:space="0" w:color="auto"/>
                                                        <w:right w:val="none" w:sz="0" w:space="0" w:color="auto"/>
                                                      </w:divBdr>
                                                      <w:divsChild>
                                                        <w:div w:id="158547484">
                                                          <w:marLeft w:val="4005"/>
                                                          <w:marRight w:val="810"/>
                                                          <w:marTop w:val="0"/>
                                                          <w:marBottom w:val="0"/>
                                                          <w:divBdr>
                                                            <w:top w:val="none" w:sz="0" w:space="0" w:color="auto"/>
                                                            <w:left w:val="none" w:sz="0" w:space="0" w:color="auto"/>
                                                            <w:bottom w:val="none" w:sz="0" w:space="0" w:color="auto"/>
                                                            <w:right w:val="none" w:sz="0" w:space="0" w:color="auto"/>
                                                          </w:divBdr>
                                                        </w:div>
                                                        <w:div w:id="1648625256">
                                                          <w:marLeft w:val="4005"/>
                                                          <w:marRight w:val="810"/>
                                                          <w:marTop w:val="0"/>
                                                          <w:marBottom w:val="0"/>
                                                          <w:divBdr>
                                                            <w:top w:val="none" w:sz="0" w:space="0" w:color="auto"/>
                                                            <w:left w:val="none" w:sz="0" w:space="0" w:color="auto"/>
                                                            <w:bottom w:val="none" w:sz="0" w:space="0" w:color="auto"/>
                                                            <w:right w:val="none" w:sz="0" w:space="0" w:color="auto"/>
                                                          </w:divBdr>
                                                        </w:div>
                                                      </w:divsChild>
                                                    </w:div>
                                                    <w:div w:id="16298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7217010">
      <w:bodyDiv w:val="1"/>
      <w:marLeft w:val="0"/>
      <w:marRight w:val="0"/>
      <w:marTop w:val="0"/>
      <w:marBottom w:val="0"/>
      <w:divBdr>
        <w:top w:val="none" w:sz="0" w:space="0" w:color="auto"/>
        <w:left w:val="none" w:sz="0" w:space="0" w:color="auto"/>
        <w:bottom w:val="none" w:sz="0" w:space="0" w:color="auto"/>
        <w:right w:val="none" w:sz="0" w:space="0" w:color="auto"/>
      </w:divBdr>
    </w:div>
    <w:div w:id="1457333426">
      <w:bodyDiv w:val="1"/>
      <w:marLeft w:val="0"/>
      <w:marRight w:val="0"/>
      <w:marTop w:val="0"/>
      <w:marBottom w:val="0"/>
      <w:divBdr>
        <w:top w:val="none" w:sz="0" w:space="0" w:color="auto"/>
        <w:left w:val="none" w:sz="0" w:space="0" w:color="auto"/>
        <w:bottom w:val="none" w:sz="0" w:space="0" w:color="auto"/>
        <w:right w:val="none" w:sz="0" w:space="0" w:color="auto"/>
      </w:divBdr>
      <w:divsChild>
        <w:div w:id="779449768">
          <w:marLeft w:val="0"/>
          <w:marRight w:val="0"/>
          <w:marTop w:val="0"/>
          <w:marBottom w:val="0"/>
          <w:divBdr>
            <w:top w:val="none" w:sz="0" w:space="0" w:color="auto"/>
            <w:left w:val="none" w:sz="0" w:space="0" w:color="auto"/>
            <w:bottom w:val="none" w:sz="0" w:space="0" w:color="auto"/>
            <w:right w:val="none" w:sz="0" w:space="0" w:color="auto"/>
          </w:divBdr>
          <w:divsChild>
            <w:div w:id="1455295340">
              <w:marLeft w:val="0"/>
              <w:marRight w:val="0"/>
              <w:marTop w:val="0"/>
              <w:marBottom w:val="0"/>
              <w:divBdr>
                <w:top w:val="none" w:sz="0" w:space="0" w:color="auto"/>
                <w:left w:val="none" w:sz="0" w:space="0" w:color="auto"/>
                <w:bottom w:val="none" w:sz="0" w:space="0" w:color="auto"/>
                <w:right w:val="none" w:sz="0" w:space="0" w:color="auto"/>
              </w:divBdr>
              <w:divsChild>
                <w:div w:id="964776948">
                  <w:marLeft w:val="0"/>
                  <w:marRight w:val="0"/>
                  <w:marTop w:val="0"/>
                  <w:marBottom w:val="0"/>
                  <w:divBdr>
                    <w:top w:val="none" w:sz="0" w:space="0" w:color="auto"/>
                    <w:left w:val="none" w:sz="0" w:space="0" w:color="auto"/>
                    <w:bottom w:val="none" w:sz="0" w:space="0" w:color="auto"/>
                    <w:right w:val="none" w:sz="0" w:space="0" w:color="auto"/>
                  </w:divBdr>
                  <w:divsChild>
                    <w:div w:id="80684676">
                      <w:marLeft w:val="0"/>
                      <w:marRight w:val="0"/>
                      <w:marTop w:val="0"/>
                      <w:marBottom w:val="0"/>
                      <w:divBdr>
                        <w:top w:val="none" w:sz="0" w:space="0" w:color="auto"/>
                        <w:left w:val="none" w:sz="0" w:space="0" w:color="auto"/>
                        <w:bottom w:val="none" w:sz="0" w:space="0" w:color="auto"/>
                        <w:right w:val="none" w:sz="0" w:space="0" w:color="auto"/>
                      </w:divBdr>
                      <w:divsChild>
                        <w:div w:id="825704105">
                          <w:marLeft w:val="0"/>
                          <w:marRight w:val="0"/>
                          <w:marTop w:val="0"/>
                          <w:marBottom w:val="0"/>
                          <w:divBdr>
                            <w:top w:val="none" w:sz="0" w:space="0" w:color="auto"/>
                            <w:left w:val="none" w:sz="0" w:space="0" w:color="auto"/>
                            <w:bottom w:val="none" w:sz="0" w:space="0" w:color="auto"/>
                            <w:right w:val="none" w:sz="0" w:space="0" w:color="auto"/>
                          </w:divBdr>
                          <w:divsChild>
                            <w:div w:id="777528447">
                              <w:marLeft w:val="-225"/>
                              <w:marRight w:val="-225"/>
                              <w:marTop w:val="0"/>
                              <w:marBottom w:val="0"/>
                              <w:divBdr>
                                <w:top w:val="none" w:sz="0" w:space="0" w:color="auto"/>
                                <w:left w:val="none" w:sz="0" w:space="0" w:color="auto"/>
                                <w:bottom w:val="none" w:sz="0" w:space="0" w:color="auto"/>
                                <w:right w:val="none" w:sz="0" w:space="0" w:color="auto"/>
                              </w:divBdr>
                              <w:divsChild>
                                <w:div w:id="1709332841">
                                  <w:marLeft w:val="0"/>
                                  <w:marRight w:val="0"/>
                                  <w:marTop w:val="0"/>
                                  <w:marBottom w:val="0"/>
                                  <w:divBdr>
                                    <w:top w:val="none" w:sz="0" w:space="0" w:color="auto"/>
                                    <w:left w:val="none" w:sz="0" w:space="0" w:color="auto"/>
                                    <w:bottom w:val="none" w:sz="0" w:space="0" w:color="auto"/>
                                    <w:right w:val="none" w:sz="0" w:space="0" w:color="auto"/>
                                  </w:divBdr>
                                  <w:divsChild>
                                    <w:div w:id="208689815">
                                      <w:marLeft w:val="-225"/>
                                      <w:marRight w:val="-225"/>
                                      <w:marTop w:val="0"/>
                                      <w:marBottom w:val="0"/>
                                      <w:divBdr>
                                        <w:top w:val="none" w:sz="0" w:space="0" w:color="auto"/>
                                        <w:left w:val="none" w:sz="0" w:space="0" w:color="auto"/>
                                        <w:bottom w:val="none" w:sz="0" w:space="0" w:color="auto"/>
                                        <w:right w:val="none" w:sz="0" w:space="0" w:color="auto"/>
                                      </w:divBdr>
                                      <w:divsChild>
                                        <w:div w:id="1459256145">
                                          <w:marLeft w:val="0"/>
                                          <w:marRight w:val="0"/>
                                          <w:marTop w:val="0"/>
                                          <w:marBottom w:val="0"/>
                                          <w:divBdr>
                                            <w:top w:val="none" w:sz="0" w:space="0" w:color="auto"/>
                                            <w:left w:val="none" w:sz="0" w:space="0" w:color="auto"/>
                                            <w:bottom w:val="none" w:sz="0" w:space="0" w:color="auto"/>
                                            <w:right w:val="none" w:sz="0" w:space="0" w:color="auto"/>
                                          </w:divBdr>
                                          <w:divsChild>
                                            <w:div w:id="933829229">
                                              <w:marLeft w:val="0"/>
                                              <w:marRight w:val="0"/>
                                              <w:marTop w:val="0"/>
                                              <w:marBottom w:val="0"/>
                                              <w:divBdr>
                                                <w:top w:val="none" w:sz="0" w:space="0" w:color="auto"/>
                                                <w:left w:val="none" w:sz="0" w:space="0" w:color="auto"/>
                                                <w:bottom w:val="none" w:sz="0" w:space="0" w:color="auto"/>
                                                <w:right w:val="none" w:sz="0" w:space="0" w:color="auto"/>
                                              </w:divBdr>
                                              <w:divsChild>
                                                <w:div w:id="704214072">
                                                  <w:marLeft w:val="-225"/>
                                                  <w:marRight w:val="-225"/>
                                                  <w:marTop w:val="0"/>
                                                  <w:marBottom w:val="0"/>
                                                  <w:divBdr>
                                                    <w:top w:val="none" w:sz="0" w:space="0" w:color="auto"/>
                                                    <w:left w:val="none" w:sz="0" w:space="0" w:color="auto"/>
                                                    <w:bottom w:val="none" w:sz="0" w:space="0" w:color="auto"/>
                                                    <w:right w:val="none" w:sz="0" w:space="0" w:color="auto"/>
                                                  </w:divBdr>
                                                  <w:divsChild>
                                                    <w:div w:id="739518054">
                                                      <w:marLeft w:val="0"/>
                                                      <w:marRight w:val="0"/>
                                                      <w:marTop w:val="0"/>
                                                      <w:marBottom w:val="0"/>
                                                      <w:divBdr>
                                                        <w:top w:val="none" w:sz="0" w:space="0" w:color="auto"/>
                                                        <w:left w:val="none" w:sz="0" w:space="0" w:color="auto"/>
                                                        <w:bottom w:val="none" w:sz="0" w:space="0" w:color="auto"/>
                                                        <w:right w:val="none" w:sz="0" w:space="0" w:color="auto"/>
                                                      </w:divBdr>
                                                      <w:divsChild>
                                                        <w:div w:id="1341278835">
                                                          <w:marLeft w:val="-225"/>
                                                          <w:marRight w:val="-225"/>
                                                          <w:marTop w:val="0"/>
                                                          <w:marBottom w:val="0"/>
                                                          <w:divBdr>
                                                            <w:top w:val="none" w:sz="0" w:space="0" w:color="auto"/>
                                                            <w:left w:val="none" w:sz="0" w:space="0" w:color="auto"/>
                                                            <w:bottom w:val="none" w:sz="0" w:space="0" w:color="auto"/>
                                                            <w:right w:val="none" w:sz="0" w:space="0" w:color="auto"/>
                                                          </w:divBdr>
                                                          <w:divsChild>
                                                            <w:div w:id="898442815">
                                                              <w:marLeft w:val="0"/>
                                                              <w:marRight w:val="0"/>
                                                              <w:marTop w:val="0"/>
                                                              <w:marBottom w:val="0"/>
                                                              <w:divBdr>
                                                                <w:top w:val="none" w:sz="0" w:space="0" w:color="auto"/>
                                                                <w:left w:val="none" w:sz="0" w:space="0" w:color="auto"/>
                                                                <w:bottom w:val="none" w:sz="0" w:space="0" w:color="auto"/>
                                                                <w:right w:val="none" w:sz="0" w:space="0" w:color="auto"/>
                                                              </w:divBdr>
                                                              <w:divsChild>
                                                                <w:div w:id="1491288967">
                                                                  <w:marLeft w:val="0"/>
                                                                  <w:marRight w:val="0"/>
                                                                  <w:marTop w:val="0"/>
                                                                  <w:marBottom w:val="0"/>
                                                                  <w:divBdr>
                                                                    <w:top w:val="none" w:sz="0" w:space="0" w:color="auto"/>
                                                                    <w:left w:val="none" w:sz="0" w:space="0" w:color="auto"/>
                                                                    <w:bottom w:val="none" w:sz="0" w:space="0" w:color="auto"/>
                                                                    <w:right w:val="none" w:sz="0" w:space="0" w:color="auto"/>
                                                                  </w:divBdr>
                                                                  <w:divsChild>
                                                                    <w:div w:id="1946306537">
                                                                      <w:marLeft w:val="0"/>
                                                                      <w:marRight w:val="0"/>
                                                                      <w:marTop w:val="0"/>
                                                                      <w:marBottom w:val="0"/>
                                                                      <w:divBdr>
                                                                        <w:top w:val="none" w:sz="0" w:space="0" w:color="auto"/>
                                                                        <w:left w:val="none" w:sz="0" w:space="0" w:color="auto"/>
                                                                        <w:bottom w:val="none" w:sz="0" w:space="0" w:color="auto"/>
                                                                        <w:right w:val="none" w:sz="0" w:space="0" w:color="auto"/>
                                                                      </w:divBdr>
                                                                      <w:divsChild>
                                                                        <w:div w:id="983580709">
                                                                          <w:marLeft w:val="0"/>
                                                                          <w:marRight w:val="0"/>
                                                                          <w:marTop w:val="0"/>
                                                                          <w:marBottom w:val="0"/>
                                                                          <w:divBdr>
                                                                            <w:top w:val="none" w:sz="0" w:space="0" w:color="auto"/>
                                                                            <w:left w:val="none" w:sz="0" w:space="0" w:color="auto"/>
                                                                            <w:bottom w:val="none" w:sz="0" w:space="0" w:color="auto"/>
                                                                            <w:right w:val="none" w:sz="0" w:space="0" w:color="auto"/>
                                                                          </w:divBdr>
                                                                          <w:divsChild>
                                                                            <w:div w:id="2047219915">
                                                                              <w:marLeft w:val="0"/>
                                                                              <w:marRight w:val="0"/>
                                                                              <w:marTop w:val="0"/>
                                                                              <w:marBottom w:val="0"/>
                                                                              <w:divBdr>
                                                                                <w:top w:val="none" w:sz="0" w:space="0" w:color="auto"/>
                                                                                <w:left w:val="none" w:sz="0" w:space="0" w:color="auto"/>
                                                                                <w:bottom w:val="none" w:sz="0" w:space="0" w:color="auto"/>
                                                                                <w:right w:val="none" w:sz="0" w:space="0" w:color="auto"/>
                                                                              </w:divBdr>
                                                                              <w:divsChild>
                                                                                <w:div w:id="1527712598">
                                                                                  <w:marLeft w:val="0"/>
                                                                                  <w:marRight w:val="0"/>
                                                                                  <w:marTop w:val="0"/>
                                                                                  <w:marBottom w:val="0"/>
                                                                                  <w:divBdr>
                                                                                    <w:top w:val="none" w:sz="0" w:space="0" w:color="auto"/>
                                                                                    <w:left w:val="none" w:sz="0" w:space="0" w:color="auto"/>
                                                                                    <w:bottom w:val="none" w:sz="0" w:space="0" w:color="auto"/>
                                                                                    <w:right w:val="none" w:sz="0" w:space="0" w:color="auto"/>
                                                                                  </w:divBdr>
                                                                                  <w:divsChild>
                                                                                    <w:div w:id="1175801557">
                                                                                      <w:marLeft w:val="0"/>
                                                                                      <w:marRight w:val="0"/>
                                                                                      <w:marTop w:val="0"/>
                                                                                      <w:marBottom w:val="0"/>
                                                                                      <w:divBdr>
                                                                                        <w:top w:val="none" w:sz="0" w:space="0" w:color="auto"/>
                                                                                        <w:left w:val="none" w:sz="0" w:space="0" w:color="auto"/>
                                                                                        <w:bottom w:val="none" w:sz="0" w:space="0" w:color="auto"/>
                                                                                        <w:right w:val="none" w:sz="0" w:space="0" w:color="auto"/>
                                                                                      </w:divBdr>
                                                                                      <w:divsChild>
                                                                                        <w:div w:id="309484222">
                                                                                          <w:marLeft w:val="0"/>
                                                                                          <w:marRight w:val="0"/>
                                                                                          <w:marTop w:val="0"/>
                                                                                          <w:marBottom w:val="0"/>
                                                                                          <w:divBdr>
                                                                                            <w:top w:val="none" w:sz="0" w:space="0" w:color="auto"/>
                                                                                            <w:left w:val="none" w:sz="0" w:space="0" w:color="auto"/>
                                                                                            <w:bottom w:val="dotted" w:sz="6" w:space="0" w:color="CCCCCC"/>
                                                                                            <w:right w:val="none" w:sz="0" w:space="0" w:color="auto"/>
                                                                                          </w:divBdr>
                                                                                          <w:divsChild>
                                                                                            <w:div w:id="1988243169">
                                                                                              <w:marLeft w:val="0"/>
                                                                                              <w:marRight w:val="0"/>
                                                                                              <w:marTop w:val="0"/>
                                                                                              <w:marBottom w:val="0"/>
                                                                                              <w:divBdr>
                                                                                                <w:top w:val="none" w:sz="0" w:space="0" w:color="auto"/>
                                                                                                <w:left w:val="none" w:sz="0" w:space="0" w:color="auto"/>
                                                                                                <w:bottom w:val="none" w:sz="0" w:space="0" w:color="auto"/>
                                                                                                <w:right w:val="none" w:sz="0" w:space="0" w:color="auto"/>
                                                                                              </w:divBdr>
                                                                                              <w:divsChild>
                                                                                                <w:div w:id="12348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9F6C-3279-4F77-BB2F-F5A5720A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2648</Words>
  <Characters>16660</Characters>
  <Application>Microsoft Office Word</Application>
  <DocSecurity>0</DocSecurity>
  <Lines>320</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23</cp:revision>
  <cp:lastPrinted>2016-09-21T14:57:00Z</cp:lastPrinted>
  <dcterms:created xsi:type="dcterms:W3CDTF">2016-09-23T10:08:00Z</dcterms:created>
  <dcterms:modified xsi:type="dcterms:W3CDTF">2016-10-03T15:18:00Z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