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6CCA1F20677475B86DB36DB60D493D4" style="width:450.8pt;height:325.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before="120" w:after="120"/>
        <w:jc w:val="both"/>
        <w:rPr>
          <w:rFonts w:ascii="Times New Roman" w:hAnsi="Times New Roman" w:cs="Times New Roman"/>
          <w:noProof/>
          <w:sz w:val="24"/>
          <w:szCs w:val="24"/>
        </w:rPr>
      </w:pPr>
      <w:bookmarkStart w:id="1" w:name="_GoBack"/>
      <w:bookmarkEnd w:id="1"/>
    </w:p>
    <w:p>
      <w:pPr>
        <w:spacing w:before="120" w:after="120"/>
        <w:jc w:val="both"/>
        <w:rPr>
          <w:rFonts w:ascii="Times New Roman" w:hAnsi="Times New Roman" w:cs="Times New Roman"/>
          <w:noProof/>
          <w:sz w:val="24"/>
          <w:szCs w:val="24"/>
        </w:rPr>
      </w:pPr>
      <w:r>
        <w:rPr>
          <w:rFonts w:ascii="Times New Roman" w:hAnsi="Times New Roman"/>
          <w:noProof/>
          <w:sz w:val="24"/>
        </w:rPr>
        <w:t>DAS EUROPÄISCHE PARLAMENT, DER RAT DER EUROPÄISCHEN UNION UND DIE EUROPÄISCHE KOMMISSION –</w:t>
      </w:r>
    </w:p>
    <w:p>
      <w:pPr>
        <w:jc w:val="both"/>
        <w:rPr>
          <w:rFonts w:ascii="Times New Roman" w:hAnsi="Times New Roman" w:cs="Times New Roman"/>
          <w:noProof/>
          <w:sz w:val="24"/>
          <w:szCs w:val="24"/>
        </w:rPr>
      </w:pPr>
      <w:r>
        <w:rPr>
          <w:rFonts w:ascii="Times New Roman" w:hAnsi="Times New Roman"/>
          <w:noProof/>
          <w:sz w:val="24"/>
        </w:rPr>
        <w:t>gestützt auf den Vertrag über die Arbeitsweise der Europäischen Union (AEUV), insbesondere auf Artikel 295, und den Vertrag zur Gründung der Europäischen Atomgemeinschaft (EURATOM), insbesondere Artikel 106a,</w:t>
      </w:r>
    </w:p>
    <w:p>
      <w:pPr>
        <w:jc w:val="both"/>
        <w:rPr>
          <w:rFonts w:ascii="Times New Roman" w:hAnsi="Times New Roman" w:cs="Times New Roman"/>
          <w:noProof/>
          <w:sz w:val="24"/>
          <w:szCs w:val="24"/>
        </w:rPr>
      </w:pPr>
      <w:r>
        <w:rPr>
          <w:rFonts w:ascii="Times New Roman" w:hAnsi="Times New Roman"/>
          <w:noProof/>
          <w:sz w:val="24"/>
        </w:rPr>
        <w:t xml:space="preserve">in Erwägung nachstehender Gründe: </w:t>
      </w:r>
    </w:p>
    <w:p>
      <w:pPr>
        <w:jc w:val="both"/>
        <w:rPr>
          <w:rFonts w:ascii="Times New Roman" w:hAnsi="Times New Roman" w:cs="Times New Roman"/>
          <w:noProof/>
          <w:sz w:val="24"/>
          <w:szCs w:val="24"/>
        </w:rPr>
      </w:pPr>
      <w:r>
        <w:rPr>
          <w:rFonts w:ascii="Times New Roman" w:hAnsi="Times New Roman"/>
          <w:noProof/>
          <w:sz w:val="24"/>
        </w:rPr>
        <w:t>1) Das Europäische Parlament, der Rat der Europäischen Union und die Europäische Kommission (nachstehend „die drei Organe“) pflegen im Einklang mit dem Vertrag über die Europäische Union (EUV), insbesondere mit Artikel 11 Absätze 1 und 2, einen offenen, transparenten und regelmäßigen Dialog mit den repräsentativen Verbänden und der Zivilgesellschaft.</w:t>
      </w:r>
    </w:p>
    <w:p>
      <w:pPr>
        <w:jc w:val="both"/>
        <w:rPr>
          <w:rFonts w:ascii="Times New Roman" w:hAnsi="Times New Roman" w:cs="Times New Roman"/>
          <w:noProof/>
          <w:sz w:val="24"/>
          <w:szCs w:val="24"/>
        </w:rPr>
      </w:pPr>
      <w:r>
        <w:rPr>
          <w:rFonts w:ascii="Times New Roman" w:hAnsi="Times New Roman"/>
          <w:noProof/>
          <w:sz w:val="24"/>
        </w:rPr>
        <w:t>2) Diese Offenheit ermöglicht allen Interessenträgern, ihre Ansichten zu Beschlüssen, die sich auf sie auswirken können, vorzubringen und damit zu der Faktengrundlage beizutragen, auf der Vorschläge für politische Maßnahmen erarbeitet werden. Durch die Zusammenarbeit mit den Interessenträgern, über die Auffassungen und Fachwissen von außen einfließen können, wird die Qualität der Entscheidungsfindung verbessert.</w:t>
      </w:r>
    </w:p>
    <w:p>
      <w:pPr>
        <w:jc w:val="both"/>
        <w:rPr>
          <w:rFonts w:ascii="Times New Roman" w:hAnsi="Times New Roman" w:cs="Times New Roman"/>
          <w:noProof/>
          <w:sz w:val="24"/>
          <w:szCs w:val="24"/>
        </w:rPr>
      </w:pPr>
      <w:r>
        <w:rPr>
          <w:rFonts w:ascii="Times New Roman" w:hAnsi="Times New Roman"/>
          <w:noProof/>
          <w:sz w:val="24"/>
        </w:rPr>
        <w:t>3) Die drei Organe bekräftigen, dass Transparenz und Rechenschaftspflicht wesentliche Voraussetzungen sind, und das Vertrauen der europäischen Bürgerinnen und Bürger in die Legitimität der Politik-, Gesetzgebungs- und Verwaltungsprozesse in der Union zu wahren.</w:t>
      </w:r>
    </w:p>
    <w:p>
      <w:pPr>
        <w:jc w:val="both"/>
        <w:rPr>
          <w:rFonts w:ascii="Times New Roman" w:hAnsi="Times New Roman" w:cs="Times New Roman"/>
          <w:noProof/>
          <w:sz w:val="24"/>
          <w:szCs w:val="24"/>
        </w:rPr>
      </w:pPr>
      <w:r>
        <w:rPr>
          <w:rFonts w:ascii="Times New Roman" w:hAnsi="Times New Roman"/>
          <w:noProof/>
          <w:sz w:val="24"/>
        </w:rPr>
        <w:t>4) Die Transparenz der Interessenvertretung ist insbesondere wichtig, damit die Bürgerinnen und Bürger die Aktivitäten und den möglichen Einfluss von Interessenvertretern nachverfolgen können.</w:t>
      </w:r>
      <w:r>
        <w:rPr>
          <w:noProof/>
        </w:rPr>
        <w:t xml:space="preserve"> </w:t>
      </w:r>
      <w:r>
        <w:rPr>
          <w:rFonts w:ascii="Times New Roman" w:hAnsi="Times New Roman"/>
          <w:noProof/>
          <w:sz w:val="24"/>
        </w:rPr>
        <w:t>Nach Auffassung der drei Organe wird diese Transparenz am besten durch einen Verhaltenskodex gewährleistet, an dessen Regeln und Grundsätze sich die Interessenvertreter durch die Eintragung in ein Transparenzregister binden.</w:t>
      </w:r>
    </w:p>
    <w:p>
      <w:pPr>
        <w:jc w:val="both"/>
        <w:rPr>
          <w:rFonts w:ascii="Times New Roman" w:hAnsi="Times New Roman" w:cs="Times New Roman"/>
          <w:noProof/>
          <w:sz w:val="24"/>
          <w:szCs w:val="24"/>
        </w:rPr>
      </w:pPr>
      <w:r>
        <w:rPr>
          <w:rFonts w:ascii="Times New Roman" w:hAnsi="Times New Roman"/>
          <w:noProof/>
          <w:sz w:val="24"/>
        </w:rPr>
        <w:t>5) Angesichts der positiven Erfahrungen mit dem durch die Vereinbarung zwischen dem Europäischen Parlament und der Europäischen Kommission vom 16. April 2014</w:t>
      </w:r>
      <w:r>
        <w:rPr>
          <w:rStyle w:val="FootnoteReference"/>
          <w:rFonts w:ascii="Times New Roman" w:hAnsi="Times New Roman"/>
          <w:noProof/>
          <w:sz w:val="24"/>
        </w:rPr>
        <w:footnoteReference w:id="1"/>
      </w:r>
      <w:r>
        <w:rPr>
          <w:rFonts w:ascii="Times New Roman" w:hAnsi="Times New Roman"/>
          <w:noProof/>
          <w:sz w:val="24"/>
        </w:rPr>
        <w:t xml:space="preserve"> eingerichteten Transparenz-Register für Organisationen und selbstständige Einzelpersonen, die sich mit der Gestaltung und Umsetzung von EU-Politik befassen, sind die drei Organe zu der Auffassung gelangt, dass diese Vereinbarung in angemessener Form erweitert werden sollte.</w:t>
      </w:r>
    </w:p>
    <w:p>
      <w:pPr>
        <w:jc w:val="both"/>
        <w:rPr>
          <w:rFonts w:ascii="Times New Roman" w:hAnsi="Times New Roman" w:cs="Times New Roman"/>
          <w:noProof/>
          <w:sz w:val="24"/>
          <w:szCs w:val="24"/>
        </w:rPr>
      </w:pPr>
      <w:r>
        <w:rPr>
          <w:rFonts w:ascii="Times New Roman" w:hAnsi="Times New Roman"/>
          <w:noProof/>
          <w:sz w:val="24"/>
        </w:rPr>
        <w:t xml:space="preserve">6) Die drei Organe erkennen die Notwendigkeit der Einrichtung eines verbindlichen Transparenzregisters (nachstehend: das „Register“) an, indem bestimmte Formen der Zusammenarbeit von einer vorherigen Registrierung abhängig gemacht werden, womit die Registrierung de facto zu einer Vorbedingung für die Interessenvertretung würde; auf diese </w:t>
      </w:r>
      <w:r>
        <w:rPr>
          <w:rFonts w:ascii="Times New Roman" w:hAnsi="Times New Roman"/>
          <w:noProof/>
          <w:sz w:val="24"/>
        </w:rPr>
        <w:lastRenderedPageBreak/>
        <w:t>Weise wäre gewährleistet, dass diese Interessenvertretung mit den Regeln und Grundsätzen des Verhaltenskodexes in Einklang steht.</w:t>
      </w:r>
    </w:p>
    <w:p>
      <w:pPr>
        <w:jc w:val="both"/>
        <w:rPr>
          <w:rFonts w:ascii="Times New Roman" w:hAnsi="Times New Roman" w:cs="Times New Roman"/>
          <w:noProof/>
          <w:sz w:val="24"/>
          <w:szCs w:val="24"/>
        </w:rPr>
      </w:pPr>
      <w:r>
        <w:rPr>
          <w:rFonts w:ascii="Times New Roman" w:hAnsi="Times New Roman"/>
          <w:noProof/>
          <w:sz w:val="24"/>
        </w:rPr>
        <w:t>7) Die drei Organe kommen dem Bedürfnis nach, entsprechend der Entschließung des Europäischen Parlaments vom 28. April 2016 zu dem Zugang der Öffentlichkeit zu Dokumenten</w:t>
      </w:r>
      <w:r>
        <w:rPr>
          <w:rStyle w:val="FootnoteReference"/>
          <w:rFonts w:ascii="Times New Roman" w:hAnsi="Times New Roman"/>
          <w:noProof/>
          <w:sz w:val="24"/>
        </w:rPr>
        <w:footnoteReference w:id="2"/>
      </w:r>
      <w:r>
        <w:rPr>
          <w:rFonts w:ascii="Times New Roman" w:hAnsi="Times New Roman"/>
          <w:noProof/>
          <w:sz w:val="24"/>
        </w:rPr>
        <w:t xml:space="preserve"> möglichst rasch eine interinstitutionelle Vereinbarung über die Einrichtung eines verbindlichen Registers zu schließen.</w:t>
      </w:r>
    </w:p>
    <w:p>
      <w:pPr>
        <w:jc w:val="both"/>
        <w:rPr>
          <w:rFonts w:ascii="Times New Roman" w:hAnsi="Times New Roman" w:cs="Times New Roman"/>
          <w:noProof/>
          <w:sz w:val="24"/>
          <w:szCs w:val="24"/>
        </w:rPr>
      </w:pPr>
      <w:r>
        <w:rPr>
          <w:rFonts w:ascii="Times New Roman" w:hAnsi="Times New Roman"/>
          <w:noProof/>
          <w:sz w:val="24"/>
        </w:rPr>
        <w:t>8) Die Verwaltung dieses Registers hat unbeschadet der künftigen Vereinbarung der drei Organe über die Modalitäten ihres Beitrags zu den administrativen und finanziellen Ressourcen des Sekretariats des Registers keine Auswirkungen auf ihre Befugnisse oder ihre interne Organisationsgewalt.</w:t>
      </w:r>
    </w:p>
    <w:p>
      <w:pPr>
        <w:jc w:val="both"/>
        <w:rPr>
          <w:rFonts w:ascii="Times New Roman" w:hAnsi="Times New Roman" w:cs="Times New Roman"/>
          <w:noProof/>
          <w:sz w:val="24"/>
          <w:szCs w:val="24"/>
        </w:rPr>
      </w:pPr>
      <w:r>
        <w:rPr>
          <w:rFonts w:ascii="Times New Roman" w:hAnsi="Times New Roman"/>
          <w:noProof/>
          <w:sz w:val="24"/>
        </w:rPr>
        <w:t>9) Die drei Organe verfahren bei der Durchführung dieser Vereinbarung nach dem Grundsatz der loyalen Zusammenarbeit.</w:t>
      </w:r>
    </w:p>
    <w:p>
      <w:pPr>
        <w:jc w:val="both"/>
        <w:rPr>
          <w:rFonts w:ascii="Times New Roman" w:hAnsi="Times New Roman" w:cs="Times New Roman"/>
          <w:noProof/>
          <w:sz w:val="24"/>
          <w:szCs w:val="24"/>
        </w:rPr>
      </w:pPr>
      <w:r>
        <w:rPr>
          <w:rFonts w:ascii="Times New Roman" w:hAnsi="Times New Roman"/>
          <w:noProof/>
          <w:sz w:val="24"/>
        </w:rPr>
        <w:t>10) Die drei Organe können außerhalb des Rahmens dieser Vereinbarung weitere Maßnahmen im Bereich der Transparenz und des guten Verwaltungshandelns ergreifen, soweit diese nicht mit der Durchführung dieser Vereinbarung oder ihren Zielen kollidieren.</w:t>
      </w:r>
    </w:p>
    <w:p>
      <w:pPr>
        <w:jc w:val="both"/>
        <w:rPr>
          <w:rFonts w:ascii="Times New Roman" w:hAnsi="Times New Roman" w:cs="Times New Roman"/>
          <w:noProof/>
          <w:sz w:val="24"/>
          <w:szCs w:val="24"/>
        </w:rPr>
      </w:pPr>
      <w:r>
        <w:rPr>
          <w:rFonts w:ascii="Times New Roman" w:hAnsi="Times New Roman"/>
          <w:noProof/>
          <w:sz w:val="24"/>
        </w:rPr>
        <w:t>11) Diese Vereinbarung berührt nicht die Ausübung von Rechten gemäß Artikel 11 Absatz 4 EUV (europäische Bürgerinitiative) und Artikel 227 AEUV (Recht zur Petition an das Europäische Parlament) –</w:t>
      </w:r>
    </w:p>
    <w:p>
      <w:pPr>
        <w:rPr>
          <w:rFonts w:ascii="Times New Roman" w:hAnsi="Times New Roman" w:cs="Times New Roman"/>
          <w:noProof/>
          <w:sz w:val="24"/>
          <w:szCs w:val="24"/>
        </w:rPr>
      </w:pPr>
      <w:r>
        <w:rPr>
          <w:rFonts w:ascii="Times New Roman" w:hAnsi="Times New Roman"/>
          <w:noProof/>
          <w:sz w:val="24"/>
        </w:rPr>
        <w:t>VEREINBAREN FOLGENDES:</w:t>
      </w:r>
    </w:p>
    <w:p>
      <w:pPr>
        <w:pStyle w:val="article"/>
        <w:rPr>
          <w:noProof/>
        </w:rPr>
      </w:pPr>
      <w:r>
        <w:rPr>
          <w:noProof/>
        </w:rPr>
        <w:t>Artikel 1</w:t>
      </w:r>
    </w:p>
    <w:p>
      <w:pPr>
        <w:jc w:val="center"/>
        <w:rPr>
          <w:rFonts w:ascii="Times New Roman" w:hAnsi="Times New Roman" w:cs="Times New Roman"/>
          <w:b/>
          <w:noProof/>
          <w:sz w:val="24"/>
          <w:szCs w:val="24"/>
        </w:rPr>
      </w:pPr>
      <w:r>
        <w:rPr>
          <w:rFonts w:ascii="Times New Roman" w:hAnsi="Times New Roman"/>
          <w:b/>
          <w:noProof/>
          <w:sz w:val="24"/>
        </w:rPr>
        <w:t>Zweck und Geltungsbereich der interinstitutionellen Vereinbarung</w:t>
      </w:r>
    </w:p>
    <w:p>
      <w:pPr>
        <w:jc w:val="both"/>
        <w:rPr>
          <w:rFonts w:ascii="Times New Roman" w:hAnsi="Times New Roman" w:cs="Times New Roman"/>
          <w:noProof/>
          <w:sz w:val="24"/>
          <w:szCs w:val="24"/>
        </w:rPr>
      </w:pPr>
      <w:r>
        <w:rPr>
          <w:rFonts w:ascii="Times New Roman" w:hAnsi="Times New Roman"/>
          <w:noProof/>
          <w:sz w:val="24"/>
        </w:rPr>
        <w:t xml:space="preserve">Diese interinstitutionelle Vereinbarung bildet den Rahmen für eine transparente und ethischen Grundsätzen entsprechende Zusammenarbeit zwischen Interessenvertretern, die einer von dieser Vereinbarung erfassten Tätigkeit nachgehen, und den drei Organen. </w:t>
      </w:r>
    </w:p>
    <w:p>
      <w:pPr>
        <w:jc w:val="center"/>
        <w:rPr>
          <w:rFonts w:ascii="Times New Roman" w:hAnsi="Times New Roman" w:cs="Times New Roman"/>
          <w:noProof/>
          <w:sz w:val="24"/>
          <w:szCs w:val="24"/>
        </w:rPr>
      </w:pPr>
      <w:r>
        <w:rPr>
          <w:rFonts w:ascii="Times New Roman" w:hAnsi="Times New Roman"/>
          <w:noProof/>
          <w:sz w:val="24"/>
        </w:rPr>
        <w:t>Artikel 2</w:t>
      </w:r>
    </w:p>
    <w:p>
      <w:pPr>
        <w:jc w:val="center"/>
        <w:rPr>
          <w:rFonts w:ascii="Times New Roman" w:hAnsi="Times New Roman" w:cs="Times New Roman"/>
          <w:noProof/>
          <w:color w:val="0070C0"/>
          <w:sz w:val="24"/>
          <w:szCs w:val="24"/>
        </w:rPr>
      </w:pPr>
      <w:r>
        <w:rPr>
          <w:rFonts w:ascii="Times New Roman" w:hAnsi="Times New Roman"/>
          <w:b/>
          <w:noProof/>
          <w:sz w:val="24"/>
        </w:rPr>
        <w:t>Begriffsbestimmungen</w:t>
      </w:r>
    </w:p>
    <w:p>
      <w:pPr>
        <w:jc w:val="both"/>
        <w:rPr>
          <w:rFonts w:ascii="Times New Roman" w:hAnsi="Times New Roman" w:cs="Times New Roman"/>
          <w:noProof/>
          <w:sz w:val="24"/>
          <w:szCs w:val="24"/>
        </w:rPr>
      </w:pPr>
      <w:r>
        <w:rPr>
          <w:rFonts w:ascii="Times New Roman" w:hAnsi="Times New Roman"/>
          <w:noProof/>
          <w:sz w:val="24"/>
        </w:rPr>
        <w:t>Im Sinne dieser interinstitutionellen Vereinbarung bezeichnet der Ausdruck</w:t>
      </w:r>
    </w:p>
    <w:p>
      <w:pPr>
        <w:jc w:val="both"/>
        <w:rPr>
          <w:rFonts w:ascii="Times New Roman" w:hAnsi="Times New Roman" w:cs="Times New Roman"/>
          <w:noProof/>
          <w:sz w:val="24"/>
          <w:szCs w:val="24"/>
        </w:rPr>
      </w:pPr>
      <w:r>
        <w:rPr>
          <w:rFonts w:ascii="Times New Roman" w:hAnsi="Times New Roman"/>
          <w:noProof/>
          <w:sz w:val="24"/>
        </w:rPr>
        <w:t xml:space="preserve">a) </w:t>
      </w:r>
      <w:r>
        <w:rPr>
          <w:rFonts w:ascii="Times New Roman" w:hAnsi="Times New Roman"/>
          <w:i/>
          <w:noProof/>
          <w:sz w:val="24"/>
        </w:rPr>
        <w:t>„Interessenvertreter“</w:t>
      </w:r>
      <w:r>
        <w:rPr>
          <w:rFonts w:ascii="Times New Roman" w:hAnsi="Times New Roman"/>
          <w:noProof/>
          <w:sz w:val="24"/>
        </w:rPr>
        <w:t xml:space="preserve"> jede natürliche oder juristische Person, förmliche oder formlose Gruppierung, Vereinigung oder Zusammenschlüsse davon, die einer von dieser Vereinbarung erfassten Tätigkeit nachgehen; </w:t>
      </w:r>
    </w:p>
    <w:p>
      <w:pPr>
        <w:jc w:val="both"/>
        <w:rPr>
          <w:rFonts w:ascii="Times New Roman" w:hAnsi="Times New Roman" w:cs="Times New Roman"/>
          <w:noProof/>
          <w:sz w:val="24"/>
          <w:szCs w:val="24"/>
        </w:rPr>
      </w:pPr>
      <w:r>
        <w:rPr>
          <w:rFonts w:ascii="Times New Roman" w:hAnsi="Times New Roman"/>
          <w:noProof/>
          <w:sz w:val="24"/>
        </w:rPr>
        <w:t xml:space="preserve">b) </w:t>
      </w:r>
      <w:r>
        <w:rPr>
          <w:rFonts w:ascii="Times New Roman" w:hAnsi="Times New Roman"/>
          <w:i/>
          <w:noProof/>
          <w:sz w:val="24"/>
        </w:rPr>
        <w:t>„Antragsteller“</w:t>
      </w:r>
      <w:r>
        <w:rPr>
          <w:rFonts w:ascii="Times New Roman" w:hAnsi="Times New Roman"/>
          <w:noProof/>
          <w:sz w:val="24"/>
        </w:rPr>
        <w:t xml:space="preserve"> jeden Interessenvertreter, der einen Antrag auf Eintrag in das Register stellt;</w:t>
      </w:r>
    </w:p>
    <w:p>
      <w:pPr>
        <w:jc w:val="both"/>
        <w:rPr>
          <w:rFonts w:ascii="Times New Roman" w:hAnsi="Times New Roman" w:cs="Times New Roman"/>
          <w:noProof/>
          <w:sz w:val="24"/>
          <w:szCs w:val="24"/>
        </w:rPr>
      </w:pPr>
      <w:r>
        <w:rPr>
          <w:rFonts w:ascii="Times New Roman" w:hAnsi="Times New Roman"/>
          <w:noProof/>
          <w:sz w:val="24"/>
        </w:rPr>
        <w:t xml:space="preserve">c) </w:t>
      </w:r>
      <w:r>
        <w:rPr>
          <w:rFonts w:ascii="Times New Roman" w:hAnsi="Times New Roman"/>
          <w:i/>
          <w:noProof/>
          <w:sz w:val="24"/>
        </w:rPr>
        <w:t>„registrierter Interessenvertreter“</w:t>
      </w:r>
      <w:r>
        <w:rPr>
          <w:rFonts w:ascii="Times New Roman" w:hAnsi="Times New Roman"/>
          <w:noProof/>
          <w:sz w:val="24"/>
        </w:rPr>
        <w:t xml:space="preserve"> jeden im Register verzeichneten Interessenvertreter; </w:t>
      </w:r>
    </w:p>
    <w:p>
      <w:pPr>
        <w:jc w:val="both"/>
        <w:rPr>
          <w:rFonts w:ascii="Times New Roman" w:hAnsi="Times New Roman" w:cs="Times New Roman"/>
          <w:noProof/>
          <w:sz w:val="24"/>
          <w:szCs w:val="24"/>
        </w:rPr>
      </w:pPr>
      <w:r>
        <w:rPr>
          <w:rFonts w:ascii="Times New Roman" w:hAnsi="Times New Roman"/>
          <w:noProof/>
          <w:sz w:val="24"/>
        </w:rPr>
        <w:t xml:space="preserve">d) </w:t>
      </w:r>
      <w:r>
        <w:rPr>
          <w:rFonts w:ascii="Times New Roman" w:hAnsi="Times New Roman"/>
          <w:i/>
          <w:noProof/>
          <w:sz w:val="24"/>
        </w:rPr>
        <w:t>„Mandant“</w:t>
      </w:r>
      <w:r>
        <w:rPr>
          <w:rFonts w:ascii="Times New Roman" w:hAnsi="Times New Roman"/>
          <w:noProof/>
          <w:sz w:val="24"/>
        </w:rPr>
        <w:t xml:space="preserve"> einen Interessenvertreter, der einen Mittler mit der Wahrnehmung seiner Interessen gegenüber einem oder mehreren der drei Organe betraut hat;</w:t>
      </w:r>
    </w:p>
    <w:p>
      <w:pPr>
        <w:jc w:val="both"/>
        <w:rPr>
          <w:rFonts w:ascii="Times New Roman" w:hAnsi="Times New Roman" w:cs="Times New Roman"/>
          <w:noProof/>
          <w:sz w:val="24"/>
          <w:szCs w:val="24"/>
        </w:rPr>
      </w:pPr>
      <w:r>
        <w:rPr>
          <w:rFonts w:ascii="Times New Roman" w:hAnsi="Times New Roman"/>
          <w:noProof/>
          <w:sz w:val="24"/>
        </w:rPr>
        <w:t xml:space="preserve">e) </w:t>
      </w:r>
      <w:r>
        <w:rPr>
          <w:rFonts w:ascii="Times New Roman" w:hAnsi="Times New Roman"/>
          <w:i/>
          <w:noProof/>
          <w:sz w:val="24"/>
        </w:rPr>
        <w:t>„Mittler“</w:t>
      </w:r>
      <w:r>
        <w:rPr>
          <w:rFonts w:ascii="Times New Roman" w:hAnsi="Times New Roman"/>
          <w:noProof/>
          <w:sz w:val="24"/>
        </w:rPr>
        <w:t xml:space="preserve"> einen Interessenvertreter, der die Interessen einen Mandanten gegenüber einem oder mehreren der drei Organe wahrnimmt;</w:t>
      </w:r>
    </w:p>
    <w:p>
      <w:pPr>
        <w:jc w:val="both"/>
        <w:rPr>
          <w:rFonts w:ascii="Times New Roman" w:hAnsi="Times New Roman" w:cs="Times New Roman"/>
          <w:noProof/>
          <w:sz w:val="24"/>
          <w:szCs w:val="24"/>
        </w:rPr>
      </w:pPr>
      <w:r>
        <w:rPr>
          <w:rFonts w:ascii="Times New Roman" w:hAnsi="Times New Roman"/>
          <w:noProof/>
          <w:sz w:val="24"/>
        </w:rPr>
        <w:t xml:space="preserve">f) </w:t>
      </w:r>
      <w:r>
        <w:rPr>
          <w:rFonts w:ascii="Times New Roman" w:hAnsi="Times New Roman"/>
          <w:i/>
          <w:noProof/>
          <w:sz w:val="24"/>
        </w:rPr>
        <w:t>„Mandant-Mittler-Beziehung“</w:t>
      </w:r>
      <w:r>
        <w:rPr>
          <w:rFonts w:ascii="Times New Roman" w:hAnsi="Times New Roman"/>
          <w:noProof/>
          <w:sz w:val="24"/>
        </w:rPr>
        <w:t xml:space="preserve"> jede vertragliche Beziehung zwischen einem Mandanten und einem oder mehreren Dienstleistern/Untervertragnehmern, die die Ausübung einer von dieser Vereinbarung erfassten Tätigkeit zum Gegenstand hat. </w:t>
      </w:r>
    </w:p>
    <w:p>
      <w:pPr>
        <w:jc w:val="both"/>
        <w:rPr>
          <w:rFonts w:ascii="Times New Roman" w:hAnsi="Times New Roman" w:cs="Times New Roman"/>
          <w:noProof/>
          <w:sz w:val="24"/>
          <w:szCs w:val="24"/>
        </w:rPr>
      </w:pPr>
      <w:r>
        <w:rPr>
          <w:rFonts w:ascii="Times New Roman" w:hAnsi="Times New Roman"/>
          <w:noProof/>
          <w:sz w:val="24"/>
        </w:rPr>
        <w:t xml:space="preserve">g) </w:t>
      </w:r>
      <w:r>
        <w:rPr>
          <w:rFonts w:ascii="Times New Roman" w:hAnsi="Times New Roman"/>
          <w:i/>
          <w:noProof/>
          <w:sz w:val="24"/>
        </w:rPr>
        <w:t>„Beamte“</w:t>
      </w:r>
      <w:r>
        <w:rPr>
          <w:rFonts w:ascii="Times New Roman" w:hAnsi="Times New Roman"/>
          <w:noProof/>
          <w:sz w:val="24"/>
        </w:rPr>
        <w:t xml:space="preserve"> sämtliche Bedienstete der drei Organe ungeachtet ihrer dienstrechtlichen Stellung.</w:t>
      </w:r>
    </w:p>
    <w:p>
      <w:pPr>
        <w:jc w:val="center"/>
        <w:rPr>
          <w:rFonts w:ascii="Times New Roman" w:hAnsi="Times New Roman" w:cs="Times New Roman"/>
          <w:noProof/>
          <w:sz w:val="24"/>
          <w:szCs w:val="24"/>
        </w:rPr>
      </w:pPr>
    </w:p>
    <w:p>
      <w:pPr>
        <w:jc w:val="center"/>
        <w:rPr>
          <w:rFonts w:ascii="Times New Roman" w:hAnsi="Times New Roman" w:cs="Times New Roman"/>
          <w:noProof/>
          <w:color w:val="0070C0"/>
          <w:sz w:val="24"/>
          <w:szCs w:val="24"/>
        </w:rPr>
      </w:pPr>
      <w:r>
        <w:rPr>
          <w:rFonts w:ascii="Times New Roman" w:hAnsi="Times New Roman"/>
          <w:noProof/>
          <w:sz w:val="24"/>
        </w:rPr>
        <w:t>Artikel 3</w:t>
      </w:r>
    </w:p>
    <w:p>
      <w:pPr>
        <w:jc w:val="center"/>
        <w:rPr>
          <w:rFonts w:ascii="Times New Roman" w:hAnsi="Times New Roman" w:cs="Times New Roman"/>
          <w:b/>
          <w:noProof/>
          <w:sz w:val="24"/>
          <w:szCs w:val="24"/>
        </w:rPr>
      </w:pPr>
      <w:r>
        <w:rPr>
          <w:rFonts w:ascii="Times New Roman" w:hAnsi="Times New Roman"/>
          <w:b/>
          <w:noProof/>
          <w:sz w:val="24"/>
        </w:rPr>
        <w:t>Von der interinstitutionellen Vereinbarung erfasste und nicht erfasste Tätigkeiten</w:t>
      </w:r>
    </w:p>
    <w:p>
      <w:pPr>
        <w:jc w:val="both"/>
        <w:rPr>
          <w:rFonts w:ascii="Times New Roman" w:hAnsi="Times New Roman" w:cs="Times New Roman"/>
          <w:noProof/>
          <w:sz w:val="24"/>
          <w:szCs w:val="24"/>
        </w:rPr>
      </w:pPr>
      <w:r>
        <w:rPr>
          <w:rFonts w:ascii="Times New Roman" w:hAnsi="Times New Roman"/>
          <w:noProof/>
          <w:sz w:val="24"/>
        </w:rPr>
        <w:t>1) Diese Vereinbarung gilt für Tätigkeiten, mit denen bestimmte Interessen durch eine Interaktion mit einem oder mehreren der drei Organe, ihren Mitgliedern oder Beamten mit dem Ziel der Einflussnahme auf die Ausarbeitung oder Durchführung politischer oder gesetzgeberischer Vorhaben oder auf den Willensbildungsprozess in diesen Organen gefördert werden, soweit keine der Ausnahmen nach Absatz 2 oder Artikel 4 greift.</w:t>
      </w:r>
    </w:p>
    <w:p>
      <w:pPr>
        <w:jc w:val="both"/>
        <w:rPr>
          <w:rFonts w:ascii="Times New Roman" w:hAnsi="Times New Roman" w:cs="Times New Roman"/>
          <w:noProof/>
          <w:sz w:val="24"/>
          <w:szCs w:val="24"/>
        </w:rPr>
      </w:pPr>
      <w:r>
        <w:rPr>
          <w:rFonts w:ascii="Times New Roman" w:hAnsi="Times New Roman"/>
          <w:noProof/>
          <w:sz w:val="24"/>
        </w:rPr>
        <w:t>2) Folgende Tätigkeiten gelten nicht als Tätigkeiten im Sinne von Absatz 1:</w:t>
      </w:r>
    </w:p>
    <w:p>
      <w:pPr>
        <w:jc w:val="both"/>
        <w:rPr>
          <w:rFonts w:ascii="Times New Roman" w:hAnsi="Times New Roman" w:cs="Times New Roman"/>
          <w:noProof/>
          <w:sz w:val="24"/>
          <w:szCs w:val="24"/>
        </w:rPr>
      </w:pPr>
      <w:r>
        <w:rPr>
          <w:rFonts w:ascii="Times New Roman" w:hAnsi="Times New Roman"/>
          <w:noProof/>
          <w:sz w:val="24"/>
        </w:rPr>
        <w:t>a) Rechtliche oder sonstige fachliche Beratung im Rahmen einer Mandant-Mittler-Beziehung, wenn</w:t>
      </w:r>
    </w:p>
    <w:p>
      <w:pPr>
        <w:ind w:left="709" w:hanging="709"/>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 xml:space="preserve">es sich bei ihnen um eine Vertretung im Rahmen von Schlichtungs- oder Mediationsverfahren zur Vermeidung eines Gerichts- oder Verwaltungsverfahrens handelt; </w:t>
      </w:r>
    </w:p>
    <w:p>
      <w:pPr>
        <w:ind w:left="709" w:hanging="709"/>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 xml:space="preserve">es sich bei ihnen um die Beratung von Mandanten handelt, um unterstützend darauf hinzuwirken, dass die Mandanten bei ihren Tätigkeiten die einschlägigen rechtlichen Rahmenvorgaben einhalten; oder </w:t>
      </w:r>
    </w:p>
    <w:p>
      <w:pPr>
        <w:ind w:left="709" w:hanging="709"/>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sie mit der Vertretung eines Mandanten und der Wahrung ihrer Grund- oder Verfahrensrechte wie des Rechts auf rechtliches Gehör, der Ausübung des Grundrechts eines Mandanten auf ein faires Verfahren einschließlich des Rechts auf Verteidigung in Verwaltungsverfahren verbunden sind, wie beispielsweise die Tätigkeiten von Rechtsanwälten oder Angehörigen anderer einschlägiger Berufsgruppen;</w:t>
      </w:r>
    </w:p>
    <w:p>
      <w:pPr>
        <w:jc w:val="both"/>
        <w:rPr>
          <w:rFonts w:ascii="Times New Roman" w:hAnsi="Times New Roman" w:cs="Times New Roman"/>
          <w:noProof/>
          <w:sz w:val="24"/>
          <w:szCs w:val="24"/>
        </w:rPr>
      </w:pPr>
      <w:r>
        <w:rPr>
          <w:rFonts w:ascii="Times New Roman" w:hAnsi="Times New Roman"/>
          <w:noProof/>
          <w:sz w:val="24"/>
        </w:rPr>
        <w:t>b) Eingaben als Verfahrenspartei oder Dritter in Rechts- und Verwaltungsverfahren nach EU-Recht oder nach auf die Union anwendbarem Völkerrecht und Eingaben auf der Grundlage einer Vertragsbeziehung mit dem Organ oder einer durch EU-Mittel finanzierten Finanzhilfevereinbarung;</w:t>
      </w:r>
    </w:p>
    <w:p>
      <w:pPr>
        <w:jc w:val="both"/>
        <w:rPr>
          <w:rFonts w:ascii="Times New Roman" w:hAnsi="Times New Roman" w:cs="Times New Roman"/>
          <w:noProof/>
          <w:sz w:val="24"/>
          <w:szCs w:val="24"/>
        </w:rPr>
      </w:pPr>
      <w:r>
        <w:rPr>
          <w:rFonts w:ascii="Times New Roman" w:hAnsi="Times New Roman"/>
          <w:noProof/>
          <w:sz w:val="24"/>
        </w:rPr>
        <w:t>c) Tätigkeiten der Sozialpartner im Rahmen ihrer Teilnahme am sozialen Dialog nach Artikel 152 AEUV;</w:t>
      </w:r>
    </w:p>
    <w:p>
      <w:pPr>
        <w:jc w:val="both"/>
        <w:rPr>
          <w:rFonts w:ascii="Times New Roman" w:hAnsi="Times New Roman" w:cs="Times New Roman"/>
          <w:noProof/>
          <w:sz w:val="24"/>
          <w:szCs w:val="24"/>
        </w:rPr>
      </w:pPr>
      <w:r>
        <w:rPr>
          <w:rFonts w:ascii="Times New Roman" w:hAnsi="Times New Roman"/>
          <w:noProof/>
          <w:sz w:val="24"/>
        </w:rPr>
        <w:t>d) Eingaben in Beantwortung direkter und gezielter Aufforderungen von einem der drei Organe, ihren Mitgliedern oder Beamten wie Bitten um Sachangaben, Daten oder fachliche Informationen.</w:t>
      </w:r>
    </w:p>
    <w:p>
      <w:pPr>
        <w:jc w:val="both"/>
        <w:rPr>
          <w:rFonts w:ascii="Times New Roman" w:hAnsi="Times New Roman" w:cs="Times New Roman"/>
          <w:noProof/>
          <w:sz w:val="24"/>
          <w:szCs w:val="24"/>
        </w:rPr>
      </w:pPr>
      <w:r>
        <w:rPr>
          <w:rFonts w:ascii="Times New Roman" w:hAnsi="Times New Roman"/>
          <w:noProof/>
          <w:sz w:val="24"/>
        </w:rPr>
        <w:t>e) Eingaben von Bürgern, die ad personam handeln.</w:t>
      </w:r>
    </w:p>
    <w:p>
      <w:pPr>
        <w:jc w:val="center"/>
        <w:rPr>
          <w:rFonts w:ascii="Times New Roman" w:hAnsi="Times New Roman" w:cs="Times New Roman"/>
          <w:noProof/>
          <w:sz w:val="24"/>
          <w:szCs w:val="24"/>
        </w:rPr>
      </w:pPr>
      <w:r>
        <w:rPr>
          <w:rFonts w:ascii="Times New Roman" w:hAnsi="Times New Roman"/>
          <w:noProof/>
          <w:sz w:val="24"/>
        </w:rPr>
        <w:t>Artikel 4</w:t>
      </w:r>
    </w:p>
    <w:p>
      <w:pPr>
        <w:jc w:val="center"/>
        <w:rPr>
          <w:rFonts w:ascii="Times New Roman" w:hAnsi="Times New Roman" w:cs="Times New Roman"/>
          <w:b/>
          <w:noProof/>
          <w:sz w:val="24"/>
          <w:szCs w:val="24"/>
        </w:rPr>
      </w:pPr>
      <w:r>
        <w:rPr>
          <w:rFonts w:ascii="Times New Roman" w:hAnsi="Times New Roman"/>
          <w:b/>
          <w:noProof/>
          <w:sz w:val="24"/>
        </w:rPr>
        <w:t>Von der interinstitutionellen Vereinbarung nicht erfasste Einrichtungen</w:t>
      </w:r>
    </w:p>
    <w:p>
      <w:pPr>
        <w:jc w:val="both"/>
        <w:rPr>
          <w:rFonts w:ascii="Times New Roman" w:hAnsi="Times New Roman" w:cs="Times New Roman"/>
          <w:noProof/>
          <w:sz w:val="24"/>
          <w:szCs w:val="24"/>
        </w:rPr>
      </w:pPr>
      <w:r>
        <w:rPr>
          <w:rFonts w:ascii="Times New Roman" w:hAnsi="Times New Roman"/>
          <w:noProof/>
          <w:sz w:val="24"/>
        </w:rPr>
        <w:t>1) Politische Parteien sind von der Registrierungspflicht ausgenommen. Nicht von der Registrierungspflicht ausgenommen sind jedoch von politischen Parteien geschaffene oder unterstützte Organisationen, deren Tätigkeitsbereich von dieser Vereinbarung erfasst wird.</w:t>
      </w:r>
    </w:p>
    <w:p>
      <w:pPr>
        <w:jc w:val="both"/>
        <w:rPr>
          <w:rFonts w:ascii="Times New Roman" w:hAnsi="Times New Roman" w:cs="Times New Roman"/>
          <w:noProof/>
          <w:sz w:val="24"/>
          <w:szCs w:val="24"/>
        </w:rPr>
      </w:pPr>
      <w:r>
        <w:rPr>
          <w:rFonts w:ascii="Times New Roman" w:hAnsi="Times New Roman"/>
          <w:noProof/>
          <w:sz w:val="24"/>
        </w:rPr>
        <w:t>2) Kirchen und religiöse Vereinigungen oder Gemeinschaften sowie weltanschauliche und bekenntnisfreie Organisationen im Sinne von Artikel 17 AEUV sind von der Registrierungspflicht ausgenommen. Nicht von der Registrierungspflicht ausgenommen sind jedoch Vertretungen und Körperschaften sowie Büros und Netze, die geschaffen wurden, um Kirchen, Religionsgemeinschaften oder weltanschauliche oder bekenntnisfreie Organisationen beim Umgang mit den EU-Organen zu vertreten.</w:t>
      </w:r>
    </w:p>
    <w:p>
      <w:pPr>
        <w:jc w:val="both"/>
        <w:rPr>
          <w:rFonts w:ascii="Times New Roman" w:hAnsi="Times New Roman" w:cs="Times New Roman"/>
          <w:noProof/>
          <w:sz w:val="24"/>
          <w:szCs w:val="24"/>
        </w:rPr>
      </w:pPr>
      <w:r>
        <w:rPr>
          <w:rFonts w:ascii="Times New Roman" w:hAnsi="Times New Roman"/>
          <w:noProof/>
          <w:sz w:val="24"/>
        </w:rPr>
        <w:t xml:space="preserve">3) Die Behörden der Mitgliedstaaten und ihre Gebietskörperschaften (einschließlich ihrer Auslandsvertretungen) sind von der Registrierungspflicht ausgenommen, ebenso wie alle Behördenverbände auf europäischer und nationaler Ebene und auf Ebene der Gebietskörperschaften, sofern sie ausschließlich im Namen der betreffenden Behörden handeln.  </w:t>
      </w:r>
    </w:p>
    <w:p>
      <w:pPr>
        <w:jc w:val="both"/>
        <w:rPr>
          <w:rFonts w:ascii="Times New Roman" w:hAnsi="Times New Roman" w:cs="Times New Roman"/>
          <w:noProof/>
          <w:sz w:val="24"/>
          <w:szCs w:val="24"/>
        </w:rPr>
      </w:pPr>
      <w:r>
        <w:rPr>
          <w:rFonts w:ascii="Times New Roman" w:hAnsi="Times New Roman"/>
          <w:noProof/>
          <w:sz w:val="24"/>
        </w:rPr>
        <w:t>4) Die Behörden von Drittstaaten (einschließlich ihrer diplomatischen Vertretungen und Botschaften) sind von der Registrierungspflicht ausgenommen.</w:t>
      </w:r>
    </w:p>
    <w:p>
      <w:pPr>
        <w:jc w:val="both"/>
        <w:rPr>
          <w:rFonts w:ascii="Times New Roman" w:hAnsi="Times New Roman" w:cs="Times New Roman"/>
          <w:noProof/>
          <w:sz w:val="24"/>
          <w:szCs w:val="24"/>
        </w:rPr>
      </w:pPr>
      <w:r>
        <w:rPr>
          <w:rFonts w:ascii="Times New Roman" w:hAnsi="Times New Roman"/>
          <w:noProof/>
          <w:sz w:val="24"/>
        </w:rPr>
        <w:t>5) Zwischenstaatliche Organisationen einschließlich der aus ihnen hervorgegangenen Agenturen und Einrichtungen sind von der Registrierungspflicht ausgenommen.</w:t>
      </w:r>
    </w:p>
    <w:p>
      <w:pPr>
        <w:jc w:val="center"/>
        <w:rPr>
          <w:rFonts w:ascii="Times New Roman" w:hAnsi="Times New Roman" w:cs="Times New Roman"/>
          <w:b/>
          <w:noProof/>
          <w:sz w:val="24"/>
          <w:szCs w:val="24"/>
        </w:rPr>
      </w:pPr>
      <w:r>
        <w:rPr>
          <w:rFonts w:ascii="Times New Roman" w:hAnsi="Times New Roman"/>
          <w:noProof/>
          <w:sz w:val="24"/>
        </w:rPr>
        <w:t>Artikel 5</w:t>
      </w:r>
    </w:p>
    <w:p>
      <w:pPr>
        <w:jc w:val="center"/>
        <w:rPr>
          <w:rFonts w:ascii="Times New Roman" w:hAnsi="Times New Roman" w:cs="Times New Roman"/>
          <w:b/>
          <w:noProof/>
          <w:sz w:val="24"/>
          <w:szCs w:val="24"/>
        </w:rPr>
      </w:pPr>
      <w:r>
        <w:rPr>
          <w:rFonts w:ascii="Times New Roman" w:hAnsi="Times New Roman"/>
          <w:b/>
          <w:noProof/>
          <w:sz w:val="24"/>
        </w:rPr>
        <w:t>An die vorherige Registrierung geknüpfte Formen der Zusammenarbeit</w:t>
      </w:r>
    </w:p>
    <w:p>
      <w:pPr>
        <w:jc w:val="both"/>
        <w:rPr>
          <w:rFonts w:ascii="Times New Roman" w:hAnsi="Times New Roman" w:cs="Times New Roman"/>
          <w:noProof/>
          <w:sz w:val="24"/>
          <w:szCs w:val="24"/>
        </w:rPr>
      </w:pPr>
      <w:r>
        <w:rPr>
          <w:rFonts w:ascii="Times New Roman" w:hAnsi="Times New Roman"/>
          <w:noProof/>
          <w:sz w:val="24"/>
        </w:rPr>
        <w:t>1) Die drei Organe binden folgende Formen der Zusammenarbeit an die vorherige Registrierung von Interessenvertretern:</w:t>
      </w:r>
    </w:p>
    <w:p>
      <w:pPr>
        <w:rPr>
          <w:rFonts w:ascii="Times New Roman" w:hAnsi="Times New Roman" w:cs="Times New Roman"/>
          <w:b/>
          <w:noProof/>
          <w:sz w:val="24"/>
          <w:szCs w:val="24"/>
        </w:rPr>
      </w:pPr>
      <w:r>
        <w:rPr>
          <w:rFonts w:ascii="Times New Roman" w:hAnsi="Times New Roman"/>
          <w:b/>
          <w:noProof/>
          <w:sz w:val="24"/>
        </w:rPr>
        <w:t xml:space="preserve">Beim Europäischen Parlament </w:t>
      </w:r>
    </w:p>
    <w:p>
      <w:pPr>
        <w:pStyle w:val="ListParagraph"/>
        <w:numPr>
          <w:ilvl w:val="0"/>
          <w:numId w:val="14"/>
        </w:numPr>
        <w:jc w:val="both"/>
        <w:rPr>
          <w:rFonts w:ascii="Times New Roman" w:hAnsi="Times New Roman" w:cs="Times New Roman"/>
          <w:i/>
          <w:noProof/>
          <w:sz w:val="24"/>
          <w:szCs w:val="24"/>
        </w:rPr>
      </w:pPr>
      <w:r>
        <w:rPr>
          <w:rFonts w:ascii="Times New Roman" w:hAnsi="Times New Roman"/>
          <w:noProof/>
          <w:sz w:val="24"/>
        </w:rPr>
        <w:t>Zugang zu den Parlamentsgebäuden: Möglichkeit der Beantragung von Ausweisen für den langfristigen Zugang zu den Räumlichkeiten des Europäischen Parlaments für Personen, die als Interessenvertreter fungieren oder für einen Interessenvertreter tätig sind;</w:t>
      </w:r>
    </w:p>
    <w:p>
      <w:pPr>
        <w:pStyle w:val="ListParagraph"/>
        <w:jc w:val="both"/>
        <w:rPr>
          <w:rFonts w:ascii="Times New Roman" w:hAnsi="Times New Roman" w:cs="Times New Roman"/>
          <w:noProof/>
          <w:sz w:val="24"/>
          <w:szCs w:val="24"/>
        </w:rPr>
      </w:pPr>
    </w:p>
    <w:p>
      <w:pPr>
        <w:pStyle w:val="ListParagraph"/>
        <w:numPr>
          <w:ilvl w:val="0"/>
          <w:numId w:val="14"/>
        </w:numPr>
        <w:jc w:val="both"/>
        <w:rPr>
          <w:rFonts w:ascii="Times New Roman" w:hAnsi="Times New Roman" w:cs="Times New Roman"/>
          <w:i/>
          <w:noProof/>
          <w:sz w:val="24"/>
          <w:szCs w:val="24"/>
        </w:rPr>
      </w:pPr>
      <w:r>
        <w:rPr>
          <w:rFonts w:ascii="Times New Roman" w:hAnsi="Times New Roman"/>
          <w:noProof/>
          <w:sz w:val="24"/>
        </w:rPr>
        <w:t>Öffentliche Anhörungen in Ausschüssen: unbeschadet der Bestimmungen von Artikel 3 Absatz 2 Buchstabe b die Möglichkeit für Interessenvertreter, in Ausschussanhörungen als Gast gehört zu werden;</w:t>
      </w:r>
    </w:p>
    <w:p>
      <w:pPr>
        <w:pStyle w:val="ListParagraph"/>
        <w:jc w:val="both"/>
        <w:rPr>
          <w:rFonts w:ascii="Times New Roman" w:hAnsi="Times New Roman" w:cs="Times New Roman"/>
          <w:noProof/>
          <w:sz w:val="24"/>
          <w:szCs w:val="24"/>
        </w:rPr>
      </w:pPr>
    </w:p>
    <w:p>
      <w:pPr>
        <w:pStyle w:val="ListParagraph"/>
        <w:numPr>
          <w:ilvl w:val="0"/>
          <w:numId w:val="14"/>
        </w:numPr>
        <w:jc w:val="both"/>
        <w:rPr>
          <w:rFonts w:ascii="Times New Roman" w:hAnsi="Times New Roman" w:cs="Times New Roman"/>
          <w:i/>
          <w:noProof/>
          <w:sz w:val="24"/>
          <w:szCs w:val="24"/>
        </w:rPr>
      </w:pPr>
      <w:r>
        <w:rPr>
          <w:rFonts w:ascii="Times New Roman" w:hAnsi="Times New Roman"/>
          <w:noProof/>
          <w:sz w:val="24"/>
        </w:rPr>
        <w:t>Schirmherrschaft: Übernahme der Schirmherrschaft für von Interessenvertretern ausgerichtete Veranstaltungen;</w:t>
      </w:r>
    </w:p>
    <w:p>
      <w:pPr>
        <w:pStyle w:val="ListParagraph"/>
        <w:jc w:val="both"/>
        <w:rPr>
          <w:rFonts w:ascii="Times New Roman" w:hAnsi="Times New Roman" w:cs="Times New Roman"/>
          <w:noProof/>
          <w:sz w:val="24"/>
          <w:szCs w:val="24"/>
        </w:rPr>
      </w:pPr>
    </w:p>
    <w:p>
      <w:pPr>
        <w:pStyle w:val="ListParagraph"/>
        <w:numPr>
          <w:ilvl w:val="0"/>
          <w:numId w:val="14"/>
        </w:numPr>
        <w:jc w:val="both"/>
        <w:rPr>
          <w:rFonts w:ascii="Times New Roman" w:hAnsi="Times New Roman" w:cs="Times New Roman"/>
          <w:i/>
          <w:noProof/>
          <w:sz w:val="24"/>
          <w:szCs w:val="24"/>
        </w:rPr>
      </w:pPr>
      <w:r>
        <w:rPr>
          <w:rFonts w:ascii="Times New Roman" w:hAnsi="Times New Roman"/>
          <w:noProof/>
          <w:sz w:val="24"/>
        </w:rPr>
        <w:t>Besprechungen: Besprechungen zwischen Interessenvertretern und Mitgliedern des Europäischen Parlaments (MdEP), dem Generalsekretär, Generaldirektoren und Generalsekretariaten von Fraktionen;</w:t>
      </w:r>
    </w:p>
    <w:p>
      <w:pPr>
        <w:pStyle w:val="ListParagraph"/>
        <w:jc w:val="both"/>
        <w:rPr>
          <w:rFonts w:ascii="Times New Roman" w:hAnsi="Times New Roman" w:cs="Times New Roman"/>
          <w:noProof/>
          <w:sz w:val="24"/>
          <w:szCs w:val="24"/>
        </w:rPr>
      </w:pPr>
    </w:p>
    <w:p>
      <w:pPr>
        <w:pStyle w:val="ListParagraph"/>
        <w:numPr>
          <w:ilvl w:val="0"/>
          <w:numId w:val="14"/>
        </w:numPr>
        <w:jc w:val="both"/>
        <w:rPr>
          <w:rFonts w:ascii="Times New Roman" w:hAnsi="Times New Roman" w:cs="Times New Roman"/>
          <w:noProof/>
          <w:sz w:val="24"/>
          <w:szCs w:val="24"/>
        </w:rPr>
      </w:pPr>
      <w:r>
        <w:rPr>
          <w:rFonts w:ascii="Times New Roman" w:hAnsi="Times New Roman"/>
          <w:noProof/>
          <w:sz w:val="24"/>
        </w:rPr>
        <w:t>Veranstaltungen: Durchführung von Veranstaltungen, die von Interessenvertretern ausgerichtet werden, in den Räumlichkeiten des Europäischen Parlaments;</w:t>
      </w:r>
    </w:p>
    <w:p>
      <w:pPr>
        <w:pStyle w:val="ListParagraph"/>
        <w:jc w:val="both"/>
        <w:rPr>
          <w:rFonts w:ascii="Times New Roman" w:hAnsi="Times New Roman" w:cs="Times New Roman"/>
          <w:noProof/>
          <w:sz w:val="24"/>
          <w:szCs w:val="24"/>
        </w:rPr>
      </w:pPr>
    </w:p>
    <w:p>
      <w:pPr>
        <w:pStyle w:val="ListParagraph"/>
        <w:numPr>
          <w:ilvl w:val="0"/>
          <w:numId w:val="14"/>
        </w:numPr>
        <w:jc w:val="both"/>
        <w:rPr>
          <w:rFonts w:ascii="Times New Roman" w:hAnsi="Times New Roman" w:cs="Times New Roman"/>
          <w:i/>
          <w:noProof/>
          <w:sz w:val="24"/>
          <w:szCs w:val="24"/>
        </w:rPr>
      </w:pPr>
      <w:r>
        <w:rPr>
          <w:rFonts w:ascii="Times New Roman" w:hAnsi="Times New Roman"/>
          <w:noProof/>
          <w:sz w:val="24"/>
        </w:rPr>
        <w:t>Mitteilungen: Versendung automatischer Mitteilungen über die Tätigkeiten des Europäischen Parlaments an Interessenvertreter.</w:t>
      </w:r>
    </w:p>
    <w:p>
      <w:pPr>
        <w:pStyle w:val="ListParagraph"/>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b/>
          <w:noProof/>
          <w:sz w:val="24"/>
        </w:rPr>
        <w:t>Beim Rat der Europäischen Union</w:t>
      </w:r>
    </w:p>
    <w:p>
      <w:pPr>
        <w:pStyle w:val="ListParagraph"/>
        <w:numPr>
          <w:ilvl w:val="0"/>
          <w:numId w:val="15"/>
        </w:numPr>
        <w:jc w:val="both"/>
        <w:rPr>
          <w:rFonts w:ascii="Times New Roman" w:hAnsi="Times New Roman" w:cs="Times New Roman"/>
          <w:noProof/>
          <w:sz w:val="24"/>
          <w:szCs w:val="24"/>
        </w:rPr>
      </w:pPr>
      <w:r>
        <w:rPr>
          <w:rFonts w:ascii="Times New Roman" w:hAnsi="Times New Roman"/>
          <w:noProof/>
          <w:sz w:val="24"/>
        </w:rPr>
        <w:t>Besprechungen: Besprechungen zwischen Interessenvertretern und dem Botschafter des amtierenden oder kommenden Ratsvorsitzes und ihren Vertretern im Ausschuss der Ständigen Vertreter der Regierungen der Mitgliedstaaten der Europäischen Union, dem Generalsekretär des Rates und den Generaldirektoren;</w:t>
      </w:r>
    </w:p>
    <w:p>
      <w:pPr>
        <w:pStyle w:val="ListParagraph"/>
        <w:jc w:val="both"/>
        <w:rPr>
          <w:rFonts w:ascii="Times New Roman" w:hAnsi="Times New Roman" w:cs="Times New Roman"/>
          <w:noProof/>
          <w:sz w:val="24"/>
          <w:szCs w:val="24"/>
        </w:rPr>
      </w:pPr>
    </w:p>
    <w:p>
      <w:pPr>
        <w:pStyle w:val="ListParagraph"/>
        <w:numPr>
          <w:ilvl w:val="0"/>
          <w:numId w:val="15"/>
        </w:numPr>
        <w:jc w:val="both"/>
        <w:rPr>
          <w:rFonts w:ascii="Times New Roman" w:hAnsi="Times New Roman" w:cs="Times New Roman"/>
          <w:noProof/>
          <w:sz w:val="24"/>
          <w:szCs w:val="24"/>
        </w:rPr>
      </w:pPr>
      <w:r>
        <w:rPr>
          <w:rFonts w:ascii="Times New Roman" w:hAnsi="Times New Roman"/>
          <w:noProof/>
          <w:sz w:val="24"/>
        </w:rPr>
        <w:t>Mitteilungen: Versendung automatischer Mitteilungen über die Tätigkeiten des Rates an Interessenvertreter.</w:t>
      </w:r>
    </w:p>
    <w:p>
      <w:pPr>
        <w:pStyle w:val="ListParagraph"/>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b/>
          <w:noProof/>
          <w:sz w:val="24"/>
        </w:rPr>
        <w:t xml:space="preserve">Bei der Europäischen Kommission </w:t>
      </w:r>
    </w:p>
    <w:p>
      <w:pPr>
        <w:pStyle w:val="ListParagraph"/>
        <w:numPr>
          <w:ilvl w:val="0"/>
          <w:numId w:val="16"/>
        </w:numPr>
        <w:jc w:val="both"/>
        <w:rPr>
          <w:rFonts w:ascii="Times New Roman" w:hAnsi="Times New Roman" w:cs="Times New Roman"/>
          <w:i/>
          <w:noProof/>
          <w:sz w:val="24"/>
          <w:szCs w:val="24"/>
        </w:rPr>
      </w:pPr>
      <w:r>
        <w:rPr>
          <w:rFonts w:ascii="Times New Roman" w:hAnsi="Times New Roman"/>
          <w:noProof/>
          <w:sz w:val="24"/>
        </w:rPr>
        <w:t>Besprechungen: Besprechungen zwischen Interessenvertretern und Kommissionsmitgliedern, ihren Kabinettsmitgliedern und den Generaldirektoren;</w:t>
      </w:r>
    </w:p>
    <w:p>
      <w:pPr>
        <w:pStyle w:val="ListParagraph"/>
        <w:jc w:val="both"/>
        <w:rPr>
          <w:rFonts w:ascii="Times New Roman" w:hAnsi="Times New Roman" w:cs="Times New Roman"/>
          <w:noProof/>
          <w:sz w:val="24"/>
          <w:szCs w:val="24"/>
        </w:rPr>
      </w:pPr>
    </w:p>
    <w:p>
      <w:pPr>
        <w:pStyle w:val="ListParagraph"/>
        <w:numPr>
          <w:ilvl w:val="0"/>
          <w:numId w:val="16"/>
        </w:numPr>
        <w:jc w:val="both"/>
        <w:rPr>
          <w:rFonts w:ascii="Times New Roman" w:hAnsi="Times New Roman" w:cs="Times New Roman"/>
          <w:i/>
          <w:noProof/>
          <w:sz w:val="24"/>
          <w:szCs w:val="24"/>
        </w:rPr>
      </w:pPr>
      <w:r>
        <w:rPr>
          <w:rFonts w:ascii="Times New Roman" w:hAnsi="Times New Roman"/>
          <w:noProof/>
          <w:sz w:val="24"/>
        </w:rPr>
        <w:t>Sachverständigengruppen: Benennung bestimmter Arten von Mitgliedern von Sachverständigengruppen</w:t>
      </w:r>
      <w:r>
        <w:rPr>
          <w:rStyle w:val="FootnoteReference"/>
          <w:rFonts w:ascii="Times New Roman" w:hAnsi="Times New Roman"/>
          <w:noProof/>
          <w:sz w:val="24"/>
        </w:rPr>
        <w:footnoteReference w:id="3"/>
      </w:r>
      <w:r>
        <w:rPr>
          <w:noProof/>
        </w:rPr>
        <w:t>;</w:t>
      </w:r>
    </w:p>
    <w:p>
      <w:pPr>
        <w:pStyle w:val="ListParagraph"/>
        <w:jc w:val="both"/>
        <w:rPr>
          <w:rFonts w:ascii="Times New Roman" w:hAnsi="Times New Roman" w:cs="Times New Roman"/>
          <w:noProof/>
          <w:sz w:val="24"/>
          <w:szCs w:val="24"/>
        </w:rPr>
      </w:pPr>
    </w:p>
    <w:p>
      <w:pPr>
        <w:pStyle w:val="ListParagraph"/>
        <w:numPr>
          <w:ilvl w:val="0"/>
          <w:numId w:val="16"/>
        </w:numPr>
        <w:jc w:val="both"/>
        <w:rPr>
          <w:rFonts w:ascii="Times New Roman" w:hAnsi="Times New Roman" w:cs="Times New Roman"/>
          <w:i/>
          <w:noProof/>
          <w:sz w:val="24"/>
          <w:szCs w:val="24"/>
        </w:rPr>
      </w:pPr>
      <w:r>
        <w:rPr>
          <w:rFonts w:ascii="Times New Roman" w:hAnsi="Times New Roman"/>
          <w:noProof/>
          <w:sz w:val="24"/>
        </w:rPr>
        <w:t>Öffentliche Konsultationen:: Versendung automatischer Mitteilungen über die von der Kommission durchgeführten Konsultationen an Interessenvertreter; die Kommission wird die Beiträge registrierter und nicht registrierter Einrichtungen getrennt veröffentlichen;</w:t>
      </w:r>
    </w:p>
    <w:p>
      <w:pPr>
        <w:pStyle w:val="ListParagraph"/>
        <w:jc w:val="both"/>
        <w:rPr>
          <w:rFonts w:ascii="Times New Roman" w:hAnsi="Times New Roman" w:cs="Times New Roman"/>
          <w:noProof/>
          <w:sz w:val="24"/>
          <w:szCs w:val="24"/>
        </w:rPr>
      </w:pPr>
    </w:p>
    <w:p>
      <w:pPr>
        <w:pStyle w:val="ListParagraph"/>
        <w:numPr>
          <w:ilvl w:val="0"/>
          <w:numId w:val="16"/>
        </w:numPr>
        <w:jc w:val="both"/>
        <w:rPr>
          <w:rFonts w:ascii="Times New Roman" w:hAnsi="Times New Roman" w:cs="Times New Roman"/>
          <w:i/>
          <w:noProof/>
          <w:sz w:val="24"/>
          <w:szCs w:val="24"/>
        </w:rPr>
      </w:pPr>
      <w:r>
        <w:rPr>
          <w:rFonts w:ascii="Times New Roman" w:hAnsi="Times New Roman"/>
          <w:noProof/>
          <w:sz w:val="24"/>
        </w:rPr>
        <w:t>Schirmherrschaft: Übernahme der Schirmherrschaft für von Interessenvertretern ausgerichtete Veranstaltungen;</w:t>
      </w:r>
    </w:p>
    <w:p>
      <w:pPr>
        <w:pStyle w:val="ListParagraph"/>
        <w:jc w:val="both"/>
        <w:rPr>
          <w:rFonts w:ascii="Times New Roman" w:hAnsi="Times New Roman" w:cs="Times New Roman"/>
          <w:noProof/>
          <w:sz w:val="24"/>
          <w:szCs w:val="24"/>
        </w:rPr>
      </w:pPr>
    </w:p>
    <w:p>
      <w:pPr>
        <w:pStyle w:val="ListParagraph"/>
        <w:numPr>
          <w:ilvl w:val="0"/>
          <w:numId w:val="16"/>
        </w:numPr>
        <w:jc w:val="both"/>
        <w:rPr>
          <w:rFonts w:ascii="Times New Roman" w:hAnsi="Times New Roman" w:cs="Times New Roman"/>
          <w:i/>
          <w:noProof/>
          <w:sz w:val="24"/>
          <w:szCs w:val="24"/>
        </w:rPr>
      </w:pPr>
      <w:r>
        <w:rPr>
          <w:rFonts w:ascii="Times New Roman" w:hAnsi="Times New Roman"/>
          <w:noProof/>
          <w:sz w:val="24"/>
        </w:rPr>
        <w:t>Adressenverzeichnisse: Versendung von Hinweisen auf bestimmte Tätigkeiten der Kommission an Interessenvertreter über Adressenverzeichnisse.</w:t>
      </w:r>
    </w:p>
    <w:p>
      <w:pPr>
        <w:jc w:val="both"/>
        <w:rPr>
          <w:rFonts w:ascii="Times New Roman" w:hAnsi="Times New Roman" w:cs="Times New Roman"/>
          <w:i/>
          <w:noProof/>
          <w:sz w:val="24"/>
          <w:szCs w:val="24"/>
        </w:rPr>
      </w:pPr>
      <w:r>
        <w:rPr>
          <w:rFonts w:ascii="Times New Roman" w:hAnsi="Times New Roman"/>
          <w:noProof/>
          <w:sz w:val="24"/>
        </w:rPr>
        <w:t xml:space="preserve">2) Jedes der drei Organe ergreift die erforderlichen internen Maßnahmen, um den in Absatz 1 aufgeführten Konditionalitäten Wirkung zu verleihen. </w:t>
      </w:r>
    </w:p>
    <w:p>
      <w:pPr>
        <w:jc w:val="both"/>
        <w:rPr>
          <w:rFonts w:ascii="Times New Roman" w:hAnsi="Times New Roman" w:cs="Times New Roman"/>
          <w:noProof/>
          <w:sz w:val="24"/>
          <w:szCs w:val="24"/>
        </w:rPr>
      </w:pPr>
      <w:r>
        <w:rPr>
          <w:rFonts w:ascii="Times New Roman" w:hAnsi="Times New Roman"/>
          <w:noProof/>
          <w:sz w:val="24"/>
        </w:rPr>
        <w:t>3) Jedes Organ kann beschließen, weitere Formen der Zusammenarbeit von einer Registrierung abhängig zu machen, solange diese zusätzlichen Konditionalitäten eine weitere Festigung des aktuellen Rahmens bezwecken.</w:t>
      </w:r>
    </w:p>
    <w:p>
      <w:pPr>
        <w:jc w:val="both"/>
        <w:rPr>
          <w:rFonts w:ascii="Times New Roman" w:hAnsi="Times New Roman" w:cs="Times New Roman"/>
          <w:noProof/>
          <w:sz w:val="24"/>
          <w:szCs w:val="24"/>
        </w:rPr>
      </w:pPr>
      <w:r>
        <w:rPr>
          <w:rFonts w:ascii="Times New Roman" w:hAnsi="Times New Roman"/>
          <w:noProof/>
          <w:sz w:val="24"/>
        </w:rPr>
        <w:t>4) Die Konditionalitäten nach den Absätzen 1 und 3 werden auf einer zu diesem Zweck eingerichteten Internetseite des Registers veröffentlicht.</w:t>
      </w:r>
    </w:p>
    <w:p>
      <w:pPr>
        <w:jc w:val="center"/>
        <w:rPr>
          <w:rFonts w:ascii="Times New Roman" w:hAnsi="Times New Roman" w:cs="Times New Roman"/>
          <w:noProof/>
          <w:sz w:val="24"/>
          <w:szCs w:val="24"/>
        </w:rPr>
      </w:pPr>
      <w:r>
        <w:rPr>
          <w:rFonts w:ascii="Times New Roman" w:hAnsi="Times New Roman"/>
          <w:noProof/>
          <w:sz w:val="24"/>
        </w:rPr>
        <w:t>Artikel 6</w:t>
      </w:r>
    </w:p>
    <w:p>
      <w:pPr>
        <w:jc w:val="center"/>
        <w:rPr>
          <w:rFonts w:ascii="Times New Roman" w:hAnsi="Times New Roman" w:cs="Times New Roman"/>
          <w:noProof/>
          <w:color w:val="0070C0"/>
          <w:sz w:val="24"/>
          <w:szCs w:val="24"/>
        </w:rPr>
      </w:pPr>
      <w:r>
        <w:rPr>
          <w:rFonts w:ascii="Times New Roman" w:hAnsi="Times New Roman"/>
          <w:b/>
          <w:noProof/>
          <w:sz w:val="24"/>
        </w:rPr>
        <w:t>Registrierungsvoraussetzungen und Registrierung von Antragstellern</w:t>
      </w:r>
    </w:p>
    <w:p>
      <w:pPr>
        <w:jc w:val="both"/>
        <w:rPr>
          <w:rFonts w:ascii="Times New Roman" w:hAnsi="Times New Roman" w:cs="Times New Roman"/>
          <w:noProof/>
          <w:sz w:val="24"/>
          <w:szCs w:val="24"/>
        </w:rPr>
      </w:pPr>
      <w:r>
        <w:rPr>
          <w:rFonts w:ascii="Times New Roman" w:hAnsi="Times New Roman"/>
          <w:noProof/>
          <w:sz w:val="24"/>
        </w:rPr>
        <w:t xml:space="preserve">1) Wenn sie einen Antrag auf Registrierung stellen, müssen Antragsteller nachweisen, dass sie von dieser Vereinbarung erfassten Tätigkeiten nachgehen und somit die Registrierungsvoraussetzungen erfüllen. </w:t>
      </w:r>
    </w:p>
    <w:p>
      <w:pPr>
        <w:jc w:val="both"/>
        <w:rPr>
          <w:rFonts w:ascii="Times New Roman" w:hAnsi="Times New Roman" w:cs="Times New Roman"/>
          <w:noProof/>
          <w:sz w:val="24"/>
          <w:szCs w:val="24"/>
        </w:rPr>
      </w:pPr>
      <w:r>
        <w:rPr>
          <w:rFonts w:ascii="Times New Roman" w:hAnsi="Times New Roman"/>
          <w:noProof/>
          <w:sz w:val="24"/>
        </w:rPr>
        <w:t xml:space="preserve">2) Hierzu müssen Antragsteller die in Anhang II aufgeführten Informationen vorlegen und ihrer Veröffentlichung zustimmen. </w:t>
      </w:r>
    </w:p>
    <w:p>
      <w:pPr>
        <w:jc w:val="both"/>
        <w:rPr>
          <w:rFonts w:ascii="Times New Roman" w:hAnsi="Times New Roman" w:cs="Times New Roman"/>
          <w:noProof/>
          <w:sz w:val="24"/>
          <w:szCs w:val="24"/>
        </w:rPr>
      </w:pPr>
      <w:r>
        <w:rPr>
          <w:rFonts w:ascii="Times New Roman" w:hAnsi="Times New Roman"/>
          <w:noProof/>
          <w:sz w:val="24"/>
        </w:rPr>
        <w:t>3) Antragsteller können aufgefordert werden, Unterlagen beizubringen, die die Erfüllung der Registrierungsvoraussetzungen und die Richtigkeit der vorgelegten Informationen belegen.</w:t>
      </w:r>
    </w:p>
    <w:p>
      <w:pPr>
        <w:jc w:val="both"/>
        <w:rPr>
          <w:rFonts w:ascii="Times New Roman" w:hAnsi="Times New Roman" w:cs="Times New Roman"/>
          <w:noProof/>
          <w:sz w:val="24"/>
          <w:szCs w:val="24"/>
        </w:rPr>
      </w:pPr>
      <w:r>
        <w:rPr>
          <w:rFonts w:ascii="Times New Roman" w:hAnsi="Times New Roman"/>
          <w:noProof/>
          <w:sz w:val="24"/>
        </w:rPr>
        <w:t xml:space="preserve">4) Antragsteller werden als registrierte Interessenvertreter in das Register aufgenommen, sobald festgestellt wurde, dass sie die Registrierungsvoraussetzungen erfüllen und davon ausgegangen wird, dass die die Registrierung den Bestimmungen des Anhangs II in Bezug auf die vorzulegenden Informationen genügt. </w:t>
      </w:r>
    </w:p>
    <w:p>
      <w:pPr>
        <w:rPr>
          <w:rFonts w:ascii="Times New Roman" w:hAnsi="Times New Roman" w:cs="Times New Roman"/>
          <w:noProof/>
          <w:sz w:val="24"/>
          <w:szCs w:val="24"/>
        </w:rPr>
      </w:pPr>
    </w:p>
    <w:p>
      <w:pPr>
        <w:jc w:val="center"/>
        <w:rPr>
          <w:rFonts w:ascii="Times New Roman" w:hAnsi="Times New Roman" w:cs="Times New Roman"/>
          <w:noProof/>
          <w:sz w:val="24"/>
          <w:szCs w:val="24"/>
        </w:rPr>
      </w:pPr>
      <w:r>
        <w:rPr>
          <w:rFonts w:ascii="Times New Roman" w:hAnsi="Times New Roman"/>
          <w:noProof/>
          <w:sz w:val="24"/>
        </w:rPr>
        <w:t>Artikel 7</w:t>
      </w:r>
    </w:p>
    <w:p>
      <w:pPr>
        <w:jc w:val="center"/>
        <w:rPr>
          <w:rFonts w:ascii="Times New Roman" w:hAnsi="Times New Roman" w:cs="Times New Roman"/>
          <w:noProof/>
          <w:color w:val="0070C0"/>
          <w:sz w:val="24"/>
          <w:szCs w:val="24"/>
        </w:rPr>
      </w:pPr>
      <w:r>
        <w:rPr>
          <w:rFonts w:ascii="Times New Roman" w:hAnsi="Times New Roman"/>
          <w:b/>
          <w:noProof/>
          <w:sz w:val="24"/>
        </w:rPr>
        <w:t>Verhaltenskodex für registrierte Interessenvertreter und Sanktionen</w:t>
      </w:r>
    </w:p>
    <w:p>
      <w:pPr>
        <w:jc w:val="both"/>
        <w:rPr>
          <w:rFonts w:ascii="Times New Roman" w:hAnsi="Times New Roman" w:cs="Times New Roman"/>
          <w:noProof/>
          <w:sz w:val="24"/>
          <w:szCs w:val="24"/>
        </w:rPr>
      </w:pPr>
      <w:r>
        <w:rPr>
          <w:rFonts w:ascii="Times New Roman" w:hAnsi="Times New Roman"/>
          <w:noProof/>
          <w:sz w:val="24"/>
        </w:rPr>
        <w:t>1) Die Regeln und Grundsätze, an die die registrierten Interessenvertreter gebunden sind, sind im dieser Vereinbarung beigefügten Verhaltenskodex enthalten (Anhang III). Mit der Registrierung verpflichten sich die registrierten Interessenvertreter, diesen Regeln und Grundsätzen Folge zu leisten.</w:t>
      </w:r>
    </w:p>
    <w:p>
      <w:pPr>
        <w:jc w:val="both"/>
        <w:rPr>
          <w:rFonts w:ascii="Times New Roman" w:hAnsi="Times New Roman" w:cs="Times New Roman"/>
          <w:noProof/>
          <w:sz w:val="24"/>
          <w:szCs w:val="24"/>
        </w:rPr>
      </w:pPr>
      <w:r>
        <w:rPr>
          <w:rFonts w:ascii="Times New Roman" w:hAnsi="Times New Roman"/>
          <w:noProof/>
          <w:sz w:val="24"/>
        </w:rPr>
        <w:t>2) Wie im Verhaltenskodex festgelegt kann eine Nichtbefolgung seiner Bestimmungen zu Untersuchungen und Maßnahmen gemäß den Verfahren nach Anhang IV dieser Vereinbarung führen.</w:t>
      </w:r>
    </w:p>
    <w:p>
      <w:pPr>
        <w:jc w:val="both"/>
        <w:rPr>
          <w:rFonts w:ascii="Times New Roman" w:hAnsi="Times New Roman" w:cs="Times New Roman"/>
          <w:noProof/>
          <w:sz w:val="24"/>
          <w:szCs w:val="24"/>
        </w:rPr>
      </w:pPr>
      <w:r>
        <w:rPr>
          <w:rFonts w:ascii="Times New Roman" w:hAnsi="Times New Roman"/>
          <w:noProof/>
          <w:sz w:val="24"/>
        </w:rPr>
        <w:t>Untersuchungen können infolge einer Beschwerde oder vom Sekretariat in Eigeninitiative vorgenommen werden.</w:t>
      </w:r>
    </w:p>
    <w:p>
      <w:pPr>
        <w:jc w:val="both"/>
        <w:rPr>
          <w:rFonts w:ascii="Times New Roman" w:hAnsi="Times New Roman" w:cs="Times New Roman"/>
          <w:noProof/>
          <w:sz w:val="24"/>
          <w:szCs w:val="24"/>
        </w:rPr>
      </w:pPr>
      <w:r>
        <w:rPr>
          <w:rFonts w:ascii="Times New Roman" w:hAnsi="Times New Roman"/>
          <w:noProof/>
          <w:sz w:val="24"/>
        </w:rPr>
        <w:t>Die drei Organe treffen die erforderlichen internen Maßnahmen, um gemäß Anhang IV verhängte Maßnahmen durchführen zu können.</w:t>
      </w:r>
    </w:p>
    <w:p>
      <w:pPr>
        <w:pStyle w:val="ListParagraph"/>
        <w:ind w:left="0"/>
        <w:jc w:val="both"/>
        <w:rPr>
          <w:rFonts w:ascii="Times New Roman" w:hAnsi="Times New Roman" w:cs="Times New Roman"/>
          <w:noProof/>
          <w:sz w:val="24"/>
          <w:szCs w:val="24"/>
        </w:rPr>
      </w:pPr>
      <w:r>
        <w:rPr>
          <w:rFonts w:ascii="Times New Roman" w:hAnsi="Times New Roman"/>
          <w:noProof/>
          <w:sz w:val="24"/>
        </w:rPr>
        <w:t>3) Gemäß dem Verhaltenskodex sind die registrierten Interessenvertreter unter anderem verpflichtet,</w:t>
      </w:r>
    </w:p>
    <w:p>
      <w:pPr>
        <w:pStyle w:val="ListParagraph"/>
        <w:ind w:left="0"/>
        <w:jc w:val="both"/>
        <w:rPr>
          <w:rFonts w:ascii="Times New Roman" w:hAnsi="Times New Roman" w:cs="Times New Roman"/>
          <w:noProof/>
          <w:sz w:val="24"/>
          <w:szCs w:val="24"/>
        </w:rPr>
      </w:pPr>
    </w:p>
    <w:p>
      <w:pPr>
        <w:pStyle w:val="ListParagraph"/>
        <w:numPr>
          <w:ilvl w:val="0"/>
          <w:numId w:val="13"/>
        </w:numPr>
        <w:jc w:val="both"/>
        <w:rPr>
          <w:rFonts w:ascii="Times New Roman" w:hAnsi="Times New Roman" w:cs="Times New Roman"/>
          <w:noProof/>
          <w:sz w:val="24"/>
          <w:szCs w:val="24"/>
        </w:rPr>
      </w:pPr>
      <w:r>
        <w:rPr>
          <w:rFonts w:ascii="Times New Roman" w:hAnsi="Times New Roman"/>
          <w:noProof/>
          <w:sz w:val="24"/>
        </w:rPr>
        <w:t>auf Aufforderung die Belege vorzuweisen, aus denen die Richtigkeit der vorgelegten Informationen hervorgeht,</w:t>
      </w:r>
    </w:p>
    <w:p>
      <w:pPr>
        <w:pStyle w:val="ListParagraph"/>
        <w:jc w:val="both"/>
        <w:rPr>
          <w:rFonts w:ascii="Times New Roman" w:hAnsi="Times New Roman" w:cs="Times New Roman"/>
          <w:noProof/>
          <w:sz w:val="24"/>
          <w:szCs w:val="24"/>
        </w:rPr>
      </w:pPr>
    </w:p>
    <w:p>
      <w:pPr>
        <w:pStyle w:val="ListParagraph"/>
        <w:numPr>
          <w:ilvl w:val="0"/>
          <w:numId w:val="13"/>
        </w:numPr>
        <w:jc w:val="both"/>
        <w:rPr>
          <w:rFonts w:ascii="Times New Roman" w:hAnsi="Times New Roman" w:cs="Times New Roman"/>
          <w:noProof/>
          <w:sz w:val="24"/>
          <w:szCs w:val="24"/>
        </w:rPr>
      </w:pPr>
      <w:r>
        <w:rPr>
          <w:rFonts w:ascii="Times New Roman" w:hAnsi="Times New Roman"/>
          <w:noProof/>
          <w:sz w:val="24"/>
        </w:rPr>
        <w:t>bei Aufforderungen zur Klärung und Aktualisierung von Angaben loyal und konstruktiv mitzuarbeiten,</w:t>
      </w:r>
    </w:p>
    <w:p>
      <w:pPr>
        <w:pStyle w:val="ListParagraph"/>
        <w:jc w:val="both"/>
        <w:rPr>
          <w:rFonts w:ascii="Times New Roman" w:hAnsi="Times New Roman" w:cs="Times New Roman"/>
          <w:noProof/>
          <w:sz w:val="24"/>
          <w:szCs w:val="24"/>
        </w:rPr>
      </w:pPr>
    </w:p>
    <w:p>
      <w:pPr>
        <w:pStyle w:val="ListParagraph"/>
        <w:numPr>
          <w:ilvl w:val="0"/>
          <w:numId w:val="13"/>
        </w:numPr>
        <w:jc w:val="both"/>
        <w:rPr>
          <w:rFonts w:ascii="Times New Roman" w:hAnsi="Times New Roman" w:cs="Times New Roman"/>
          <w:noProof/>
          <w:sz w:val="24"/>
          <w:szCs w:val="24"/>
        </w:rPr>
      </w:pPr>
      <w:r>
        <w:rPr>
          <w:rFonts w:ascii="Times New Roman" w:hAnsi="Times New Roman"/>
          <w:noProof/>
          <w:sz w:val="24"/>
        </w:rPr>
        <w:t>anzuerkennen, dass sie Gegenstand von Untersuchungsverfahren und gegebenenfalls von Maßnahmen nach Anhang IV sein können.</w:t>
      </w:r>
    </w:p>
    <w:p>
      <w:pPr>
        <w:jc w:val="center"/>
        <w:rPr>
          <w:rFonts w:ascii="Times New Roman" w:hAnsi="Times New Roman" w:cs="Times New Roman"/>
          <w:noProof/>
          <w:sz w:val="24"/>
          <w:szCs w:val="24"/>
        </w:rPr>
      </w:pPr>
      <w:r>
        <w:rPr>
          <w:rFonts w:ascii="Times New Roman" w:hAnsi="Times New Roman"/>
          <w:noProof/>
          <w:sz w:val="24"/>
        </w:rPr>
        <w:t>Artikel 8</w:t>
      </w:r>
    </w:p>
    <w:p>
      <w:pPr>
        <w:jc w:val="center"/>
        <w:rPr>
          <w:rFonts w:ascii="Times New Roman" w:hAnsi="Times New Roman" w:cs="Times New Roman"/>
          <w:b/>
          <w:noProof/>
          <w:sz w:val="24"/>
          <w:szCs w:val="24"/>
        </w:rPr>
      </w:pPr>
      <w:r>
        <w:rPr>
          <w:rFonts w:ascii="Times New Roman" w:hAnsi="Times New Roman"/>
          <w:b/>
          <w:noProof/>
          <w:sz w:val="24"/>
        </w:rPr>
        <w:t>Verwaltungsrat des Registers</w:t>
      </w:r>
    </w:p>
    <w:p>
      <w:pPr>
        <w:jc w:val="both"/>
        <w:rPr>
          <w:rFonts w:ascii="Times New Roman" w:hAnsi="Times New Roman" w:cs="Times New Roman"/>
          <w:noProof/>
          <w:sz w:val="24"/>
          <w:szCs w:val="24"/>
        </w:rPr>
      </w:pPr>
      <w:r>
        <w:rPr>
          <w:rFonts w:ascii="Times New Roman" w:hAnsi="Times New Roman"/>
          <w:noProof/>
          <w:sz w:val="24"/>
        </w:rPr>
        <w:t xml:space="preserve">1) der Verwaltungsrat des Registers besteht aus den Generalsekretären der drei Organe. </w:t>
      </w:r>
    </w:p>
    <w:p>
      <w:pPr>
        <w:jc w:val="both"/>
        <w:rPr>
          <w:rFonts w:ascii="Times New Roman" w:hAnsi="Times New Roman" w:cs="Times New Roman"/>
          <w:noProof/>
          <w:sz w:val="24"/>
          <w:szCs w:val="24"/>
        </w:rPr>
      </w:pPr>
      <w:r>
        <w:rPr>
          <w:rFonts w:ascii="Times New Roman" w:hAnsi="Times New Roman"/>
          <w:noProof/>
          <w:sz w:val="24"/>
        </w:rPr>
        <w:t>2)Der Verwaltungsrat</w:t>
      </w:r>
    </w:p>
    <w:p>
      <w:pPr>
        <w:ind w:left="709" w:hanging="709"/>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 xml:space="preserve">überwacht die Durchführung dieser Vereinbarung durch das Sekretariat und gibt zu diesem Zweck allgemeine Anweisungen; </w:t>
      </w:r>
    </w:p>
    <w:p>
      <w:pPr>
        <w:ind w:left="709" w:hanging="709"/>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genehmigt die Geschäftsordnung des Sekretariats;</w:t>
      </w:r>
    </w:p>
    <w:p>
      <w:pPr>
        <w:ind w:left="709" w:hanging="709"/>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genehmigt die Herausgabe der Leitlinien nach Artikel 9 Absatz 4;</w:t>
      </w:r>
    </w:p>
    <w:p>
      <w:pPr>
        <w:ind w:left="709" w:hanging="709"/>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prüft und bescheidet mit Gründen versehene Anträge von registrierten Interessenvertretern auf Überprüfung von Sekretariatsbeschlüssen nach Anhang IV dieser Vereinbarung;</w:t>
      </w:r>
    </w:p>
    <w:p>
      <w:pPr>
        <w:ind w:left="709" w:hanging="709"/>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akzeptiert Mitteilungen über eine freiwillige Beteiligung nach Artikel 12 und 13 dieser Vereinbarung.</w:t>
      </w:r>
    </w:p>
    <w:p>
      <w:pPr>
        <w:jc w:val="both"/>
        <w:rPr>
          <w:rFonts w:ascii="Times New Roman" w:hAnsi="Times New Roman" w:cs="Times New Roman"/>
          <w:noProof/>
          <w:sz w:val="24"/>
          <w:szCs w:val="24"/>
        </w:rPr>
      </w:pPr>
      <w:r>
        <w:rPr>
          <w:rFonts w:ascii="Times New Roman" w:hAnsi="Times New Roman"/>
          <w:noProof/>
          <w:sz w:val="24"/>
        </w:rPr>
        <w:t>3) Der Verwaltungsrat entscheidet einvernehmlich.</w:t>
      </w:r>
    </w:p>
    <w:p>
      <w:pPr>
        <w:jc w:val="both"/>
        <w:rPr>
          <w:rFonts w:ascii="Times New Roman" w:hAnsi="Times New Roman" w:cs="Times New Roman"/>
          <w:noProof/>
          <w:sz w:val="24"/>
          <w:szCs w:val="24"/>
        </w:rPr>
      </w:pPr>
      <w:r>
        <w:rPr>
          <w:rFonts w:ascii="Times New Roman" w:hAnsi="Times New Roman"/>
          <w:noProof/>
          <w:sz w:val="24"/>
        </w:rPr>
        <w:t xml:space="preserve">4) Der Verwaltungsrat kann sich eine Geschäftsordnung geben. </w:t>
      </w:r>
    </w:p>
    <w:p>
      <w:pPr>
        <w:jc w:val="center"/>
        <w:rPr>
          <w:rFonts w:ascii="Times New Roman" w:hAnsi="Times New Roman" w:cs="Times New Roman"/>
          <w:noProof/>
          <w:sz w:val="24"/>
          <w:szCs w:val="24"/>
        </w:rPr>
      </w:pPr>
    </w:p>
    <w:p>
      <w:pPr>
        <w:jc w:val="center"/>
        <w:rPr>
          <w:rFonts w:ascii="Times New Roman" w:hAnsi="Times New Roman" w:cs="Times New Roman"/>
          <w:noProof/>
          <w:sz w:val="24"/>
          <w:szCs w:val="24"/>
        </w:rPr>
      </w:pPr>
      <w:r>
        <w:rPr>
          <w:rFonts w:ascii="Times New Roman" w:hAnsi="Times New Roman"/>
          <w:noProof/>
          <w:sz w:val="24"/>
        </w:rPr>
        <w:t>Artikel 9</w:t>
      </w:r>
    </w:p>
    <w:p>
      <w:pPr>
        <w:jc w:val="center"/>
        <w:rPr>
          <w:rFonts w:ascii="Times New Roman" w:hAnsi="Times New Roman" w:cs="Times New Roman"/>
          <w:noProof/>
          <w:color w:val="0070C0"/>
          <w:sz w:val="24"/>
          <w:szCs w:val="24"/>
        </w:rPr>
      </w:pPr>
      <w:r>
        <w:rPr>
          <w:rFonts w:ascii="Times New Roman" w:hAnsi="Times New Roman"/>
          <w:b/>
          <w:noProof/>
          <w:sz w:val="24"/>
        </w:rPr>
        <w:t>Das Sekretariat des Registers</w:t>
      </w:r>
    </w:p>
    <w:p>
      <w:pPr>
        <w:jc w:val="both"/>
        <w:rPr>
          <w:rFonts w:ascii="Times New Roman" w:hAnsi="Times New Roman" w:cs="Times New Roman"/>
          <w:noProof/>
          <w:sz w:val="24"/>
          <w:szCs w:val="24"/>
        </w:rPr>
      </w:pPr>
      <w:r>
        <w:rPr>
          <w:rFonts w:ascii="Times New Roman" w:hAnsi="Times New Roman"/>
          <w:noProof/>
          <w:sz w:val="24"/>
        </w:rPr>
        <w:t>1) Das Sekretariat ist eine gemeinsame Verwaltungsstruktur, bestehend aus einem Koordinator und den Sekretariatsmitgliedern, und ist unmittelbar dem Verwaltungsrat gegenüber verantwortlich.</w:t>
      </w:r>
    </w:p>
    <w:p>
      <w:pPr>
        <w:jc w:val="both"/>
        <w:rPr>
          <w:rFonts w:ascii="Times New Roman" w:hAnsi="Times New Roman" w:cs="Times New Roman"/>
          <w:noProof/>
          <w:sz w:val="24"/>
          <w:szCs w:val="24"/>
        </w:rPr>
      </w:pPr>
      <w:r>
        <w:rPr>
          <w:rFonts w:ascii="Times New Roman" w:hAnsi="Times New Roman"/>
          <w:noProof/>
          <w:sz w:val="24"/>
        </w:rPr>
        <w:t xml:space="preserve">2) Die Sekretariatsarbeit wird von einem Beamten des Generalsekretariats der Europäischen Kommission (nachstehend: der „Koordinator“) koordiniert. Die Mitglieder des Sekretariats werden von Bediensteten des Europäischen Parlaments, des Rates und der Europäischen Kommission gestellt, die zu diesem Zweck von ihrem Organ zum Sekretariat abgeordnet werden. </w:t>
      </w:r>
    </w:p>
    <w:p>
      <w:pPr>
        <w:jc w:val="both"/>
        <w:rPr>
          <w:rFonts w:ascii="Times New Roman" w:hAnsi="Times New Roman" w:cs="Times New Roman"/>
          <w:noProof/>
          <w:sz w:val="24"/>
          <w:szCs w:val="24"/>
        </w:rPr>
      </w:pPr>
      <w:r>
        <w:rPr>
          <w:rFonts w:ascii="Times New Roman" w:hAnsi="Times New Roman"/>
          <w:noProof/>
          <w:sz w:val="24"/>
        </w:rPr>
        <w:t xml:space="preserve">Der Koordinator trägt die Gesamtverantwortung für die Arbeit des Sekretariats und beaufsichtigt seine tägliche Arbeit. </w:t>
      </w:r>
    </w:p>
    <w:p>
      <w:pPr>
        <w:jc w:val="both"/>
        <w:rPr>
          <w:rFonts w:ascii="Times New Roman" w:hAnsi="Times New Roman" w:cs="Times New Roman"/>
          <w:noProof/>
          <w:sz w:val="24"/>
          <w:szCs w:val="24"/>
        </w:rPr>
      </w:pPr>
      <w:r>
        <w:rPr>
          <w:rFonts w:ascii="Times New Roman" w:hAnsi="Times New Roman"/>
          <w:noProof/>
          <w:sz w:val="24"/>
        </w:rPr>
        <w:t>3) Das Sekretariat nimmt vor allem folgende Aufgaben wahr:</w:t>
      </w:r>
    </w:p>
    <w:p>
      <w:pPr>
        <w:ind w:left="709" w:hanging="709"/>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 xml:space="preserve">Erstellung des Entwurfs einer Sekretariats-Geschäftsordnung, der dem Verwaltungsrat zur Genehmigung vorgelegt wird; </w:t>
      </w:r>
    </w:p>
    <w:p>
      <w:pPr>
        <w:ind w:left="709" w:hanging="709"/>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Berichterstattung an den Verwaltungsrat über die Durchführung dieser Vereinbarung;</w:t>
      </w:r>
    </w:p>
    <w:p>
      <w:pPr>
        <w:ind w:left="709" w:hanging="709"/>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Kontrolle des Registerbestands und Gewährleistung, dass dort nur Interessenvertreter, die die einschlägigen Voraussetzungen erfüllen, aufgeführt werden, um einen optimalen Datenbestand zu erreichen, auch in dem Bewusstsein, dass letzten Endes die registrierten Interessenvertreter selbst für die Richtigkeit der von ihnen vorgelegten Informationen verantwortlich sind;</w:t>
      </w:r>
    </w:p>
    <w:p>
      <w:pPr>
        <w:ind w:left="709" w:hanging="709"/>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technische Unterstützung registrierter Interessenvertreter, der drei Organe und der Einrichtungen, die sich gemäß den Artikeln 12 und 13 freiwillig am Register beteiligen.</w:t>
      </w:r>
    </w:p>
    <w:p>
      <w:pPr>
        <w:ind w:left="709" w:hanging="709"/>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Durchführung von Untersuchungen, Streichung von Registereinträgen und Erlass von Maßnahmen gemäß Anhang IV zu dieser Vereinbarung;</w:t>
      </w:r>
    </w:p>
    <w:p>
      <w:pPr>
        <w:ind w:left="709" w:hanging="709"/>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Durchführung von Sensibilisierungsmaßnahmen;</w:t>
      </w:r>
    </w:p>
    <w:p>
      <w:pPr>
        <w:ind w:left="709" w:hanging="709"/>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Erstellung eines Jahresberichts für das Vorjahr;</w:t>
      </w:r>
    </w:p>
    <w:p>
      <w:pPr>
        <w:ind w:left="709" w:hanging="709"/>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 xml:space="preserve">Gestaltung und Pflege des Internetauftritts des Registers und des Online-Registrierungsformblatts sowie anderer einschlägiger IT-Ressourcen; </w:t>
      </w:r>
    </w:p>
    <w:p>
      <w:pPr>
        <w:ind w:left="709" w:hanging="709"/>
        <w:jc w:val="both"/>
        <w:rPr>
          <w:rFonts w:ascii="Times New Roman" w:hAnsi="Times New Roman" w:cs="Times New Roman"/>
          <w:noProof/>
          <w:sz w:val="24"/>
          <w:szCs w:val="24"/>
        </w:rPr>
      </w:pPr>
      <w:r>
        <w:rPr>
          <w:rFonts w:ascii="Times New Roman" w:hAnsi="Times New Roman"/>
          <w:noProof/>
          <w:sz w:val="24"/>
        </w:rPr>
        <w:t>—</w:t>
      </w:r>
      <w:r>
        <w:rPr>
          <w:noProof/>
        </w:rPr>
        <w:tab/>
      </w:r>
      <w:r>
        <w:rPr>
          <w:noProof/>
        </w:rPr>
        <w:tab/>
      </w:r>
      <w:r>
        <w:rPr>
          <w:rFonts w:ascii="Times New Roman" w:hAnsi="Times New Roman"/>
          <w:noProof/>
          <w:sz w:val="24"/>
        </w:rPr>
        <w:t>Austausch von Praktiken und Erfahrungen mit ähnlichen Einrichtungen auf dem Gebiet der Transparenz der Interessenvertretung;</w:t>
      </w:r>
    </w:p>
    <w:p>
      <w:pPr>
        <w:ind w:left="709" w:hanging="709"/>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sämtliche anderen für die Durchführung dieser Vereinbarung erforderlichen Aufgaben.</w:t>
      </w:r>
    </w:p>
    <w:p>
      <w:pPr>
        <w:jc w:val="both"/>
        <w:rPr>
          <w:rFonts w:ascii="Times New Roman" w:hAnsi="Times New Roman" w:cs="Times New Roman"/>
          <w:noProof/>
          <w:sz w:val="24"/>
          <w:szCs w:val="24"/>
        </w:rPr>
      </w:pPr>
      <w:r>
        <w:rPr>
          <w:rFonts w:ascii="Times New Roman" w:hAnsi="Times New Roman"/>
          <w:noProof/>
          <w:sz w:val="24"/>
        </w:rPr>
        <w:t xml:space="preserve">4) Das Sekretariat kann dem Verwaltungsrat Leitlinien für registrierte Interessenvertreter zur Genehmigung vorlegen, um die kohärente Anwendung der Artikel 2 bis 6 (Begriffsbestimmungen, Tätigkeiten, nicht erfasste Einrichtungen, an die vorherige Registrierung geknüpfte Formen der Zusammenarbeit, Registrierungsvoraussetzungen und Registrierung von Antragstellern) und der Anhänge dieser Vereinbarung zu gewährleisten. </w:t>
      </w:r>
    </w:p>
    <w:p>
      <w:pPr>
        <w:jc w:val="both"/>
        <w:rPr>
          <w:rFonts w:ascii="Times New Roman" w:hAnsi="Times New Roman" w:cs="Times New Roman"/>
          <w:noProof/>
          <w:sz w:val="24"/>
          <w:szCs w:val="24"/>
        </w:rPr>
      </w:pPr>
    </w:p>
    <w:p>
      <w:pPr>
        <w:jc w:val="center"/>
        <w:rPr>
          <w:rFonts w:ascii="Times New Roman" w:hAnsi="Times New Roman" w:cs="Times New Roman"/>
          <w:noProof/>
          <w:sz w:val="24"/>
          <w:szCs w:val="24"/>
        </w:rPr>
      </w:pPr>
      <w:r>
        <w:rPr>
          <w:rFonts w:ascii="Times New Roman" w:hAnsi="Times New Roman"/>
          <w:noProof/>
          <w:sz w:val="24"/>
        </w:rPr>
        <w:t>Artikel 10</w:t>
      </w:r>
    </w:p>
    <w:p>
      <w:pPr>
        <w:jc w:val="center"/>
        <w:rPr>
          <w:rFonts w:ascii="Times New Roman" w:hAnsi="Times New Roman" w:cs="Times New Roman"/>
          <w:b/>
          <w:noProof/>
          <w:sz w:val="24"/>
          <w:szCs w:val="24"/>
        </w:rPr>
      </w:pPr>
      <w:r>
        <w:rPr>
          <w:rFonts w:ascii="Times New Roman" w:hAnsi="Times New Roman"/>
          <w:b/>
          <w:noProof/>
          <w:sz w:val="24"/>
        </w:rPr>
        <w:t>Gründungsrechtsakt</w:t>
      </w:r>
    </w:p>
    <w:p>
      <w:pPr>
        <w:jc w:val="both"/>
        <w:rPr>
          <w:rFonts w:ascii="Times New Roman" w:hAnsi="Times New Roman" w:cs="Times New Roman"/>
          <w:noProof/>
          <w:sz w:val="24"/>
          <w:szCs w:val="24"/>
        </w:rPr>
      </w:pPr>
      <w:r>
        <w:rPr>
          <w:rFonts w:ascii="Times New Roman" w:hAnsi="Times New Roman"/>
          <w:noProof/>
          <w:sz w:val="24"/>
        </w:rPr>
        <w:t>Vor Inkrafttreten dieser Vereinbarung nehmen die drei Organe einen separaten Beschluss über die Einrichtung des Sekretariats und des Verwaltungsrats an.</w:t>
      </w:r>
    </w:p>
    <w:p>
      <w:pPr>
        <w:jc w:val="center"/>
        <w:rPr>
          <w:rFonts w:ascii="Times New Roman" w:hAnsi="Times New Roman" w:cs="Times New Roman"/>
          <w:noProof/>
          <w:sz w:val="24"/>
          <w:szCs w:val="24"/>
        </w:rPr>
      </w:pPr>
      <w:r>
        <w:rPr>
          <w:rFonts w:ascii="Times New Roman" w:hAnsi="Times New Roman"/>
          <w:noProof/>
          <w:sz w:val="24"/>
        </w:rPr>
        <w:t>Artikel 11</w:t>
      </w:r>
    </w:p>
    <w:p>
      <w:pPr>
        <w:jc w:val="center"/>
        <w:rPr>
          <w:rFonts w:ascii="Times New Roman" w:hAnsi="Times New Roman" w:cs="Times New Roman"/>
          <w:noProof/>
          <w:color w:val="0070C0"/>
          <w:sz w:val="24"/>
          <w:szCs w:val="24"/>
        </w:rPr>
      </w:pPr>
      <w:r>
        <w:rPr>
          <w:rFonts w:ascii="Times New Roman" w:hAnsi="Times New Roman"/>
          <w:b/>
          <w:noProof/>
          <w:sz w:val="24"/>
        </w:rPr>
        <w:t>Ressourcen</w:t>
      </w:r>
    </w:p>
    <w:p>
      <w:pPr>
        <w:jc w:val="both"/>
        <w:rPr>
          <w:rFonts w:ascii="Times New Roman" w:hAnsi="Times New Roman" w:cs="Times New Roman"/>
          <w:noProof/>
          <w:sz w:val="24"/>
          <w:szCs w:val="24"/>
        </w:rPr>
      </w:pPr>
      <w:r>
        <w:rPr>
          <w:rFonts w:ascii="Times New Roman" w:hAnsi="Times New Roman"/>
          <w:noProof/>
          <w:sz w:val="24"/>
        </w:rPr>
        <w:t xml:space="preserve">1) Die drei Organe gewährleisten, dass das Sekretariat über die personellen, administrativen und finanziellen Ressourcen verfügt, die zur ordnungsgemäßen Wahrnehmung seiner Aufgaben erforderlich sind. </w:t>
      </w:r>
    </w:p>
    <w:p>
      <w:pPr>
        <w:jc w:val="both"/>
        <w:rPr>
          <w:rFonts w:ascii="Times New Roman" w:hAnsi="Times New Roman" w:cs="Times New Roman"/>
          <w:noProof/>
          <w:sz w:val="24"/>
          <w:szCs w:val="24"/>
        </w:rPr>
      </w:pPr>
      <w:r>
        <w:rPr>
          <w:rFonts w:ascii="Times New Roman" w:hAnsi="Times New Roman"/>
          <w:noProof/>
          <w:sz w:val="24"/>
        </w:rPr>
        <w:t xml:space="preserve">2) Die drei Organe stellen dem Sekretariat das erforderliche Personal zur Verfügung, wobei die vom Europäischen Parlament und vom Rat der Europäischen Union bereitgestellten Mitarbeiter gemäß den Artikeln 37 Buchstabe a und 38 des Beamtenstatuts an die Kommission abgeordnet werden.  </w:t>
      </w:r>
    </w:p>
    <w:p>
      <w:pPr>
        <w:jc w:val="both"/>
        <w:rPr>
          <w:rFonts w:ascii="Times New Roman" w:hAnsi="Times New Roman" w:cs="Times New Roman"/>
          <w:b/>
          <w:i/>
          <w:noProof/>
          <w:sz w:val="24"/>
          <w:szCs w:val="24"/>
        </w:rPr>
      </w:pPr>
      <w:r>
        <w:rPr>
          <w:rFonts w:ascii="Times New Roman" w:hAnsi="Times New Roman"/>
          <w:noProof/>
          <w:sz w:val="24"/>
        </w:rPr>
        <w:t>3) Die drei Organe tragen zu gleichen Teilen zum Betrieb des Sekretariats und des Registers bei. Sie schließen eine separate Vereinbarung zu den Vorkehrungen im Hinblick auf ihre Beiträge zu den administrativen und finanziellen Ressourcen des Sekretariats.</w:t>
      </w:r>
    </w:p>
    <w:p>
      <w:pPr>
        <w:rPr>
          <w:rFonts w:ascii="Times New Roman" w:hAnsi="Times New Roman" w:cs="Times New Roman"/>
          <w:noProof/>
          <w:sz w:val="24"/>
          <w:szCs w:val="24"/>
        </w:rPr>
      </w:pPr>
    </w:p>
    <w:p>
      <w:pPr>
        <w:jc w:val="center"/>
        <w:rPr>
          <w:rFonts w:ascii="Times New Roman" w:hAnsi="Times New Roman" w:cs="Times New Roman"/>
          <w:noProof/>
          <w:color w:val="0070C0"/>
          <w:sz w:val="24"/>
          <w:szCs w:val="24"/>
        </w:rPr>
      </w:pPr>
      <w:r>
        <w:rPr>
          <w:rFonts w:ascii="Times New Roman" w:hAnsi="Times New Roman"/>
          <w:noProof/>
          <w:sz w:val="24"/>
        </w:rPr>
        <w:t>Artikel 12</w:t>
      </w:r>
    </w:p>
    <w:p>
      <w:pPr>
        <w:jc w:val="center"/>
        <w:rPr>
          <w:rFonts w:ascii="Times New Roman" w:hAnsi="Times New Roman" w:cs="Times New Roman"/>
          <w:b/>
          <w:noProof/>
          <w:sz w:val="24"/>
          <w:szCs w:val="24"/>
        </w:rPr>
      </w:pPr>
      <w:r>
        <w:rPr>
          <w:rFonts w:ascii="Times New Roman" w:hAnsi="Times New Roman"/>
          <w:b/>
          <w:noProof/>
          <w:sz w:val="24"/>
        </w:rPr>
        <w:t>Freiwillige Beteiligung anderer Organe, Einrichtungen, Ämter und Agenturen der EU</w:t>
      </w:r>
    </w:p>
    <w:p>
      <w:pPr>
        <w:jc w:val="both"/>
        <w:rPr>
          <w:rFonts w:ascii="Times New Roman" w:hAnsi="Times New Roman" w:cs="Times New Roman"/>
          <w:noProof/>
          <w:sz w:val="24"/>
          <w:szCs w:val="24"/>
        </w:rPr>
      </w:pPr>
      <w:r>
        <w:rPr>
          <w:rFonts w:ascii="Times New Roman" w:hAnsi="Times New Roman"/>
          <w:noProof/>
          <w:sz w:val="24"/>
        </w:rPr>
        <w:t>1) Andere Organe, Einrichtungen, Ämter und Agenturen der Europäischen Union sind aufgefordert, den mit dieser Vereinbarung geschaffenen Rahmen als Referenzinstrument für ihre eigene Zusammenarbeit mit Interessenvertretern zu nutzen.</w:t>
      </w:r>
    </w:p>
    <w:p>
      <w:pPr>
        <w:jc w:val="both"/>
        <w:rPr>
          <w:rFonts w:ascii="Times New Roman" w:hAnsi="Times New Roman" w:cs="Times New Roman"/>
          <w:noProof/>
          <w:sz w:val="24"/>
          <w:szCs w:val="24"/>
        </w:rPr>
      </w:pPr>
      <w:r>
        <w:rPr>
          <w:rFonts w:ascii="Times New Roman" w:hAnsi="Times New Roman"/>
          <w:noProof/>
          <w:sz w:val="24"/>
        </w:rPr>
        <w:t>2) Andere Organe, Einrichtungen, Ämter und Agenturen der Europäischen Union können dem Sekretariat mitteilen, dass sie bestimmte Formen der Zusammenarbeit von einer vorherigen Registrierung im Transparenzregister abhängig machen wollen. In der betreffenden Mitteilung sind die Formen der Zusammenarbeit und die einschlägigen Bedingungen anzugeben.</w:t>
      </w:r>
    </w:p>
    <w:p>
      <w:pPr>
        <w:jc w:val="both"/>
        <w:rPr>
          <w:rFonts w:ascii="Times New Roman" w:hAnsi="Times New Roman" w:cs="Times New Roman"/>
          <w:noProof/>
          <w:sz w:val="24"/>
          <w:szCs w:val="24"/>
        </w:rPr>
      </w:pPr>
      <w:r>
        <w:rPr>
          <w:rFonts w:ascii="Times New Roman" w:hAnsi="Times New Roman"/>
          <w:noProof/>
          <w:sz w:val="24"/>
        </w:rPr>
        <w:t>3) Stellt der Verwaltungsrat fest, dass die angegebenen Formen der Zusammenarbeit mit den Zielen des Registers vereinbar sind, sind die Organe, Einrichtungen, Ämter und Agenturen der Europäischen Union befugt, diese Formen der Zusammenarbeit von einer Registrierung abhängig zu machen und vom Sekretariat des Registers unterstützt zu werden; im Gegenzug leisten sie einen verhältnismäßigen Beitrag zu den Kosten des Betriebs des Sekretariats und des Registers.</w:t>
      </w:r>
    </w:p>
    <w:p>
      <w:pPr>
        <w:jc w:val="both"/>
        <w:rPr>
          <w:rFonts w:ascii="Times New Roman" w:hAnsi="Times New Roman" w:cs="Times New Roman"/>
          <w:noProof/>
          <w:sz w:val="24"/>
          <w:szCs w:val="24"/>
        </w:rPr>
      </w:pPr>
      <w:r>
        <w:rPr>
          <w:rFonts w:ascii="Times New Roman" w:hAnsi="Times New Roman"/>
          <w:noProof/>
          <w:sz w:val="24"/>
        </w:rPr>
        <w:t>4) Die Annahme einer Mitteilung im Sinne des vorstehenden Absatzes verleiht dem betreffenden Organ oder Amt bzw. der betreffenden Einrichtung oder Agentur nicht den Status einer Partei dieser interinstitutionellen Vereinbarung.</w:t>
      </w:r>
    </w:p>
    <w:p>
      <w:pPr>
        <w:jc w:val="both"/>
        <w:rPr>
          <w:rFonts w:ascii="Times New Roman" w:hAnsi="Times New Roman" w:cs="Times New Roman"/>
          <w:noProof/>
          <w:sz w:val="24"/>
          <w:szCs w:val="24"/>
        </w:rPr>
      </w:pPr>
      <w:r>
        <w:rPr>
          <w:rFonts w:ascii="Times New Roman" w:hAnsi="Times New Roman"/>
          <w:noProof/>
          <w:sz w:val="24"/>
        </w:rPr>
        <w:t>5) Die gemäß Absatz 3 angenommenen Konditionalitäten werden auf der Internetseite des Registers veröffentlicht.</w:t>
      </w:r>
    </w:p>
    <w:p>
      <w:pPr>
        <w:jc w:val="center"/>
        <w:rPr>
          <w:rFonts w:ascii="Times New Roman" w:hAnsi="Times New Roman" w:cs="Times New Roman"/>
          <w:noProof/>
          <w:color w:val="0070C0"/>
          <w:sz w:val="24"/>
          <w:szCs w:val="24"/>
        </w:rPr>
      </w:pPr>
      <w:r>
        <w:rPr>
          <w:rFonts w:ascii="Times New Roman" w:hAnsi="Times New Roman"/>
          <w:noProof/>
          <w:sz w:val="24"/>
        </w:rPr>
        <w:t>Artikel 13</w:t>
      </w:r>
    </w:p>
    <w:p>
      <w:pPr>
        <w:jc w:val="center"/>
        <w:rPr>
          <w:rFonts w:ascii="Times New Roman" w:hAnsi="Times New Roman" w:cs="Times New Roman"/>
          <w:b/>
          <w:noProof/>
          <w:sz w:val="24"/>
          <w:szCs w:val="24"/>
        </w:rPr>
      </w:pPr>
      <w:r>
        <w:rPr>
          <w:rFonts w:ascii="Times New Roman" w:hAnsi="Times New Roman"/>
          <w:b/>
          <w:noProof/>
          <w:sz w:val="24"/>
        </w:rPr>
        <w:t>Freiwillige Beteiligung der Ständigen Vertretungen von Mitgliedstaaten der EU</w:t>
      </w:r>
    </w:p>
    <w:p>
      <w:pPr>
        <w:jc w:val="both"/>
        <w:rPr>
          <w:rFonts w:ascii="Times New Roman" w:hAnsi="Times New Roman" w:cs="Times New Roman"/>
          <w:noProof/>
          <w:sz w:val="24"/>
          <w:szCs w:val="24"/>
        </w:rPr>
      </w:pPr>
      <w:r>
        <w:rPr>
          <w:rFonts w:ascii="Times New Roman" w:hAnsi="Times New Roman"/>
          <w:noProof/>
          <w:sz w:val="24"/>
        </w:rPr>
        <w:t>1) Unbeschadet Artikel 4 Absatz 3 dieser Vereinbarung können die Mitgliedstaaten dem Sekretariat mitteilen, dass sie bestimmte Formen der Zusammenarbeit von Interessenvertretern mit ihren Ständigen Vertretungen bei der EU von einer vorherigen Registrierung im Transparenzregister abhängig machen wollen. In der betreffenden Mitteilung sind die Formen der Zusammenarbeit und die einschlägigen Bedingungen anzugeben.</w:t>
      </w:r>
    </w:p>
    <w:p>
      <w:pPr>
        <w:jc w:val="both"/>
        <w:rPr>
          <w:rFonts w:ascii="Times New Roman" w:hAnsi="Times New Roman" w:cs="Times New Roman"/>
          <w:noProof/>
          <w:sz w:val="24"/>
          <w:szCs w:val="24"/>
        </w:rPr>
      </w:pPr>
      <w:r>
        <w:rPr>
          <w:rFonts w:ascii="Times New Roman" w:hAnsi="Times New Roman"/>
          <w:noProof/>
          <w:sz w:val="24"/>
        </w:rPr>
        <w:t>2) Stellt der Verwaltungsrat fest, dass die angegebenen Formen der Zusammenarbeit mit den Zielen des Registers vereinbar sind, ist die betreffende Ständige Vertretung befugt, diese Formen der Zusammenarbeit von einer Registrierung abhängig zu machen und vom Sekretariat des Registers unterstützt zu werden; im Gegenzug leistet sie einen verhältnismäßigen Beitrag zu den Kosten des Betriebs des Sekretariats und des Registers.</w:t>
      </w:r>
    </w:p>
    <w:p>
      <w:pPr>
        <w:jc w:val="both"/>
        <w:rPr>
          <w:rFonts w:ascii="Times New Roman" w:hAnsi="Times New Roman" w:cs="Times New Roman"/>
          <w:noProof/>
          <w:sz w:val="24"/>
          <w:szCs w:val="24"/>
        </w:rPr>
      </w:pPr>
      <w:r>
        <w:rPr>
          <w:rFonts w:ascii="Times New Roman" w:hAnsi="Times New Roman"/>
          <w:noProof/>
          <w:sz w:val="24"/>
        </w:rPr>
        <w:t>3) Die Annahme einer Mitteilung im Sinne des vorstehenden Absatzes verleiht dem betreffenden Mitgliedstaat nicht den Status einer Partei dieser interinstitutionellen Vereinbarung.</w:t>
      </w:r>
    </w:p>
    <w:p>
      <w:pPr>
        <w:jc w:val="both"/>
        <w:rPr>
          <w:rFonts w:ascii="Times New Roman" w:hAnsi="Times New Roman" w:cs="Times New Roman"/>
          <w:noProof/>
          <w:sz w:val="24"/>
          <w:szCs w:val="24"/>
        </w:rPr>
      </w:pPr>
      <w:r>
        <w:rPr>
          <w:rFonts w:ascii="Times New Roman" w:hAnsi="Times New Roman"/>
          <w:noProof/>
          <w:sz w:val="24"/>
        </w:rPr>
        <w:t>4) Die gemäß Absatz 2 angenommenen Konditionalitäten werden auf der Internetseite des Registers veröffentlicht.</w:t>
      </w:r>
    </w:p>
    <w:p>
      <w:pPr>
        <w:jc w:val="center"/>
        <w:rPr>
          <w:rFonts w:ascii="Times New Roman" w:hAnsi="Times New Roman" w:cs="Times New Roman"/>
          <w:noProof/>
          <w:sz w:val="24"/>
          <w:szCs w:val="24"/>
        </w:rPr>
      </w:pPr>
      <w:r>
        <w:rPr>
          <w:rFonts w:ascii="Times New Roman" w:hAnsi="Times New Roman"/>
          <w:noProof/>
          <w:sz w:val="24"/>
        </w:rPr>
        <w:t>Artikel 14</w:t>
      </w:r>
    </w:p>
    <w:p>
      <w:pPr>
        <w:jc w:val="center"/>
        <w:rPr>
          <w:rFonts w:ascii="Times New Roman" w:hAnsi="Times New Roman" w:cs="Times New Roman"/>
          <w:b/>
          <w:noProof/>
          <w:sz w:val="24"/>
          <w:szCs w:val="24"/>
        </w:rPr>
      </w:pPr>
      <w:r>
        <w:rPr>
          <w:rFonts w:ascii="Times New Roman" w:hAnsi="Times New Roman"/>
          <w:b/>
          <w:noProof/>
          <w:sz w:val="24"/>
        </w:rPr>
        <w:t>Schluss- und Übergangsbestimmungen</w:t>
      </w:r>
    </w:p>
    <w:p>
      <w:pPr>
        <w:jc w:val="both"/>
        <w:rPr>
          <w:rFonts w:ascii="Times New Roman" w:hAnsi="Times New Roman" w:cs="Times New Roman"/>
          <w:noProof/>
          <w:sz w:val="24"/>
          <w:szCs w:val="24"/>
        </w:rPr>
      </w:pPr>
      <w:r>
        <w:rPr>
          <w:rFonts w:ascii="Times New Roman" w:hAnsi="Times New Roman"/>
          <w:noProof/>
          <w:sz w:val="24"/>
        </w:rPr>
        <w:t>1) Diese interinstitutionelle Vereinbarung ist für die unterzeichnenden Organe bindend.</w:t>
      </w:r>
    </w:p>
    <w:p>
      <w:pPr>
        <w:jc w:val="both"/>
        <w:rPr>
          <w:rFonts w:ascii="Times New Roman" w:hAnsi="Times New Roman" w:cs="Times New Roman"/>
          <w:noProof/>
          <w:sz w:val="24"/>
          <w:szCs w:val="24"/>
        </w:rPr>
      </w:pPr>
      <w:r>
        <w:rPr>
          <w:rFonts w:ascii="Times New Roman" w:hAnsi="Times New Roman"/>
          <w:noProof/>
          <w:sz w:val="24"/>
        </w:rPr>
        <w:t xml:space="preserve">2) Diese Vereinbarung tritt an die Stelle der Vereinbarung zwischen dem Europäischen Parlament und der Europäischen Kommission vom 16. April 2014, die mit dem Zeitpunkt der Anwendbarkeit dieser Vereinbarung ihre Gültigkeit verliert. </w:t>
      </w:r>
    </w:p>
    <w:p>
      <w:pPr>
        <w:jc w:val="both"/>
        <w:rPr>
          <w:rFonts w:ascii="Times New Roman" w:hAnsi="Times New Roman" w:cs="Times New Roman"/>
          <w:noProof/>
          <w:sz w:val="24"/>
          <w:szCs w:val="24"/>
        </w:rPr>
      </w:pPr>
      <w:r>
        <w:rPr>
          <w:rFonts w:ascii="Times New Roman" w:hAnsi="Times New Roman"/>
          <w:noProof/>
          <w:sz w:val="24"/>
        </w:rPr>
        <w:t>3) Diese Vereinbarung tritt am zwanzigsten Tag nach dem Tag ihrer Veröffentlichung im Amtsblatt der Europäischen Union in Kraft. Sie ist ab dem [xx.xx.xxxx] anzuwenden.</w:t>
      </w:r>
    </w:p>
    <w:p>
      <w:pPr>
        <w:jc w:val="both"/>
        <w:rPr>
          <w:rFonts w:ascii="Times New Roman" w:hAnsi="Times New Roman" w:cs="Times New Roman"/>
          <w:noProof/>
          <w:sz w:val="24"/>
          <w:szCs w:val="24"/>
        </w:rPr>
      </w:pPr>
      <w:r>
        <w:rPr>
          <w:rFonts w:ascii="Times New Roman" w:hAnsi="Times New Roman"/>
          <w:noProof/>
          <w:sz w:val="24"/>
        </w:rPr>
        <w:t>4) Interessenvertreter, bei Einsetzen der Anwendbarkeit dieser Vereinbarung bereits registriert sind, ändern ihre Registrierung innerhalb von sechs Monaten dahin gehend, dass sie den neuen Anforderungen dieser Vereinbarung genügt.</w:t>
      </w:r>
    </w:p>
    <w:p>
      <w:pPr>
        <w:jc w:val="both"/>
        <w:rPr>
          <w:rFonts w:ascii="Times New Roman" w:hAnsi="Times New Roman" w:cs="Times New Roman"/>
          <w:noProof/>
          <w:sz w:val="24"/>
          <w:szCs w:val="24"/>
        </w:rPr>
      </w:pPr>
      <w:r>
        <w:rPr>
          <w:rFonts w:ascii="Times New Roman" w:hAnsi="Times New Roman"/>
          <w:noProof/>
          <w:sz w:val="24"/>
        </w:rPr>
        <w:t>5) Auf Meldungen oder Beschwerden zurückgehende Untersuchungen, die auf der Grundlage der Vereinbarung zwischen dem Europäischen Parlament und der Europäischen Kommission vom 16. April 2014 eingeleitet wurden, werden nach dem Verfahren dieser Vereinbarung fortgesetzt.</w:t>
      </w:r>
    </w:p>
    <w:p>
      <w:pPr>
        <w:jc w:val="both"/>
        <w:rPr>
          <w:rFonts w:ascii="Times New Roman" w:hAnsi="Times New Roman" w:cs="Times New Roman"/>
          <w:noProof/>
          <w:sz w:val="24"/>
          <w:szCs w:val="24"/>
        </w:rPr>
      </w:pPr>
      <w:r>
        <w:rPr>
          <w:rFonts w:ascii="Times New Roman" w:hAnsi="Times New Roman"/>
          <w:noProof/>
          <w:sz w:val="24"/>
        </w:rPr>
        <w:t>6) Diese Vereinbarung wird vier Jahre nach Inkrafttreten überprüft.</w:t>
      </w:r>
    </w:p>
    <w:p>
      <w:pPr>
        <w:jc w:val="both"/>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noProof/>
          <w:sz w:val="24"/>
        </w:rPr>
        <w:t>[Ort], den [Datum]</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25878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Vereinbarung zwischen dem Europäischen Parlament und der Europäischen Kommission über das Transparenz-Register für Organisationen und selbstständige Einzelpersonen, die sich mit der Gestaltung und Umsetzung von EU-Politik befassen, ABl. L 277 vom 19.9.2014, S. 11.</w:t>
      </w:r>
    </w:p>
  </w:footnote>
  <w:footnote w:id="2">
    <w:p>
      <w:pPr>
        <w:pStyle w:val="FootnoteText"/>
        <w:jc w:val="both"/>
      </w:pPr>
      <w:r>
        <w:rPr>
          <w:rStyle w:val="FootnoteReference"/>
        </w:rPr>
        <w:footnoteRef/>
      </w:r>
      <w:r>
        <w:t xml:space="preserve"> </w:t>
      </w:r>
      <w:r>
        <w:rPr>
          <w:rFonts w:ascii="inherit" w:hAnsi="inherit"/>
        </w:rPr>
        <w:t>Entschließung des Europäischen Parlaments vom 28. April 2016 zu dem Zugang der Öffentlichkeit zu Dokumenten (Artikel 116 Absatz 7 GO) für die Jahre 2014–2015, Angenommene Texte P8_TA(2016)0202.</w:t>
      </w:r>
    </w:p>
  </w:footnote>
  <w:footnote w:id="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Dieser Passus bezieht sich auf Einzelpersonen, die benannt wurden, um ein von Interessenträgern in einem bestimmten politischen Bereich geteiltes gemeinsames Interesse zu vertreten,</w:t>
      </w:r>
      <w:r>
        <w:rPr>
          <w:rFonts w:ascii="Times New Roman" w:hAnsi="Times New Roman" w:cs="Times New Roman"/>
        </w:rPr>
        <w:t xml:space="preserve"> </w:t>
      </w:r>
      <w:r>
        <w:rPr>
          <w:rFonts w:ascii="Times New Roman" w:hAnsi="Times New Roman"/>
        </w:rPr>
        <w:t>und dabei keinen einzelnen Interessenträger vertreten, sondern eine verschiedenen Interessenverbänden gemeinsame politische Richtung (Mitglieder des Typs B“) vertreten, und auf Organisationen im weiten Sinn, einschließlich Unternehmen, Verbänden, NRO, Gewerkschaften, Hochschulen, Forschungseinrichtungen, Anwaltskanzleien und Beratungsunternehmen („Mitglieder des Typs C“) im Sinne des Kommissionsbeschlusses C(2016) 3301 vom 30.5.2016.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0E270EE"/>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854C1D8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71A783F"/>
    <w:multiLevelType w:val="hybridMultilevel"/>
    <w:tmpl w:val="DC8ECEC4"/>
    <w:lvl w:ilvl="0" w:tplc="E08849E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3D0DED"/>
    <w:multiLevelType w:val="hybridMultilevel"/>
    <w:tmpl w:val="FFA03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7B1C2B"/>
    <w:multiLevelType w:val="hybridMultilevel"/>
    <w:tmpl w:val="0A469AAC"/>
    <w:lvl w:ilvl="0" w:tplc="CB54CA3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D2A01"/>
    <w:multiLevelType w:val="hybridMultilevel"/>
    <w:tmpl w:val="B1360C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0C407B"/>
    <w:multiLevelType w:val="hybridMultilevel"/>
    <w:tmpl w:val="CCC8930C"/>
    <w:lvl w:ilvl="0" w:tplc="E08849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BD2AC7"/>
    <w:multiLevelType w:val="hybridMultilevel"/>
    <w:tmpl w:val="E228CE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3353C3"/>
    <w:multiLevelType w:val="hybridMultilevel"/>
    <w:tmpl w:val="4F98F906"/>
    <w:lvl w:ilvl="0" w:tplc="E08849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03668F"/>
    <w:multiLevelType w:val="hybridMultilevel"/>
    <w:tmpl w:val="75BC430A"/>
    <w:lvl w:ilvl="0" w:tplc="E08849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7435CC"/>
    <w:multiLevelType w:val="hybridMultilevel"/>
    <w:tmpl w:val="2D3A5D30"/>
    <w:lvl w:ilvl="0" w:tplc="E08849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BA0AE1"/>
    <w:multiLevelType w:val="hybridMultilevel"/>
    <w:tmpl w:val="017C7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E8444B"/>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4387673"/>
    <w:multiLevelType w:val="hybridMultilevel"/>
    <w:tmpl w:val="B760633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E905EA2"/>
    <w:multiLevelType w:val="hybridMultilevel"/>
    <w:tmpl w:val="D8DE5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1510AB3"/>
    <w:multiLevelType w:val="hybridMultilevel"/>
    <w:tmpl w:val="2C80B514"/>
    <w:lvl w:ilvl="0" w:tplc="E08849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11"/>
  </w:num>
  <w:num w:numId="5">
    <w:abstractNumId w:val="14"/>
  </w:num>
  <w:num w:numId="6">
    <w:abstractNumId w:val="13"/>
  </w:num>
  <w:num w:numId="7">
    <w:abstractNumId w:val="12"/>
  </w:num>
  <w:num w:numId="8">
    <w:abstractNumId w:val="7"/>
  </w:num>
  <w:num w:numId="9">
    <w:abstractNumId w:val="5"/>
  </w:num>
  <w:num w:numId="10">
    <w:abstractNumId w:val="4"/>
  </w:num>
  <w:num w:numId="11">
    <w:abstractNumId w:val="9"/>
  </w:num>
  <w:num w:numId="12">
    <w:abstractNumId w:val="2"/>
  </w:num>
  <w:num w:numId="13">
    <w:abstractNumId w:val="6"/>
  </w:num>
  <w:num w:numId="14">
    <w:abstractNumId w:val="8"/>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6CCA1F20677475B86DB36DB60D493D4"/>
    <w:docVar w:name="LW_CROSSREFERENCE" w:val="&lt;UNUSED&gt;"/>
    <w:docVar w:name="LW_DocType" w:val="NORMAL"/>
    <w:docVar w:name="LW_EMISSION" w:val="28.9.2016"/>
    <w:docVar w:name="LW_EMISSION_ISODATE" w:val="2016-09-28"/>
    <w:docVar w:name="LW_EMISSION_LOCATION" w:val="BRX"/>
    <w:docVar w:name="LW_EMISSION_PREFIX" w:val="Brüssel, den "/>
    <w:docVar w:name="LW_EMISSION_SUFFIX" w:val=" "/>
    <w:docVar w:name="LW_ID_DOCTYPE_NONLW" w:val="CP-032"/>
    <w:docVar w:name="LW_INTERETEEE.CP" w:val="&lt;UNUSED&gt;"/>
    <w:docVar w:name="LW_LANGUE" w:val="DE"/>
    <w:docVar w:name="LW_MARKING" w:val="&lt;UNUSED&gt;"/>
    <w:docVar w:name="LW_NOM.INST" w:val="EUROPÄISCHE KOMMISSION"/>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627"/>
    <w:docVar w:name="LW_REF.INTERNE" w:val="&lt;UNUSED&gt;"/>
    <w:docVar w:name="LW_SOUS.TITRE.OBJ.CP" w:val="&lt;UNUSED&gt;"/>
    <w:docVar w:name="LW_STATUT" w:val="Vorschlag für eine"/>
    <w:docVar w:name="LW_STATUT.CP" w:val="Vorschlag für eine"/>
    <w:docVar w:name="LW_SUPERTITRE" w:val="&lt;UNUSED&gt;"/>
    <w:docVar w:name="LW_TITRE.OBJ.CP" w:val="über ein verbindliches Transparenzregister"/>
    <w:docVar w:name="LW_TYPE.DOC.CP" w:val="Interinstitutionelle Vereinbarung "/>
  </w:docVars>
  <m:mathPr>
    <m:mathFont m:val="Cambria Math"/>
    <m:brkBin m:val="before"/>
    <m:brkBinSub m:val="--"/>
    <m:smallFrac m:val="0"/>
    <m:dispDef/>
    <m:lMargin m:val="0"/>
    <m:rMargin m:val="0"/>
    <m:defJc m:val="centerGroup"/>
    <m:wrapIndent m:val="1440"/>
    <m:intLim m:val="subSup"/>
    <m:naryLim m:val="undOvr"/>
  </m:mathPr>
  <w:themeFontLang w:val="en-GB"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List">
    <w:name w:val="List"/>
    <w:basedOn w:val="Normal"/>
    <w:uiPriority w:val="99"/>
    <w:unhideWhenUsed/>
    <w:pPr>
      <w:ind w:left="283" w:hanging="283"/>
      <w:contextualSpacing/>
    </w:pPr>
  </w:style>
  <w:style w:type="paragraph" w:styleId="List2">
    <w:name w:val="List 2"/>
    <w:basedOn w:val="Normal"/>
    <w:uiPriority w:val="99"/>
    <w:unhideWhenUsed/>
    <w:pPr>
      <w:ind w:left="566" w:hanging="283"/>
      <w:contextualSpacing/>
    </w:p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customStyle="1" w:styleId="Byline">
    <w:name w:val="Byline"/>
    <w:basedOn w:val="BodyText"/>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rPr>
      <w:rFonts w:eastAsiaTheme="minorEastAsia"/>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
    <w:name w:val="article"/>
    <w:basedOn w:val="Normal"/>
    <w:pPr>
      <w:jc w:val="center"/>
    </w:pPr>
    <w:rPr>
      <w:rFonts w:ascii="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paragraph" w:customStyle="1" w:styleId="Statut">
    <w:name w:val="Statut"/>
    <w:basedOn w:val="Normal"/>
    <w:next w:val="Typedudocument"/>
    <w:pPr>
      <w:spacing w:before="360" w:after="0" w:line="240" w:lineRule="auto"/>
      <w:jc w:val="center"/>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List">
    <w:name w:val="List"/>
    <w:basedOn w:val="Normal"/>
    <w:uiPriority w:val="99"/>
    <w:unhideWhenUsed/>
    <w:pPr>
      <w:ind w:left="283" w:hanging="283"/>
      <w:contextualSpacing/>
    </w:pPr>
  </w:style>
  <w:style w:type="paragraph" w:styleId="List2">
    <w:name w:val="List 2"/>
    <w:basedOn w:val="Normal"/>
    <w:uiPriority w:val="99"/>
    <w:unhideWhenUsed/>
    <w:pPr>
      <w:ind w:left="566" w:hanging="283"/>
      <w:contextualSpacing/>
    </w:p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customStyle="1" w:styleId="Byline">
    <w:name w:val="Byline"/>
    <w:basedOn w:val="BodyText"/>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rPr>
      <w:rFonts w:eastAsiaTheme="minorEastAsia"/>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
    <w:name w:val="article"/>
    <w:basedOn w:val="Normal"/>
    <w:pPr>
      <w:jc w:val="center"/>
    </w:pPr>
    <w:rPr>
      <w:rFonts w:ascii="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paragraph" w:customStyle="1" w:styleId="Statut">
    <w:name w:val="Statut"/>
    <w:basedOn w:val="Normal"/>
    <w:next w:val="Typedudocument"/>
    <w:pPr>
      <w:spacing w:before="360" w:after="0" w:line="240" w:lineRule="auto"/>
      <w:jc w:val="center"/>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137330">
      <w:bodyDiv w:val="1"/>
      <w:marLeft w:val="0"/>
      <w:marRight w:val="0"/>
      <w:marTop w:val="0"/>
      <w:marBottom w:val="0"/>
      <w:divBdr>
        <w:top w:val="none" w:sz="0" w:space="0" w:color="auto"/>
        <w:left w:val="none" w:sz="0" w:space="0" w:color="auto"/>
        <w:bottom w:val="none" w:sz="0" w:space="0" w:color="auto"/>
        <w:right w:val="none" w:sz="0" w:space="0" w:color="auto"/>
      </w:divBdr>
    </w:div>
    <w:div w:id="950666439">
      <w:bodyDiv w:val="1"/>
      <w:marLeft w:val="0"/>
      <w:marRight w:val="0"/>
      <w:marTop w:val="0"/>
      <w:marBottom w:val="0"/>
      <w:divBdr>
        <w:top w:val="none" w:sz="0" w:space="0" w:color="auto"/>
        <w:left w:val="none" w:sz="0" w:space="0" w:color="auto"/>
        <w:bottom w:val="none" w:sz="0" w:space="0" w:color="auto"/>
        <w:right w:val="none" w:sz="0" w:space="0" w:color="auto"/>
      </w:divBdr>
      <w:divsChild>
        <w:div w:id="1024093743">
          <w:marLeft w:val="0"/>
          <w:marRight w:val="0"/>
          <w:marTop w:val="0"/>
          <w:marBottom w:val="0"/>
          <w:divBdr>
            <w:top w:val="none" w:sz="0" w:space="0" w:color="auto"/>
            <w:left w:val="none" w:sz="0" w:space="0" w:color="auto"/>
            <w:bottom w:val="none" w:sz="0" w:space="0" w:color="auto"/>
            <w:right w:val="none" w:sz="0" w:space="0" w:color="auto"/>
          </w:divBdr>
          <w:divsChild>
            <w:div w:id="1807115716">
              <w:marLeft w:val="0"/>
              <w:marRight w:val="0"/>
              <w:marTop w:val="0"/>
              <w:marBottom w:val="0"/>
              <w:divBdr>
                <w:top w:val="none" w:sz="0" w:space="0" w:color="auto"/>
                <w:left w:val="none" w:sz="0" w:space="0" w:color="auto"/>
                <w:bottom w:val="none" w:sz="0" w:space="0" w:color="auto"/>
                <w:right w:val="none" w:sz="0" w:space="0" w:color="auto"/>
              </w:divBdr>
              <w:divsChild>
                <w:div w:id="549729173">
                  <w:marLeft w:val="0"/>
                  <w:marRight w:val="0"/>
                  <w:marTop w:val="0"/>
                  <w:marBottom w:val="0"/>
                  <w:divBdr>
                    <w:top w:val="none" w:sz="0" w:space="0" w:color="auto"/>
                    <w:left w:val="none" w:sz="0" w:space="0" w:color="auto"/>
                    <w:bottom w:val="none" w:sz="0" w:space="0" w:color="auto"/>
                    <w:right w:val="none" w:sz="0" w:space="0" w:color="auto"/>
                  </w:divBdr>
                  <w:divsChild>
                    <w:div w:id="2091151909">
                      <w:marLeft w:val="1"/>
                      <w:marRight w:val="1"/>
                      <w:marTop w:val="0"/>
                      <w:marBottom w:val="0"/>
                      <w:divBdr>
                        <w:top w:val="none" w:sz="0" w:space="0" w:color="auto"/>
                        <w:left w:val="none" w:sz="0" w:space="0" w:color="auto"/>
                        <w:bottom w:val="none" w:sz="0" w:space="0" w:color="auto"/>
                        <w:right w:val="none" w:sz="0" w:space="0" w:color="auto"/>
                      </w:divBdr>
                      <w:divsChild>
                        <w:div w:id="2037270516">
                          <w:marLeft w:val="0"/>
                          <w:marRight w:val="0"/>
                          <w:marTop w:val="0"/>
                          <w:marBottom w:val="0"/>
                          <w:divBdr>
                            <w:top w:val="none" w:sz="0" w:space="0" w:color="auto"/>
                            <w:left w:val="none" w:sz="0" w:space="0" w:color="auto"/>
                            <w:bottom w:val="none" w:sz="0" w:space="0" w:color="auto"/>
                            <w:right w:val="none" w:sz="0" w:space="0" w:color="auto"/>
                          </w:divBdr>
                          <w:divsChild>
                            <w:div w:id="1835298270">
                              <w:marLeft w:val="0"/>
                              <w:marRight w:val="0"/>
                              <w:marTop w:val="0"/>
                              <w:marBottom w:val="360"/>
                              <w:divBdr>
                                <w:top w:val="none" w:sz="0" w:space="0" w:color="auto"/>
                                <w:left w:val="none" w:sz="0" w:space="0" w:color="auto"/>
                                <w:bottom w:val="none" w:sz="0" w:space="0" w:color="auto"/>
                                <w:right w:val="none" w:sz="0" w:space="0" w:color="auto"/>
                              </w:divBdr>
                              <w:divsChild>
                                <w:div w:id="1561743752">
                                  <w:marLeft w:val="0"/>
                                  <w:marRight w:val="0"/>
                                  <w:marTop w:val="0"/>
                                  <w:marBottom w:val="0"/>
                                  <w:divBdr>
                                    <w:top w:val="none" w:sz="0" w:space="0" w:color="auto"/>
                                    <w:left w:val="none" w:sz="0" w:space="0" w:color="auto"/>
                                    <w:bottom w:val="none" w:sz="0" w:space="0" w:color="auto"/>
                                    <w:right w:val="none" w:sz="0" w:space="0" w:color="auto"/>
                                  </w:divBdr>
                                  <w:divsChild>
                                    <w:div w:id="537277906">
                                      <w:marLeft w:val="0"/>
                                      <w:marRight w:val="0"/>
                                      <w:marTop w:val="0"/>
                                      <w:marBottom w:val="0"/>
                                      <w:divBdr>
                                        <w:top w:val="none" w:sz="0" w:space="0" w:color="auto"/>
                                        <w:left w:val="none" w:sz="0" w:space="0" w:color="auto"/>
                                        <w:bottom w:val="none" w:sz="0" w:space="0" w:color="auto"/>
                                        <w:right w:val="none" w:sz="0" w:space="0" w:color="auto"/>
                                      </w:divBdr>
                                      <w:divsChild>
                                        <w:div w:id="2068524399">
                                          <w:marLeft w:val="0"/>
                                          <w:marRight w:val="0"/>
                                          <w:marTop w:val="0"/>
                                          <w:marBottom w:val="0"/>
                                          <w:divBdr>
                                            <w:top w:val="none" w:sz="0" w:space="0" w:color="auto"/>
                                            <w:left w:val="none" w:sz="0" w:space="0" w:color="auto"/>
                                            <w:bottom w:val="none" w:sz="0" w:space="0" w:color="auto"/>
                                            <w:right w:val="none" w:sz="0" w:space="0" w:color="auto"/>
                                          </w:divBdr>
                                          <w:divsChild>
                                            <w:div w:id="1214582528">
                                              <w:marLeft w:val="0"/>
                                              <w:marRight w:val="0"/>
                                              <w:marTop w:val="0"/>
                                              <w:marBottom w:val="0"/>
                                              <w:divBdr>
                                                <w:top w:val="none" w:sz="0" w:space="0" w:color="auto"/>
                                                <w:left w:val="none" w:sz="0" w:space="0" w:color="auto"/>
                                                <w:bottom w:val="none" w:sz="0" w:space="0" w:color="auto"/>
                                                <w:right w:val="none" w:sz="0" w:space="0" w:color="auto"/>
                                              </w:divBdr>
                                              <w:divsChild>
                                                <w:div w:id="9383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8803709">
      <w:bodyDiv w:val="1"/>
      <w:marLeft w:val="0"/>
      <w:marRight w:val="0"/>
      <w:marTop w:val="0"/>
      <w:marBottom w:val="0"/>
      <w:divBdr>
        <w:top w:val="none" w:sz="0" w:space="0" w:color="auto"/>
        <w:left w:val="none" w:sz="0" w:space="0" w:color="auto"/>
        <w:bottom w:val="none" w:sz="0" w:space="0" w:color="auto"/>
        <w:right w:val="none" w:sz="0" w:space="0" w:color="auto"/>
      </w:divBdr>
      <w:divsChild>
        <w:div w:id="1326200030">
          <w:marLeft w:val="0"/>
          <w:marRight w:val="0"/>
          <w:marTop w:val="0"/>
          <w:marBottom w:val="0"/>
          <w:divBdr>
            <w:top w:val="none" w:sz="0" w:space="0" w:color="auto"/>
            <w:left w:val="none" w:sz="0" w:space="0" w:color="auto"/>
            <w:bottom w:val="none" w:sz="0" w:space="0" w:color="auto"/>
            <w:right w:val="none" w:sz="0" w:space="0" w:color="auto"/>
          </w:divBdr>
          <w:divsChild>
            <w:div w:id="343822644">
              <w:marLeft w:val="0"/>
              <w:marRight w:val="0"/>
              <w:marTop w:val="0"/>
              <w:marBottom w:val="0"/>
              <w:divBdr>
                <w:top w:val="none" w:sz="0" w:space="0" w:color="auto"/>
                <w:left w:val="none" w:sz="0" w:space="0" w:color="auto"/>
                <w:bottom w:val="none" w:sz="0" w:space="0" w:color="auto"/>
                <w:right w:val="none" w:sz="0" w:space="0" w:color="auto"/>
              </w:divBdr>
              <w:divsChild>
                <w:div w:id="223369666">
                  <w:marLeft w:val="0"/>
                  <w:marRight w:val="0"/>
                  <w:marTop w:val="0"/>
                  <w:marBottom w:val="0"/>
                  <w:divBdr>
                    <w:top w:val="none" w:sz="0" w:space="0" w:color="auto"/>
                    <w:left w:val="none" w:sz="0" w:space="0" w:color="auto"/>
                    <w:bottom w:val="none" w:sz="0" w:space="0" w:color="auto"/>
                    <w:right w:val="none" w:sz="0" w:space="0" w:color="auto"/>
                  </w:divBdr>
                  <w:divsChild>
                    <w:div w:id="365982622">
                      <w:marLeft w:val="1"/>
                      <w:marRight w:val="1"/>
                      <w:marTop w:val="0"/>
                      <w:marBottom w:val="0"/>
                      <w:divBdr>
                        <w:top w:val="none" w:sz="0" w:space="0" w:color="auto"/>
                        <w:left w:val="none" w:sz="0" w:space="0" w:color="auto"/>
                        <w:bottom w:val="none" w:sz="0" w:space="0" w:color="auto"/>
                        <w:right w:val="none" w:sz="0" w:space="0" w:color="auto"/>
                      </w:divBdr>
                      <w:divsChild>
                        <w:div w:id="1459883076">
                          <w:marLeft w:val="0"/>
                          <w:marRight w:val="0"/>
                          <w:marTop w:val="0"/>
                          <w:marBottom w:val="0"/>
                          <w:divBdr>
                            <w:top w:val="none" w:sz="0" w:space="0" w:color="auto"/>
                            <w:left w:val="none" w:sz="0" w:space="0" w:color="auto"/>
                            <w:bottom w:val="none" w:sz="0" w:space="0" w:color="auto"/>
                            <w:right w:val="none" w:sz="0" w:space="0" w:color="auto"/>
                          </w:divBdr>
                          <w:divsChild>
                            <w:div w:id="69814413">
                              <w:marLeft w:val="0"/>
                              <w:marRight w:val="0"/>
                              <w:marTop w:val="0"/>
                              <w:marBottom w:val="360"/>
                              <w:divBdr>
                                <w:top w:val="none" w:sz="0" w:space="0" w:color="auto"/>
                                <w:left w:val="none" w:sz="0" w:space="0" w:color="auto"/>
                                <w:bottom w:val="none" w:sz="0" w:space="0" w:color="auto"/>
                                <w:right w:val="none" w:sz="0" w:space="0" w:color="auto"/>
                              </w:divBdr>
                              <w:divsChild>
                                <w:div w:id="127289579">
                                  <w:marLeft w:val="0"/>
                                  <w:marRight w:val="0"/>
                                  <w:marTop w:val="0"/>
                                  <w:marBottom w:val="0"/>
                                  <w:divBdr>
                                    <w:top w:val="none" w:sz="0" w:space="0" w:color="auto"/>
                                    <w:left w:val="none" w:sz="0" w:space="0" w:color="auto"/>
                                    <w:bottom w:val="none" w:sz="0" w:space="0" w:color="auto"/>
                                    <w:right w:val="none" w:sz="0" w:space="0" w:color="auto"/>
                                  </w:divBdr>
                                  <w:divsChild>
                                    <w:div w:id="1555004451">
                                      <w:marLeft w:val="0"/>
                                      <w:marRight w:val="0"/>
                                      <w:marTop w:val="0"/>
                                      <w:marBottom w:val="0"/>
                                      <w:divBdr>
                                        <w:top w:val="none" w:sz="0" w:space="0" w:color="auto"/>
                                        <w:left w:val="none" w:sz="0" w:space="0" w:color="auto"/>
                                        <w:bottom w:val="none" w:sz="0" w:space="0" w:color="auto"/>
                                        <w:right w:val="none" w:sz="0" w:space="0" w:color="auto"/>
                                      </w:divBdr>
                                      <w:divsChild>
                                        <w:div w:id="981540178">
                                          <w:marLeft w:val="0"/>
                                          <w:marRight w:val="0"/>
                                          <w:marTop w:val="0"/>
                                          <w:marBottom w:val="0"/>
                                          <w:divBdr>
                                            <w:top w:val="none" w:sz="0" w:space="0" w:color="auto"/>
                                            <w:left w:val="none" w:sz="0" w:space="0" w:color="auto"/>
                                            <w:bottom w:val="none" w:sz="0" w:space="0" w:color="auto"/>
                                            <w:right w:val="none" w:sz="0" w:space="0" w:color="auto"/>
                                          </w:divBdr>
                                          <w:divsChild>
                                            <w:div w:id="1197743598">
                                              <w:marLeft w:val="0"/>
                                              <w:marRight w:val="0"/>
                                              <w:marTop w:val="0"/>
                                              <w:marBottom w:val="0"/>
                                              <w:divBdr>
                                                <w:top w:val="none" w:sz="0" w:space="0" w:color="auto"/>
                                                <w:left w:val="none" w:sz="0" w:space="0" w:color="auto"/>
                                                <w:bottom w:val="none" w:sz="0" w:space="0" w:color="auto"/>
                                                <w:right w:val="none" w:sz="0" w:space="0" w:color="auto"/>
                                              </w:divBdr>
                                              <w:divsChild>
                                                <w:div w:id="1143504289">
                                                  <w:marLeft w:val="0"/>
                                                  <w:marRight w:val="0"/>
                                                  <w:marTop w:val="0"/>
                                                  <w:marBottom w:val="0"/>
                                                  <w:divBdr>
                                                    <w:top w:val="none" w:sz="0" w:space="0" w:color="auto"/>
                                                    <w:left w:val="none" w:sz="0" w:space="0" w:color="auto"/>
                                                    <w:bottom w:val="none" w:sz="0" w:space="0" w:color="auto"/>
                                                    <w:right w:val="none" w:sz="0" w:space="0" w:color="auto"/>
                                                  </w:divBdr>
                                                  <w:divsChild>
                                                    <w:div w:id="1083145711">
                                                      <w:marLeft w:val="810"/>
                                                      <w:marRight w:val="810"/>
                                                      <w:marTop w:val="360"/>
                                                      <w:marBottom w:val="0"/>
                                                      <w:divBdr>
                                                        <w:top w:val="none" w:sz="0" w:space="0" w:color="auto"/>
                                                        <w:left w:val="none" w:sz="0" w:space="0" w:color="auto"/>
                                                        <w:bottom w:val="none" w:sz="0" w:space="0" w:color="auto"/>
                                                        <w:right w:val="none" w:sz="0" w:space="0" w:color="auto"/>
                                                      </w:divBdr>
                                                      <w:divsChild>
                                                        <w:div w:id="158547484">
                                                          <w:marLeft w:val="4005"/>
                                                          <w:marRight w:val="810"/>
                                                          <w:marTop w:val="0"/>
                                                          <w:marBottom w:val="0"/>
                                                          <w:divBdr>
                                                            <w:top w:val="none" w:sz="0" w:space="0" w:color="auto"/>
                                                            <w:left w:val="none" w:sz="0" w:space="0" w:color="auto"/>
                                                            <w:bottom w:val="none" w:sz="0" w:space="0" w:color="auto"/>
                                                            <w:right w:val="none" w:sz="0" w:space="0" w:color="auto"/>
                                                          </w:divBdr>
                                                        </w:div>
                                                        <w:div w:id="1648625256">
                                                          <w:marLeft w:val="4005"/>
                                                          <w:marRight w:val="810"/>
                                                          <w:marTop w:val="0"/>
                                                          <w:marBottom w:val="0"/>
                                                          <w:divBdr>
                                                            <w:top w:val="none" w:sz="0" w:space="0" w:color="auto"/>
                                                            <w:left w:val="none" w:sz="0" w:space="0" w:color="auto"/>
                                                            <w:bottom w:val="none" w:sz="0" w:space="0" w:color="auto"/>
                                                            <w:right w:val="none" w:sz="0" w:space="0" w:color="auto"/>
                                                          </w:divBdr>
                                                        </w:div>
                                                      </w:divsChild>
                                                    </w:div>
                                                    <w:div w:id="16298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217010">
      <w:bodyDiv w:val="1"/>
      <w:marLeft w:val="0"/>
      <w:marRight w:val="0"/>
      <w:marTop w:val="0"/>
      <w:marBottom w:val="0"/>
      <w:divBdr>
        <w:top w:val="none" w:sz="0" w:space="0" w:color="auto"/>
        <w:left w:val="none" w:sz="0" w:space="0" w:color="auto"/>
        <w:bottom w:val="none" w:sz="0" w:space="0" w:color="auto"/>
        <w:right w:val="none" w:sz="0" w:space="0" w:color="auto"/>
      </w:divBdr>
    </w:div>
    <w:div w:id="1457333426">
      <w:bodyDiv w:val="1"/>
      <w:marLeft w:val="0"/>
      <w:marRight w:val="0"/>
      <w:marTop w:val="0"/>
      <w:marBottom w:val="0"/>
      <w:divBdr>
        <w:top w:val="none" w:sz="0" w:space="0" w:color="auto"/>
        <w:left w:val="none" w:sz="0" w:space="0" w:color="auto"/>
        <w:bottom w:val="none" w:sz="0" w:space="0" w:color="auto"/>
        <w:right w:val="none" w:sz="0" w:space="0" w:color="auto"/>
      </w:divBdr>
      <w:divsChild>
        <w:div w:id="779449768">
          <w:marLeft w:val="0"/>
          <w:marRight w:val="0"/>
          <w:marTop w:val="0"/>
          <w:marBottom w:val="0"/>
          <w:divBdr>
            <w:top w:val="none" w:sz="0" w:space="0" w:color="auto"/>
            <w:left w:val="none" w:sz="0" w:space="0" w:color="auto"/>
            <w:bottom w:val="none" w:sz="0" w:space="0" w:color="auto"/>
            <w:right w:val="none" w:sz="0" w:space="0" w:color="auto"/>
          </w:divBdr>
          <w:divsChild>
            <w:div w:id="1455295340">
              <w:marLeft w:val="0"/>
              <w:marRight w:val="0"/>
              <w:marTop w:val="0"/>
              <w:marBottom w:val="0"/>
              <w:divBdr>
                <w:top w:val="none" w:sz="0" w:space="0" w:color="auto"/>
                <w:left w:val="none" w:sz="0" w:space="0" w:color="auto"/>
                <w:bottom w:val="none" w:sz="0" w:space="0" w:color="auto"/>
                <w:right w:val="none" w:sz="0" w:space="0" w:color="auto"/>
              </w:divBdr>
              <w:divsChild>
                <w:div w:id="964776948">
                  <w:marLeft w:val="0"/>
                  <w:marRight w:val="0"/>
                  <w:marTop w:val="0"/>
                  <w:marBottom w:val="0"/>
                  <w:divBdr>
                    <w:top w:val="none" w:sz="0" w:space="0" w:color="auto"/>
                    <w:left w:val="none" w:sz="0" w:space="0" w:color="auto"/>
                    <w:bottom w:val="none" w:sz="0" w:space="0" w:color="auto"/>
                    <w:right w:val="none" w:sz="0" w:space="0" w:color="auto"/>
                  </w:divBdr>
                  <w:divsChild>
                    <w:div w:id="80684676">
                      <w:marLeft w:val="0"/>
                      <w:marRight w:val="0"/>
                      <w:marTop w:val="0"/>
                      <w:marBottom w:val="0"/>
                      <w:divBdr>
                        <w:top w:val="none" w:sz="0" w:space="0" w:color="auto"/>
                        <w:left w:val="none" w:sz="0" w:space="0" w:color="auto"/>
                        <w:bottom w:val="none" w:sz="0" w:space="0" w:color="auto"/>
                        <w:right w:val="none" w:sz="0" w:space="0" w:color="auto"/>
                      </w:divBdr>
                      <w:divsChild>
                        <w:div w:id="825704105">
                          <w:marLeft w:val="0"/>
                          <w:marRight w:val="0"/>
                          <w:marTop w:val="0"/>
                          <w:marBottom w:val="0"/>
                          <w:divBdr>
                            <w:top w:val="none" w:sz="0" w:space="0" w:color="auto"/>
                            <w:left w:val="none" w:sz="0" w:space="0" w:color="auto"/>
                            <w:bottom w:val="none" w:sz="0" w:space="0" w:color="auto"/>
                            <w:right w:val="none" w:sz="0" w:space="0" w:color="auto"/>
                          </w:divBdr>
                          <w:divsChild>
                            <w:div w:id="777528447">
                              <w:marLeft w:val="-225"/>
                              <w:marRight w:val="-225"/>
                              <w:marTop w:val="0"/>
                              <w:marBottom w:val="0"/>
                              <w:divBdr>
                                <w:top w:val="none" w:sz="0" w:space="0" w:color="auto"/>
                                <w:left w:val="none" w:sz="0" w:space="0" w:color="auto"/>
                                <w:bottom w:val="none" w:sz="0" w:space="0" w:color="auto"/>
                                <w:right w:val="none" w:sz="0" w:space="0" w:color="auto"/>
                              </w:divBdr>
                              <w:divsChild>
                                <w:div w:id="1709332841">
                                  <w:marLeft w:val="0"/>
                                  <w:marRight w:val="0"/>
                                  <w:marTop w:val="0"/>
                                  <w:marBottom w:val="0"/>
                                  <w:divBdr>
                                    <w:top w:val="none" w:sz="0" w:space="0" w:color="auto"/>
                                    <w:left w:val="none" w:sz="0" w:space="0" w:color="auto"/>
                                    <w:bottom w:val="none" w:sz="0" w:space="0" w:color="auto"/>
                                    <w:right w:val="none" w:sz="0" w:space="0" w:color="auto"/>
                                  </w:divBdr>
                                  <w:divsChild>
                                    <w:div w:id="208689815">
                                      <w:marLeft w:val="-225"/>
                                      <w:marRight w:val="-225"/>
                                      <w:marTop w:val="0"/>
                                      <w:marBottom w:val="0"/>
                                      <w:divBdr>
                                        <w:top w:val="none" w:sz="0" w:space="0" w:color="auto"/>
                                        <w:left w:val="none" w:sz="0" w:space="0" w:color="auto"/>
                                        <w:bottom w:val="none" w:sz="0" w:space="0" w:color="auto"/>
                                        <w:right w:val="none" w:sz="0" w:space="0" w:color="auto"/>
                                      </w:divBdr>
                                      <w:divsChild>
                                        <w:div w:id="1459256145">
                                          <w:marLeft w:val="0"/>
                                          <w:marRight w:val="0"/>
                                          <w:marTop w:val="0"/>
                                          <w:marBottom w:val="0"/>
                                          <w:divBdr>
                                            <w:top w:val="none" w:sz="0" w:space="0" w:color="auto"/>
                                            <w:left w:val="none" w:sz="0" w:space="0" w:color="auto"/>
                                            <w:bottom w:val="none" w:sz="0" w:space="0" w:color="auto"/>
                                            <w:right w:val="none" w:sz="0" w:space="0" w:color="auto"/>
                                          </w:divBdr>
                                          <w:divsChild>
                                            <w:div w:id="933829229">
                                              <w:marLeft w:val="0"/>
                                              <w:marRight w:val="0"/>
                                              <w:marTop w:val="0"/>
                                              <w:marBottom w:val="0"/>
                                              <w:divBdr>
                                                <w:top w:val="none" w:sz="0" w:space="0" w:color="auto"/>
                                                <w:left w:val="none" w:sz="0" w:space="0" w:color="auto"/>
                                                <w:bottom w:val="none" w:sz="0" w:space="0" w:color="auto"/>
                                                <w:right w:val="none" w:sz="0" w:space="0" w:color="auto"/>
                                              </w:divBdr>
                                              <w:divsChild>
                                                <w:div w:id="704214072">
                                                  <w:marLeft w:val="-225"/>
                                                  <w:marRight w:val="-225"/>
                                                  <w:marTop w:val="0"/>
                                                  <w:marBottom w:val="0"/>
                                                  <w:divBdr>
                                                    <w:top w:val="none" w:sz="0" w:space="0" w:color="auto"/>
                                                    <w:left w:val="none" w:sz="0" w:space="0" w:color="auto"/>
                                                    <w:bottom w:val="none" w:sz="0" w:space="0" w:color="auto"/>
                                                    <w:right w:val="none" w:sz="0" w:space="0" w:color="auto"/>
                                                  </w:divBdr>
                                                  <w:divsChild>
                                                    <w:div w:id="739518054">
                                                      <w:marLeft w:val="0"/>
                                                      <w:marRight w:val="0"/>
                                                      <w:marTop w:val="0"/>
                                                      <w:marBottom w:val="0"/>
                                                      <w:divBdr>
                                                        <w:top w:val="none" w:sz="0" w:space="0" w:color="auto"/>
                                                        <w:left w:val="none" w:sz="0" w:space="0" w:color="auto"/>
                                                        <w:bottom w:val="none" w:sz="0" w:space="0" w:color="auto"/>
                                                        <w:right w:val="none" w:sz="0" w:space="0" w:color="auto"/>
                                                      </w:divBdr>
                                                      <w:divsChild>
                                                        <w:div w:id="1341278835">
                                                          <w:marLeft w:val="-225"/>
                                                          <w:marRight w:val="-225"/>
                                                          <w:marTop w:val="0"/>
                                                          <w:marBottom w:val="0"/>
                                                          <w:divBdr>
                                                            <w:top w:val="none" w:sz="0" w:space="0" w:color="auto"/>
                                                            <w:left w:val="none" w:sz="0" w:space="0" w:color="auto"/>
                                                            <w:bottom w:val="none" w:sz="0" w:space="0" w:color="auto"/>
                                                            <w:right w:val="none" w:sz="0" w:space="0" w:color="auto"/>
                                                          </w:divBdr>
                                                          <w:divsChild>
                                                            <w:div w:id="898442815">
                                                              <w:marLeft w:val="0"/>
                                                              <w:marRight w:val="0"/>
                                                              <w:marTop w:val="0"/>
                                                              <w:marBottom w:val="0"/>
                                                              <w:divBdr>
                                                                <w:top w:val="none" w:sz="0" w:space="0" w:color="auto"/>
                                                                <w:left w:val="none" w:sz="0" w:space="0" w:color="auto"/>
                                                                <w:bottom w:val="none" w:sz="0" w:space="0" w:color="auto"/>
                                                                <w:right w:val="none" w:sz="0" w:space="0" w:color="auto"/>
                                                              </w:divBdr>
                                                              <w:divsChild>
                                                                <w:div w:id="1491288967">
                                                                  <w:marLeft w:val="0"/>
                                                                  <w:marRight w:val="0"/>
                                                                  <w:marTop w:val="0"/>
                                                                  <w:marBottom w:val="0"/>
                                                                  <w:divBdr>
                                                                    <w:top w:val="none" w:sz="0" w:space="0" w:color="auto"/>
                                                                    <w:left w:val="none" w:sz="0" w:space="0" w:color="auto"/>
                                                                    <w:bottom w:val="none" w:sz="0" w:space="0" w:color="auto"/>
                                                                    <w:right w:val="none" w:sz="0" w:space="0" w:color="auto"/>
                                                                  </w:divBdr>
                                                                  <w:divsChild>
                                                                    <w:div w:id="1946306537">
                                                                      <w:marLeft w:val="0"/>
                                                                      <w:marRight w:val="0"/>
                                                                      <w:marTop w:val="0"/>
                                                                      <w:marBottom w:val="0"/>
                                                                      <w:divBdr>
                                                                        <w:top w:val="none" w:sz="0" w:space="0" w:color="auto"/>
                                                                        <w:left w:val="none" w:sz="0" w:space="0" w:color="auto"/>
                                                                        <w:bottom w:val="none" w:sz="0" w:space="0" w:color="auto"/>
                                                                        <w:right w:val="none" w:sz="0" w:space="0" w:color="auto"/>
                                                                      </w:divBdr>
                                                                      <w:divsChild>
                                                                        <w:div w:id="983580709">
                                                                          <w:marLeft w:val="0"/>
                                                                          <w:marRight w:val="0"/>
                                                                          <w:marTop w:val="0"/>
                                                                          <w:marBottom w:val="0"/>
                                                                          <w:divBdr>
                                                                            <w:top w:val="none" w:sz="0" w:space="0" w:color="auto"/>
                                                                            <w:left w:val="none" w:sz="0" w:space="0" w:color="auto"/>
                                                                            <w:bottom w:val="none" w:sz="0" w:space="0" w:color="auto"/>
                                                                            <w:right w:val="none" w:sz="0" w:space="0" w:color="auto"/>
                                                                          </w:divBdr>
                                                                          <w:divsChild>
                                                                            <w:div w:id="2047219915">
                                                                              <w:marLeft w:val="0"/>
                                                                              <w:marRight w:val="0"/>
                                                                              <w:marTop w:val="0"/>
                                                                              <w:marBottom w:val="0"/>
                                                                              <w:divBdr>
                                                                                <w:top w:val="none" w:sz="0" w:space="0" w:color="auto"/>
                                                                                <w:left w:val="none" w:sz="0" w:space="0" w:color="auto"/>
                                                                                <w:bottom w:val="none" w:sz="0" w:space="0" w:color="auto"/>
                                                                                <w:right w:val="none" w:sz="0" w:space="0" w:color="auto"/>
                                                                              </w:divBdr>
                                                                              <w:divsChild>
                                                                                <w:div w:id="1527712598">
                                                                                  <w:marLeft w:val="0"/>
                                                                                  <w:marRight w:val="0"/>
                                                                                  <w:marTop w:val="0"/>
                                                                                  <w:marBottom w:val="0"/>
                                                                                  <w:divBdr>
                                                                                    <w:top w:val="none" w:sz="0" w:space="0" w:color="auto"/>
                                                                                    <w:left w:val="none" w:sz="0" w:space="0" w:color="auto"/>
                                                                                    <w:bottom w:val="none" w:sz="0" w:space="0" w:color="auto"/>
                                                                                    <w:right w:val="none" w:sz="0" w:space="0" w:color="auto"/>
                                                                                  </w:divBdr>
                                                                                  <w:divsChild>
                                                                                    <w:div w:id="1175801557">
                                                                                      <w:marLeft w:val="0"/>
                                                                                      <w:marRight w:val="0"/>
                                                                                      <w:marTop w:val="0"/>
                                                                                      <w:marBottom w:val="0"/>
                                                                                      <w:divBdr>
                                                                                        <w:top w:val="none" w:sz="0" w:space="0" w:color="auto"/>
                                                                                        <w:left w:val="none" w:sz="0" w:space="0" w:color="auto"/>
                                                                                        <w:bottom w:val="none" w:sz="0" w:space="0" w:color="auto"/>
                                                                                        <w:right w:val="none" w:sz="0" w:space="0" w:color="auto"/>
                                                                                      </w:divBdr>
                                                                                      <w:divsChild>
                                                                                        <w:div w:id="309484222">
                                                                                          <w:marLeft w:val="0"/>
                                                                                          <w:marRight w:val="0"/>
                                                                                          <w:marTop w:val="0"/>
                                                                                          <w:marBottom w:val="0"/>
                                                                                          <w:divBdr>
                                                                                            <w:top w:val="none" w:sz="0" w:space="0" w:color="auto"/>
                                                                                            <w:left w:val="none" w:sz="0" w:space="0" w:color="auto"/>
                                                                                            <w:bottom w:val="dotted" w:sz="6" w:space="0" w:color="CCCCCC"/>
                                                                                            <w:right w:val="none" w:sz="0" w:space="0" w:color="auto"/>
                                                                                          </w:divBdr>
                                                                                          <w:divsChild>
                                                                                            <w:div w:id="1988243169">
                                                                                              <w:marLeft w:val="0"/>
                                                                                              <w:marRight w:val="0"/>
                                                                                              <w:marTop w:val="0"/>
                                                                                              <w:marBottom w:val="0"/>
                                                                                              <w:divBdr>
                                                                                                <w:top w:val="none" w:sz="0" w:space="0" w:color="auto"/>
                                                                                                <w:left w:val="none" w:sz="0" w:space="0" w:color="auto"/>
                                                                                                <w:bottom w:val="none" w:sz="0" w:space="0" w:color="auto"/>
                                                                                                <w:right w:val="none" w:sz="0" w:space="0" w:color="auto"/>
                                                                                              </w:divBdr>
                                                                                              <w:divsChild>
                                                                                                <w:div w:id="123489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AA07D-C954-4EA7-8063-5809C44E7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2699</Words>
  <Characters>19298</Characters>
  <Application>Microsoft Office Word</Application>
  <DocSecurity>0</DocSecurity>
  <Lines>364</Lines>
  <Paragraphs>162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cp:lastPrinted>2016-09-21T14:57:00Z</cp:lastPrinted>
  <dcterms:created xsi:type="dcterms:W3CDTF">2016-09-23T10:08:00Z</dcterms:created>
  <dcterms:modified xsi:type="dcterms:W3CDTF">2016-10-03T15:18:00Z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