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5645BED0FE1540CE97DC6238248781FC"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MELLÉKLET</w:t>
      </w:r>
    </w:p>
    <w:p>
      <w:pPr>
        <w:pStyle w:val="Accompagnant"/>
        <w:rPr>
          <w:noProof/>
        </w:rPr>
      </w:pPr>
      <w:r>
        <w:rPr>
          <w:noProof/>
        </w:rPr>
        <w:t>a következőhöz:</w:t>
      </w:r>
    </w:p>
    <w:p>
      <w:pPr>
        <w:pStyle w:val="Typeacteprincipal"/>
        <w:rPr>
          <w:noProof/>
        </w:rPr>
      </w:pPr>
      <w:r>
        <w:rPr>
          <w:noProof/>
        </w:rPr>
        <w:t>A TANÁCS HATÁROZATA</w:t>
      </w:r>
    </w:p>
    <w:p>
      <w:pPr>
        <w:pStyle w:val="Objetacteprincipal"/>
        <w:rPr>
          <w:noProof/>
        </w:rPr>
      </w:pPr>
      <w:r>
        <w:rPr>
          <w:noProof/>
        </w:rPr>
        <w:t>az egyrészről az Európai Közösségek és tagállamaik, másrészről Bosznia és Hercegovina közötti stabilizációs és társulási megállapodáshoz csatolt, a Horvát Köztársaság Európai Unióhoz történő csatlakozásának figyelembevétele céljából készült jegyzőkönyvnek az Európai Unió és tagállamai nevében történő megkötéséről</w:t>
      </w:r>
    </w:p>
    <w:p>
      <w:pPr>
        <w:pStyle w:val="Annexetitreglobale"/>
        <w:spacing w:after="60"/>
        <w:rPr>
          <w:noProof/>
        </w:rPr>
      </w:pPr>
      <w:r>
        <w:rPr>
          <w:noProof/>
        </w:rPr>
        <w:t>JEGYZŐKÖNYV</w:t>
      </w:r>
    </w:p>
    <w:p>
      <w:pPr>
        <w:spacing w:before="60" w:after="60"/>
        <w:ind w:right="-193"/>
        <w:jc w:val="center"/>
        <w:rPr>
          <w:b/>
          <w:noProof/>
        </w:rPr>
      </w:pPr>
    </w:p>
    <w:p>
      <w:pPr>
        <w:spacing w:before="60" w:after="60"/>
        <w:ind w:right="-193"/>
        <w:jc w:val="center"/>
        <w:rPr>
          <w:b/>
          <w:noProof/>
        </w:rPr>
      </w:pPr>
      <w:r>
        <w:rPr>
          <w:b/>
          <w:noProof/>
        </w:rPr>
        <w:t>az egyrészről az Európai Közösségek és tagállamaik, másrészről Bosznia és Hercegovina közötti stabilizációs és társulási megállapodáshoz a Horvát Köztársaság Európai Unióhoz történő csatlakozásának figyelembevétele céljából</w:t>
      </w:r>
    </w:p>
    <w:p>
      <w:pPr>
        <w:pStyle w:val="Point2"/>
        <w:spacing w:after="40"/>
        <w:ind w:left="0" w:firstLine="0"/>
        <w:rPr>
          <w:noProof/>
        </w:rPr>
      </w:pPr>
    </w:p>
    <w:p>
      <w:pPr>
        <w:pStyle w:val="Point2"/>
        <w:spacing w:after="40"/>
        <w:ind w:left="0" w:firstLine="0"/>
        <w:rPr>
          <w:noProof/>
        </w:rPr>
      </w:pPr>
      <w:r>
        <w:rPr>
          <w:noProof/>
        </w:rPr>
        <w:t>A BELGA KIRÁLYSÁG,</w:t>
      </w:r>
    </w:p>
    <w:p>
      <w:pPr>
        <w:pStyle w:val="Point2"/>
        <w:spacing w:after="40"/>
        <w:ind w:left="0" w:firstLine="0"/>
        <w:rPr>
          <w:noProof/>
        </w:rPr>
      </w:pPr>
      <w:r>
        <w:rPr>
          <w:noProof/>
        </w:rPr>
        <w:t>A BOLGÁR KÖZTÁRSASÁG,</w:t>
      </w:r>
    </w:p>
    <w:p>
      <w:pPr>
        <w:pStyle w:val="Point2"/>
        <w:spacing w:after="40"/>
        <w:ind w:left="0" w:firstLine="0"/>
        <w:rPr>
          <w:noProof/>
        </w:rPr>
      </w:pPr>
      <w:r>
        <w:rPr>
          <w:noProof/>
        </w:rPr>
        <w:t>A CSEH KÖZTÁRSASÁG,</w:t>
      </w:r>
    </w:p>
    <w:p>
      <w:pPr>
        <w:pStyle w:val="Point2"/>
        <w:spacing w:after="40"/>
        <w:ind w:left="0" w:firstLine="0"/>
        <w:rPr>
          <w:noProof/>
        </w:rPr>
      </w:pPr>
      <w:r>
        <w:rPr>
          <w:noProof/>
        </w:rPr>
        <w:t>A DÁN KIRÁLYSÁG,</w:t>
      </w:r>
    </w:p>
    <w:p>
      <w:pPr>
        <w:pStyle w:val="Point2"/>
        <w:spacing w:after="40"/>
        <w:ind w:left="0" w:firstLine="0"/>
        <w:rPr>
          <w:noProof/>
        </w:rPr>
      </w:pPr>
      <w:r>
        <w:rPr>
          <w:noProof/>
        </w:rPr>
        <w:t>A NÉMETORSZÁGI SZÖVETSÉGI KÖZTÁRSASÁG,</w:t>
      </w:r>
    </w:p>
    <w:p>
      <w:pPr>
        <w:pStyle w:val="Point2"/>
        <w:spacing w:after="40"/>
        <w:ind w:left="0" w:firstLine="0"/>
        <w:rPr>
          <w:noProof/>
        </w:rPr>
      </w:pPr>
      <w:r>
        <w:rPr>
          <w:noProof/>
        </w:rPr>
        <w:t>AZ ÉSZT KÖZTÁRSASÁG,</w:t>
      </w:r>
    </w:p>
    <w:p>
      <w:pPr>
        <w:pStyle w:val="Point2"/>
        <w:spacing w:after="40"/>
        <w:ind w:left="0" w:firstLine="0"/>
        <w:rPr>
          <w:noProof/>
        </w:rPr>
      </w:pPr>
      <w:r>
        <w:rPr>
          <w:noProof/>
        </w:rPr>
        <w:t>ÍRORSZÁG,</w:t>
      </w:r>
    </w:p>
    <w:p>
      <w:pPr>
        <w:pStyle w:val="Point2"/>
        <w:spacing w:after="40"/>
        <w:ind w:left="0" w:firstLine="0"/>
        <w:rPr>
          <w:noProof/>
        </w:rPr>
      </w:pPr>
      <w:r>
        <w:rPr>
          <w:noProof/>
        </w:rPr>
        <w:t>A GÖRÖG KÖZTÁRSASÁG,</w:t>
      </w:r>
    </w:p>
    <w:p>
      <w:pPr>
        <w:pStyle w:val="Point2"/>
        <w:spacing w:after="40"/>
        <w:ind w:left="0" w:firstLine="0"/>
        <w:rPr>
          <w:noProof/>
        </w:rPr>
      </w:pPr>
      <w:r>
        <w:rPr>
          <w:noProof/>
        </w:rPr>
        <w:t>A SPANYOL KIRÁLYSÁG,</w:t>
      </w:r>
    </w:p>
    <w:p>
      <w:pPr>
        <w:pStyle w:val="Point2"/>
        <w:spacing w:after="40"/>
        <w:ind w:left="0" w:firstLine="0"/>
        <w:rPr>
          <w:noProof/>
        </w:rPr>
      </w:pPr>
      <w:r>
        <w:rPr>
          <w:noProof/>
        </w:rPr>
        <w:t>A FRANCIA KÖZTÁRSASÁG</w:t>
      </w:r>
    </w:p>
    <w:p>
      <w:pPr>
        <w:pStyle w:val="Point2"/>
        <w:spacing w:after="40"/>
        <w:ind w:left="0" w:firstLine="0"/>
        <w:rPr>
          <w:noProof/>
        </w:rPr>
      </w:pPr>
      <w:r>
        <w:rPr>
          <w:noProof/>
        </w:rPr>
        <w:t>A HORVÁT KÖZTÁRSASÁG,</w:t>
      </w:r>
    </w:p>
    <w:p>
      <w:pPr>
        <w:pStyle w:val="Point2"/>
        <w:spacing w:after="40"/>
        <w:ind w:left="0" w:firstLine="0"/>
        <w:rPr>
          <w:noProof/>
        </w:rPr>
      </w:pPr>
      <w:r>
        <w:rPr>
          <w:noProof/>
        </w:rPr>
        <w:t>AZ OLASZ KÖZTÁRSASÁG</w:t>
      </w:r>
    </w:p>
    <w:p>
      <w:pPr>
        <w:pStyle w:val="Point2"/>
        <w:spacing w:after="40"/>
        <w:ind w:left="0" w:firstLine="0"/>
        <w:rPr>
          <w:noProof/>
        </w:rPr>
      </w:pPr>
      <w:r>
        <w:rPr>
          <w:noProof/>
        </w:rPr>
        <w:t>A CIPRUSI KÖZTÁRSASÁG,</w:t>
      </w:r>
    </w:p>
    <w:p>
      <w:pPr>
        <w:pStyle w:val="Point2"/>
        <w:spacing w:after="40"/>
        <w:ind w:left="0" w:firstLine="0"/>
        <w:rPr>
          <w:noProof/>
        </w:rPr>
      </w:pPr>
      <w:r>
        <w:rPr>
          <w:noProof/>
        </w:rPr>
        <w:t>A LETT KÖZTÁRSASÁG,</w:t>
      </w:r>
    </w:p>
    <w:p>
      <w:pPr>
        <w:pStyle w:val="Point2"/>
        <w:spacing w:after="40"/>
        <w:ind w:left="0" w:firstLine="0"/>
        <w:rPr>
          <w:noProof/>
        </w:rPr>
      </w:pPr>
      <w:r>
        <w:rPr>
          <w:noProof/>
        </w:rPr>
        <w:t>A LITVÁN KÖZTÁRSASÁG,</w:t>
      </w:r>
    </w:p>
    <w:p>
      <w:pPr>
        <w:pStyle w:val="Point2"/>
        <w:spacing w:after="40"/>
        <w:ind w:left="0" w:firstLine="0"/>
        <w:rPr>
          <w:noProof/>
        </w:rPr>
      </w:pPr>
      <w:r>
        <w:rPr>
          <w:noProof/>
        </w:rPr>
        <w:t>A LUXEMBURGI NAGYHERCEGSÉG,</w:t>
      </w:r>
    </w:p>
    <w:p>
      <w:pPr>
        <w:pStyle w:val="Point2"/>
        <w:spacing w:after="40"/>
        <w:ind w:left="0" w:firstLine="0"/>
        <w:rPr>
          <w:noProof/>
        </w:rPr>
      </w:pPr>
      <w:r>
        <w:rPr>
          <w:noProof/>
        </w:rPr>
        <w:t>MAGYARORSZÁG,</w:t>
      </w:r>
    </w:p>
    <w:p>
      <w:pPr>
        <w:pStyle w:val="Point2"/>
        <w:spacing w:after="40"/>
        <w:ind w:left="0" w:firstLine="0"/>
        <w:rPr>
          <w:noProof/>
        </w:rPr>
      </w:pPr>
      <w:r>
        <w:rPr>
          <w:noProof/>
        </w:rPr>
        <w:t>A MÁLTAI KÖZTÁRSASÁG,</w:t>
      </w:r>
    </w:p>
    <w:p>
      <w:pPr>
        <w:pStyle w:val="Point2"/>
        <w:spacing w:after="40"/>
        <w:ind w:left="0" w:firstLine="0"/>
        <w:rPr>
          <w:noProof/>
        </w:rPr>
      </w:pPr>
      <w:r>
        <w:rPr>
          <w:noProof/>
        </w:rPr>
        <w:t>A HOLLAND KIRÁLYSÁG,</w:t>
      </w:r>
    </w:p>
    <w:p>
      <w:pPr>
        <w:pStyle w:val="Point2"/>
        <w:spacing w:after="40"/>
        <w:ind w:left="0" w:firstLine="0"/>
        <w:rPr>
          <w:noProof/>
        </w:rPr>
      </w:pPr>
      <w:r>
        <w:rPr>
          <w:noProof/>
        </w:rPr>
        <w:t>AZ OSZTRÁK KÖZTÁRSASÁG,</w:t>
      </w:r>
    </w:p>
    <w:p>
      <w:pPr>
        <w:pStyle w:val="Point2"/>
        <w:spacing w:after="40"/>
        <w:ind w:left="0" w:firstLine="0"/>
        <w:rPr>
          <w:noProof/>
        </w:rPr>
      </w:pPr>
      <w:r>
        <w:rPr>
          <w:noProof/>
        </w:rPr>
        <w:lastRenderedPageBreak/>
        <w:t>A LENGYEL KÖZTÁRSASÁG,</w:t>
      </w:r>
    </w:p>
    <w:p>
      <w:pPr>
        <w:pStyle w:val="Point2"/>
        <w:spacing w:after="40"/>
        <w:ind w:left="0" w:firstLine="0"/>
        <w:rPr>
          <w:noProof/>
        </w:rPr>
      </w:pPr>
      <w:r>
        <w:rPr>
          <w:noProof/>
        </w:rPr>
        <w:t>A PORTUGÁL KÖZTÁRSASÁG,</w:t>
      </w:r>
    </w:p>
    <w:p>
      <w:pPr>
        <w:pStyle w:val="Point2"/>
        <w:spacing w:after="40"/>
        <w:ind w:left="0" w:firstLine="0"/>
        <w:rPr>
          <w:noProof/>
        </w:rPr>
      </w:pPr>
      <w:r>
        <w:rPr>
          <w:noProof/>
        </w:rPr>
        <w:t>ROMÁNIA,</w:t>
      </w:r>
    </w:p>
    <w:p>
      <w:pPr>
        <w:pStyle w:val="Point2"/>
        <w:spacing w:after="40"/>
        <w:ind w:left="0" w:firstLine="0"/>
        <w:rPr>
          <w:noProof/>
        </w:rPr>
      </w:pPr>
      <w:r>
        <w:rPr>
          <w:noProof/>
        </w:rPr>
        <w:t>A SZLOVÉN KÖZTÁRSASÁG,</w:t>
      </w:r>
    </w:p>
    <w:p>
      <w:pPr>
        <w:pStyle w:val="Point2"/>
        <w:spacing w:after="40"/>
        <w:ind w:left="0" w:firstLine="0"/>
        <w:rPr>
          <w:noProof/>
        </w:rPr>
      </w:pPr>
      <w:r>
        <w:rPr>
          <w:noProof/>
        </w:rPr>
        <w:t>A SZLOVÁK KÖZTÁRSASÁG,</w:t>
      </w:r>
    </w:p>
    <w:p>
      <w:pPr>
        <w:pStyle w:val="Point2"/>
        <w:spacing w:after="40"/>
        <w:ind w:left="0" w:firstLine="0"/>
        <w:rPr>
          <w:noProof/>
        </w:rPr>
      </w:pPr>
      <w:r>
        <w:rPr>
          <w:noProof/>
        </w:rPr>
        <w:t>A FINN KÖZTÁRSASÁG</w:t>
      </w:r>
    </w:p>
    <w:p>
      <w:pPr>
        <w:pStyle w:val="Point2"/>
        <w:spacing w:after="40"/>
        <w:ind w:left="0" w:firstLine="0"/>
        <w:rPr>
          <w:noProof/>
        </w:rPr>
      </w:pPr>
      <w:r>
        <w:rPr>
          <w:noProof/>
        </w:rPr>
        <w:t>A SVÉD KIRÁLYSÁG,</w:t>
      </w:r>
    </w:p>
    <w:p>
      <w:pPr>
        <w:pStyle w:val="Point2"/>
        <w:ind w:left="0" w:hanging="1"/>
        <w:rPr>
          <w:noProof/>
        </w:rPr>
      </w:pPr>
      <w:r>
        <w:rPr>
          <w:noProof/>
        </w:rPr>
        <w:t>NAGY-BRITANNIA ÉS ÉSZAK-ÍRORSZÁG EGYESÜLT KIRÁLYSÁGA,</w:t>
      </w:r>
    </w:p>
    <w:p>
      <w:pPr>
        <w:rPr>
          <w:noProof/>
        </w:rPr>
      </w:pPr>
      <w:r>
        <w:rPr>
          <w:noProof/>
        </w:rPr>
        <w:t>az Európai Unióról szóló szerződés, az Európai Unió működéséről szóló szerződés és az Európai Atomenergia-közösséget létrehozó szerződés Szerződő Felei, a továbbiakban: a tagállamok, valamint</w:t>
      </w:r>
    </w:p>
    <w:p>
      <w:pPr>
        <w:rPr>
          <w:noProof/>
        </w:rPr>
      </w:pPr>
      <w:r>
        <w:rPr>
          <w:noProof/>
        </w:rPr>
        <w:t>AZ EURÓPAI UNIÓ és AZ EURÓPAI ATOMENERGIA-KÖZÖSSÉG,</w:t>
      </w:r>
    </w:p>
    <w:p>
      <w:pPr>
        <w:rPr>
          <w:noProof/>
        </w:rPr>
      </w:pPr>
      <w:r>
        <w:rPr>
          <w:noProof/>
        </w:rPr>
        <w:t>a továbbiakban: az Európai Unió,</w:t>
      </w:r>
    </w:p>
    <w:p>
      <w:pPr>
        <w:rPr>
          <w:noProof/>
        </w:rPr>
      </w:pPr>
      <w:r>
        <w:rPr>
          <w:noProof/>
        </w:rPr>
        <w:t>egyrészről, valamint</w:t>
      </w:r>
    </w:p>
    <w:p>
      <w:pPr>
        <w:rPr>
          <w:noProof/>
        </w:rPr>
      </w:pPr>
      <w:r>
        <w:rPr>
          <w:noProof/>
        </w:rPr>
        <w:t xml:space="preserve">BOSZNIA ÉS HERCEGOVINA, </w:t>
      </w:r>
    </w:p>
    <w:p>
      <w:pPr>
        <w:rPr>
          <w:noProof/>
        </w:rPr>
      </w:pPr>
      <w:r>
        <w:rPr>
          <w:noProof/>
        </w:rPr>
        <w:t>másrészről,</w:t>
      </w:r>
    </w:p>
    <w:p>
      <w:pPr>
        <w:rPr>
          <w:noProof/>
        </w:rPr>
      </w:pPr>
    </w:p>
    <w:p>
      <w:pPr>
        <w:rPr>
          <w:noProof/>
        </w:rPr>
      </w:pPr>
      <w:r>
        <w:rPr>
          <w:noProof/>
        </w:rPr>
        <w:t>tekintettel a Horvát Köztársaság (a továbbiakban: Horvátország) 2013. július 1-jei Európai Unióhoz történő csatlakozására,</w:t>
      </w:r>
    </w:p>
    <w:p>
      <w:pPr>
        <w:rPr>
          <w:noProof/>
        </w:rPr>
      </w:pPr>
      <w:r>
        <w:rPr>
          <w:noProof/>
        </w:rPr>
        <w:t>mivel:</w:t>
      </w:r>
    </w:p>
    <w:p>
      <w:pPr>
        <w:pStyle w:val="ListNumber"/>
        <w:rPr>
          <w:noProof/>
        </w:rPr>
      </w:pPr>
      <w:r>
        <w:rPr>
          <w:noProof/>
        </w:rPr>
        <w:t>Az egyrészről az Európai Közösségek és tagállamaik, másrészről Bosznia és Hercegovina közötti ideiglenes megállapodást 2008. június 16-án aláírták, és 2008. július 1-jétől 2015. május 31-ig volt hatályos.</w:t>
      </w:r>
    </w:p>
    <w:p>
      <w:pPr>
        <w:pStyle w:val="ListNumber"/>
        <w:rPr>
          <w:noProof/>
        </w:rPr>
      </w:pPr>
      <w:r>
        <w:rPr>
          <w:noProof/>
        </w:rPr>
        <w:t>2011. december 9-én Brüsszelben aláírták Horvátországnak az Európai Unióhoz történő csatlakozásáról szóló szerződést (a továbbiakban: a csatlakozási szerződés).</w:t>
      </w:r>
    </w:p>
    <w:p>
      <w:pPr>
        <w:pStyle w:val="ListNumber"/>
        <w:rPr>
          <w:noProof/>
        </w:rPr>
      </w:pPr>
      <w:r>
        <w:rPr>
          <w:noProof/>
        </w:rPr>
        <w:t>Horvátország 2013. július 1-jén csatlakozott az Európai Unióhoz.</w:t>
      </w:r>
    </w:p>
    <w:p>
      <w:pPr>
        <w:pStyle w:val="ListNumber"/>
        <w:rPr>
          <w:noProof/>
        </w:rPr>
      </w:pPr>
      <w:r>
        <w:rPr>
          <w:noProof/>
        </w:rPr>
        <w:t>Az egyrészről az Európai Közösségek és tagállamaik, másrészről Bosznia és Hercegovina közötti stabilizációs és társulási megállapodást (a továbbiakban: az STM) 2008. június 16-án Luxembourgban aláírták, és 2015. június 1-jén hatályba lépett.</w:t>
      </w:r>
    </w:p>
    <w:p>
      <w:pPr>
        <w:pStyle w:val="ListNumber"/>
        <w:rPr>
          <w:noProof/>
        </w:rPr>
      </w:pPr>
      <w:r>
        <w:rPr>
          <w:noProof/>
        </w:rPr>
        <w:t>Horvátország csatlakozási okmánya 6. cikkének (2) bekezdése értelmében Horvátország STM-hez történő csatlakozásáról az STM-hez csatolt jegyzőkönyv megkötésének útján kell megállapodni.</w:t>
      </w:r>
    </w:p>
    <w:p>
      <w:pPr>
        <w:pStyle w:val="ListNumber"/>
        <w:rPr>
          <w:noProof/>
        </w:rPr>
      </w:pPr>
      <w:r>
        <w:rPr>
          <w:noProof/>
        </w:rPr>
        <w:t>Az STM 37. cikkének (3) bekezdése értelmében konzultációkat folytattak annak biztosítása céljából, hogy az Európai Unió és Bosznia-Hercegovina említett megállapodásban meghatározott kölcsönös érdekei figyelembevételre kerüljenek,</w:t>
      </w:r>
    </w:p>
    <w:p>
      <w:pPr>
        <w:rPr>
          <w:noProof/>
        </w:rPr>
      </w:pPr>
    </w:p>
    <w:p>
      <w:pPr>
        <w:rPr>
          <w:noProof/>
        </w:rPr>
      </w:pPr>
      <w:r>
        <w:rPr>
          <w:noProof/>
        </w:rPr>
        <w:t>A KÖVETKEZŐKBEN ÁLLAPODTAK MEG:</w:t>
      </w:r>
    </w:p>
    <w:p>
      <w:pPr>
        <w:rPr>
          <w:noProof/>
        </w:rPr>
      </w:pPr>
    </w:p>
    <w:p>
      <w:pPr>
        <w:pStyle w:val="SectionTitle"/>
        <w:spacing w:after="120"/>
        <w:rPr>
          <w:noProof/>
        </w:rPr>
      </w:pPr>
      <w:r>
        <w:rPr>
          <w:noProof/>
        </w:rPr>
        <w:t>I. szakasz</w:t>
      </w:r>
    </w:p>
    <w:p>
      <w:pPr>
        <w:spacing w:after="60"/>
        <w:jc w:val="center"/>
        <w:rPr>
          <w:b/>
          <w:caps/>
          <w:noProof/>
        </w:rPr>
      </w:pPr>
      <w:r>
        <w:rPr>
          <w:b/>
          <w:caps/>
          <w:noProof/>
        </w:rPr>
        <w:t>A Szerződő Felek</w:t>
      </w:r>
    </w:p>
    <w:p>
      <w:pPr>
        <w:jc w:val="center"/>
        <w:rPr>
          <w:i/>
          <w:noProof/>
        </w:rPr>
      </w:pPr>
      <w:r>
        <w:rPr>
          <w:i/>
          <w:noProof/>
        </w:rPr>
        <w:t>1. cikk</w:t>
      </w:r>
    </w:p>
    <w:p>
      <w:pPr>
        <w:rPr>
          <w:noProof/>
        </w:rPr>
      </w:pPr>
      <w:r>
        <w:rPr>
          <w:noProof/>
        </w:rPr>
        <w:t>Horvátország 2008. június 16-án Luxembourgban aláírt, az egyrészről az Európai Közösségek és tagállamaik, másrészről Bosznia és Hercegovina közötti stabilizációs és társulási megállapodás (a továbbiakban: az STM) részes felévé válik, továbbá az Európai Unió többi tagállamával megegyező módon elfogadja és tudomásul veszi az STM, valamint az ugyanazon a napon aláírt záróokmány mellékletét képező együttes nyilatkozatok és egyoldalú nyilatkozatok szövegét.</w:t>
      </w:r>
    </w:p>
    <w:p>
      <w:pPr>
        <w:pStyle w:val="SectionTitle"/>
        <w:spacing w:after="240"/>
        <w:rPr>
          <w:noProof/>
        </w:rPr>
      </w:pPr>
      <w:r>
        <w:rPr>
          <w:noProof/>
        </w:rPr>
        <w:t>II. szakasz</w:t>
      </w:r>
    </w:p>
    <w:p>
      <w:pPr>
        <w:jc w:val="center"/>
        <w:rPr>
          <w:b/>
          <w:noProof/>
        </w:rPr>
      </w:pPr>
      <w:r>
        <w:rPr>
          <w:b/>
          <w:noProof/>
        </w:rPr>
        <w:t>AZ STM SZÖVEGÉNEK KIIGAZÍTÁSAI, BELEÉRTVE A MELLÉKLETEKET ÉS A JEGYZŐKÖNYVEKET IS</w:t>
      </w:r>
    </w:p>
    <w:p>
      <w:pPr>
        <w:pStyle w:val="SectionTitle"/>
        <w:spacing w:after="240"/>
        <w:rPr>
          <w:noProof/>
        </w:rPr>
      </w:pPr>
    </w:p>
    <w:p>
      <w:pPr>
        <w:jc w:val="center"/>
        <w:rPr>
          <w:b/>
          <w:i/>
          <w:noProof/>
        </w:rPr>
      </w:pPr>
      <w:r>
        <w:rPr>
          <w:b/>
          <w:i/>
          <w:caps/>
          <w:noProof/>
        </w:rPr>
        <w:t>Mezőgazdasági termékek</w:t>
      </w:r>
    </w:p>
    <w:p>
      <w:pPr>
        <w:jc w:val="center"/>
        <w:rPr>
          <w:i/>
          <w:noProof/>
        </w:rPr>
      </w:pPr>
      <w:r>
        <w:rPr>
          <w:i/>
          <w:noProof/>
        </w:rPr>
        <w:t>2. cikk</w:t>
      </w:r>
    </w:p>
    <w:p>
      <w:pPr>
        <w:jc w:val="center"/>
        <w:rPr>
          <w:i/>
          <w:noProof/>
        </w:rPr>
      </w:pPr>
      <w:r>
        <w:rPr>
          <w:i/>
          <w:noProof/>
        </w:rPr>
        <w:t>Mezőgazdasági termékek szűkebb értelemben</w:t>
      </w:r>
    </w:p>
    <w:p>
      <w:pPr>
        <w:rPr>
          <w:noProof/>
        </w:rPr>
      </w:pPr>
      <w:r>
        <w:rPr>
          <w:noProof/>
        </w:rPr>
        <w:t>(1) Az STM 27. cikkének (3) bekezdése a következő albekezdéssel egészül ki:</w:t>
      </w:r>
    </w:p>
    <w:p>
      <w:pPr>
        <w:ind w:left="284"/>
        <w:rPr>
          <w:noProof/>
        </w:rPr>
      </w:pPr>
      <w:r>
        <w:rPr>
          <w:noProof/>
        </w:rPr>
        <w:t xml:space="preserve">A Horvátország Európai Unióhoz történő csatlakozásának figyelembevétele céljából készült jegyzőkönyv hatálybalépésének napjától, vagy e jegyzőkönyv ideiglenes alkalmazása esetén az ideiglenes alkalmazás megkezdésének időpontjától az első albekezdésben meghatározott éves vámkontingens 13 210 tonna (nettó tömeg). </w:t>
      </w:r>
    </w:p>
    <w:p>
      <w:pPr>
        <w:rPr>
          <w:noProof/>
        </w:rPr>
      </w:pPr>
      <w:r>
        <w:rPr>
          <w:noProof/>
        </w:rPr>
        <w:t>(2) Az STM 27. cikke a következő új (4a) bekezdéssel egészül ki:</w:t>
      </w:r>
    </w:p>
    <w:p>
      <w:pPr>
        <w:ind w:left="284"/>
        <w:rPr>
          <w:noProof/>
        </w:rPr>
      </w:pPr>
      <w:r>
        <w:rPr>
          <w:noProof/>
        </w:rPr>
        <w:t>(4a) A (4) bekezdést kiegészítve, a Horvátország Európai Unióhoz történő csatlakozásának figyelembevétele céljából készült jegyzőkönyv hatálybalépésének napjától, vagy e jegyzőkönyv ideiglenes alkalmazása esetén az ideiglenes alkalmazás megkezdésének időpontjától Bosznia-Hercegovina eltörli a IIIf. mellékletben felsorolt, az EU-ból származó bizonyos mezőgazdasági termékek behozatalára vonatkozó vámokat az érintett termékekre megjelölt vámkontingens keretén belül.</w:t>
      </w:r>
    </w:p>
    <w:p>
      <w:pPr>
        <w:ind w:left="284" w:hanging="284"/>
        <w:rPr>
          <w:noProof/>
        </w:rPr>
      </w:pPr>
      <w:r>
        <w:rPr>
          <w:noProof/>
        </w:rPr>
        <w:t xml:space="preserve">(3) E jegyzőkönyv I. melléklete IIIf. mellékletként kiegészíti az STM szövegét és annak szerves részét képezi. </w:t>
      </w:r>
    </w:p>
    <w:p>
      <w:pPr>
        <w:spacing w:before="0"/>
        <w:jc w:val="center"/>
        <w:rPr>
          <w:i/>
          <w:noProof/>
        </w:rPr>
      </w:pPr>
      <w:r>
        <w:rPr>
          <w:i/>
          <w:noProof/>
        </w:rPr>
        <w:t>3. cikk</w:t>
      </w:r>
    </w:p>
    <w:p>
      <w:pPr>
        <w:jc w:val="center"/>
        <w:rPr>
          <w:i/>
          <w:noProof/>
        </w:rPr>
      </w:pPr>
      <w:r>
        <w:rPr>
          <w:i/>
          <w:noProof/>
        </w:rPr>
        <w:t>Hal és halászati termékek</w:t>
      </w:r>
    </w:p>
    <w:p>
      <w:pPr>
        <w:rPr>
          <w:noProof/>
        </w:rPr>
      </w:pPr>
      <w:r>
        <w:rPr>
          <w:noProof/>
        </w:rPr>
        <w:t>(1) Az STM 28. cikke a következő (1a) bekezdéssel egészül ki:</w:t>
      </w:r>
    </w:p>
    <w:p>
      <w:pPr>
        <w:ind w:left="284"/>
        <w:rPr>
          <w:noProof/>
        </w:rPr>
      </w:pPr>
      <w:r>
        <w:rPr>
          <w:noProof/>
        </w:rPr>
        <w:t xml:space="preserve">(1a) A Horvátország Európai Unióhoz történő csatlakozásának figyelembevétele céljából készült jegyzőkönyv hatálybalépésének napjától, vagy e jegyzőkönyv ideiglenes alkalmazása esetén az ideiglenes alkalmazás megkezdésének időpontjától az Unió teljes mértékben eltörli a Bosznia-Hercegovinából származó, a IV. mellékletben felsoroltaktól </w:t>
      </w:r>
      <w:r>
        <w:rPr>
          <w:noProof/>
        </w:rPr>
        <w:lastRenderedPageBreak/>
        <w:t>eltérő halakra és halászati termékekre kivetett vámokat és azonos hatású díjakat. A IVa. mellékletben felsorolt termékekre az ott megállapított rendelkezések vonatkoznak.</w:t>
      </w:r>
    </w:p>
    <w:p>
      <w:pPr>
        <w:spacing w:after="240"/>
        <w:rPr>
          <w:noProof/>
        </w:rPr>
      </w:pPr>
      <w:r>
        <w:rPr>
          <w:noProof/>
        </w:rPr>
        <w:t>(2) Az STM 28. cikke a következő (3) bekezdéssel egészül ki:</w:t>
      </w:r>
    </w:p>
    <w:p>
      <w:pPr>
        <w:spacing w:after="240"/>
        <w:ind w:left="284"/>
        <w:rPr>
          <w:noProof/>
        </w:rPr>
      </w:pPr>
      <w:r>
        <w:rPr>
          <w:noProof/>
        </w:rPr>
        <w:t>(3) A Horvátország Európai Unióhoz történő csatlakozásának figyelembevétele céljából készült jegyzőkönyv hatálybalépésének napjától, vagy e jegyzőkönyv ideiglenes alkalmazása esetén az ideiglenes alkalmazás megkezdésének időpontjától Bosznia-Hercegovina vámmentes vámkontingenst nyit a 0301 93 00 KN-kód alá tartozó élő ponty behozatalára 75 tonna éves vámkontingens keretén belül. A vámkontingens keretét meghaladó behozatalokra az STM V. mellékletében meghatározott vámok vonatkoznak.</w:t>
      </w:r>
    </w:p>
    <w:p>
      <w:pPr>
        <w:spacing w:after="240"/>
        <w:rPr>
          <w:noProof/>
        </w:rPr>
      </w:pPr>
      <w:r>
        <w:rPr>
          <w:noProof/>
        </w:rPr>
        <w:t>(3) E jegyzőkönyv II. melléklete IVa. mellékletként kiegészíti az STM szövegét és annak szerves részét képezi.</w:t>
      </w:r>
    </w:p>
    <w:p>
      <w:pPr>
        <w:jc w:val="center"/>
        <w:rPr>
          <w:i/>
          <w:noProof/>
        </w:rPr>
      </w:pPr>
      <w:r>
        <w:rPr>
          <w:i/>
          <w:noProof/>
        </w:rPr>
        <w:t>4. cikk</w:t>
      </w:r>
    </w:p>
    <w:p>
      <w:pPr>
        <w:jc w:val="center"/>
        <w:rPr>
          <w:i/>
          <w:noProof/>
        </w:rPr>
      </w:pPr>
      <w:r>
        <w:rPr>
          <w:i/>
          <w:noProof/>
        </w:rPr>
        <w:t>Feldolgozott mezőgazdasági termékek</w:t>
      </w:r>
    </w:p>
    <w:p>
      <w:pPr>
        <w:rPr>
          <w:noProof/>
        </w:rPr>
      </w:pPr>
      <w:r>
        <w:rPr>
          <w:noProof/>
        </w:rPr>
        <w:t xml:space="preserve">E jegyzőkönyv III. melléklete az 1. jegyzőkönyv III. mellékleteként kiegészíti az STM szövegét és annak szerves részét képezi. </w:t>
      </w:r>
    </w:p>
    <w:p>
      <w:pPr>
        <w:spacing w:after="0"/>
        <w:jc w:val="center"/>
        <w:rPr>
          <w:i/>
          <w:noProof/>
        </w:rPr>
      </w:pPr>
      <w:r>
        <w:rPr>
          <w:i/>
          <w:noProof/>
        </w:rPr>
        <w:t>5. cikk</w:t>
      </w:r>
    </w:p>
    <w:p>
      <w:pPr>
        <w:jc w:val="center"/>
        <w:rPr>
          <w:i/>
          <w:noProof/>
        </w:rPr>
      </w:pPr>
      <w:r>
        <w:rPr>
          <w:i/>
          <w:noProof/>
        </w:rPr>
        <w:t>Borászati megállapodás</w:t>
      </w:r>
    </w:p>
    <w:p>
      <w:pPr>
        <w:rPr>
          <w:noProof/>
        </w:rPr>
      </w:pPr>
      <w:r>
        <w:rPr>
          <w:noProof/>
        </w:rPr>
        <w:t>A Horvátország Európai Unióhoz történő csatlakozásának figyelembevétele céljából készült jegyzőkönyv hatálybalépésének napjától, vagy e jegyzőkönyv ideiglenes alkalmazása esetén az ideiglenes alkalmazás megkezdésének időpontjától az STM – annak 27. cikke (5) bekezdésében említett – 7. jegyzőkönyvének I. melléklete az e jegyzőkönyv IV. mellékletében foglaltak szerint módosul.</w:t>
      </w:r>
    </w:p>
    <w:p>
      <w:pPr>
        <w:rPr>
          <w:noProof/>
        </w:rPr>
      </w:pPr>
    </w:p>
    <w:p>
      <w:pPr>
        <w:pStyle w:val="SectionTitle"/>
        <w:spacing w:after="240"/>
        <w:rPr>
          <w:noProof/>
        </w:rPr>
      </w:pPr>
      <w:r>
        <w:rPr>
          <w:noProof/>
        </w:rPr>
        <w:t>III. szakasz</w:t>
      </w:r>
      <w:r>
        <w:rPr>
          <w:noProof/>
        </w:rPr>
        <w:br/>
      </w:r>
      <w:r>
        <w:rPr>
          <w:noProof/>
        </w:rPr>
        <w:br/>
      </w:r>
      <w:r>
        <w:rPr>
          <w:noProof/>
          <w:sz w:val="24"/>
        </w:rPr>
        <w:t>ÁLTALÁNOS ÉS ZÁRÓ RENDELKEZÉSEK</w:t>
      </w:r>
      <w:r>
        <w:rPr>
          <w:noProof/>
          <w:sz w:val="24"/>
          <w:szCs w:val="24"/>
        </w:rPr>
        <w:br/>
      </w:r>
    </w:p>
    <w:p>
      <w:pPr>
        <w:pStyle w:val="Default"/>
        <w:jc w:val="center"/>
        <w:rPr>
          <w:b/>
          <w:noProof/>
          <w:color w:val="auto"/>
        </w:rPr>
      </w:pPr>
      <w:r>
        <w:rPr>
          <w:i/>
          <w:noProof/>
          <w:color w:val="auto"/>
        </w:rPr>
        <w:t>6. cikk</w:t>
      </w:r>
    </w:p>
    <w:p>
      <w:pPr>
        <w:rPr>
          <w:noProof/>
        </w:rPr>
      </w:pPr>
      <w:r>
        <w:rPr>
          <w:noProof/>
        </w:rPr>
        <w:t>Ez a jegyzőkönyv a hozzá csatolt mellékletekkel együtt az STM szerves részét képezi.</w:t>
      </w:r>
      <w:r>
        <w:rPr>
          <w:noProof/>
        </w:rPr>
        <w:br/>
      </w:r>
    </w:p>
    <w:p>
      <w:pPr>
        <w:jc w:val="center"/>
        <w:rPr>
          <w:i/>
          <w:noProof/>
        </w:rPr>
      </w:pPr>
      <w:r>
        <w:rPr>
          <w:i/>
          <w:noProof/>
        </w:rPr>
        <w:t>7. cikk</w:t>
      </w:r>
    </w:p>
    <w:p>
      <w:pPr>
        <w:rPr>
          <w:noProof/>
        </w:rPr>
      </w:pPr>
      <w:r>
        <w:rPr>
          <w:noProof/>
        </w:rPr>
        <w:t xml:space="preserve">(1) Ezt a jegyzőkönyvet az Európai Unió és tagállamai, valamint Bosznia-Hercegovina saját eljárásaiknak megfelelően jóváhagyják. </w:t>
      </w:r>
    </w:p>
    <w:p>
      <w:pPr>
        <w:rPr>
          <w:noProof/>
        </w:rPr>
      </w:pPr>
      <w:r>
        <w:rPr>
          <w:noProof/>
        </w:rPr>
        <w:t>(2) A Felek értesítik egymást az (1) bekezdésben említett megfelelő eljárások lezárásáról. A jóváhagyó okiratokat az Európai Unió Tanácsának Főtitkárságán helyezik letétbe.</w:t>
      </w:r>
    </w:p>
    <w:p>
      <w:pPr>
        <w:rPr>
          <w:noProof/>
        </w:rPr>
      </w:pPr>
    </w:p>
    <w:p>
      <w:pPr>
        <w:jc w:val="center"/>
        <w:rPr>
          <w:i/>
          <w:noProof/>
        </w:rPr>
      </w:pPr>
      <w:r>
        <w:rPr>
          <w:i/>
          <w:noProof/>
        </w:rPr>
        <w:t>8. cikk</w:t>
      </w:r>
    </w:p>
    <w:p>
      <w:pPr>
        <w:rPr>
          <w:noProof/>
        </w:rPr>
      </w:pPr>
      <w:r>
        <w:rPr>
          <w:noProof/>
        </w:rPr>
        <w:lastRenderedPageBreak/>
        <w:t>(1) Ez a jegyzőkönyv az utolsó jóváhagyó okirat letétbe helyezésének napját követő első hónap első napján lép hatályba.</w:t>
      </w:r>
    </w:p>
    <w:p>
      <w:pPr>
        <w:rPr>
          <w:noProof/>
        </w:rPr>
      </w:pPr>
      <w:r>
        <w:rPr>
          <w:noProof/>
        </w:rPr>
        <w:t xml:space="preserve">(2) Amennyiben e jegyzőkönyv nem minden jóváhagyó okiratát helyezik letétbe az aláírást követő második hónap első napja előtt, e jegyzőkönyvet ideiglenesen alkalmazni kell. Az ideiglenes alkalmazás időpontja az aláírás napját követő második hónap első napja. </w:t>
      </w:r>
    </w:p>
    <w:p>
      <w:pPr>
        <w:rPr>
          <w:noProof/>
        </w:rPr>
      </w:pPr>
    </w:p>
    <w:p>
      <w:pPr>
        <w:jc w:val="center"/>
        <w:rPr>
          <w:i/>
          <w:noProof/>
        </w:rPr>
      </w:pPr>
      <w:r>
        <w:rPr>
          <w:i/>
          <w:noProof/>
        </w:rPr>
        <w:t>9. cikk</w:t>
      </w:r>
    </w:p>
    <w:p>
      <w:pPr>
        <w:rPr>
          <w:noProof/>
        </w:rPr>
      </w:pPr>
      <w:r>
        <w:rPr>
          <w:noProof/>
        </w:rPr>
        <w:t>Ez a jegyzőkönyv két-két eredeti példányban készült angol, bolgár, cseh, dán, észt, finn, francia, görög, holland, horvát, ír, lengyel, lett, litván, magyar, máltai, német, olasz, portugál, román, spanyol, svéd, szlovák, szlovén, valamint bosnyák és szerb nyelven; a szövegek mindegyike egyaránt hiteles.</w:t>
      </w:r>
    </w:p>
    <w:p>
      <w:pPr>
        <w:rPr>
          <w:noProof/>
        </w:rPr>
      </w:pPr>
      <w:r>
        <w:rPr>
          <w:noProof/>
        </w:rPr>
        <w:br w:type="page"/>
      </w:r>
    </w:p>
    <w:p>
      <w:pPr>
        <w:rPr>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i/>
          <w:noProof/>
        </w:rPr>
      </w:pPr>
    </w:p>
    <w:p>
      <w:pPr>
        <w:spacing w:before="0" w:after="240"/>
        <w:jc w:val="center"/>
        <w:rPr>
          <w:b/>
          <w:noProof/>
          <w:szCs w:val="24"/>
        </w:rPr>
      </w:pPr>
      <w:r>
        <w:rPr>
          <w:b/>
          <w:noProof/>
        </w:rPr>
        <w:t>MELLÉKLETEK</w:t>
      </w:r>
    </w:p>
    <w:p>
      <w:pPr>
        <w:rPr>
          <w:noProof/>
        </w:rPr>
      </w:pPr>
      <w:r>
        <w:rPr>
          <w:noProof/>
        </w:rPr>
        <w:br w:type="page"/>
      </w:r>
    </w:p>
    <w:p>
      <w:pPr>
        <w:spacing w:after="0"/>
        <w:ind w:left="180"/>
        <w:jc w:val="right"/>
        <w:rPr>
          <w:rStyle w:val="Corpsdutexte9"/>
          <w:rFonts w:eastAsiaTheme="minorHAnsi"/>
          <w:b/>
          <w:noProof/>
          <w:sz w:val="20"/>
        </w:rPr>
      </w:pPr>
      <w:r>
        <w:rPr>
          <w:rStyle w:val="Corpsdutexte9"/>
          <w:rFonts w:eastAsiaTheme="minorHAnsi"/>
          <w:b/>
          <w:noProof/>
          <w:sz w:val="20"/>
        </w:rPr>
        <w:lastRenderedPageBreak/>
        <w:t>I. MELLÉKLET</w:t>
      </w:r>
      <w:r>
        <w:rPr>
          <w:rStyle w:val="Corpsdutexte9"/>
          <w:rFonts w:eastAsiaTheme="minorHAnsi"/>
          <w:b/>
          <w:noProof/>
          <w:sz w:val="20"/>
        </w:rPr>
        <w:br/>
      </w:r>
      <w:r>
        <w:rPr>
          <w:rStyle w:val="Corpsdutexte9"/>
          <w:rFonts w:eastAsiaTheme="minorHAnsi"/>
          <w:b/>
          <w:noProof/>
          <w:sz w:val="20"/>
        </w:rPr>
        <w:br/>
      </w:r>
    </w:p>
    <w:p>
      <w:pPr>
        <w:spacing w:after="0"/>
        <w:ind w:left="180"/>
        <w:jc w:val="center"/>
        <w:rPr>
          <w:rStyle w:val="Corpsdutexte9"/>
          <w:rFonts w:eastAsiaTheme="minorHAnsi"/>
          <w:b/>
          <w:noProof/>
          <w:sz w:val="20"/>
        </w:rPr>
      </w:pPr>
    </w:p>
    <w:p>
      <w:pPr>
        <w:spacing w:after="0"/>
        <w:ind w:left="180"/>
        <w:jc w:val="center"/>
        <w:rPr>
          <w:rStyle w:val="Corpsdutexte9"/>
          <w:rFonts w:eastAsiaTheme="minorHAnsi"/>
          <w:i/>
          <w:noProof/>
          <w:sz w:val="20"/>
        </w:rPr>
      </w:pPr>
      <w:r>
        <w:rPr>
          <w:rStyle w:val="Corpsdutexte9"/>
          <w:rFonts w:eastAsiaTheme="minorHAnsi"/>
          <w:i/>
          <w:noProof/>
          <w:sz w:val="20"/>
        </w:rPr>
        <w:t>„IIIf. MELLÉKLET</w:t>
      </w:r>
    </w:p>
    <w:p>
      <w:pPr>
        <w:spacing w:after="0"/>
        <w:ind w:left="180"/>
        <w:jc w:val="center"/>
        <w:rPr>
          <w:noProof/>
          <w:sz w:val="20"/>
        </w:rPr>
      </w:pPr>
    </w:p>
    <w:p>
      <w:pPr>
        <w:spacing w:after="0"/>
        <w:ind w:left="180"/>
        <w:jc w:val="center"/>
        <w:rPr>
          <w:rStyle w:val="Corpsdutexte4"/>
          <w:rFonts w:eastAsiaTheme="minorHAnsi"/>
          <w:b/>
          <w:noProof/>
          <w:sz w:val="20"/>
        </w:rPr>
      </w:pPr>
      <w:r>
        <w:rPr>
          <w:rStyle w:val="Corpsdutexte4"/>
          <w:rFonts w:eastAsiaTheme="minorHAnsi"/>
          <w:b/>
          <w:noProof/>
          <w:sz w:val="20"/>
        </w:rPr>
        <w:t>AZ EURÓPAI UNIÓBÓL SZÁRMAZÓ ELSŐDLEGES MEZŐGAZDASÁGI TERMÉKEKRE VONATKOZÓ BOSZNIA ÉS HERCEGOVINA-I VÁMENGEDMÉNYEK</w:t>
      </w:r>
    </w:p>
    <w:p>
      <w:pPr>
        <w:spacing w:after="0"/>
        <w:ind w:left="180"/>
        <w:jc w:val="center"/>
        <w:rPr>
          <w:b/>
          <w:noProof/>
          <w:sz w:val="20"/>
        </w:rPr>
      </w:pPr>
    </w:p>
    <w:p>
      <w:pPr>
        <w:spacing w:after="0"/>
        <w:ind w:left="180"/>
        <w:jc w:val="center"/>
        <w:rPr>
          <w:rStyle w:val="Corpsdutexte4"/>
          <w:rFonts w:eastAsiaTheme="minorHAnsi"/>
          <w:b/>
          <w:noProof/>
          <w:sz w:val="20"/>
        </w:rPr>
      </w:pPr>
      <w:r>
        <w:rPr>
          <w:rStyle w:val="Corpsdutexte4"/>
          <w:rFonts w:eastAsiaTheme="minorHAnsi"/>
          <w:b/>
          <w:noProof/>
          <w:sz w:val="20"/>
        </w:rPr>
        <w:t>(Az STM 27 cikke (4) bekezdésének a) pontjában említettek szerint)</w:t>
      </w:r>
    </w:p>
    <w:p>
      <w:pPr>
        <w:spacing w:after="0"/>
        <w:ind w:left="180"/>
        <w:rPr>
          <w:rStyle w:val="Corpsdutexte4"/>
          <w:rFonts w:eastAsiaTheme="minorHAnsi"/>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A Horvátország Európai Unióhoz történő csatlakozásának figyelembevétele céljából készült jegyzőkönyv hatálybalépésének napjától vagy ideiglenes alkalmazásának időpontjától az alább meghatározott vámkontingens-mennyiségek keretén belül eltörlik az alábbi termékekre kivetett vámokat. A vámkontingensen felüli behozatalra az MFN váma legnagyobb kedvezményes  (MFN) vámtétel érvényes. A 2017. évre vonatkozóan – e jegyzőkönyv hatálybalépésének vagy ideiglenes alkalmazásának időpontjától függetlenül – a vámkontingens teljes mennyiségét alkalmazzák.</w:t>
            </w:r>
          </w:p>
        </w:tc>
      </w:tr>
    </w:tbl>
    <w:p>
      <w:pPr>
        <w:spacing w:after="0"/>
        <w:ind w:left="40" w:right="200"/>
        <w:rPr>
          <w:noProof/>
          <w:sz w:val="20"/>
        </w:rPr>
      </w:pPr>
    </w:p>
    <w:tbl>
      <w:tblPr>
        <w:tblW w:w="9039" w:type="dxa"/>
        <w:tblCellSpacing w:w="0" w:type="dxa"/>
        <w:tblInd w:w="9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40"/>
        <w:gridCol w:w="6279"/>
        <w:gridCol w:w="1820"/>
      </w:tblGrid>
      <w:tr>
        <w:trPr>
          <w:trHeight w:val="227"/>
          <w:tblHeader/>
          <w:tblCellSpacing w:w="0" w:type="dxa"/>
        </w:trPr>
        <w:tc>
          <w:tcPr>
            <w:tcW w:w="0" w:type="auto"/>
            <w:tcBorders>
              <w:top w:val="single" w:sz="12" w:space="0" w:color="auto"/>
              <w:left w:val="nil"/>
              <w:bottom w:val="single" w:sz="12" w:space="0" w:color="auto"/>
              <w:right w:val="single" w:sz="12" w:space="0" w:color="auto"/>
            </w:tcBorders>
            <w:shd w:val="clear" w:color="auto" w:fill="C0C0C0"/>
            <w:vAlign w:val="center"/>
          </w:tcPr>
          <w:p>
            <w:pPr>
              <w:spacing w:before="40" w:after="40"/>
              <w:jc w:val="center"/>
              <w:rPr>
                <w:b/>
                <w:bCs/>
                <w:noProof/>
                <w:sz w:val="20"/>
              </w:rPr>
            </w:pPr>
            <w:r>
              <w:rPr>
                <w:b/>
                <w:noProof/>
                <w:sz w:val="20"/>
              </w:rPr>
              <w:t>KN-kód</w:t>
            </w:r>
          </w:p>
        </w:tc>
        <w:tc>
          <w:tcPr>
            <w:tcW w:w="0" w:type="auto"/>
            <w:tcBorders>
              <w:top w:val="single" w:sz="12" w:space="0" w:color="auto"/>
              <w:left w:val="single" w:sz="12" w:space="0" w:color="auto"/>
              <w:bottom w:val="single" w:sz="12" w:space="0" w:color="auto"/>
              <w:right w:val="single" w:sz="12" w:space="0" w:color="auto"/>
            </w:tcBorders>
            <w:shd w:val="clear" w:color="auto" w:fill="C0C0C0"/>
            <w:vAlign w:val="center"/>
          </w:tcPr>
          <w:p>
            <w:pPr>
              <w:spacing w:before="40" w:after="40"/>
              <w:jc w:val="center"/>
              <w:rPr>
                <w:b/>
                <w:bCs/>
                <w:noProof/>
                <w:sz w:val="20"/>
              </w:rPr>
            </w:pPr>
            <w:r>
              <w:rPr>
                <w:b/>
                <w:noProof/>
                <w:sz w:val="20"/>
              </w:rPr>
              <w:t>Árumegnevezés</w:t>
            </w:r>
          </w:p>
        </w:tc>
        <w:tc>
          <w:tcPr>
            <w:tcW w:w="0" w:type="auto"/>
            <w:tcBorders>
              <w:top w:val="single" w:sz="12" w:space="0" w:color="auto"/>
              <w:left w:val="single" w:sz="12" w:space="0" w:color="auto"/>
              <w:bottom w:val="single" w:sz="12" w:space="0" w:color="auto"/>
              <w:right w:val="nil"/>
            </w:tcBorders>
            <w:shd w:val="clear" w:color="auto" w:fill="C0C0C0"/>
          </w:tcPr>
          <w:p>
            <w:pPr>
              <w:spacing w:before="40" w:after="40"/>
              <w:jc w:val="center"/>
              <w:rPr>
                <w:b/>
                <w:bCs/>
                <w:noProof/>
                <w:sz w:val="20"/>
              </w:rPr>
            </w:pPr>
            <w:r>
              <w:rPr>
                <w:b/>
                <w:noProof/>
                <w:sz w:val="20"/>
              </w:rPr>
              <w:t>Vámkontingens mértéke (tonna)</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0102</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Élő szarvasmarhafélék:</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Szarvasmarha:</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0102 29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300 kg-ot meghaladó tömegű:</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 Tehén:</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0102 29 61</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 – Vágásra</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1 935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0102 29 91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 Vágásra</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190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0103</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Élő sertés:</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0103 92</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Legalább 50 kg tömegű:</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Háziasított fajták:</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0103 92 11</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Legalább egyszer ellett, legalább 160 kg tömegű kocák</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575</w:t>
            </w: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0103 92 19</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Más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1 755</w:t>
            </w:r>
          </w:p>
        </w:tc>
      </w:tr>
      <w:tr>
        <w:trPr>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0103 92 90</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 Más</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195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0105</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xml:space="preserve">Élő baromfi, a </w:t>
            </w:r>
            <w:r>
              <w:rPr>
                <w:i/>
                <w:noProof/>
                <w:sz w:val="20"/>
              </w:rPr>
              <w:t>Gallus domesticus</w:t>
            </w:r>
            <w:r>
              <w:rPr>
                <w:noProof/>
                <w:sz w:val="20"/>
              </w:rPr>
              <w:t xml:space="preserve"> fajba tartozó szárnyasok, kacsa, liba, pulyka és gyöngytyúk:</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0105 94 00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xml:space="preserve">– – A </w:t>
            </w:r>
            <w:r>
              <w:rPr>
                <w:i/>
                <w:noProof/>
                <w:sz w:val="20"/>
              </w:rPr>
              <w:t>Gallus domesticus</w:t>
            </w:r>
            <w:r>
              <w:rPr>
                <w:noProof/>
                <w:sz w:val="20"/>
              </w:rPr>
              <w:t xml:space="preserve"> fajhoz tartozó szárnyasok</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1 455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0207</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xml:space="preserve">A 0105 vtsz. alá tartozó baromfi élelmezési célra alkalmas húsa, vágási </w:t>
            </w:r>
            <w:r>
              <w:rPr>
                <w:noProof/>
                <w:sz w:val="20"/>
              </w:rPr>
              <w:lastRenderedPageBreak/>
              <w:t>mellékterméke és belsősége frissen, hűtve vagy fagyasztva:</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xml:space="preserve">– A </w:t>
            </w:r>
            <w:r>
              <w:rPr>
                <w:i/>
                <w:noProof/>
                <w:sz w:val="20"/>
              </w:rPr>
              <w:t>Gallus domesticus</w:t>
            </w:r>
            <w:r>
              <w:rPr>
                <w:noProof/>
                <w:sz w:val="20"/>
              </w:rPr>
              <w:t xml:space="preserve"> fajhoz tartozó szárnyasokból: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0207 12</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Nem darabolt, fagyasztva:</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0207 12 90</w:t>
            </w:r>
          </w:p>
        </w:tc>
        <w:tc>
          <w:tcPr>
            <w:tcW w:w="0" w:type="auto"/>
            <w:tcBorders>
              <w:top w:val="nil"/>
              <w:left w:val="single" w:sz="4" w:space="0" w:color="auto"/>
              <w:bottom w:val="nil"/>
              <w:right w:val="single" w:sz="4" w:space="0" w:color="auto"/>
            </w:tcBorders>
            <w:shd w:val="clear" w:color="auto" w:fill="FFFFFF"/>
            <w:hideMark/>
          </w:tcPr>
          <w:p>
            <w:pPr>
              <w:spacing w:before="40" w:after="40"/>
              <w:ind w:left="375" w:hanging="375"/>
              <w:jc w:val="left"/>
              <w:rPr>
                <w:noProof/>
                <w:sz w:val="20"/>
              </w:rPr>
            </w:pPr>
            <w:r>
              <w:rPr>
                <w:noProof/>
                <w:sz w:val="20"/>
              </w:rPr>
              <w:t>– – – Tisztított és bontott, fej, láb, nyak, szív, máj és zúza nélkül, az ún. „65 %-os csirke”, vagy más módon bemutatva</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80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Darabok és vágási melléktermékek, belsőségek frissen vagy hűtve:</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Darabok:</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Csont nélkül</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90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Csonttal: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0207 13 30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Szárny egészben, szárnyvéggel vagy anélkül</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55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0207 13 60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Láb és részei</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320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Vágási melléktermék és belsőség:</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0207 13 99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Más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25</w:t>
            </w:r>
          </w:p>
        </w:tc>
      </w:tr>
      <w:tr>
        <w:trPr>
          <w:tblCellSpacing w:w="0" w:type="dxa"/>
        </w:trPr>
        <w:tc>
          <w:tcPr>
            <w:tcW w:w="0" w:type="auto"/>
            <w:tcBorders>
              <w:top w:val="nil"/>
              <w:left w:val="nil"/>
              <w:bottom w:val="nil"/>
              <w:right w:val="single" w:sz="4" w:space="0" w:color="auto"/>
            </w:tcBorders>
            <w:shd w:val="clear" w:color="auto" w:fill="FFFFFF"/>
            <w:hideMark/>
          </w:tcPr>
          <w:p>
            <w:pPr>
              <w:keepLines/>
              <w:spacing w:before="40" w:after="40"/>
              <w:rPr>
                <w:noProof/>
                <w:sz w:val="20"/>
              </w:rPr>
            </w:pPr>
            <w:r>
              <w:rPr>
                <w:noProof/>
                <w:sz w:val="20"/>
              </w:rPr>
              <w:t>0207 14</w:t>
            </w:r>
          </w:p>
        </w:tc>
        <w:tc>
          <w:tcPr>
            <w:tcW w:w="0" w:type="auto"/>
            <w:tcBorders>
              <w:top w:val="nil"/>
              <w:left w:val="single" w:sz="4" w:space="0" w:color="auto"/>
              <w:bottom w:val="nil"/>
              <w:right w:val="single" w:sz="4" w:space="0" w:color="auto"/>
            </w:tcBorders>
            <w:shd w:val="clear" w:color="auto" w:fill="FFFFFF"/>
            <w:hideMark/>
          </w:tcPr>
          <w:p>
            <w:pPr>
              <w:keepLines/>
              <w:spacing w:before="40" w:after="40"/>
              <w:jc w:val="left"/>
              <w:rPr>
                <w:noProof/>
                <w:sz w:val="20"/>
              </w:rPr>
            </w:pPr>
            <w:r>
              <w:rPr>
                <w:noProof/>
                <w:sz w:val="20"/>
              </w:rPr>
              <w:t>– – Darabok és vágási melléktermékek, belsőségek fagyasztva:</w:t>
            </w:r>
          </w:p>
        </w:tc>
        <w:tc>
          <w:tcPr>
            <w:tcW w:w="0" w:type="auto"/>
            <w:tcBorders>
              <w:top w:val="nil"/>
              <w:left w:val="single" w:sz="4" w:space="0" w:color="auto"/>
              <w:bottom w:val="nil"/>
              <w:right w:val="nil"/>
            </w:tcBorders>
            <w:shd w:val="clear" w:color="auto" w:fill="FFFFFF"/>
          </w:tcPr>
          <w:p>
            <w:pPr>
              <w:keepLines/>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keepLines/>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keepLines/>
              <w:spacing w:before="40" w:after="40"/>
              <w:jc w:val="left"/>
              <w:rPr>
                <w:noProof/>
                <w:sz w:val="20"/>
              </w:rPr>
            </w:pPr>
            <w:r>
              <w:rPr>
                <w:noProof/>
                <w:sz w:val="20"/>
              </w:rPr>
              <w:t>– – – Darabok:</w:t>
            </w:r>
          </w:p>
        </w:tc>
        <w:tc>
          <w:tcPr>
            <w:tcW w:w="0" w:type="auto"/>
            <w:tcBorders>
              <w:top w:val="nil"/>
              <w:left w:val="single" w:sz="4" w:space="0" w:color="auto"/>
              <w:bottom w:val="nil"/>
              <w:right w:val="nil"/>
            </w:tcBorders>
            <w:shd w:val="clear" w:color="auto" w:fill="FFFFFF"/>
          </w:tcPr>
          <w:p>
            <w:pPr>
              <w:keepLines/>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Csonttal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0207 14 20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Felezve vagy negyedelve</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30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0207 14 60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Láb és részei</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130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Vágási melléktermék és belsőség:</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0207 14 99</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Más</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50</w:t>
            </w: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r>
              <w:rPr>
                <w:noProof/>
                <w:sz w:val="20"/>
              </w:rPr>
              <w:t>0401</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Tej és tejszín nem sűrítve, cukor vagy más édesítőanyag hozzáadása nélkül</w:t>
            </w:r>
          </w:p>
        </w:tc>
        <w:tc>
          <w:tcPr>
            <w:tcW w:w="0" w:type="auto"/>
            <w:tcBorders>
              <w:top w:val="nil"/>
              <w:left w:val="single" w:sz="4" w:space="0" w:color="auto"/>
              <w:right w:val="nil"/>
            </w:tcBorders>
            <w:shd w:val="clear" w:color="auto" w:fill="FFFFFF"/>
          </w:tcPr>
          <w:p>
            <w:pPr>
              <w:spacing w:before="40" w:after="40"/>
              <w:jc w:val="right"/>
              <w:rPr>
                <w:noProof/>
                <w:sz w:val="20"/>
              </w:rPr>
            </w:pP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r>
              <w:rPr>
                <w:noProof/>
                <w:sz w:val="20"/>
              </w:rPr>
              <w:t>0401 40</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6 tömegszázalékot meghaladó, de legfeljebb 10 tömegszázalék zsírtartalommal:</w:t>
            </w:r>
          </w:p>
        </w:tc>
        <w:tc>
          <w:tcPr>
            <w:tcW w:w="0" w:type="auto"/>
            <w:tcBorders>
              <w:top w:val="nil"/>
              <w:left w:val="single" w:sz="4" w:space="0" w:color="auto"/>
              <w:right w:val="nil"/>
            </w:tcBorders>
            <w:shd w:val="clear" w:color="auto" w:fill="FFFFFF"/>
          </w:tcPr>
          <w:p>
            <w:pPr>
              <w:spacing w:before="40" w:after="40"/>
              <w:jc w:val="right"/>
              <w:rPr>
                <w:noProof/>
                <w:sz w:val="20"/>
              </w:rPr>
            </w:pP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r>
              <w:rPr>
                <w:noProof/>
                <w:sz w:val="20"/>
              </w:rPr>
              <w:t>0401 40 10</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 Legfeljebb nettó kétliteres kiszerelésben</w:t>
            </w:r>
          </w:p>
        </w:tc>
        <w:tc>
          <w:tcPr>
            <w:tcW w:w="0" w:type="auto"/>
            <w:tcBorders>
              <w:top w:val="nil"/>
              <w:left w:val="single" w:sz="4" w:space="0" w:color="auto"/>
              <w:right w:val="nil"/>
            </w:tcBorders>
            <w:shd w:val="clear" w:color="auto" w:fill="FFFFFF"/>
          </w:tcPr>
          <w:p>
            <w:pPr>
              <w:spacing w:before="40" w:after="40"/>
              <w:jc w:val="right"/>
              <w:rPr>
                <w:noProof/>
                <w:sz w:val="20"/>
              </w:rPr>
            </w:pPr>
            <w:r>
              <w:rPr>
                <w:noProof/>
                <w:sz w:val="20"/>
              </w:rPr>
              <w:t>80</w:t>
            </w: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r>
              <w:rPr>
                <w:noProof/>
                <w:sz w:val="20"/>
              </w:rPr>
              <w:t>0401 50</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10 tömegszázalékot meghaladó zsírtartalommal:</w:t>
            </w:r>
          </w:p>
        </w:tc>
        <w:tc>
          <w:tcPr>
            <w:tcW w:w="0" w:type="auto"/>
            <w:tcBorders>
              <w:top w:val="nil"/>
              <w:left w:val="single" w:sz="4" w:space="0" w:color="auto"/>
              <w:right w:val="nil"/>
            </w:tcBorders>
            <w:shd w:val="clear" w:color="auto" w:fill="FFFFFF"/>
          </w:tcPr>
          <w:p>
            <w:pPr>
              <w:spacing w:before="40" w:after="40"/>
              <w:jc w:val="right"/>
              <w:rPr>
                <w:noProof/>
                <w:sz w:val="20"/>
              </w:rPr>
            </w:pPr>
          </w:p>
        </w:tc>
      </w:tr>
      <w:tr>
        <w:trPr>
          <w:trHeight w:val="283"/>
          <w:tblCellSpacing w:w="0" w:type="dxa"/>
        </w:trPr>
        <w:tc>
          <w:tcPr>
            <w:tcW w:w="0" w:type="auto"/>
            <w:tcBorders>
              <w:top w:val="nil"/>
              <w:left w:val="nil"/>
              <w:right w:val="single" w:sz="4" w:space="0" w:color="auto"/>
            </w:tcBorders>
            <w:shd w:val="clear" w:color="auto" w:fill="FFFFFF"/>
          </w:tcPr>
          <w:p>
            <w:pPr>
              <w:spacing w:before="40" w:after="40"/>
              <w:rPr>
                <w:noProof/>
                <w:sz w:val="20"/>
              </w:rPr>
            </w:pP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 Legfeljebb 21 tömegszázalék zsírtartalommal:</w:t>
            </w:r>
          </w:p>
        </w:tc>
        <w:tc>
          <w:tcPr>
            <w:tcW w:w="0" w:type="auto"/>
            <w:tcBorders>
              <w:top w:val="nil"/>
              <w:left w:val="single" w:sz="4" w:space="0" w:color="auto"/>
              <w:right w:val="nil"/>
            </w:tcBorders>
            <w:shd w:val="clear" w:color="auto" w:fill="FFFFFF"/>
          </w:tcPr>
          <w:p>
            <w:pPr>
              <w:spacing w:before="40" w:after="40"/>
              <w:jc w:val="right"/>
              <w:rPr>
                <w:noProof/>
                <w:sz w:val="20"/>
              </w:rPr>
            </w:pPr>
          </w:p>
        </w:tc>
      </w:tr>
      <w:tr>
        <w:trPr>
          <w:trHeight w:val="283"/>
          <w:tblCellSpacing w:w="0" w:type="dxa"/>
        </w:trPr>
        <w:tc>
          <w:tcPr>
            <w:tcW w:w="0" w:type="auto"/>
            <w:tcBorders>
              <w:top w:val="nil"/>
              <w:left w:val="nil"/>
              <w:bottom w:val="single" w:sz="6" w:space="0" w:color="auto"/>
              <w:right w:val="single" w:sz="4" w:space="0" w:color="auto"/>
            </w:tcBorders>
            <w:shd w:val="clear" w:color="auto" w:fill="FFFFFF"/>
          </w:tcPr>
          <w:p>
            <w:pPr>
              <w:spacing w:before="40" w:after="40"/>
              <w:rPr>
                <w:noProof/>
                <w:sz w:val="20"/>
              </w:rPr>
            </w:pPr>
            <w:r>
              <w:rPr>
                <w:noProof/>
                <w:sz w:val="20"/>
              </w:rPr>
              <w:t>0401 50 11</w:t>
            </w:r>
          </w:p>
        </w:tc>
        <w:tc>
          <w:tcPr>
            <w:tcW w:w="0" w:type="auto"/>
            <w:tcBorders>
              <w:top w:val="nil"/>
              <w:left w:val="single" w:sz="4" w:space="0" w:color="auto"/>
              <w:bottom w:val="single" w:sz="6" w:space="0" w:color="auto"/>
              <w:right w:val="single" w:sz="4" w:space="0" w:color="auto"/>
            </w:tcBorders>
            <w:shd w:val="clear" w:color="auto" w:fill="FFFFFF"/>
          </w:tcPr>
          <w:p>
            <w:pPr>
              <w:spacing w:before="40" w:after="40"/>
              <w:jc w:val="left"/>
              <w:rPr>
                <w:noProof/>
                <w:sz w:val="20"/>
              </w:rPr>
            </w:pPr>
            <w:r>
              <w:rPr>
                <w:noProof/>
                <w:sz w:val="20"/>
              </w:rPr>
              <w:t>– – – Legfeljebb nettó kétliteres kiszerelésben</w:t>
            </w:r>
          </w:p>
        </w:tc>
        <w:tc>
          <w:tcPr>
            <w:tcW w:w="0" w:type="auto"/>
            <w:tcBorders>
              <w:top w:val="nil"/>
              <w:left w:val="single" w:sz="4" w:space="0" w:color="auto"/>
              <w:bottom w:val="single" w:sz="6" w:space="0" w:color="auto"/>
              <w:right w:val="nil"/>
            </w:tcBorders>
            <w:shd w:val="clear" w:color="auto" w:fill="FFFFFF"/>
          </w:tcPr>
          <w:p>
            <w:pPr>
              <w:spacing w:before="40" w:after="40"/>
              <w:jc w:val="right"/>
              <w:rPr>
                <w:noProof/>
                <w:sz w:val="20"/>
              </w:rPr>
            </w:pPr>
            <w:r>
              <w:rPr>
                <w:noProof/>
                <w:sz w:val="20"/>
              </w:rPr>
              <w:t>30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0402</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Tej és tejszín sűrítve vagy cukor vagy más édesítőanyag hozzáadásával: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ind w:left="91" w:hanging="91"/>
              <w:jc w:val="left"/>
              <w:rPr>
                <w:noProof/>
                <w:sz w:val="20"/>
              </w:rPr>
            </w:pPr>
            <w:r>
              <w:rPr>
                <w:noProof/>
                <w:sz w:val="20"/>
              </w:rPr>
              <w:t>– Por, granulátum vagy más szilárd alakban, 1,5 tömegszázalékot meghaladó zsírtartalommal: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0402 21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Cukor vagy más édesítőanyag hozzáadása nélkül: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Legfeljebb 27 tömegszázalék zsírtartalommal: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12" w:space="0" w:color="auto"/>
              <w:right w:val="single" w:sz="4" w:space="0" w:color="auto"/>
            </w:tcBorders>
            <w:shd w:val="clear" w:color="auto" w:fill="FFFFFF"/>
            <w:hideMark/>
          </w:tcPr>
          <w:p>
            <w:pPr>
              <w:spacing w:before="40" w:after="40"/>
              <w:rPr>
                <w:noProof/>
                <w:sz w:val="20"/>
              </w:rPr>
            </w:pPr>
            <w:r>
              <w:rPr>
                <w:noProof/>
                <w:sz w:val="20"/>
              </w:rPr>
              <w:t>0402 21 18</w:t>
            </w:r>
          </w:p>
        </w:tc>
        <w:tc>
          <w:tcPr>
            <w:tcW w:w="0" w:type="auto"/>
            <w:tcBorders>
              <w:top w:val="nil"/>
              <w:left w:val="single" w:sz="4" w:space="0" w:color="auto"/>
              <w:bottom w:val="single" w:sz="12" w:space="0" w:color="auto"/>
              <w:right w:val="single" w:sz="4" w:space="0" w:color="auto"/>
            </w:tcBorders>
            <w:shd w:val="clear" w:color="auto" w:fill="FFFFFF"/>
            <w:hideMark/>
          </w:tcPr>
          <w:p>
            <w:pPr>
              <w:spacing w:before="40" w:after="40"/>
              <w:jc w:val="left"/>
              <w:rPr>
                <w:noProof/>
                <w:sz w:val="20"/>
              </w:rPr>
            </w:pPr>
            <w:r>
              <w:rPr>
                <w:noProof/>
                <w:sz w:val="20"/>
              </w:rPr>
              <w:t>– – – – Más</w:t>
            </w:r>
          </w:p>
        </w:tc>
        <w:tc>
          <w:tcPr>
            <w:tcW w:w="0" w:type="auto"/>
            <w:tcBorders>
              <w:top w:val="nil"/>
              <w:left w:val="single" w:sz="4" w:space="0" w:color="auto"/>
              <w:bottom w:val="single" w:sz="12" w:space="0" w:color="auto"/>
              <w:right w:val="nil"/>
            </w:tcBorders>
            <w:shd w:val="clear" w:color="auto" w:fill="FFFFFF"/>
          </w:tcPr>
          <w:p>
            <w:pPr>
              <w:spacing w:before="40" w:after="40"/>
              <w:jc w:val="right"/>
              <w:rPr>
                <w:noProof/>
                <w:sz w:val="20"/>
              </w:rPr>
            </w:pPr>
            <w:r>
              <w:rPr>
                <w:noProof/>
                <w:sz w:val="20"/>
              </w:rPr>
              <w:t>25</w:t>
            </w: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r>
              <w:rPr>
                <w:noProof/>
                <w:sz w:val="20"/>
              </w:rPr>
              <w:t>0403</w:t>
            </w: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Író, aludttej és tejföl, joghurt, kefir és más erjesztett vagy savanyított tej és tejföl sűrítve vagy cukrozva vagy más édesítőanyag hozzáadásával vagy ízesítve vagy gyümölcs, diófélék vagy kakaó hozzáadásával is:</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r>
              <w:rPr>
                <w:noProof/>
                <w:sz w:val="20"/>
              </w:rPr>
              <w:t>0403 90</w:t>
            </w: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Más:</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 Ízesítés, gyümölcs, diófélék vagy kakaó hozzáadása nélkül:</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 – Más:</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p>
        </w:tc>
        <w:tc>
          <w:tcPr>
            <w:tcW w:w="0" w:type="auto"/>
            <w:tcBorders>
              <w:top w:val="nil"/>
              <w:left w:val="single" w:sz="4" w:space="0" w:color="auto"/>
              <w:right w:val="single" w:sz="4" w:space="0" w:color="auto"/>
            </w:tcBorders>
            <w:shd w:val="clear" w:color="auto" w:fill="FFFFFF"/>
          </w:tcPr>
          <w:p>
            <w:pPr>
              <w:keepLines/>
              <w:spacing w:before="40" w:after="40"/>
              <w:ind w:left="419" w:hanging="419"/>
              <w:jc w:val="left"/>
              <w:rPr>
                <w:noProof/>
                <w:sz w:val="20"/>
              </w:rPr>
            </w:pPr>
            <w:r>
              <w:rPr>
                <w:noProof/>
                <w:sz w:val="20"/>
              </w:rPr>
              <w:t>– – – – Cukor vagy más édesítőanyag hozzáadása nélkül, zsírtartalma:</w:t>
            </w:r>
          </w:p>
        </w:tc>
        <w:tc>
          <w:tcPr>
            <w:tcW w:w="0" w:type="auto"/>
            <w:tcBorders>
              <w:top w:val="nil"/>
              <w:left w:val="single" w:sz="4" w:space="0" w:color="auto"/>
              <w:right w:val="nil"/>
            </w:tcBorders>
            <w:shd w:val="clear" w:color="auto" w:fill="FFFFFF"/>
          </w:tcPr>
          <w:p>
            <w:pPr>
              <w:keepLines/>
              <w:spacing w:before="40" w:after="40"/>
              <w:jc w:val="right"/>
              <w:rPr>
                <w:noProof/>
                <w:sz w:val="20"/>
              </w:rPr>
            </w:pPr>
          </w:p>
        </w:tc>
      </w:tr>
      <w:tr>
        <w:trPr>
          <w:trHeight w:val="283"/>
          <w:tblCellSpacing w:w="0" w:type="dxa"/>
        </w:trPr>
        <w:tc>
          <w:tcPr>
            <w:tcW w:w="0" w:type="auto"/>
            <w:tcBorders>
              <w:left w:val="nil"/>
              <w:right w:val="single" w:sz="4" w:space="0" w:color="auto"/>
            </w:tcBorders>
            <w:shd w:val="clear" w:color="auto" w:fill="FFFFFF"/>
          </w:tcPr>
          <w:p>
            <w:pPr>
              <w:keepLines/>
              <w:spacing w:before="40" w:after="40"/>
              <w:rPr>
                <w:noProof/>
                <w:sz w:val="20"/>
              </w:rPr>
            </w:pPr>
            <w:r>
              <w:rPr>
                <w:noProof/>
                <w:sz w:val="20"/>
              </w:rPr>
              <w:t>0403 90 51</w:t>
            </w:r>
          </w:p>
        </w:tc>
        <w:tc>
          <w:tcPr>
            <w:tcW w:w="0" w:type="auto"/>
            <w:tcBorders>
              <w:top w:val="nil"/>
              <w:left w:val="single" w:sz="4" w:space="0" w:color="auto"/>
              <w:right w:val="single" w:sz="4" w:space="0" w:color="auto"/>
            </w:tcBorders>
            <w:shd w:val="clear" w:color="auto" w:fill="FFFFFF"/>
          </w:tcPr>
          <w:p>
            <w:pPr>
              <w:keepLines/>
              <w:spacing w:before="40" w:after="40"/>
              <w:jc w:val="left"/>
              <w:rPr>
                <w:noProof/>
                <w:sz w:val="20"/>
              </w:rPr>
            </w:pPr>
            <w:r>
              <w:rPr>
                <w:noProof/>
                <w:sz w:val="20"/>
              </w:rPr>
              <w:t>– – – – – Legfeljebb 3 tömegszázalék</w:t>
            </w:r>
          </w:p>
        </w:tc>
        <w:tc>
          <w:tcPr>
            <w:tcW w:w="0" w:type="auto"/>
            <w:tcBorders>
              <w:top w:val="nil"/>
              <w:left w:val="single" w:sz="4" w:space="0" w:color="auto"/>
              <w:right w:val="nil"/>
            </w:tcBorders>
            <w:shd w:val="clear" w:color="auto" w:fill="FFFFFF"/>
          </w:tcPr>
          <w:p>
            <w:pPr>
              <w:keepLines/>
              <w:spacing w:before="40" w:after="40"/>
              <w:jc w:val="right"/>
              <w:rPr>
                <w:noProof/>
                <w:sz w:val="20"/>
              </w:rPr>
            </w:pPr>
            <w:r>
              <w:rPr>
                <w:noProof/>
                <w:sz w:val="20"/>
              </w:rPr>
              <w:t>500</w:t>
            </w:r>
          </w:p>
        </w:tc>
      </w:tr>
      <w:tr>
        <w:trPr>
          <w:trHeight w:val="283"/>
          <w:tblCellSpacing w:w="0" w:type="dxa"/>
        </w:trPr>
        <w:tc>
          <w:tcPr>
            <w:tcW w:w="0" w:type="auto"/>
            <w:tcBorders>
              <w:left w:val="nil"/>
              <w:right w:val="single" w:sz="4" w:space="0" w:color="auto"/>
            </w:tcBorders>
            <w:shd w:val="clear" w:color="auto" w:fill="FFFFFF"/>
          </w:tcPr>
          <w:p>
            <w:pPr>
              <w:spacing w:before="40" w:after="40"/>
              <w:rPr>
                <w:noProof/>
                <w:sz w:val="20"/>
              </w:rPr>
            </w:pPr>
            <w:r>
              <w:rPr>
                <w:noProof/>
                <w:sz w:val="20"/>
              </w:rPr>
              <w:t>0403 90 53</w:t>
            </w:r>
          </w:p>
        </w:tc>
        <w:tc>
          <w:tcPr>
            <w:tcW w:w="0" w:type="auto"/>
            <w:tcBorders>
              <w:top w:val="nil"/>
              <w:left w:val="single" w:sz="4" w:space="0" w:color="auto"/>
              <w:right w:val="single" w:sz="4" w:space="0" w:color="auto"/>
            </w:tcBorders>
            <w:shd w:val="clear" w:color="auto" w:fill="FFFFFF"/>
          </w:tcPr>
          <w:p>
            <w:pPr>
              <w:spacing w:before="40" w:after="40"/>
              <w:jc w:val="left"/>
              <w:rPr>
                <w:noProof/>
                <w:sz w:val="20"/>
              </w:rPr>
            </w:pPr>
            <w:r>
              <w:rPr>
                <w:noProof/>
                <w:sz w:val="20"/>
              </w:rPr>
              <w:t>– – – – – 3 tömegszázalékot meghaladó, de legfeljebb 6 tömegszázalék</w:t>
            </w:r>
          </w:p>
        </w:tc>
        <w:tc>
          <w:tcPr>
            <w:tcW w:w="0" w:type="auto"/>
            <w:tcBorders>
              <w:top w:val="nil"/>
              <w:left w:val="single" w:sz="4" w:space="0" w:color="auto"/>
              <w:right w:val="nil"/>
            </w:tcBorders>
            <w:shd w:val="clear" w:color="auto" w:fill="FFFFFF"/>
          </w:tcPr>
          <w:p>
            <w:pPr>
              <w:spacing w:before="40" w:after="40"/>
              <w:jc w:val="right"/>
              <w:rPr>
                <w:noProof/>
                <w:sz w:val="20"/>
              </w:rPr>
            </w:pPr>
            <w:r>
              <w:rPr>
                <w:noProof/>
                <w:sz w:val="20"/>
              </w:rPr>
              <w:t>290</w:t>
            </w:r>
          </w:p>
        </w:tc>
      </w:tr>
      <w:tr>
        <w:trPr>
          <w:tblCellSpacing w:w="0" w:type="dxa"/>
        </w:trPr>
        <w:tc>
          <w:tcPr>
            <w:tcW w:w="0" w:type="auto"/>
            <w:tcBorders>
              <w:top w:val="single" w:sz="12" w:space="0" w:color="auto"/>
              <w:left w:val="nil"/>
              <w:bottom w:val="nil"/>
              <w:right w:val="single" w:sz="4" w:space="0" w:color="auto"/>
            </w:tcBorders>
            <w:shd w:val="clear" w:color="auto" w:fill="FFFFFF"/>
            <w:hideMark/>
          </w:tcPr>
          <w:p>
            <w:pPr>
              <w:spacing w:before="40" w:after="40"/>
              <w:rPr>
                <w:noProof/>
                <w:sz w:val="20"/>
              </w:rPr>
            </w:pPr>
            <w:r>
              <w:rPr>
                <w:noProof/>
                <w:sz w:val="20"/>
              </w:rPr>
              <w:t>0405</w:t>
            </w:r>
          </w:p>
        </w:tc>
        <w:tc>
          <w:tcPr>
            <w:tcW w:w="0" w:type="auto"/>
            <w:tcBorders>
              <w:top w:val="single" w:sz="12"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Vaj és tejből nyert más zsír és olaj; kenhető tejkészítmények (vajkrém):</w:t>
            </w:r>
          </w:p>
        </w:tc>
        <w:tc>
          <w:tcPr>
            <w:tcW w:w="0" w:type="auto"/>
            <w:tcBorders>
              <w:top w:val="single" w:sz="12"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0405 10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Vaj:</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Legfeljebb 85 tömegszázalék zsírtartalommal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Természetes vaj</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0405 10 11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Legfeljebb 1 kg nettó tömegű kiszerelésben</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160</w:t>
            </w: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0405 10 19</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Más</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200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0406</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Sajt és túró:</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0406 10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Friss (érleletlen vagy különlegesen nem kezelt) sajt, beleértve a savósajtot is és túró</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Legfeljebb 27 tömegszázalék zsírtartalommal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single" w:sz="4" w:space="0" w:color="auto"/>
              <w:left w:val="nil"/>
              <w:bottom w:val="nil"/>
              <w:right w:val="single" w:sz="4" w:space="0" w:color="auto"/>
            </w:tcBorders>
            <w:shd w:val="clear" w:color="auto" w:fill="FFFFFF"/>
          </w:tcPr>
          <w:p>
            <w:pPr>
              <w:spacing w:before="40" w:after="40"/>
              <w:rPr>
                <w:noProof/>
                <w:sz w:val="20"/>
              </w:rPr>
            </w:pPr>
            <w:r>
              <w:rPr>
                <w:noProof/>
                <w:sz w:val="20"/>
              </w:rPr>
              <w:t>0406 10 30</w:t>
            </w:r>
          </w:p>
        </w:tc>
        <w:tc>
          <w:tcPr>
            <w:tcW w:w="0" w:type="auto"/>
            <w:tcBorders>
              <w:top w:val="single" w:sz="4" w:space="0" w:color="auto"/>
              <w:left w:val="single" w:sz="4" w:space="0" w:color="auto"/>
              <w:bottom w:val="nil"/>
              <w:right w:val="single" w:sz="4" w:space="0" w:color="auto"/>
            </w:tcBorders>
            <w:shd w:val="clear" w:color="auto" w:fill="FFFFFF"/>
          </w:tcPr>
          <w:p>
            <w:pPr>
              <w:spacing w:before="40" w:after="40"/>
              <w:jc w:val="left"/>
              <w:rPr>
                <w:noProof/>
                <w:sz w:val="20"/>
              </w:rPr>
            </w:pPr>
            <w:r>
              <w:rPr>
                <w:noProof/>
                <w:sz w:val="20"/>
              </w:rPr>
              <w:t>– – – Mozzarella, folyadékban is</w:t>
            </w:r>
          </w:p>
        </w:tc>
        <w:tc>
          <w:tcPr>
            <w:tcW w:w="0" w:type="auto"/>
            <w:vMerge w:val="restart"/>
            <w:tcBorders>
              <w:top w:val="single" w:sz="4" w:space="0" w:color="auto"/>
              <w:left w:val="single" w:sz="4" w:space="0" w:color="auto"/>
              <w:bottom w:val="nil"/>
              <w:right w:val="nil"/>
            </w:tcBorders>
            <w:shd w:val="clear" w:color="auto" w:fill="FFFFFF"/>
            <w:vAlign w:val="center"/>
          </w:tcPr>
          <w:p>
            <w:pPr>
              <w:spacing w:before="40" w:after="40"/>
              <w:jc w:val="right"/>
              <w:rPr>
                <w:noProof/>
                <w:sz w:val="20"/>
              </w:rPr>
            </w:pPr>
            <w:r>
              <w:rPr>
                <w:noProof/>
                <w:sz w:val="20"/>
              </w:rPr>
              <w:t>355</w:t>
            </w:r>
          </w:p>
        </w:tc>
      </w:tr>
      <w:tr>
        <w:trPr>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0406 10 50</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 Más:</w:t>
            </w:r>
          </w:p>
        </w:tc>
        <w:tc>
          <w:tcPr>
            <w:tcW w:w="0" w:type="auto"/>
            <w:vMerge/>
            <w:tcBorders>
              <w:top w:val="single" w:sz="4" w:space="0" w:color="auto"/>
              <w:left w:val="single" w:sz="4" w:space="0" w:color="auto"/>
              <w:bottom w:val="single" w:sz="4" w:space="0" w:color="auto"/>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0406 10 80</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Más</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165</w:t>
            </w:r>
          </w:p>
        </w:tc>
      </w:tr>
      <w:tr>
        <w:trPr>
          <w:tblCellSpacing w:w="0" w:type="dxa"/>
        </w:trPr>
        <w:tc>
          <w:tcPr>
            <w:tcW w:w="0" w:type="auto"/>
            <w:tcBorders>
              <w:top w:val="single" w:sz="4" w:space="0" w:color="auto"/>
              <w:left w:val="nil"/>
              <w:bottom w:val="single" w:sz="4" w:space="0" w:color="auto"/>
              <w:right w:val="single" w:sz="4" w:space="0" w:color="auto"/>
            </w:tcBorders>
            <w:shd w:val="clear" w:color="auto" w:fill="FFFFFF"/>
            <w:hideMark/>
          </w:tcPr>
          <w:p>
            <w:pPr>
              <w:spacing w:before="40" w:after="40"/>
              <w:rPr>
                <w:noProof/>
                <w:sz w:val="20"/>
              </w:rPr>
            </w:pPr>
            <w:r>
              <w:rPr>
                <w:noProof/>
                <w:sz w:val="20"/>
              </w:rPr>
              <w:t>0409 00 00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Természetes méz</w:t>
            </w:r>
          </w:p>
        </w:tc>
        <w:tc>
          <w:tcPr>
            <w:tcW w:w="0" w:type="auto"/>
            <w:tcBorders>
              <w:top w:val="single" w:sz="4" w:space="0" w:color="auto"/>
              <w:left w:val="single" w:sz="4" w:space="0" w:color="auto"/>
              <w:bottom w:val="single" w:sz="4" w:space="0" w:color="auto"/>
              <w:right w:val="nil"/>
            </w:tcBorders>
            <w:shd w:val="clear" w:color="auto" w:fill="FFFFFF"/>
          </w:tcPr>
          <w:p>
            <w:pPr>
              <w:spacing w:before="40" w:after="40"/>
              <w:jc w:val="right"/>
              <w:rPr>
                <w:noProof/>
                <w:sz w:val="20"/>
              </w:rPr>
            </w:pPr>
            <w:r>
              <w:rPr>
                <w:noProof/>
                <w:sz w:val="20"/>
              </w:rPr>
              <w:t>165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0701</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Burgonya frissen vagy hűtve:</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0701 90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0701 90 50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Újburgonya, január 1-jétől június 30-ig</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50</w:t>
            </w: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0701 90 90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Más:</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1 265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0704</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Káposzta, karfiol, karalábé, kelkáposzta és élelmezési célra alkalmas hasonló káposztaféle frissen vagy hűtve:</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0704 90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0704 90 10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Fejes és vörös káposzta</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280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0706</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Sárgarépa, fehérrépa, salátának való cékla, bakszakáll, gumós zeller, retek és élelmezési célra alkalmas más hasonló gyökér, frissen vagy hűtve:</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0706 10 00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Sárgarépa és fehérrépa</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50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0806</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Szőlő frissen vagy szárítva:</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0806 10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Friss: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0806 10 10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Csemegeszőlő</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45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0809</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Kajszibarack, cseresznye, meggy, őszibarack (beleértve a nektarint is), szilva és kökény frissen:</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Cseresznye és meggy:</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0809 21 00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Meggy (</w:t>
            </w:r>
            <w:r>
              <w:rPr>
                <w:i/>
                <w:noProof/>
                <w:sz w:val="20"/>
              </w:rPr>
              <w:t>Prunus cerasus</w:t>
            </w:r>
            <w:r>
              <w:rPr>
                <w:noProof/>
                <w:sz w:val="20"/>
              </w:rPr>
              <w:t>)</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410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lastRenderedPageBreak/>
              <w:t>0811</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Gyümölcs és diófélék nyersen vagy gőzöléssel vagy vízben forrázással főzve is fagyasztva, cukor vagy más édesítőanyag hozzáadásával is:</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0811 90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0811 90 75</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Meggy (</w:t>
            </w:r>
            <w:r>
              <w:rPr>
                <w:i/>
                <w:noProof/>
                <w:sz w:val="20"/>
              </w:rPr>
              <w:t>Prunus cerasus</w:t>
            </w:r>
            <w:r>
              <w:rPr>
                <w:noProof/>
                <w:sz w:val="20"/>
              </w:rPr>
              <w:t>)</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70</w:t>
            </w:r>
          </w:p>
        </w:tc>
      </w:tr>
      <w:tr>
        <w:trPr>
          <w:trHeight w:val="227"/>
          <w:tblCellSpacing w:w="0" w:type="dxa"/>
        </w:trPr>
        <w:tc>
          <w:tcPr>
            <w:tcW w:w="0" w:type="auto"/>
            <w:tcBorders>
              <w:top w:val="single" w:sz="4" w:space="0" w:color="auto"/>
              <w:left w:val="nil"/>
              <w:bottom w:val="nil"/>
              <w:right w:val="single" w:sz="4" w:space="0" w:color="auto"/>
            </w:tcBorders>
            <w:shd w:val="clear" w:color="auto" w:fill="FFFFFF"/>
          </w:tcPr>
          <w:p>
            <w:pPr>
              <w:spacing w:before="40" w:after="40"/>
              <w:rPr>
                <w:noProof/>
                <w:sz w:val="20"/>
              </w:rPr>
            </w:pPr>
            <w:r>
              <w:rPr>
                <w:noProof/>
                <w:sz w:val="20"/>
              </w:rPr>
              <w:t>1601</w:t>
            </w:r>
          </w:p>
        </w:tc>
        <w:tc>
          <w:tcPr>
            <w:tcW w:w="0" w:type="auto"/>
            <w:tcBorders>
              <w:top w:val="single" w:sz="4" w:space="0" w:color="auto"/>
              <w:left w:val="single" w:sz="4" w:space="0" w:color="auto"/>
              <w:bottom w:val="nil"/>
              <w:right w:val="single" w:sz="4" w:space="0" w:color="auto"/>
            </w:tcBorders>
            <w:shd w:val="clear" w:color="auto" w:fill="FFFFFF"/>
          </w:tcPr>
          <w:p>
            <w:pPr>
              <w:spacing w:before="40" w:after="40"/>
              <w:jc w:val="left"/>
              <w:rPr>
                <w:noProof/>
                <w:sz w:val="20"/>
              </w:rPr>
            </w:pPr>
            <w:r>
              <w:rPr>
                <w:noProof/>
                <w:sz w:val="20"/>
              </w:rPr>
              <w:t>Kolbász és hasonló termék húsból, vágási melléktermékből, belsőségből vagy vérből; ezeken a termékeken alapuló élelmiszerek:</w:t>
            </w:r>
          </w:p>
        </w:tc>
        <w:tc>
          <w:tcPr>
            <w:tcW w:w="0" w:type="auto"/>
            <w:tcBorders>
              <w:top w:val="single" w:sz="4" w:space="0" w:color="auto"/>
              <w:left w:val="single" w:sz="4" w:space="0" w:color="auto"/>
              <w:bottom w:val="nil"/>
              <w:right w:val="nil"/>
            </w:tcBorders>
            <w:shd w:val="clear" w:color="auto" w:fill="FFFFFF"/>
          </w:tcPr>
          <w:p>
            <w:pPr>
              <w:spacing w:before="40" w:after="40"/>
              <w:jc w:val="right"/>
              <w:rPr>
                <w:noProof/>
                <w:sz w:val="20"/>
              </w:rPr>
            </w:pPr>
          </w:p>
        </w:tc>
      </w:tr>
      <w:tr>
        <w:trPr>
          <w:trHeight w:val="227"/>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Más: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p>
        </w:tc>
      </w:tr>
      <w:tr>
        <w:trPr>
          <w:trHeight w:val="227"/>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1601 00 91</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Kolbász, száraz vagy kenhető, főzés nélkül</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285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1602</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Más elkészített vagy konzervált hús, vágási melléktermék, belsőség vagy vér:</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1602 10 00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Homogenizált készítmények</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75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1602 20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Májból készült termékek:</w:t>
            </w:r>
          </w:p>
        </w:tc>
        <w:tc>
          <w:tcPr>
            <w:tcW w:w="0" w:type="auto"/>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1602 20 90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Más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140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A 0105 vtsz. alá tartozó baromfiból készült termékek:</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1602 31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Pulykából: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Legalább 57 tömegszázalék baromfihús- vagy belsőségtartalommal: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1602 31 19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Más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40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1602 32</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xml:space="preserve">– – A </w:t>
            </w:r>
            <w:r>
              <w:rPr>
                <w:i/>
                <w:noProof/>
                <w:sz w:val="20"/>
              </w:rPr>
              <w:t>Gallus domesticus</w:t>
            </w:r>
            <w:r>
              <w:rPr>
                <w:noProof/>
                <w:sz w:val="20"/>
              </w:rPr>
              <w:t xml:space="preserve"> fajhoz tartozó szárnyasokból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Sertésből: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Legalább 57 tömegszázalék baromfihús- vagy belsőségtartalommal: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1602 32 11</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Főzés nélkül</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130</w:t>
            </w: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1602 32 19</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Más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30</w:t>
            </w: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1602 32 30</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Legalább 25 tömegszázalék, de kevesebb mint 57 tömegszázalék baromfihús- vagy belsőségtartalommal</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170</w:t>
            </w: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1602 32 90</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Más: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230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1602 41</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Sonka és részei:</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1602 41 10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Házisertésből</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360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Más, beleértve a keverékeket is: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Házisertésből: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ind w:left="419" w:hanging="419"/>
              <w:jc w:val="left"/>
              <w:rPr>
                <w:noProof/>
                <w:sz w:val="20"/>
              </w:rPr>
            </w:pPr>
            <w:r>
              <w:rPr>
                <w:noProof/>
                <w:sz w:val="20"/>
              </w:rPr>
              <w:t>– – – – Legalább 80 tömegszázalék bármely fajtájú hús- vagy belsőségtartalommal, beleértve bármely fajta vagy eredetű zsírt is: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1602 49 15</w:t>
            </w:r>
          </w:p>
        </w:tc>
        <w:tc>
          <w:tcPr>
            <w:tcW w:w="0" w:type="auto"/>
            <w:tcBorders>
              <w:top w:val="nil"/>
              <w:left w:val="single" w:sz="4" w:space="0" w:color="auto"/>
              <w:bottom w:val="nil"/>
              <w:right w:val="single" w:sz="4" w:space="0" w:color="auto"/>
            </w:tcBorders>
            <w:shd w:val="clear" w:color="auto" w:fill="FFFFFF"/>
            <w:hideMark/>
          </w:tcPr>
          <w:p>
            <w:pPr>
              <w:spacing w:before="40" w:after="40"/>
              <w:ind w:left="561" w:hanging="561"/>
              <w:jc w:val="left"/>
              <w:rPr>
                <w:noProof/>
                <w:sz w:val="20"/>
              </w:rPr>
            </w:pPr>
            <w:r>
              <w:rPr>
                <w:noProof/>
                <w:sz w:val="20"/>
              </w:rPr>
              <w:t>– – – – – Más keverékek, sonka (lábak), lapocka, tarja, karaj vagy szügy és ezek részeiből készült tartalommal</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150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1602 49 30</w:t>
            </w:r>
          </w:p>
        </w:tc>
        <w:tc>
          <w:tcPr>
            <w:tcW w:w="0" w:type="auto"/>
            <w:tcBorders>
              <w:top w:val="nil"/>
              <w:left w:val="single" w:sz="4" w:space="0" w:color="auto"/>
              <w:bottom w:val="nil"/>
              <w:right w:val="single" w:sz="4" w:space="0" w:color="auto"/>
            </w:tcBorders>
            <w:shd w:val="clear" w:color="auto" w:fill="FFFFFF"/>
            <w:hideMark/>
          </w:tcPr>
          <w:p>
            <w:pPr>
              <w:spacing w:before="40" w:after="40"/>
              <w:ind w:left="419" w:hanging="419"/>
              <w:jc w:val="left"/>
              <w:rPr>
                <w:noProof/>
                <w:sz w:val="20"/>
              </w:rPr>
            </w:pPr>
            <w:r>
              <w:rPr>
                <w:noProof/>
                <w:sz w:val="20"/>
              </w:rPr>
              <w:t>– – – – Legalább 40 tömegszázalék, de kevesebb mint 80 tömegszázalék bármely fajtájú hús- vagy belsőségtartalommal, beleértve bármely fajta vagy eredetű zsírt is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445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1602 49 50</w:t>
            </w:r>
          </w:p>
        </w:tc>
        <w:tc>
          <w:tcPr>
            <w:tcW w:w="0" w:type="auto"/>
            <w:tcBorders>
              <w:top w:val="nil"/>
              <w:left w:val="single" w:sz="4" w:space="0" w:color="auto"/>
              <w:bottom w:val="nil"/>
              <w:right w:val="single" w:sz="4" w:space="0" w:color="auto"/>
            </w:tcBorders>
            <w:shd w:val="clear" w:color="auto" w:fill="FFFFFF"/>
            <w:hideMark/>
          </w:tcPr>
          <w:p>
            <w:pPr>
              <w:spacing w:before="40" w:after="40"/>
              <w:ind w:left="419" w:hanging="419"/>
              <w:jc w:val="left"/>
              <w:rPr>
                <w:noProof/>
                <w:sz w:val="20"/>
              </w:rPr>
            </w:pPr>
            <w:r>
              <w:rPr>
                <w:noProof/>
                <w:sz w:val="20"/>
              </w:rPr>
              <w:t>– – – – 40 tömegszázaléknál kevesebb bármely fajtájú hús- vagy belsőségtartalommal, beleértve bármely fajta vagy eredetű zsírt is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60</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lastRenderedPageBreak/>
              <w:t>1602 50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Szarvasmarhafélékből:</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tcPr>
          <w:p>
            <w:pPr>
              <w:spacing w:before="40" w:after="40"/>
              <w:rPr>
                <w:noProof/>
                <w:sz w:val="20"/>
              </w:rPr>
            </w:pPr>
            <w:r>
              <w:rPr>
                <w:noProof/>
                <w:sz w:val="20"/>
              </w:rPr>
              <w:t>1602 50 31</w:t>
            </w:r>
          </w:p>
        </w:tc>
        <w:tc>
          <w:tcPr>
            <w:tcW w:w="0" w:type="auto"/>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Főtt, pácolt marhahús (corned beef) légmentes csomagolásban</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70</w:t>
            </w:r>
          </w:p>
        </w:tc>
      </w:tr>
      <w:tr>
        <w:trPr>
          <w:tblCellSpacing w:w="0" w:type="dxa"/>
        </w:trPr>
        <w:tc>
          <w:tcPr>
            <w:tcW w:w="0" w:type="auto"/>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1602 50 95</w:t>
            </w:r>
          </w:p>
        </w:tc>
        <w:tc>
          <w:tcPr>
            <w:tcW w:w="0" w:type="auto"/>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 Más:</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295</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1701</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Nád- vagy répacukor és vegytiszta szacharóz szilárd állapotban:</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1701 91 00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Ízesítő- vagy színezőanyagok hozzáadásával</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55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1701 99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1701 99 10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Fehér cukor</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3 470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2001</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Zöldség, gyümölcs, dióféle és más ehető növényrész ecettel vagy ecetsavval elkészítve vagy tartósítva (savanyúság):</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2001 10 00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Uborka és apró uborka</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265</w:t>
            </w: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2001 90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0" w:type="auto"/>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0" w:type="auto"/>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2001 90 70</w:t>
            </w:r>
          </w:p>
        </w:tc>
        <w:tc>
          <w:tcPr>
            <w:tcW w:w="0" w:type="auto"/>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Édes paprika</w:t>
            </w:r>
          </w:p>
        </w:tc>
        <w:tc>
          <w:tcPr>
            <w:tcW w:w="0" w:type="auto"/>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70</w:t>
            </w:r>
          </w:p>
        </w:tc>
      </w:tr>
      <w:tr>
        <w:trPr>
          <w:tblCellSpacing w:w="0" w:type="dxa"/>
        </w:trPr>
        <w:tc>
          <w:tcPr>
            <w:tcW w:w="0" w:type="auto"/>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2005</w:t>
            </w:r>
          </w:p>
        </w:tc>
        <w:tc>
          <w:tcPr>
            <w:tcW w:w="0" w:type="auto"/>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Más zöldség ecet vagy ecetsav nélkül elkészítve vagy tartósítva, nem fagyasztva, a 2006 vtsz. alá tartozó termékek kivételével:</w:t>
            </w:r>
          </w:p>
        </w:tc>
        <w:tc>
          <w:tcPr>
            <w:tcW w:w="0" w:type="auto"/>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 zöldség és zöldségkeverék:</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2005 99</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Más:</w:t>
            </w:r>
          </w:p>
        </w:tc>
        <w:tc>
          <w:tcPr>
            <w:tcW w:w="0" w:type="auto"/>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0" w:type="auto"/>
            <w:tcBorders>
              <w:top w:val="nil"/>
              <w:left w:val="nil"/>
              <w:bottom w:val="nil"/>
              <w:right w:val="single" w:sz="4" w:space="0" w:color="auto"/>
            </w:tcBorders>
            <w:shd w:val="clear" w:color="auto" w:fill="FFFFFF"/>
            <w:hideMark/>
          </w:tcPr>
          <w:p>
            <w:pPr>
              <w:spacing w:before="40" w:after="40"/>
              <w:rPr>
                <w:noProof/>
                <w:sz w:val="20"/>
              </w:rPr>
            </w:pPr>
            <w:r>
              <w:rPr>
                <w:noProof/>
                <w:sz w:val="20"/>
              </w:rPr>
              <w:t>2005 99 50</w:t>
            </w:r>
          </w:p>
        </w:tc>
        <w:tc>
          <w:tcPr>
            <w:tcW w:w="0" w:type="auto"/>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Zöldségkeverék</w:t>
            </w:r>
          </w:p>
        </w:tc>
        <w:tc>
          <w:tcPr>
            <w:tcW w:w="0" w:type="auto"/>
            <w:tcBorders>
              <w:top w:val="nil"/>
              <w:left w:val="single" w:sz="4" w:space="0" w:color="auto"/>
              <w:bottom w:val="nil"/>
              <w:right w:val="nil"/>
            </w:tcBorders>
            <w:shd w:val="clear" w:color="auto" w:fill="FFFFFF"/>
          </w:tcPr>
          <w:p>
            <w:pPr>
              <w:spacing w:before="40" w:after="40"/>
              <w:jc w:val="right"/>
              <w:rPr>
                <w:noProof/>
                <w:sz w:val="20"/>
              </w:rPr>
            </w:pPr>
            <w:r>
              <w:rPr>
                <w:noProof/>
                <w:sz w:val="20"/>
              </w:rPr>
              <w:t>245</w:t>
            </w:r>
          </w:p>
        </w:tc>
      </w:tr>
      <w:tr>
        <w:trPr>
          <w:tblCellSpacing w:w="0" w:type="dxa"/>
        </w:trPr>
        <w:tc>
          <w:tcPr>
            <w:tcW w:w="0" w:type="auto"/>
            <w:tcBorders>
              <w:top w:val="nil"/>
              <w:left w:val="nil"/>
              <w:bottom w:val="single" w:sz="12" w:space="0" w:color="auto"/>
              <w:right w:val="single" w:sz="4" w:space="0" w:color="auto"/>
            </w:tcBorders>
            <w:shd w:val="clear" w:color="auto" w:fill="FFFFFF"/>
            <w:hideMark/>
          </w:tcPr>
          <w:p>
            <w:pPr>
              <w:spacing w:before="40" w:after="40"/>
              <w:rPr>
                <w:noProof/>
                <w:sz w:val="20"/>
              </w:rPr>
            </w:pPr>
            <w:r>
              <w:rPr>
                <w:noProof/>
                <w:sz w:val="20"/>
              </w:rPr>
              <w:t>2005 99 60</w:t>
            </w:r>
          </w:p>
        </w:tc>
        <w:tc>
          <w:tcPr>
            <w:tcW w:w="0" w:type="auto"/>
            <w:tcBorders>
              <w:top w:val="nil"/>
              <w:left w:val="single" w:sz="4" w:space="0" w:color="auto"/>
              <w:bottom w:val="single" w:sz="12" w:space="0" w:color="auto"/>
              <w:right w:val="single" w:sz="4" w:space="0" w:color="auto"/>
            </w:tcBorders>
            <w:shd w:val="clear" w:color="auto" w:fill="FFFFFF"/>
            <w:hideMark/>
          </w:tcPr>
          <w:p>
            <w:pPr>
              <w:spacing w:before="40" w:after="40"/>
              <w:jc w:val="left"/>
              <w:rPr>
                <w:noProof/>
                <w:sz w:val="20"/>
              </w:rPr>
            </w:pPr>
            <w:r>
              <w:rPr>
                <w:noProof/>
                <w:sz w:val="20"/>
              </w:rPr>
              <w:t>– – – Savanyú káposzta</w:t>
            </w:r>
          </w:p>
        </w:tc>
        <w:tc>
          <w:tcPr>
            <w:tcW w:w="0" w:type="auto"/>
            <w:tcBorders>
              <w:top w:val="nil"/>
              <w:left w:val="single" w:sz="4" w:space="0" w:color="auto"/>
              <w:bottom w:val="single" w:sz="12" w:space="0" w:color="auto"/>
              <w:right w:val="nil"/>
            </w:tcBorders>
            <w:shd w:val="clear" w:color="auto" w:fill="FFFFFF"/>
          </w:tcPr>
          <w:p>
            <w:pPr>
              <w:spacing w:before="40" w:after="40"/>
              <w:jc w:val="right"/>
              <w:rPr>
                <w:noProof/>
                <w:sz w:val="20"/>
              </w:rPr>
            </w:pPr>
            <w:r>
              <w:rPr>
                <w:noProof/>
                <w:sz w:val="20"/>
              </w:rPr>
              <w:t>40</w:t>
            </w:r>
          </w:p>
        </w:tc>
      </w:tr>
    </w:tbl>
    <w:p>
      <w:pPr>
        <w:rPr>
          <w:noProof/>
          <w:sz w:val="20"/>
        </w:rPr>
      </w:pPr>
    </w:p>
    <w:p>
      <w:pPr>
        <w:rPr>
          <w:noProof/>
        </w:rPr>
      </w:pPr>
      <w:r>
        <w:rPr>
          <w:noProof/>
        </w:rPr>
        <w:br w:type="page"/>
      </w:r>
    </w:p>
    <w:p>
      <w:pPr>
        <w:rPr>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13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2.</w:t>
            </w:r>
          </w:p>
        </w:tc>
        <w:tc>
          <w:tcPr>
            <w:tcW w:w="4801"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A következő termékek Bosznia-Hercegovinába irányuló behozatalára az alább meghatározott engedmények vonatkoznak. A vámkontingensen felüli behozatalra az MFN váma legnagyobb kedvezményes  (MFN) vámtétel érvényes. A 2017. évre vonatkozóan – e jegyzőkönyv hatálybalépésének vagy ideiglenes alkalmazásának időpontjától függetlenül – a vámkontingens teljes mennyiségét alkalmazzák.</w:t>
            </w:r>
          </w:p>
        </w:tc>
      </w:tr>
    </w:tbl>
    <w:p>
      <w:pPr>
        <w:rPr>
          <w:noProof/>
          <w:sz w:val="20"/>
        </w:rPr>
      </w:pPr>
    </w:p>
    <w:tbl>
      <w:tblPr>
        <w:tblW w:w="0" w:type="auto"/>
        <w:tblCellSpacing w:w="0" w:type="dxa"/>
        <w:tblInd w:w="9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8"/>
        <w:gridCol w:w="5107"/>
        <w:gridCol w:w="960"/>
        <w:gridCol w:w="960"/>
        <w:gridCol w:w="1014"/>
      </w:tblGrid>
      <w:tr>
        <w:trPr>
          <w:cantSplit/>
          <w:tblHeader/>
          <w:tblCellSpacing w:w="0" w:type="dxa"/>
        </w:trPr>
        <w:tc>
          <w:tcPr>
            <w:tcW w:w="998" w:type="dxa"/>
            <w:vMerge w:val="restart"/>
            <w:tcBorders>
              <w:top w:val="outset" w:sz="6" w:space="0" w:color="000000"/>
              <w:left w:val="outset" w:sz="6" w:space="0" w:color="000000"/>
              <w:right w:val="outset" w:sz="6" w:space="0" w:color="000000"/>
            </w:tcBorders>
            <w:shd w:val="clear" w:color="auto" w:fill="C0C0C0"/>
            <w:vAlign w:val="center"/>
          </w:tcPr>
          <w:p>
            <w:pPr>
              <w:spacing w:before="40" w:after="40"/>
              <w:jc w:val="center"/>
              <w:rPr>
                <w:b/>
                <w:bCs/>
                <w:noProof/>
                <w:sz w:val="20"/>
              </w:rPr>
            </w:pPr>
            <w:r>
              <w:rPr>
                <w:b/>
                <w:noProof/>
                <w:sz w:val="20"/>
              </w:rPr>
              <w:t>KN-kód</w:t>
            </w:r>
          </w:p>
        </w:tc>
        <w:tc>
          <w:tcPr>
            <w:tcW w:w="5107" w:type="dxa"/>
            <w:vMerge w:val="restart"/>
            <w:tcBorders>
              <w:top w:val="outset" w:sz="6" w:space="0" w:color="000000"/>
              <w:left w:val="outset" w:sz="6" w:space="0" w:color="000000"/>
              <w:right w:val="outset" w:sz="6" w:space="0" w:color="000000"/>
            </w:tcBorders>
            <w:shd w:val="clear" w:color="auto" w:fill="C0C0C0"/>
            <w:vAlign w:val="center"/>
          </w:tcPr>
          <w:p>
            <w:pPr>
              <w:spacing w:before="40" w:after="40"/>
              <w:jc w:val="center"/>
              <w:rPr>
                <w:b/>
                <w:bCs/>
                <w:noProof/>
                <w:sz w:val="20"/>
              </w:rPr>
            </w:pPr>
            <w:r>
              <w:rPr>
                <w:b/>
                <w:noProof/>
                <w:sz w:val="20"/>
              </w:rPr>
              <w:t>Árumegnevezés</w:t>
            </w:r>
          </w:p>
        </w:tc>
        <w:tc>
          <w:tcPr>
            <w:tcW w:w="0" w:type="auto"/>
            <w:gridSpan w:val="3"/>
            <w:tcBorders>
              <w:top w:val="outset" w:sz="6" w:space="0" w:color="000000"/>
              <w:left w:val="outset" w:sz="6" w:space="0" w:color="000000"/>
              <w:bottom w:val="outset" w:sz="6" w:space="0" w:color="000000"/>
              <w:right w:val="outset" w:sz="6" w:space="0" w:color="000000"/>
            </w:tcBorders>
            <w:shd w:val="clear" w:color="auto" w:fill="C0C0C0"/>
          </w:tcPr>
          <w:p>
            <w:pPr>
              <w:spacing w:before="40" w:after="40"/>
              <w:jc w:val="center"/>
              <w:rPr>
                <w:b/>
                <w:bCs/>
                <w:noProof/>
                <w:sz w:val="20"/>
              </w:rPr>
            </w:pPr>
            <w:r>
              <w:rPr>
                <w:b/>
                <w:noProof/>
                <w:sz w:val="20"/>
              </w:rPr>
              <w:t>Vámkontingens mértéke (tonna)</w:t>
            </w:r>
          </w:p>
        </w:tc>
      </w:tr>
      <w:tr>
        <w:trPr>
          <w:cantSplit/>
          <w:tblHeader/>
          <w:tblCellSpacing w:w="0" w:type="dxa"/>
        </w:trPr>
        <w:tc>
          <w:tcPr>
            <w:tcW w:w="998" w:type="dxa"/>
            <w:vMerge/>
            <w:tcBorders>
              <w:left w:val="outset" w:sz="6" w:space="0" w:color="000000"/>
              <w:bottom w:val="outset" w:sz="6" w:space="0" w:color="000000"/>
              <w:right w:val="outset" w:sz="6" w:space="0" w:color="000000"/>
            </w:tcBorders>
            <w:shd w:val="clear" w:color="auto" w:fill="C0C0C0"/>
            <w:vAlign w:val="center"/>
            <w:hideMark/>
          </w:tcPr>
          <w:p>
            <w:pPr>
              <w:spacing w:before="40" w:after="40"/>
              <w:jc w:val="center"/>
              <w:rPr>
                <w:b/>
                <w:bCs/>
                <w:noProof/>
                <w:sz w:val="20"/>
              </w:rPr>
            </w:pPr>
          </w:p>
        </w:tc>
        <w:tc>
          <w:tcPr>
            <w:tcW w:w="5107" w:type="dxa"/>
            <w:vMerge/>
            <w:tcBorders>
              <w:left w:val="outset" w:sz="6" w:space="0" w:color="000000"/>
              <w:bottom w:val="outset" w:sz="6" w:space="0" w:color="000000"/>
              <w:right w:val="outset" w:sz="6" w:space="0" w:color="000000"/>
            </w:tcBorders>
            <w:shd w:val="clear" w:color="auto" w:fill="C0C0C0"/>
            <w:vAlign w:val="center"/>
            <w:hideMark/>
          </w:tcPr>
          <w:p>
            <w:pPr>
              <w:spacing w:before="40" w:after="40"/>
              <w:jc w:val="center"/>
              <w:rPr>
                <w:b/>
                <w:bCs/>
                <w:noProof/>
                <w:sz w:val="20"/>
              </w:rPr>
            </w:pPr>
          </w:p>
        </w:tc>
        <w:tc>
          <w:tcPr>
            <w:tcW w:w="960" w:type="dxa"/>
            <w:tcBorders>
              <w:top w:val="outset" w:sz="6" w:space="0" w:color="000000"/>
              <w:left w:val="outset" w:sz="6" w:space="0" w:color="000000"/>
              <w:bottom w:val="outset" w:sz="6" w:space="0" w:color="000000"/>
              <w:right w:val="outset" w:sz="6" w:space="0" w:color="000000"/>
            </w:tcBorders>
            <w:shd w:val="clear" w:color="auto" w:fill="C0C0C0"/>
          </w:tcPr>
          <w:p>
            <w:pPr>
              <w:spacing w:before="40" w:after="40"/>
              <w:jc w:val="center"/>
              <w:rPr>
                <w:b/>
                <w:bCs/>
                <w:noProof/>
                <w:sz w:val="20"/>
              </w:rPr>
            </w:pPr>
            <w:r>
              <w:rPr>
                <w:b/>
                <w:noProof/>
                <w:sz w:val="20"/>
              </w:rPr>
              <w:t>2017.1.1-jétől</w:t>
            </w:r>
          </w:p>
        </w:tc>
        <w:tc>
          <w:tcPr>
            <w:tcW w:w="960" w:type="dxa"/>
            <w:tcBorders>
              <w:top w:val="outset" w:sz="6" w:space="0" w:color="000000"/>
              <w:left w:val="outset" w:sz="6" w:space="0" w:color="000000"/>
              <w:bottom w:val="outset" w:sz="6" w:space="0" w:color="000000"/>
              <w:right w:val="outset" w:sz="6" w:space="0" w:color="000000"/>
            </w:tcBorders>
            <w:shd w:val="clear" w:color="auto" w:fill="C0C0C0"/>
          </w:tcPr>
          <w:p>
            <w:pPr>
              <w:spacing w:before="40" w:after="40"/>
              <w:jc w:val="center"/>
              <w:rPr>
                <w:b/>
                <w:bCs/>
                <w:noProof/>
                <w:sz w:val="20"/>
              </w:rPr>
            </w:pPr>
            <w:r>
              <w:rPr>
                <w:b/>
                <w:noProof/>
                <w:sz w:val="20"/>
              </w:rPr>
              <w:t>2018.1.1-jétől</w:t>
            </w:r>
          </w:p>
        </w:tc>
        <w:tc>
          <w:tcPr>
            <w:tcW w:w="1014" w:type="dxa"/>
            <w:tcBorders>
              <w:top w:val="outset" w:sz="6" w:space="0" w:color="000000"/>
              <w:left w:val="outset" w:sz="6" w:space="0" w:color="000000"/>
              <w:bottom w:val="outset" w:sz="6" w:space="0" w:color="000000"/>
              <w:right w:val="outset" w:sz="6" w:space="0" w:color="000000"/>
            </w:tcBorders>
            <w:shd w:val="clear" w:color="auto" w:fill="C0C0C0"/>
          </w:tcPr>
          <w:p>
            <w:pPr>
              <w:spacing w:before="40" w:after="40"/>
              <w:jc w:val="center"/>
              <w:rPr>
                <w:b/>
                <w:bCs/>
                <w:noProof/>
                <w:sz w:val="20"/>
              </w:rPr>
            </w:pPr>
            <w:r>
              <w:rPr>
                <w:b/>
                <w:noProof/>
                <w:sz w:val="20"/>
              </w:rPr>
              <w:t>2019.1.1-jétől</w:t>
            </w:r>
          </w:p>
        </w:tc>
      </w:tr>
      <w:tr>
        <w:trPr>
          <w:cantSplit/>
          <w:tblCellSpacing w:w="0" w:type="dxa"/>
        </w:trPr>
        <w:tc>
          <w:tcPr>
            <w:tcW w:w="998"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0401</w:t>
            </w:r>
          </w:p>
        </w:tc>
        <w:tc>
          <w:tcPr>
            <w:tcW w:w="510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Tej és tejszín nem sűrítve, cukor vagy más édesítőanyag hozzáadása nélkül</w:t>
            </w:r>
          </w:p>
        </w:tc>
        <w:tc>
          <w:tcPr>
            <w:tcW w:w="960" w:type="dxa"/>
            <w:tcBorders>
              <w:top w:val="single" w:sz="4" w:space="0" w:color="auto"/>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single" w:sz="4" w:space="0" w:color="auto"/>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0401 20</w:t>
            </w:r>
          </w:p>
        </w:tc>
        <w:tc>
          <w:tcPr>
            <w:tcW w:w="5107" w:type="dxa"/>
            <w:tcBorders>
              <w:top w:val="nil"/>
              <w:left w:val="single" w:sz="4" w:space="0" w:color="auto"/>
              <w:bottom w:val="nil"/>
              <w:right w:val="single" w:sz="4" w:space="0" w:color="auto"/>
            </w:tcBorders>
            <w:shd w:val="clear" w:color="auto" w:fill="FFFFFF"/>
            <w:hideMark/>
          </w:tcPr>
          <w:p>
            <w:pPr>
              <w:spacing w:before="40" w:after="40"/>
              <w:ind w:left="190" w:hanging="190"/>
              <w:jc w:val="left"/>
              <w:rPr>
                <w:noProof/>
                <w:sz w:val="20"/>
              </w:rPr>
            </w:pPr>
            <w:r>
              <w:rPr>
                <w:noProof/>
                <w:sz w:val="20"/>
              </w:rPr>
              <w:t>– 1 tömegszázalékot meghaladó, de legfeljebb 6 tömegszázalék zsírtartalommal:</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Legfeljebb 3 tömegszázalék:</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0401 20 11</w:t>
            </w:r>
          </w:p>
        </w:tc>
        <w:tc>
          <w:tcPr>
            <w:tcW w:w="5107" w:type="dxa"/>
            <w:tcBorders>
              <w:top w:val="nil"/>
              <w:left w:val="single" w:sz="4" w:space="0" w:color="auto"/>
              <w:bottom w:val="nil"/>
              <w:right w:val="single" w:sz="4" w:space="0" w:color="auto"/>
            </w:tcBorders>
            <w:shd w:val="clear" w:color="auto" w:fill="FFFFFF"/>
            <w:hideMark/>
          </w:tcPr>
          <w:p>
            <w:pPr>
              <w:spacing w:before="40" w:after="40"/>
              <w:ind w:left="332" w:hanging="332"/>
              <w:jc w:val="left"/>
              <w:rPr>
                <w:noProof/>
                <w:sz w:val="20"/>
              </w:rPr>
            </w:pPr>
            <w:r>
              <w:rPr>
                <w:noProof/>
                <w:sz w:val="20"/>
              </w:rPr>
              <w:t>– – – Legfeljebb nettó kétliteres kiszerelésben</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5 432</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9 506</w:t>
            </w:r>
          </w:p>
        </w:tc>
        <w:tc>
          <w:tcPr>
            <w:tcW w:w="1014"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13 580</w:t>
            </w: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3 tömegszázalékot meghaladó zsírtartalommal:</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single" w:sz="12" w:space="0" w:color="auto"/>
              <w:right w:val="single" w:sz="4" w:space="0" w:color="auto"/>
            </w:tcBorders>
            <w:shd w:val="clear" w:color="auto" w:fill="FFFFFF"/>
            <w:hideMark/>
          </w:tcPr>
          <w:p>
            <w:pPr>
              <w:spacing w:before="40" w:after="40"/>
              <w:rPr>
                <w:noProof/>
                <w:sz w:val="20"/>
              </w:rPr>
            </w:pPr>
            <w:r>
              <w:rPr>
                <w:noProof/>
                <w:sz w:val="20"/>
              </w:rPr>
              <w:t>0401 20 91</w:t>
            </w:r>
          </w:p>
        </w:tc>
        <w:tc>
          <w:tcPr>
            <w:tcW w:w="5107" w:type="dxa"/>
            <w:tcBorders>
              <w:top w:val="nil"/>
              <w:left w:val="single" w:sz="4" w:space="0" w:color="auto"/>
              <w:bottom w:val="single" w:sz="12" w:space="0" w:color="auto"/>
              <w:right w:val="single" w:sz="4" w:space="0" w:color="auto"/>
            </w:tcBorders>
            <w:shd w:val="clear" w:color="auto" w:fill="FFFFFF"/>
            <w:hideMark/>
          </w:tcPr>
          <w:p>
            <w:pPr>
              <w:spacing w:before="40" w:after="40"/>
              <w:ind w:left="332" w:hanging="332"/>
              <w:jc w:val="left"/>
              <w:rPr>
                <w:noProof/>
                <w:sz w:val="20"/>
              </w:rPr>
            </w:pPr>
            <w:r>
              <w:rPr>
                <w:noProof/>
                <w:sz w:val="20"/>
              </w:rPr>
              <w:t>– – – Legfeljebb nettó kétliteres kiszerelésben</w:t>
            </w:r>
          </w:p>
        </w:tc>
        <w:tc>
          <w:tcPr>
            <w:tcW w:w="960" w:type="dxa"/>
            <w:tcBorders>
              <w:top w:val="nil"/>
              <w:left w:val="single" w:sz="4" w:space="0" w:color="auto"/>
              <w:bottom w:val="single" w:sz="12" w:space="0" w:color="auto"/>
              <w:right w:val="single" w:sz="4" w:space="0" w:color="auto"/>
            </w:tcBorders>
            <w:shd w:val="clear" w:color="auto" w:fill="FFFFFF"/>
          </w:tcPr>
          <w:p>
            <w:pPr>
              <w:spacing w:before="40" w:after="40"/>
              <w:jc w:val="right"/>
              <w:rPr>
                <w:noProof/>
                <w:sz w:val="20"/>
              </w:rPr>
            </w:pPr>
            <w:r>
              <w:rPr>
                <w:noProof/>
                <w:sz w:val="20"/>
              </w:rPr>
              <w:t>720</w:t>
            </w:r>
          </w:p>
        </w:tc>
        <w:tc>
          <w:tcPr>
            <w:tcW w:w="960" w:type="dxa"/>
            <w:tcBorders>
              <w:top w:val="nil"/>
              <w:left w:val="single" w:sz="4" w:space="0" w:color="auto"/>
              <w:bottom w:val="single" w:sz="12" w:space="0" w:color="auto"/>
              <w:right w:val="single" w:sz="4" w:space="0" w:color="auto"/>
            </w:tcBorders>
            <w:shd w:val="clear" w:color="auto" w:fill="FFFFFF"/>
          </w:tcPr>
          <w:p>
            <w:pPr>
              <w:spacing w:before="40" w:after="40"/>
              <w:jc w:val="right"/>
              <w:rPr>
                <w:noProof/>
                <w:sz w:val="20"/>
              </w:rPr>
            </w:pPr>
            <w:r>
              <w:rPr>
                <w:noProof/>
                <w:sz w:val="20"/>
              </w:rPr>
              <w:t>1 440</w:t>
            </w:r>
          </w:p>
        </w:tc>
        <w:tc>
          <w:tcPr>
            <w:tcW w:w="1014" w:type="dxa"/>
            <w:tcBorders>
              <w:top w:val="nil"/>
              <w:left w:val="single" w:sz="4" w:space="0" w:color="auto"/>
              <w:bottom w:val="single" w:sz="12" w:space="0" w:color="auto"/>
              <w:right w:val="nil"/>
            </w:tcBorders>
            <w:shd w:val="clear" w:color="auto" w:fill="FFFFFF"/>
          </w:tcPr>
          <w:p>
            <w:pPr>
              <w:spacing w:before="40" w:after="40"/>
              <w:jc w:val="right"/>
              <w:rPr>
                <w:noProof/>
                <w:sz w:val="20"/>
              </w:rPr>
            </w:pPr>
            <w:r>
              <w:rPr>
                <w:noProof/>
                <w:sz w:val="20"/>
              </w:rPr>
              <w:t>1 440</w:t>
            </w:r>
          </w:p>
        </w:tc>
      </w:tr>
      <w:tr>
        <w:trPr>
          <w:cantSplit/>
          <w:tblCellSpacing w:w="0" w:type="dxa"/>
        </w:trPr>
        <w:tc>
          <w:tcPr>
            <w:tcW w:w="998" w:type="dxa"/>
            <w:tcBorders>
              <w:top w:val="single" w:sz="12" w:space="0" w:color="auto"/>
              <w:left w:val="nil"/>
              <w:bottom w:val="nil"/>
              <w:right w:val="single" w:sz="4" w:space="0" w:color="auto"/>
            </w:tcBorders>
            <w:shd w:val="clear" w:color="auto" w:fill="FFFFFF"/>
            <w:hideMark/>
          </w:tcPr>
          <w:p>
            <w:pPr>
              <w:spacing w:before="40" w:after="40"/>
              <w:rPr>
                <w:noProof/>
                <w:sz w:val="20"/>
              </w:rPr>
            </w:pPr>
            <w:r>
              <w:rPr>
                <w:noProof/>
                <w:sz w:val="20"/>
              </w:rPr>
              <w:t>0403</w:t>
            </w:r>
          </w:p>
        </w:tc>
        <w:tc>
          <w:tcPr>
            <w:tcW w:w="5107" w:type="dxa"/>
            <w:tcBorders>
              <w:top w:val="single" w:sz="12"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Író, aludttej és tejföl, joghurt, kefir és más erjesztett vagy savanyított tej és tejföl sűrítve vagy cukrozva vagy más édesítőanyag hozzáadásával vagy ízesítve vagy gyümölcs, diófélék vagy kakaó hozzáadásával is:</w:t>
            </w:r>
          </w:p>
        </w:tc>
        <w:tc>
          <w:tcPr>
            <w:tcW w:w="960" w:type="dxa"/>
            <w:tcBorders>
              <w:top w:val="single" w:sz="12" w:space="0" w:color="auto"/>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single" w:sz="12" w:space="0" w:color="auto"/>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single" w:sz="12" w:space="0" w:color="auto"/>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w:t>
            </w: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Joghurt:</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Ízesítés, gyümölcs, diófélék vagy kakaó hozzáadása nélkül:</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ind w:left="332" w:hanging="332"/>
              <w:jc w:val="left"/>
              <w:rPr>
                <w:noProof/>
                <w:sz w:val="20"/>
              </w:rPr>
            </w:pPr>
            <w:r>
              <w:rPr>
                <w:noProof/>
                <w:sz w:val="20"/>
              </w:rPr>
              <w:t>– – – Cukor vagy más édesítőanyag hozzáadása nélkül, zsírtartalma:</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0403 10 11</w:t>
            </w: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Legfeljebb 3 tömegszázalék</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1 515</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3 030</w:t>
            </w:r>
          </w:p>
        </w:tc>
        <w:tc>
          <w:tcPr>
            <w:tcW w:w="1014"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3 030</w:t>
            </w: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0403 10 13</w:t>
            </w: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3 tömegszázalékot meghaladó, de legfeljebb 6 tömegszázalék</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1 520</w:t>
            </w:r>
          </w:p>
        </w:tc>
        <w:tc>
          <w:tcPr>
            <w:tcW w:w="960" w:type="dxa"/>
            <w:tcBorders>
              <w:top w:val="nil"/>
              <w:left w:val="single" w:sz="4" w:space="0" w:color="auto"/>
              <w:bottom w:val="nil"/>
              <w:right w:val="single" w:sz="4" w:space="0" w:color="auto"/>
            </w:tcBorders>
            <w:shd w:val="clear" w:color="auto" w:fill="FFFFFF"/>
          </w:tcPr>
          <w:p>
            <w:pPr>
              <w:spacing w:before="40" w:after="40"/>
              <w:jc w:val="right"/>
              <w:rPr>
                <w:noProof/>
                <w:sz w:val="20"/>
              </w:rPr>
            </w:pPr>
            <w:r>
              <w:rPr>
                <w:noProof/>
                <w:sz w:val="20"/>
              </w:rPr>
              <w:t>3 040</w:t>
            </w:r>
          </w:p>
        </w:tc>
        <w:tc>
          <w:tcPr>
            <w:tcW w:w="1014"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3 040</w:t>
            </w: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0403 90</w:t>
            </w: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Ízesítés, gyümölcs, diófélék vagy kakaó hozzáadása nélkül:</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Más:</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ind w:left="474" w:hanging="474"/>
              <w:jc w:val="left"/>
              <w:rPr>
                <w:noProof/>
                <w:sz w:val="20"/>
              </w:rPr>
            </w:pPr>
            <w:r>
              <w:rPr>
                <w:noProof/>
                <w:sz w:val="20"/>
              </w:rPr>
              <w:t>– – – – Cukor vagy más édesítőanyag hozzáadása nélkül, zsírtartalma:</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0403 90 59</w:t>
            </w:r>
          </w:p>
        </w:tc>
        <w:tc>
          <w:tcPr>
            <w:tcW w:w="5107" w:type="dxa"/>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 6 tömegszázalékot meghaladó</w:t>
            </w:r>
          </w:p>
        </w:tc>
        <w:tc>
          <w:tcPr>
            <w:tcW w:w="960" w:type="dxa"/>
            <w:tcBorders>
              <w:top w:val="nil"/>
              <w:left w:val="single" w:sz="4" w:space="0" w:color="auto"/>
              <w:bottom w:val="single" w:sz="4" w:space="0" w:color="auto"/>
              <w:right w:val="single" w:sz="4" w:space="0" w:color="auto"/>
            </w:tcBorders>
            <w:shd w:val="clear" w:color="auto" w:fill="FFFFFF"/>
          </w:tcPr>
          <w:p>
            <w:pPr>
              <w:spacing w:before="40" w:after="40"/>
              <w:jc w:val="right"/>
              <w:rPr>
                <w:noProof/>
                <w:sz w:val="20"/>
              </w:rPr>
            </w:pPr>
            <w:r>
              <w:rPr>
                <w:noProof/>
                <w:sz w:val="20"/>
              </w:rPr>
              <w:t>1 762.5</w:t>
            </w:r>
          </w:p>
        </w:tc>
        <w:tc>
          <w:tcPr>
            <w:tcW w:w="960" w:type="dxa"/>
            <w:tcBorders>
              <w:top w:val="nil"/>
              <w:left w:val="single" w:sz="4" w:space="0" w:color="auto"/>
              <w:bottom w:val="single" w:sz="4" w:space="0" w:color="auto"/>
              <w:right w:val="single" w:sz="4" w:space="0" w:color="auto"/>
            </w:tcBorders>
            <w:shd w:val="clear" w:color="auto" w:fill="FFFFFF"/>
          </w:tcPr>
          <w:p>
            <w:pPr>
              <w:spacing w:before="40" w:after="40"/>
              <w:jc w:val="right"/>
              <w:rPr>
                <w:noProof/>
                <w:sz w:val="20"/>
              </w:rPr>
            </w:pPr>
            <w:r>
              <w:rPr>
                <w:noProof/>
                <w:sz w:val="20"/>
              </w:rPr>
              <w:t>3 525</w:t>
            </w:r>
          </w:p>
        </w:tc>
        <w:tc>
          <w:tcPr>
            <w:tcW w:w="1014"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3 525</w:t>
            </w:r>
          </w:p>
        </w:tc>
      </w:tr>
      <w:tr>
        <w:trPr>
          <w:cantSplit/>
          <w:tblCellSpacing w:w="0" w:type="dxa"/>
        </w:trPr>
        <w:tc>
          <w:tcPr>
            <w:tcW w:w="998"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1601</w:t>
            </w:r>
          </w:p>
        </w:tc>
        <w:tc>
          <w:tcPr>
            <w:tcW w:w="510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Kolbász és hasonló termék húsból, vágási melléktermékből, belsőségből vagy vérből; ezeken a termékeken alapuló élelmiszerek:</w:t>
            </w:r>
          </w:p>
        </w:tc>
        <w:tc>
          <w:tcPr>
            <w:tcW w:w="960" w:type="dxa"/>
            <w:tcBorders>
              <w:top w:val="single" w:sz="4" w:space="0" w:color="auto"/>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single" w:sz="4" w:space="0" w:color="auto"/>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nil"/>
              <w:right w:val="single" w:sz="4" w:space="0" w:color="auto"/>
            </w:tcBorders>
            <w:shd w:val="clear" w:color="auto" w:fill="FFFFFF"/>
            <w:hideMark/>
          </w:tcPr>
          <w:p>
            <w:pPr>
              <w:spacing w:before="40" w:after="40"/>
              <w:rPr>
                <w:noProof/>
                <w:sz w:val="20"/>
              </w:rPr>
            </w:pPr>
          </w:p>
        </w:tc>
        <w:tc>
          <w:tcPr>
            <w:tcW w:w="510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960" w:type="dxa"/>
            <w:tcBorders>
              <w:top w:val="nil"/>
              <w:left w:val="single" w:sz="4" w:space="0" w:color="auto"/>
              <w:bottom w:val="nil"/>
              <w:right w:val="single" w:sz="4" w:space="0" w:color="auto"/>
            </w:tcBorders>
            <w:shd w:val="clear" w:color="auto" w:fill="FFFFFF"/>
          </w:tcPr>
          <w:p>
            <w:pPr>
              <w:spacing w:before="40" w:after="40"/>
              <w:rPr>
                <w:noProof/>
                <w:sz w:val="20"/>
              </w:rPr>
            </w:pPr>
          </w:p>
        </w:tc>
        <w:tc>
          <w:tcPr>
            <w:tcW w:w="1014" w:type="dxa"/>
            <w:tcBorders>
              <w:top w:val="nil"/>
              <w:left w:val="single" w:sz="4" w:space="0" w:color="auto"/>
              <w:bottom w:val="nil"/>
              <w:right w:val="nil"/>
            </w:tcBorders>
            <w:shd w:val="clear" w:color="auto" w:fill="FFFFFF"/>
          </w:tcPr>
          <w:p>
            <w:pPr>
              <w:spacing w:before="40" w:after="40"/>
              <w:rPr>
                <w:noProof/>
                <w:sz w:val="20"/>
              </w:rPr>
            </w:pPr>
          </w:p>
        </w:tc>
      </w:tr>
      <w:tr>
        <w:trPr>
          <w:cantSplit/>
          <w:tblCellSpacing w:w="0" w:type="dxa"/>
        </w:trPr>
        <w:tc>
          <w:tcPr>
            <w:tcW w:w="998" w:type="dxa"/>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1601 00 99</w:t>
            </w:r>
          </w:p>
        </w:tc>
        <w:tc>
          <w:tcPr>
            <w:tcW w:w="5107" w:type="dxa"/>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Más</w:t>
            </w:r>
          </w:p>
        </w:tc>
        <w:tc>
          <w:tcPr>
            <w:tcW w:w="960" w:type="dxa"/>
            <w:tcBorders>
              <w:top w:val="nil"/>
              <w:left w:val="single" w:sz="4" w:space="0" w:color="auto"/>
              <w:bottom w:val="single" w:sz="4" w:space="0" w:color="auto"/>
              <w:right w:val="single" w:sz="4" w:space="0" w:color="auto"/>
            </w:tcBorders>
            <w:shd w:val="clear" w:color="auto" w:fill="FFFFFF"/>
          </w:tcPr>
          <w:p>
            <w:pPr>
              <w:spacing w:before="40" w:after="40"/>
              <w:jc w:val="right"/>
              <w:rPr>
                <w:noProof/>
                <w:sz w:val="20"/>
              </w:rPr>
            </w:pPr>
            <w:r>
              <w:rPr>
                <w:noProof/>
                <w:sz w:val="20"/>
              </w:rPr>
              <w:t>1 692.5</w:t>
            </w:r>
          </w:p>
        </w:tc>
        <w:tc>
          <w:tcPr>
            <w:tcW w:w="960" w:type="dxa"/>
            <w:tcBorders>
              <w:top w:val="nil"/>
              <w:left w:val="single" w:sz="4" w:space="0" w:color="auto"/>
              <w:bottom w:val="single" w:sz="4" w:space="0" w:color="auto"/>
              <w:right w:val="single" w:sz="4" w:space="0" w:color="auto"/>
            </w:tcBorders>
            <w:shd w:val="clear" w:color="auto" w:fill="FFFFFF"/>
          </w:tcPr>
          <w:p>
            <w:pPr>
              <w:spacing w:before="40" w:after="40"/>
              <w:jc w:val="right"/>
              <w:rPr>
                <w:noProof/>
                <w:sz w:val="20"/>
              </w:rPr>
            </w:pPr>
            <w:r>
              <w:rPr>
                <w:noProof/>
                <w:sz w:val="20"/>
              </w:rPr>
              <w:t>3 385</w:t>
            </w:r>
          </w:p>
        </w:tc>
        <w:tc>
          <w:tcPr>
            <w:tcW w:w="1014"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3 385</w:t>
            </w:r>
          </w:p>
        </w:tc>
      </w:tr>
    </w:tbl>
    <w:p>
      <w:pPr>
        <w:rPr>
          <w:noProof/>
          <w:sz w:val="20"/>
        </w:rPr>
      </w:pPr>
    </w:p>
    <w:p>
      <w:pPr>
        <w:spacing w:before="0" w:after="200" w:line="276" w:lineRule="auto"/>
        <w:jc w:val="left"/>
        <w:rPr>
          <w:rStyle w:val="Corpsdutexte9"/>
          <w:rFonts w:eastAsiaTheme="minorHAnsi"/>
          <w:b/>
          <w:noProof/>
          <w:sz w:val="20"/>
        </w:rPr>
      </w:pPr>
      <w:r>
        <w:rPr>
          <w:noProof/>
        </w:rPr>
        <w:lastRenderedPageBreak/>
        <w:br w:type="page"/>
      </w:r>
    </w:p>
    <w:p>
      <w:pPr>
        <w:spacing w:after="0"/>
        <w:ind w:left="180"/>
        <w:jc w:val="right"/>
        <w:rPr>
          <w:rStyle w:val="Corpsdutexte9"/>
          <w:rFonts w:eastAsiaTheme="minorHAnsi"/>
          <w:b/>
          <w:noProof/>
          <w:sz w:val="20"/>
        </w:rPr>
      </w:pPr>
      <w:r>
        <w:rPr>
          <w:rStyle w:val="Corpsdutexte9"/>
          <w:rFonts w:eastAsiaTheme="minorHAnsi"/>
          <w:b/>
          <w:noProof/>
          <w:sz w:val="20"/>
        </w:rPr>
        <w:lastRenderedPageBreak/>
        <w:t>II. MELLÉKLET</w:t>
      </w:r>
    </w:p>
    <w:p>
      <w:pPr>
        <w:spacing w:after="0"/>
        <w:ind w:left="180"/>
        <w:jc w:val="center"/>
        <w:rPr>
          <w:b/>
          <w:noProof/>
          <w:sz w:val="20"/>
        </w:rPr>
      </w:pPr>
    </w:p>
    <w:p>
      <w:pPr>
        <w:spacing w:after="0"/>
        <w:ind w:left="180"/>
        <w:jc w:val="center"/>
        <w:rPr>
          <w:b/>
          <w:noProof/>
          <w:sz w:val="20"/>
        </w:rPr>
      </w:pPr>
    </w:p>
    <w:p>
      <w:pPr>
        <w:spacing w:after="0"/>
        <w:ind w:left="180"/>
        <w:jc w:val="center"/>
        <w:rPr>
          <w:b/>
          <w:noProof/>
          <w:sz w:val="20"/>
        </w:rPr>
      </w:pPr>
    </w:p>
    <w:p>
      <w:pPr>
        <w:spacing w:after="0"/>
        <w:ind w:left="180"/>
        <w:jc w:val="center"/>
        <w:rPr>
          <w:rStyle w:val="Corpsdutexte9"/>
          <w:rFonts w:eastAsiaTheme="minorHAnsi"/>
          <w:b/>
          <w:noProof/>
          <w:sz w:val="20"/>
        </w:rPr>
      </w:pPr>
      <w:r>
        <w:rPr>
          <w:rStyle w:val="Corpsdutexte9"/>
          <w:rFonts w:eastAsiaTheme="minorHAnsi"/>
          <w:i/>
          <w:noProof/>
          <w:sz w:val="20"/>
        </w:rPr>
        <w:t>„IVa. MELLÉKLET</w:t>
      </w:r>
      <w:r>
        <w:rPr>
          <w:rStyle w:val="Corpsdutexte9"/>
          <w:rFonts w:eastAsiaTheme="minorHAnsi"/>
          <w:i/>
          <w:noProof/>
          <w:sz w:val="20"/>
        </w:rPr>
        <w:br/>
      </w:r>
      <w:r>
        <w:rPr>
          <w:rStyle w:val="Corpsdutexte9"/>
          <w:rFonts w:eastAsiaTheme="minorHAnsi"/>
          <w:b/>
          <w:noProof/>
          <w:sz w:val="20"/>
        </w:rPr>
        <w:br/>
      </w:r>
      <w:r>
        <w:rPr>
          <w:rStyle w:val="Corpsdutexte9"/>
          <w:rFonts w:eastAsiaTheme="minorHAnsi"/>
          <w:i/>
          <w:noProof/>
          <w:sz w:val="20"/>
        </w:rPr>
        <w:br/>
      </w:r>
      <w:r>
        <w:rPr>
          <w:rStyle w:val="Corpsdutexte9"/>
          <w:rFonts w:eastAsiaTheme="minorHAnsi"/>
          <w:b/>
          <w:noProof/>
          <w:sz w:val="20"/>
        </w:rPr>
        <w:t>A BOSZNIA-HERCEGOVINÁBÓL SZÁRMAZÓ TERMÉKEKNEK AZ EURÓPAI UNIÓBA VALÓ BEHOZATALÁRA ALKALMAZANDÓ VÁMOK</w:t>
      </w:r>
    </w:p>
    <w:p>
      <w:pPr>
        <w:spacing w:after="0"/>
        <w:ind w:left="180"/>
        <w:jc w:val="center"/>
        <w:rPr>
          <w:rStyle w:val="Corpsdutexte9"/>
          <w:rFonts w:eastAsiaTheme="minorHAnsi"/>
          <w:b/>
          <w:noProof/>
          <w:sz w:val="20"/>
        </w:rPr>
      </w:pPr>
    </w:p>
    <w:p>
      <w:pPr>
        <w:spacing w:after="0"/>
        <w:ind w:left="180"/>
        <w:jc w:val="center"/>
        <w:rPr>
          <w:rStyle w:val="Corpsdutexte4"/>
          <w:rFonts w:eastAsiaTheme="minorHAnsi"/>
          <w:b/>
          <w:noProof/>
          <w:sz w:val="20"/>
        </w:rPr>
      </w:pPr>
      <w:r>
        <w:rPr>
          <w:rStyle w:val="Corpsdutexte4"/>
          <w:rFonts w:eastAsiaTheme="minorHAnsi"/>
          <w:b/>
          <w:noProof/>
          <w:sz w:val="20"/>
        </w:rPr>
        <w:t>(Az STM 28. cikke (1a) bekezdésében említettek szerint)</w:t>
      </w:r>
    </w:p>
    <w:p>
      <w:pPr>
        <w:spacing w:after="0"/>
        <w:ind w:left="180"/>
        <w:jc w:val="center"/>
        <w:rPr>
          <w:rStyle w:val="Corpsdutexte4"/>
          <w:rFonts w:eastAsiaTheme="minorHAnsi"/>
          <w:b/>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b/>
                <w:noProof/>
                <w:sz w:val="20"/>
              </w:rPr>
            </w:pPr>
            <w:r>
              <w:rPr>
                <w:noProof/>
                <w:sz w:val="20"/>
              </w:rPr>
              <w:t>A Horvátország Európai Unióhoz történő csatlakozásának figyelembevétele céljából készült jegyzőkönyv hatálybalépésének napjától vagy ideiglenes alkalmazásának időpontjától a Bosznia-Hercegovinából az Európai Unióba irányuló behozatalokra az alább meghatározott engedmények vonatkoznak. A 2017. évre vonatkozóan – e jegyzőkönyv hatálybalépésének vagy ideiglenes alkalmazásának időpontjától függetlenül – a vámkontingens teljes mennyiségét alkalmazzák.</w:t>
            </w:r>
          </w:p>
        </w:tc>
      </w:tr>
    </w:tbl>
    <w:p>
      <w:pPr>
        <w:spacing w:after="0"/>
        <w:rPr>
          <w:noProof/>
          <w:sz w:val="20"/>
        </w:rPr>
      </w:pPr>
    </w:p>
    <w:tbl>
      <w:tblPr>
        <w:tblW w:w="500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9"/>
        <w:gridCol w:w="3081"/>
        <w:gridCol w:w="1609"/>
        <w:gridCol w:w="1609"/>
        <w:gridCol w:w="1606"/>
      </w:tblGrid>
      <w:tr>
        <w:tc>
          <w:tcPr>
            <w:tcW w:w="682" w:type="pct"/>
            <w:tcBorders>
              <w:top w:val="single" w:sz="6" w:space="0" w:color="000000"/>
              <w:left w:val="nil"/>
              <w:bottom w:val="single" w:sz="6" w:space="0" w:color="000000"/>
              <w:right w:val="single" w:sz="6" w:space="0" w:color="000000"/>
            </w:tcBorders>
            <w:shd w:val="pct25" w:color="auto" w:fill="FFFFFF"/>
            <w:tcMar>
              <w:top w:w="30" w:type="dxa"/>
              <w:left w:w="75" w:type="dxa"/>
              <w:bottom w:w="30" w:type="dxa"/>
              <w:right w:w="30" w:type="dxa"/>
            </w:tcMar>
            <w:vAlign w:val="center"/>
            <w:hideMark/>
          </w:tcPr>
          <w:p>
            <w:pPr>
              <w:spacing w:after="0"/>
              <w:jc w:val="center"/>
              <w:rPr>
                <w:b/>
                <w:bCs/>
                <w:noProof/>
                <w:sz w:val="20"/>
              </w:rPr>
            </w:pPr>
            <w:r>
              <w:rPr>
                <w:b/>
                <w:noProof/>
                <w:sz w:val="20"/>
              </w:rPr>
              <w:t>KN-kódok</w:t>
            </w:r>
          </w:p>
        </w:tc>
        <w:tc>
          <w:tcPr>
            <w:tcW w:w="1683"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spacing w:after="0"/>
              <w:jc w:val="center"/>
              <w:rPr>
                <w:b/>
                <w:bCs/>
                <w:noProof/>
                <w:sz w:val="20"/>
              </w:rPr>
            </w:pPr>
            <w:r>
              <w:rPr>
                <w:b/>
                <w:noProof/>
                <w:sz w:val="20"/>
              </w:rPr>
              <w:t>Árumegnevezés</w:t>
            </w:r>
          </w:p>
        </w:tc>
        <w:tc>
          <w:tcPr>
            <w:tcW w:w="879"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spacing w:after="0"/>
              <w:jc w:val="center"/>
              <w:rPr>
                <w:b/>
                <w:bCs/>
                <w:noProof/>
                <w:sz w:val="20"/>
              </w:rPr>
            </w:pPr>
            <w:r>
              <w:rPr>
                <w:b/>
                <w:noProof/>
                <w:sz w:val="20"/>
              </w:rPr>
              <w:t>Vámkontingens mértéke (tonna)</w:t>
            </w:r>
          </w:p>
        </w:tc>
        <w:tc>
          <w:tcPr>
            <w:tcW w:w="879" w:type="pct"/>
            <w:tcBorders>
              <w:top w:val="single" w:sz="6" w:space="0" w:color="000000"/>
              <w:left w:val="single" w:sz="6" w:space="0" w:color="000000"/>
              <w:bottom w:val="single" w:sz="6" w:space="0" w:color="000000"/>
              <w:right w:val="single" w:sz="6" w:space="0" w:color="000000"/>
            </w:tcBorders>
            <w:shd w:val="pct25" w:color="auto" w:fill="FFFFFF"/>
            <w:vAlign w:val="center"/>
          </w:tcPr>
          <w:p>
            <w:pPr>
              <w:spacing w:after="0"/>
              <w:jc w:val="center"/>
              <w:rPr>
                <w:b/>
                <w:bCs/>
                <w:noProof/>
                <w:sz w:val="20"/>
              </w:rPr>
            </w:pPr>
            <w:r>
              <w:rPr>
                <w:b/>
                <w:noProof/>
                <w:sz w:val="20"/>
              </w:rPr>
              <w:t xml:space="preserve">Kontingensen belüli vámtétel </w:t>
            </w:r>
            <w:r>
              <w:rPr>
                <w:b/>
                <w:bCs/>
                <w:noProof/>
                <w:sz w:val="20"/>
              </w:rPr>
              <w:br/>
            </w:r>
          </w:p>
        </w:tc>
        <w:tc>
          <w:tcPr>
            <w:tcW w:w="877" w:type="pct"/>
            <w:tcBorders>
              <w:top w:val="single" w:sz="6" w:space="0" w:color="000000"/>
              <w:left w:val="single" w:sz="6" w:space="0" w:color="000000"/>
              <w:bottom w:val="single" w:sz="6" w:space="0" w:color="000000"/>
              <w:right w:val="nil"/>
            </w:tcBorders>
            <w:shd w:val="pct25" w:color="auto" w:fill="FFFFFF"/>
            <w:vAlign w:val="center"/>
          </w:tcPr>
          <w:p>
            <w:pPr>
              <w:spacing w:after="0"/>
              <w:jc w:val="center"/>
              <w:rPr>
                <w:b/>
                <w:bCs/>
                <w:noProof/>
                <w:sz w:val="20"/>
              </w:rPr>
            </w:pPr>
            <w:r>
              <w:rPr>
                <w:b/>
                <w:noProof/>
                <w:sz w:val="20"/>
              </w:rPr>
              <w:t xml:space="preserve">Kontingensen felüli vámtétel </w:t>
            </w:r>
            <w:r>
              <w:rPr>
                <w:b/>
                <w:bCs/>
                <w:noProof/>
                <w:sz w:val="20"/>
              </w:rPr>
              <w:br/>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right"/>
              <w:rPr>
                <w:noProof/>
                <w:sz w:val="20"/>
              </w:rPr>
            </w:pPr>
            <w:r>
              <w:rPr>
                <w:noProof/>
                <w:sz w:val="20"/>
              </w:rPr>
              <w:t>0301 91 00</w:t>
            </w:r>
          </w:p>
          <w:p>
            <w:pPr>
              <w:spacing w:after="0"/>
              <w:jc w:val="right"/>
              <w:rPr>
                <w:noProof/>
                <w:sz w:val="20"/>
              </w:rPr>
            </w:pPr>
            <w:r>
              <w:rPr>
                <w:noProof/>
                <w:sz w:val="20"/>
              </w:rPr>
              <w:t>0302 11 00</w:t>
            </w:r>
          </w:p>
          <w:p>
            <w:pPr>
              <w:spacing w:after="0"/>
              <w:jc w:val="right"/>
              <w:rPr>
                <w:noProof/>
                <w:sz w:val="20"/>
              </w:rPr>
            </w:pPr>
            <w:r>
              <w:rPr>
                <w:noProof/>
                <w:sz w:val="20"/>
              </w:rPr>
              <w:t>0303 14 00</w:t>
            </w:r>
          </w:p>
          <w:p>
            <w:pPr>
              <w:spacing w:after="0"/>
              <w:jc w:val="right"/>
              <w:rPr>
                <w:noProof/>
                <w:sz w:val="20"/>
              </w:rPr>
            </w:pPr>
            <w:r>
              <w:rPr>
                <w:noProof/>
                <w:sz w:val="20"/>
              </w:rPr>
              <w:t>0304 42 00</w:t>
            </w:r>
          </w:p>
          <w:p>
            <w:pPr>
              <w:spacing w:after="0"/>
              <w:jc w:val="right"/>
              <w:rPr>
                <w:noProof/>
                <w:sz w:val="20"/>
              </w:rPr>
            </w:pPr>
            <w:r>
              <w:rPr>
                <w:noProof/>
                <w:sz w:val="20"/>
              </w:rPr>
              <w:t>ex 0304 52 00</w:t>
            </w:r>
          </w:p>
          <w:p>
            <w:pPr>
              <w:spacing w:after="0"/>
              <w:jc w:val="right"/>
              <w:rPr>
                <w:noProof/>
                <w:sz w:val="20"/>
              </w:rPr>
            </w:pPr>
            <w:r>
              <w:rPr>
                <w:noProof/>
                <w:sz w:val="20"/>
              </w:rPr>
              <w:t>0304 82 00</w:t>
            </w:r>
          </w:p>
          <w:p>
            <w:pPr>
              <w:spacing w:after="0"/>
              <w:jc w:val="right"/>
              <w:rPr>
                <w:noProof/>
                <w:sz w:val="20"/>
              </w:rPr>
            </w:pPr>
            <w:r>
              <w:rPr>
                <w:noProof/>
                <w:sz w:val="20"/>
              </w:rPr>
              <w:t>ex 0304 99 21</w:t>
            </w:r>
          </w:p>
          <w:p>
            <w:pPr>
              <w:spacing w:after="0"/>
              <w:jc w:val="right"/>
              <w:rPr>
                <w:noProof/>
                <w:sz w:val="20"/>
              </w:rPr>
            </w:pPr>
            <w:r>
              <w:rPr>
                <w:noProof/>
                <w:sz w:val="20"/>
              </w:rPr>
              <w:t>ex 0305 10 00</w:t>
            </w:r>
          </w:p>
          <w:p>
            <w:pPr>
              <w:spacing w:after="0"/>
              <w:jc w:val="right"/>
              <w:rPr>
                <w:noProof/>
                <w:sz w:val="20"/>
              </w:rPr>
            </w:pPr>
            <w:r>
              <w:rPr>
                <w:noProof/>
                <w:sz w:val="20"/>
              </w:rPr>
              <w:t>ex 0305 39 90</w:t>
            </w:r>
          </w:p>
          <w:p>
            <w:pPr>
              <w:spacing w:after="0"/>
              <w:jc w:val="right"/>
              <w:rPr>
                <w:noProof/>
                <w:sz w:val="20"/>
              </w:rPr>
            </w:pPr>
            <w:r>
              <w:rPr>
                <w:noProof/>
                <w:sz w:val="20"/>
              </w:rPr>
              <w:t>0305 43 00</w:t>
            </w:r>
          </w:p>
          <w:p>
            <w:pPr>
              <w:spacing w:after="0"/>
              <w:jc w:val="right"/>
              <w:rPr>
                <w:noProof/>
                <w:sz w:val="20"/>
              </w:rPr>
            </w:pPr>
            <w:r>
              <w:rPr>
                <w:noProof/>
                <w:sz w:val="20"/>
              </w:rPr>
              <w:t>ex 0305 59 80</w:t>
            </w:r>
          </w:p>
          <w:p>
            <w:pPr>
              <w:spacing w:after="0"/>
              <w:jc w:val="right"/>
              <w:rPr>
                <w:noProof/>
                <w:sz w:val="20"/>
              </w:rPr>
            </w:pPr>
            <w:r>
              <w:rPr>
                <w:noProof/>
                <w:sz w:val="20"/>
              </w:rPr>
              <w:t>ex 0305 69 80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left"/>
              <w:rPr>
                <w:noProof/>
                <w:sz w:val="20"/>
              </w:rPr>
            </w:pPr>
            <w:r>
              <w:rPr>
                <w:noProof/>
                <w:sz w:val="20"/>
              </w:rPr>
              <w:t>Pisztráng (</w:t>
            </w:r>
            <w:r>
              <w:rPr>
                <w:i/>
                <w:noProof/>
                <w:sz w:val="20"/>
              </w:rPr>
              <w:t>Salmo trutta</w:t>
            </w:r>
            <w:r>
              <w:rPr>
                <w:noProof/>
                <w:sz w:val="20"/>
              </w:rPr>
              <w:t xml:space="preserve">, </w:t>
            </w:r>
            <w:r>
              <w:rPr>
                <w:i/>
                <w:noProof/>
                <w:sz w:val="20"/>
              </w:rPr>
              <w:t>Oncorhynchus mykiss, Oncorhynchus clarki</w:t>
            </w:r>
            <w:r>
              <w:rPr>
                <w:noProof/>
                <w:sz w:val="20"/>
              </w:rPr>
              <w:t xml:space="preserve">, </w:t>
            </w:r>
            <w:r>
              <w:rPr>
                <w:i/>
                <w:noProof/>
                <w:sz w:val="20"/>
              </w:rPr>
              <w:t>Oncorhynchus aguabonita</w:t>
            </w:r>
            <w:r>
              <w:rPr>
                <w:noProof/>
                <w:sz w:val="20"/>
              </w:rPr>
              <w:t xml:space="preserve">, </w:t>
            </w:r>
            <w:r>
              <w:rPr>
                <w:i/>
                <w:noProof/>
                <w:sz w:val="20"/>
              </w:rPr>
              <w:t>Oncorhynchus gilae</w:t>
            </w:r>
            <w:r>
              <w:rPr>
                <w:noProof/>
                <w:sz w:val="20"/>
              </w:rPr>
              <w:t xml:space="preserve">, </w:t>
            </w:r>
            <w:r>
              <w:rPr>
                <w:i/>
                <w:noProof/>
                <w:sz w:val="20"/>
              </w:rPr>
              <w:t>Oncorhynchus apache</w:t>
            </w:r>
            <w:r>
              <w:rPr>
                <w:noProof/>
                <w:sz w:val="20"/>
              </w:rPr>
              <w:t xml:space="preserve"> és </w:t>
            </w:r>
            <w:r>
              <w:rPr>
                <w:i/>
                <w:noProof/>
                <w:sz w:val="20"/>
              </w:rPr>
              <w:t>Oncorhynchus chrysogaster</w:t>
            </w:r>
            <w:r>
              <w:rPr>
                <w:noProof/>
                <w:sz w:val="20"/>
              </w:rPr>
              <w:t>): élve; frissen vagy hűtve; fagyasztva; szárítva, sózva vagy sós lében tartósítva, füstölve; halfilé és más halhús; emberi fogyasztásra alkalmas liszt, dara és labdacs (pellet)</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center"/>
              <w:rPr>
                <w:noProof/>
                <w:sz w:val="20"/>
              </w:rPr>
            </w:pPr>
            <w:r>
              <w:rPr>
                <w:noProof/>
                <w:sz w:val="20"/>
              </w:rPr>
              <w:t>500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0 %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Az MFN vám 70 %-a</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right"/>
              <w:rPr>
                <w:noProof/>
                <w:sz w:val="20"/>
              </w:rPr>
            </w:pPr>
            <w:r>
              <w:rPr>
                <w:noProof/>
                <w:sz w:val="20"/>
              </w:rPr>
              <w:t>0301 93 00</w:t>
            </w:r>
          </w:p>
          <w:p>
            <w:pPr>
              <w:spacing w:after="0"/>
              <w:jc w:val="right"/>
              <w:rPr>
                <w:noProof/>
                <w:sz w:val="20"/>
              </w:rPr>
            </w:pPr>
            <w:r>
              <w:rPr>
                <w:noProof/>
                <w:sz w:val="20"/>
              </w:rPr>
              <w:t>0302 73 00</w:t>
            </w:r>
          </w:p>
          <w:p>
            <w:pPr>
              <w:spacing w:after="0"/>
              <w:jc w:val="right"/>
              <w:rPr>
                <w:noProof/>
                <w:sz w:val="20"/>
              </w:rPr>
            </w:pPr>
            <w:r>
              <w:rPr>
                <w:noProof/>
                <w:sz w:val="20"/>
              </w:rPr>
              <w:t>0303 25 00</w:t>
            </w:r>
          </w:p>
          <w:p>
            <w:pPr>
              <w:spacing w:after="0"/>
              <w:jc w:val="right"/>
              <w:rPr>
                <w:noProof/>
                <w:sz w:val="20"/>
              </w:rPr>
            </w:pPr>
            <w:r>
              <w:rPr>
                <w:noProof/>
                <w:sz w:val="20"/>
              </w:rPr>
              <w:t>ex 0304 39 00</w:t>
            </w:r>
          </w:p>
          <w:p>
            <w:pPr>
              <w:spacing w:after="0"/>
              <w:jc w:val="right"/>
              <w:rPr>
                <w:noProof/>
                <w:sz w:val="20"/>
              </w:rPr>
            </w:pPr>
            <w:r>
              <w:rPr>
                <w:noProof/>
                <w:sz w:val="20"/>
              </w:rPr>
              <w:t>ex 0304 51 00</w:t>
            </w:r>
          </w:p>
          <w:p>
            <w:pPr>
              <w:spacing w:after="0"/>
              <w:jc w:val="right"/>
              <w:rPr>
                <w:noProof/>
                <w:sz w:val="20"/>
              </w:rPr>
            </w:pPr>
            <w:r>
              <w:rPr>
                <w:noProof/>
                <w:sz w:val="20"/>
              </w:rPr>
              <w:t>ex 0304 69 00</w:t>
            </w:r>
          </w:p>
          <w:p>
            <w:pPr>
              <w:spacing w:after="0"/>
              <w:jc w:val="right"/>
              <w:rPr>
                <w:noProof/>
                <w:sz w:val="20"/>
              </w:rPr>
            </w:pPr>
            <w:r>
              <w:rPr>
                <w:noProof/>
                <w:sz w:val="20"/>
              </w:rPr>
              <w:t>ex 0304 93 90</w:t>
            </w:r>
          </w:p>
          <w:p>
            <w:pPr>
              <w:spacing w:after="0"/>
              <w:jc w:val="right"/>
              <w:rPr>
                <w:noProof/>
                <w:sz w:val="20"/>
              </w:rPr>
            </w:pPr>
            <w:r>
              <w:rPr>
                <w:noProof/>
                <w:sz w:val="20"/>
              </w:rPr>
              <w:lastRenderedPageBreak/>
              <w:t>ex 0305 10 00</w:t>
            </w:r>
          </w:p>
          <w:p>
            <w:pPr>
              <w:spacing w:after="0"/>
              <w:jc w:val="right"/>
              <w:rPr>
                <w:noProof/>
                <w:sz w:val="20"/>
              </w:rPr>
            </w:pPr>
            <w:r>
              <w:rPr>
                <w:noProof/>
                <w:sz w:val="20"/>
              </w:rPr>
              <w:t>ex 0305 31 00</w:t>
            </w:r>
          </w:p>
          <w:p>
            <w:pPr>
              <w:spacing w:after="0"/>
              <w:jc w:val="right"/>
              <w:rPr>
                <w:noProof/>
                <w:sz w:val="20"/>
              </w:rPr>
            </w:pPr>
            <w:r>
              <w:rPr>
                <w:noProof/>
                <w:sz w:val="20"/>
              </w:rPr>
              <w:t>ex 0305 44 90</w:t>
            </w:r>
          </w:p>
          <w:p>
            <w:pPr>
              <w:spacing w:after="0"/>
              <w:jc w:val="right"/>
              <w:rPr>
                <w:noProof/>
                <w:sz w:val="20"/>
              </w:rPr>
            </w:pPr>
            <w:r>
              <w:rPr>
                <w:noProof/>
                <w:sz w:val="20"/>
              </w:rPr>
              <w:t>ex 0305 59 80</w:t>
            </w:r>
          </w:p>
          <w:p>
            <w:pPr>
              <w:spacing w:after="0"/>
              <w:jc w:val="right"/>
              <w:rPr>
                <w:noProof/>
                <w:sz w:val="20"/>
              </w:rPr>
            </w:pPr>
            <w:r>
              <w:rPr>
                <w:noProof/>
                <w:sz w:val="20"/>
              </w:rPr>
              <w:t>ex 0305 69 80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left"/>
              <w:rPr>
                <w:noProof/>
                <w:sz w:val="20"/>
              </w:rPr>
            </w:pPr>
            <w:r>
              <w:rPr>
                <w:noProof/>
                <w:sz w:val="20"/>
              </w:rPr>
              <w:lastRenderedPageBreak/>
              <w:t>Ponty (</w:t>
            </w:r>
            <w:r>
              <w:rPr>
                <w:i/>
                <w:noProof/>
                <w:sz w:val="20"/>
              </w:rPr>
              <w:t>Cyprinus carpio</w:t>
            </w:r>
            <w:r>
              <w:rPr>
                <w:noProof/>
                <w:sz w:val="20"/>
              </w:rPr>
              <w:t xml:space="preserve">, </w:t>
            </w:r>
            <w:r>
              <w:rPr>
                <w:i/>
                <w:noProof/>
                <w:sz w:val="20"/>
              </w:rPr>
              <w:t>Carassius carassius</w:t>
            </w:r>
            <w:r>
              <w:rPr>
                <w:noProof/>
                <w:sz w:val="20"/>
              </w:rPr>
              <w:t xml:space="preserve">, </w:t>
            </w:r>
            <w:r>
              <w:rPr>
                <w:i/>
                <w:noProof/>
                <w:sz w:val="20"/>
              </w:rPr>
              <w:t>Ctenopharyngodon idellus</w:t>
            </w:r>
            <w:r>
              <w:rPr>
                <w:noProof/>
                <w:sz w:val="20"/>
              </w:rPr>
              <w:t xml:space="preserve">, </w:t>
            </w:r>
            <w:r>
              <w:rPr>
                <w:i/>
                <w:noProof/>
                <w:sz w:val="20"/>
              </w:rPr>
              <w:t>Hypophthalmichthys</w:t>
            </w:r>
            <w:r>
              <w:rPr>
                <w:noProof/>
                <w:sz w:val="20"/>
              </w:rPr>
              <w:t xml:space="preserve"> spp., </w:t>
            </w:r>
            <w:r>
              <w:rPr>
                <w:i/>
                <w:noProof/>
                <w:sz w:val="20"/>
              </w:rPr>
              <w:t>Cirrhinus</w:t>
            </w:r>
            <w:r>
              <w:rPr>
                <w:noProof/>
                <w:sz w:val="20"/>
              </w:rPr>
              <w:t xml:space="preserve"> spp., </w:t>
            </w:r>
            <w:r>
              <w:rPr>
                <w:i/>
                <w:noProof/>
                <w:sz w:val="20"/>
              </w:rPr>
              <w:t>Mylopharyngodon piceus</w:t>
            </w:r>
            <w:r>
              <w:rPr>
                <w:noProof/>
                <w:sz w:val="20"/>
              </w:rPr>
              <w:t>): élve; frissen vagy hűtve; fagyasztva; szárítva, sózva vagy sós lében tartósítva, füstölve; halfilé és más halhús; emberi fogyasztásra alkalmas liszt, dara és labdacs (pellet)</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center"/>
              <w:rPr>
                <w:noProof/>
                <w:sz w:val="20"/>
              </w:rPr>
            </w:pPr>
            <w:r>
              <w:rPr>
                <w:noProof/>
                <w:sz w:val="20"/>
              </w:rPr>
              <w:t>140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0 %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Az MFN vám 70 %-a</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hideMark/>
          </w:tcPr>
          <w:p>
            <w:pPr>
              <w:spacing w:after="0"/>
              <w:jc w:val="right"/>
              <w:rPr>
                <w:noProof/>
                <w:sz w:val="20"/>
              </w:rPr>
            </w:pPr>
            <w:r>
              <w:rPr>
                <w:noProof/>
                <w:sz w:val="20"/>
              </w:rPr>
              <w:lastRenderedPageBreak/>
              <w:t>ex 0301 99 85</w:t>
            </w:r>
          </w:p>
          <w:p>
            <w:pPr>
              <w:spacing w:after="0"/>
              <w:jc w:val="right"/>
              <w:rPr>
                <w:noProof/>
                <w:sz w:val="20"/>
              </w:rPr>
            </w:pPr>
            <w:r>
              <w:rPr>
                <w:noProof/>
                <w:sz w:val="20"/>
              </w:rPr>
              <w:t>0302 85 10</w:t>
            </w:r>
          </w:p>
          <w:p>
            <w:pPr>
              <w:spacing w:after="0"/>
              <w:jc w:val="right"/>
              <w:rPr>
                <w:noProof/>
                <w:sz w:val="20"/>
              </w:rPr>
            </w:pPr>
            <w:r>
              <w:rPr>
                <w:noProof/>
                <w:sz w:val="20"/>
              </w:rPr>
              <w:t>0303 89 50</w:t>
            </w:r>
          </w:p>
          <w:p>
            <w:pPr>
              <w:spacing w:after="0"/>
              <w:jc w:val="right"/>
              <w:rPr>
                <w:noProof/>
                <w:sz w:val="20"/>
              </w:rPr>
            </w:pPr>
            <w:r>
              <w:rPr>
                <w:noProof/>
                <w:sz w:val="20"/>
              </w:rPr>
              <w:t>ex 0304 49 90</w:t>
            </w:r>
          </w:p>
          <w:p>
            <w:pPr>
              <w:spacing w:after="0"/>
              <w:jc w:val="right"/>
              <w:rPr>
                <w:noProof/>
                <w:sz w:val="20"/>
              </w:rPr>
            </w:pPr>
            <w:r>
              <w:rPr>
                <w:noProof/>
                <w:sz w:val="20"/>
              </w:rPr>
              <w:t>ex 0304 59 90</w:t>
            </w:r>
          </w:p>
          <w:p>
            <w:pPr>
              <w:spacing w:after="0"/>
              <w:jc w:val="right"/>
              <w:rPr>
                <w:noProof/>
                <w:sz w:val="20"/>
              </w:rPr>
            </w:pPr>
            <w:r>
              <w:rPr>
                <w:noProof/>
                <w:sz w:val="20"/>
              </w:rPr>
              <w:t>ex 0304 89 90</w:t>
            </w:r>
          </w:p>
          <w:p>
            <w:pPr>
              <w:spacing w:after="0"/>
              <w:jc w:val="right"/>
              <w:rPr>
                <w:noProof/>
                <w:sz w:val="20"/>
              </w:rPr>
            </w:pPr>
            <w:r>
              <w:rPr>
                <w:noProof/>
                <w:sz w:val="20"/>
              </w:rPr>
              <w:t>ex 0304 99 99</w:t>
            </w:r>
          </w:p>
          <w:p>
            <w:pPr>
              <w:spacing w:after="0"/>
              <w:jc w:val="right"/>
              <w:rPr>
                <w:noProof/>
                <w:sz w:val="20"/>
              </w:rPr>
            </w:pPr>
            <w:r>
              <w:rPr>
                <w:noProof/>
                <w:sz w:val="20"/>
              </w:rPr>
              <w:t>ex 0305 10 00</w:t>
            </w:r>
          </w:p>
          <w:p>
            <w:pPr>
              <w:spacing w:after="0"/>
              <w:jc w:val="right"/>
              <w:rPr>
                <w:noProof/>
                <w:sz w:val="20"/>
              </w:rPr>
            </w:pPr>
            <w:r>
              <w:rPr>
                <w:noProof/>
                <w:sz w:val="20"/>
              </w:rPr>
              <w:t>ex 0305 39 90</w:t>
            </w:r>
          </w:p>
          <w:p>
            <w:pPr>
              <w:spacing w:after="0"/>
              <w:jc w:val="right"/>
              <w:rPr>
                <w:noProof/>
                <w:sz w:val="20"/>
              </w:rPr>
            </w:pPr>
            <w:r>
              <w:rPr>
                <w:noProof/>
                <w:sz w:val="20"/>
              </w:rPr>
              <w:t>ex 0305 49 80</w:t>
            </w:r>
          </w:p>
          <w:p>
            <w:pPr>
              <w:spacing w:after="0"/>
              <w:jc w:val="right"/>
              <w:rPr>
                <w:noProof/>
                <w:sz w:val="20"/>
              </w:rPr>
            </w:pPr>
            <w:r>
              <w:rPr>
                <w:noProof/>
                <w:sz w:val="20"/>
              </w:rPr>
              <w:t>ex 0305 59 80</w:t>
            </w:r>
          </w:p>
          <w:p>
            <w:pPr>
              <w:spacing w:after="0"/>
              <w:jc w:val="right"/>
              <w:rPr>
                <w:noProof/>
                <w:sz w:val="20"/>
              </w:rPr>
            </w:pPr>
            <w:r>
              <w:rPr>
                <w:noProof/>
                <w:sz w:val="20"/>
              </w:rPr>
              <w:t>ex 0305 69 80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left"/>
              <w:rPr>
                <w:noProof/>
                <w:sz w:val="20"/>
              </w:rPr>
            </w:pPr>
            <w:r>
              <w:rPr>
                <w:noProof/>
                <w:sz w:val="20"/>
              </w:rPr>
              <w:t>Tengeri fogas (</w:t>
            </w:r>
            <w:r>
              <w:rPr>
                <w:i/>
                <w:noProof/>
                <w:sz w:val="20"/>
              </w:rPr>
              <w:t>Dentex dentex </w:t>
            </w:r>
            <w:r>
              <w:rPr>
                <w:noProof/>
                <w:sz w:val="20"/>
              </w:rPr>
              <w:t xml:space="preserve">és </w:t>
            </w:r>
            <w:r>
              <w:rPr>
                <w:i/>
                <w:noProof/>
                <w:sz w:val="20"/>
              </w:rPr>
              <w:t>Pagellus</w:t>
            </w:r>
            <w:r>
              <w:rPr>
                <w:noProof/>
                <w:sz w:val="20"/>
              </w:rPr>
              <w:t xml:space="preserve"> spp.): élve; frissen vagy hűtve; fagyasztva; szárítva, sózva vagy sós lében tartósítva, füstölve; halfilé és más halhús; emberi fogyasztásra alkalmas liszt, dara és labdacs (pellet)</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center"/>
              <w:rPr>
                <w:noProof/>
                <w:sz w:val="20"/>
              </w:rPr>
            </w:pPr>
            <w:r>
              <w:rPr>
                <w:noProof/>
                <w:sz w:val="20"/>
              </w:rPr>
              <w:t>30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0 %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Az MFN vám 30 %-a</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right"/>
              <w:rPr>
                <w:noProof/>
                <w:sz w:val="20"/>
              </w:rPr>
            </w:pPr>
            <w:r>
              <w:rPr>
                <w:noProof/>
                <w:sz w:val="20"/>
              </w:rPr>
              <w:t>ex 0301 99 85</w:t>
            </w:r>
          </w:p>
          <w:p>
            <w:pPr>
              <w:spacing w:after="0"/>
              <w:jc w:val="right"/>
              <w:rPr>
                <w:noProof/>
                <w:sz w:val="20"/>
              </w:rPr>
            </w:pPr>
            <w:r>
              <w:rPr>
                <w:noProof/>
                <w:sz w:val="20"/>
              </w:rPr>
              <w:t>0302 84 10</w:t>
            </w:r>
          </w:p>
          <w:p>
            <w:pPr>
              <w:spacing w:after="0"/>
              <w:jc w:val="right"/>
              <w:rPr>
                <w:noProof/>
                <w:sz w:val="20"/>
              </w:rPr>
            </w:pPr>
            <w:r>
              <w:rPr>
                <w:noProof/>
                <w:sz w:val="20"/>
              </w:rPr>
              <w:t>0303 84 10</w:t>
            </w:r>
          </w:p>
          <w:p>
            <w:pPr>
              <w:spacing w:after="0"/>
              <w:jc w:val="right"/>
              <w:rPr>
                <w:noProof/>
                <w:sz w:val="20"/>
              </w:rPr>
            </w:pPr>
            <w:r>
              <w:rPr>
                <w:noProof/>
                <w:sz w:val="20"/>
              </w:rPr>
              <w:t>ex 0304 49 90</w:t>
            </w:r>
          </w:p>
          <w:p>
            <w:pPr>
              <w:spacing w:after="0"/>
              <w:jc w:val="right"/>
              <w:rPr>
                <w:noProof/>
                <w:sz w:val="20"/>
              </w:rPr>
            </w:pPr>
            <w:r>
              <w:rPr>
                <w:noProof/>
                <w:sz w:val="20"/>
              </w:rPr>
              <w:t>ex 0304 59 90</w:t>
            </w:r>
          </w:p>
          <w:p>
            <w:pPr>
              <w:spacing w:after="0"/>
              <w:jc w:val="right"/>
              <w:rPr>
                <w:noProof/>
                <w:sz w:val="20"/>
              </w:rPr>
            </w:pPr>
            <w:r>
              <w:rPr>
                <w:noProof/>
                <w:sz w:val="20"/>
              </w:rPr>
              <w:t>ex 0304 89 90</w:t>
            </w:r>
          </w:p>
          <w:p>
            <w:pPr>
              <w:spacing w:after="0"/>
              <w:jc w:val="right"/>
              <w:rPr>
                <w:noProof/>
                <w:sz w:val="20"/>
              </w:rPr>
            </w:pPr>
            <w:r>
              <w:rPr>
                <w:noProof/>
                <w:sz w:val="20"/>
              </w:rPr>
              <w:t>ex 0304 99 99</w:t>
            </w:r>
          </w:p>
          <w:p>
            <w:pPr>
              <w:spacing w:after="0"/>
              <w:jc w:val="right"/>
              <w:rPr>
                <w:noProof/>
                <w:sz w:val="20"/>
              </w:rPr>
            </w:pPr>
            <w:r>
              <w:rPr>
                <w:noProof/>
                <w:sz w:val="20"/>
              </w:rPr>
              <w:t>ex 0305 10 00</w:t>
            </w:r>
          </w:p>
          <w:p>
            <w:pPr>
              <w:spacing w:after="0"/>
              <w:jc w:val="right"/>
              <w:rPr>
                <w:noProof/>
                <w:sz w:val="20"/>
              </w:rPr>
            </w:pPr>
            <w:r>
              <w:rPr>
                <w:noProof/>
                <w:sz w:val="20"/>
              </w:rPr>
              <w:t>ex 0305 39 90</w:t>
            </w:r>
          </w:p>
          <w:p>
            <w:pPr>
              <w:spacing w:after="0"/>
              <w:jc w:val="right"/>
              <w:rPr>
                <w:noProof/>
                <w:sz w:val="20"/>
              </w:rPr>
            </w:pPr>
            <w:r>
              <w:rPr>
                <w:noProof/>
                <w:sz w:val="20"/>
              </w:rPr>
              <w:t>ex 0305 49 80</w:t>
            </w:r>
          </w:p>
          <w:p>
            <w:pPr>
              <w:spacing w:after="0"/>
              <w:jc w:val="right"/>
              <w:rPr>
                <w:noProof/>
                <w:sz w:val="20"/>
              </w:rPr>
            </w:pPr>
            <w:r>
              <w:rPr>
                <w:noProof/>
                <w:sz w:val="20"/>
              </w:rPr>
              <w:t>ex 0305 59 80</w:t>
            </w:r>
          </w:p>
          <w:p>
            <w:pPr>
              <w:spacing w:after="0"/>
              <w:jc w:val="right"/>
              <w:rPr>
                <w:noProof/>
                <w:sz w:val="20"/>
              </w:rPr>
            </w:pPr>
            <w:r>
              <w:rPr>
                <w:noProof/>
                <w:sz w:val="20"/>
              </w:rPr>
              <w:t>ex 0305 69 80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left"/>
              <w:rPr>
                <w:noProof/>
                <w:sz w:val="20"/>
              </w:rPr>
            </w:pPr>
            <w:r>
              <w:rPr>
                <w:noProof/>
                <w:sz w:val="20"/>
              </w:rPr>
              <w:t xml:space="preserve">Tengeri sügér </w:t>
            </w:r>
            <w:r>
              <w:rPr>
                <w:i/>
                <w:noProof/>
                <w:sz w:val="20"/>
              </w:rPr>
              <w:t>(Dicentrarchus labrax)</w:t>
            </w:r>
            <w:r>
              <w:rPr>
                <w:noProof/>
                <w:sz w:val="20"/>
              </w:rPr>
              <w:t>: élve; frissen vagy hűtve; fagyasztva; szárítva, sózva vagy sós lében tartósítva, füstölve; halfilé és más halhús; emberi fogyasztásra alkalmas liszt, dara és labdacs (pellet)</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spacing w:after="0"/>
              <w:jc w:val="center"/>
              <w:rPr>
                <w:noProof/>
                <w:sz w:val="20"/>
              </w:rPr>
            </w:pPr>
            <w:r>
              <w:rPr>
                <w:noProof/>
                <w:sz w:val="20"/>
              </w:rPr>
              <w:t>30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0 %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Az MFN vám 30 %-a</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jc w:val="right"/>
              <w:rPr>
                <w:noProof/>
                <w:sz w:val="20"/>
              </w:rPr>
            </w:pPr>
            <w:r>
              <w:rPr>
                <w:noProof/>
                <w:sz w:val="20"/>
              </w:rPr>
              <w:t>1604 13 11</w:t>
            </w:r>
          </w:p>
          <w:p>
            <w:pPr>
              <w:spacing w:after="0"/>
              <w:jc w:val="right"/>
              <w:rPr>
                <w:noProof/>
                <w:sz w:val="20"/>
              </w:rPr>
            </w:pPr>
            <w:r>
              <w:rPr>
                <w:noProof/>
                <w:sz w:val="20"/>
              </w:rPr>
              <w:t>1604 13 19</w:t>
            </w:r>
          </w:p>
          <w:p>
            <w:pPr>
              <w:spacing w:after="0"/>
              <w:jc w:val="right"/>
              <w:rPr>
                <w:noProof/>
                <w:sz w:val="20"/>
              </w:rPr>
            </w:pPr>
            <w:r>
              <w:rPr>
                <w:noProof/>
                <w:sz w:val="20"/>
              </w:rPr>
              <w:t>ex 1604 20 50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rPr>
                <w:noProof/>
                <w:sz w:val="20"/>
              </w:rPr>
            </w:pPr>
            <w:r>
              <w:rPr>
                <w:noProof/>
                <w:sz w:val="20"/>
              </w:rPr>
              <w:t>Elkészített vagy tartósított szardínia</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jc w:val="center"/>
              <w:rPr>
                <w:noProof/>
                <w:sz w:val="20"/>
              </w:rPr>
            </w:pPr>
            <w:r>
              <w:rPr>
                <w:noProof/>
                <w:sz w:val="20"/>
              </w:rPr>
              <w:t>50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6 %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100 %</w:t>
            </w:r>
          </w:p>
        </w:tc>
      </w:tr>
      <w:tr>
        <w:tc>
          <w:tcPr>
            <w:tcW w:w="682" w:type="pct"/>
            <w:tcBorders>
              <w:top w:val="single" w:sz="6" w:space="0" w:color="000000"/>
              <w:left w:val="nil"/>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jc w:val="right"/>
              <w:rPr>
                <w:noProof/>
                <w:sz w:val="20"/>
              </w:rPr>
            </w:pPr>
            <w:r>
              <w:rPr>
                <w:noProof/>
                <w:sz w:val="20"/>
              </w:rPr>
              <w:t>1604 16 00</w:t>
            </w:r>
          </w:p>
          <w:p>
            <w:pPr>
              <w:spacing w:after="0"/>
              <w:jc w:val="right"/>
              <w:rPr>
                <w:noProof/>
                <w:sz w:val="20"/>
              </w:rPr>
            </w:pPr>
            <w:r>
              <w:rPr>
                <w:noProof/>
                <w:sz w:val="20"/>
              </w:rPr>
              <w:t>1604 20 40</w:t>
            </w:r>
          </w:p>
        </w:tc>
        <w:tc>
          <w:tcPr>
            <w:tcW w:w="1683"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rPr>
                <w:noProof/>
                <w:sz w:val="20"/>
              </w:rPr>
            </w:pPr>
            <w:r>
              <w:rPr>
                <w:noProof/>
                <w:sz w:val="20"/>
              </w:rPr>
              <w:t>Elkészített vagy tartósított szardella</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tcPr>
          <w:p>
            <w:pPr>
              <w:spacing w:after="0"/>
              <w:jc w:val="center"/>
              <w:rPr>
                <w:noProof/>
                <w:sz w:val="20"/>
              </w:rPr>
            </w:pPr>
            <w:r>
              <w:rPr>
                <w:noProof/>
                <w:sz w:val="20"/>
              </w:rPr>
              <w:t>70</w:t>
            </w:r>
          </w:p>
        </w:tc>
        <w:tc>
          <w:tcPr>
            <w:tcW w:w="879" w:type="pct"/>
            <w:tcBorders>
              <w:top w:val="single" w:sz="6" w:space="0" w:color="000000"/>
              <w:left w:val="single" w:sz="6" w:space="0" w:color="000000"/>
              <w:bottom w:val="single" w:sz="6" w:space="0" w:color="000000"/>
              <w:right w:val="single" w:sz="6" w:space="0" w:color="000000"/>
            </w:tcBorders>
            <w:shd w:val="clear" w:color="auto" w:fill="FFFFFF"/>
            <w:vAlign w:val="center"/>
          </w:tcPr>
          <w:p>
            <w:pPr>
              <w:spacing w:after="0"/>
              <w:jc w:val="center"/>
              <w:rPr>
                <w:noProof/>
                <w:sz w:val="20"/>
              </w:rPr>
            </w:pPr>
            <w:r>
              <w:rPr>
                <w:noProof/>
                <w:sz w:val="20"/>
              </w:rPr>
              <w:t>12,5 %</w:t>
            </w:r>
          </w:p>
        </w:tc>
        <w:tc>
          <w:tcPr>
            <w:tcW w:w="877" w:type="pct"/>
            <w:tcBorders>
              <w:top w:val="single" w:sz="6" w:space="0" w:color="000000"/>
              <w:left w:val="single" w:sz="6" w:space="0" w:color="000000"/>
              <w:bottom w:val="single" w:sz="6" w:space="0" w:color="000000"/>
              <w:right w:val="nil"/>
            </w:tcBorders>
            <w:shd w:val="clear" w:color="auto" w:fill="FFFFFF"/>
            <w:vAlign w:val="center"/>
          </w:tcPr>
          <w:p>
            <w:pPr>
              <w:spacing w:after="0"/>
              <w:jc w:val="center"/>
              <w:rPr>
                <w:noProof/>
                <w:sz w:val="20"/>
              </w:rPr>
            </w:pPr>
            <w:r>
              <w:rPr>
                <w:noProof/>
                <w:sz w:val="20"/>
              </w:rPr>
              <w:t>100 %</w:t>
            </w:r>
          </w:p>
        </w:tc>
      </w:tr>
    </w:tbl>
    <w:p>
      <w:pPr>
        <w:spacing w:after="0"/>
        <w:rPr>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spacing w:after="0"/>
              <w:rPr>
                <w:noProof/>
                <w:sz w:val="20"/>
              </w:rPr>
            </w:pPr>
            <w:r>
              <w:rPr>
                <w:noProof/>
                <w:sz w:val="20"/>
              </w:rPr>
              <w:t xml:space="preserve">Az elkészített vagy konzervált szardínia és szardella kivételével a 1604 HR-vámtarifaszám alá tartozó </w:t>
            </w:r>
            <w:r>
              <w:rPr>
                <w:noProof/>
                <w:sz w:val="20"/>
              </w:rPr>
              <w:lastRenderedPageBreak/>
              <w:t xml:space="preserve">minden termék esetében a vámtétel az MFN vámz MFN vám 70 %-ára csökken. </w:t>
            </w:r>
          </w:p>
          <w:p>
            <w:pPr>
              <w:rPr>
                <w:noProof/>
                <w:sz w:val="20"/>
              </w:rPr>
            </w:pPr>
          </w:p>
        </w:tc>
      </w:tr>
    </w:tbl>
    <w:p>
      <w:pPr>
        <w:spacing w:before="0" w:after="200" w:line="276" w:lineRule="auto"/>
        <w:jc w:val="left"/>
        <w:rPr>
          <w:noProof/>
        </w:rPr>
      </w:pPr>
      <w:r>
        <w:rPr>
          <w:noProof/>
        </w:rPr>
        <w:lastRenderedPageBreak/>
        <w:br w:type="page"/>
      </w:r>
    </w:p>
    <w:p>
      <w:pPr>
        <w:spacing w:after="0"/>
        <w:ind w:left="180"/>
        <w:jc w:val="right"/>
        <w:rPr>
          <w:rStyle w:val="Corpsdutexte9"/>
          <w:rFonts w:eastAsiaTheme="minorHAnsi"/>
          <w:b/>
          <w:noProof/>
          <w:sz w:val="20"/>
        </w:rPr>
      </w:pPr>
      <w:r>
        <w:rPr>
          <w:rStyle w:val="Corpsdutexte9"/>
          <w:rFonts w:eastAsiaTheme="minorHAnsi"/>
          <w:b/>
          <w:noProof/>
          <w:sz w:val="20"/>
        </w:rPr>
        <w:lastRenderedPageBreak/>
        <w:t>III. MELLÉKLET</w:t>
      </w:r>
    </w:p>
    <w:p>
      <w:pPr>
        <w:spacing w:after="0"/>
        <w:ind w:left="180"/>
        <w:jc w:val="center"/>
        <w:rPr>
          <w:b/>
          <w:noProof/>
          <w:sz w:val="20"/>
        </w:rPr>
      </w:pPr>
    </w:p>
    <w:p>
      <w:pPr>
        <w:spacing w:after="0"/>
        <w:ind w:left="180"/>
        <w:jc w:val="center"/>
        <w:rPr>
          <w:b/>
          <w:noProof/>
          <w:sz w:val="20"/>
        </w:rPr>
      </w:pPr>
    </w:p>
    <w:p>
      <w:pPr>
        <w:spacing w:after="0"/>
        <w:ind w:left="180"/>
        <w:jc w:val="center"/>
        <w:rPr>
          <w:b/>
          <w:noProof/>
          <w:sz w:val="20"/>
        </w:rPr>
      </w:pPr>
    </w:p>
    <w:p>
      <w:pPr>
        <w:spacing w:after="0"/>
        <w:ind w:left="180"/>
        <w:jc w:val="center"/>
        <w:rPr>
          <w:rStyle w:val="Corpsdutexte4"/>
          <w:rFonts w:eastAsiaTheme="minorHAnsi"/>
          <w:b/>
          <w:noProof/>
          <w:sz w:val="20"/>
        </w:rPr>
      </w:pPr>
      <w:r>
        <w:rPr>
          <w:rStyle w:val="Corpsdutexte4"/>
          <w:rFonts w:eastAsiaTheme="minorHAnsi"/>
          <w:i/>
          <w:noProof/>
          <w:sz w:val="20"/>
        </w:rPr>
        <w:t>„AZ 1. JEGYZŐKÖNYV III. MELLÉKLETE</w:t>
      </w:r>
      <w:r>
        <w:rPr>
          <w:rStyle w:val="Corpsdutexte4"/>
          <w:rFonts w:eastAsiaTheme="minorHAnsi"/>
          <w:i/>
          <w:noProof/>
          <w:sz w:val="20"/>
        </w:rPr>
        <w:br/>
      </w:r>
      <w:r>
        <w:rPr>
          <w:rStyle w:val="Corpsdutexte4"/>
          <w:rFonts w:eastAsiaTheme="minorHAnsi"/>
          <w:b/>
          <w:noProof/>
          <w:sz w:val="20"/>
        </w:rPr>
        <w:br/>
      </w:r>
      <w:r>
        <w:rPr>
          <w:rStyle w:val="Corpsdutexte4"/>
          <w:rFonts w:eastAsiaTheme="minorHAnsi"/>
          <w:b/>
          <w:noProof/>
          <w:sz w:val="20"/>
        </w:rPr>
        <w:br/>
      </w:r>
      <w:r>
        <w:rPr>
          <w:rStyle w:val="Corpsdutexte4"/>
          <w:rFonts w:eastAsiaTheme="minorHAnsi"/>
          <w:i/>
          <w:noProof/>
          <w:sz w:val="20"/>
        </w:rPr>
        <w:br/>
      </w:r>
      <w:r>
        <w:rPr>
          <w:rStyle w:val="Corpsdutexte4"/>
          <w:rFonts w:eastAsiaTheme="minorHAnsi"/>
          <w:b/>
          <w:noProof/>
          <w:sz w:val="20"/>
        </w:rPr>
        <w:br/>
        <w:t>AZ EURÓPAI UNIÓBÓL SZÁRMAZÓ FELDOLGOZOTT MEZŐGAZDASÁGI TERMÉKEKRE TERMÉKEKRE VONATKOZÓ BOSZNIA ÉS HERCEGOVINAI VÁMENGEDMÉNYEK</w:t>
      </w:r>
    </w:p>
    <w:p>
      <w:pPr>
        <w:spacing w:after="0"/>
        <w:ind w:left="180"/>
        <w:jc w:val="center"/>
        <w:rPr>
          <w:b/>
          <w:noProof/>
          <w:sz w:val="20"/>
        </w:rPr>
      </w:pPr>
      <w:r>
        <w:rPr>
          <w:noProof/>
          <w:sz w:val="20"/>
        </w:rPr>
        <w:br/>
      </w:r>
      <w:r>
        <w:rPr>
          <w:b/>
          <w:noProof/>
          <w:sz w:val="20"/>
        </w:rPr>
        <w:t>(Az STM 25. cikkében említettek szerint)</w:t>
      </w:r>
    </w:p>
    <w:p>
      <w:pPr>
        <w:spacing w:after="0"/>
        <w:ind w:left="180"/>
        <w:rPr>
          <w:noProof/>
          <w:sz w:val="20"/>
        </w:rPr>
      </w:pPr>
    </w:p>
    <w:p>
      <w:pPr>
        <w:spacing w:after="0"/>
        <w:ind w:left="40" w:right="200"/>
        <w:rPr>
          <w:noProof/>
          <w:sz w:val="20"/>
        </w:rPr>
      </w:pPr>
      <w:r>
        <w:rPr>
          <w:rStyle w:val="Corpsdutexte"/>
          <w:rFonts w:eastAsiaTheme="minorHAnsi"/>
          <w:noProof/>
          <w:sz w:val="20"/>
        </w:rPr>
        <w:t>A Horvátország Európai Unióhoz történő csatlakozásának figyelembevétele céljából készült jegyzőkönyv hatálybalépésének napjától vagy ideiglenes alkalmazásának időpontjától az alább meghatározott vámkontingens-mennyiségek keretén belül eltörlik a behozatali vámokat. A vámkontingensen felüli behozatalra az MFN váma legnagyobb kedvezményes  (MFN) vámtétel érvényes.</w:t>
      </w:r>
      <w:r>
        <w:rPr>
          <w:noProof/>
          <w:sz w:val="20"/>
        </w:rPr>
        <w:t xml:space="preserve"> A 2017. évre vonatkozóan – e jegyzőkönyv hatálybalépésének vagy ideiglenes alkalmazásának időpontjától függetlenül – a vámkontingens teljes mennyiségét alkalmazzák.</w:t>
      </w:r>
    </w:p>
    <w:p>
      <w:pPr>
        <w:rPr>
          <w:i/>
          <w:noProof/>
          <w:sz w:val="20"/>
        </w:rPr>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7"/>
        <w:gridCol w:w="1261"/>
        <w:gridCol w:w="6154"/>
        <w:gridCol w:w="1405"/>
      </w:tblGrid>
      <w:tr>
        <w:trPr>
          <w:tblHeader/>
          <w:tblCellSpacing w:w="0" w:type="dxa"/>
        </w:trPr>
        <w:tc>
          <w:tcPr>
            <w:tcW w:w="1575" w:type="dxa"/>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pPr>
              <w:spacing w:before="40" w:after="40"/>
              <w:jc w:val="center"/>
              <w:rPr>
                <w:b/>
                <w:bCs/>
                <w:noProof/>
                <w:sz w:val="20"/>
              </w:rPr>
            </w:pPr>
            <w:r>
              <w:rPr>
                <w:b/>
                <w:noProof/>
                <w:sz w:val="20"/>
              </w:rPr>
              <w:t>KN-kód</w:t>
            </w:r>
          </w:p>
        </w:tc>
        <w:tc>
          <w:tcPr>
            <w:tcW w:w="6237"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pPr>
              <w:spacing w:before="40" w:after="40"/>
              <w:jc w:val="center"/>
              <w:rPr>
                <w:b/>
                <w:bCs/>
                <w:noProof/>
                <w:sz w:val="20"/>
              </w:rPr>
            </w:pPr>
            <w:r>
              <w:rPr>
                <w:b/>
                <w:noProof/>
                <w:sz w:val="20"/>
              </w:rPr>
              <w:t>Árumegnevezés</w:t>
            </w:r>
          </w:p>
        </w:tc>
        <w:tc>
          <w:tcPr>
            <w:tcW w:w="1305" w:type="dxa"/>
            <w:tcBorders>
              <w:top w:val="outset" w:sz="6" w:space="0" w:color="000000"/>
              <w:left w:val="outset" w:sz="6" w:space="0" w:color="000000"/>
              <w:bottom w:val="outset" w:sz="6" w:space="0" w:color="000000"/>
              <w:right w:val="outset" w:sz="6" w:space="0" w:color="000000"/>
            </w:tcBorders>
            <w:shd w:val="clear" w:color="auto" w:fill="C0C0C0"/>
            <w:vAlign w:val="center"/>
          </w:tcPr>
          <w:p>
            <w:pPr>
              <w:spacing w:before="40" w:after="40"/>
              <w:jc w:val="center"/>
              <w:rPr>
                <w:b/>
                <w:bCs/>
                <w:noProof/>
                <w:sz w:val="20"/>
              </w:rPr>
            </w:pPr>
            <w:r>
              <w:rPr>
                <w:b/>
                <w:noProof/>
                <w:sz w:val="20"/>
              </w:rPr>
              <w:t>Vámkontingens mértéke (tonna)</w:t>
            </w:r>
          </w:p>
        </w:tc>
      </w:tr>
      <w:tr>
        <w:trPr>
          <w:tblCellSpacing w:w="0" w:type="dxa"/>
        </w:trPr>
        <w:tc>
          <w:tcPr>
            <w:tcW w:w="299" w:type="dxa"/>
            <w:tcBorders>
              <w:top w:val="single" w:sz="4" w:space="0" w:color="auto"/>
              <w:left w:val="nil"/>
              <w:bottom w:val="nil"/>
              <w:right w:val="nil"/>
            </w:tcBorders>
            <w:shd w:val="clear" w:color="auto" w:fill="FFFFFF"/>
          </w:tcPr>
          <w:p>
            <w:pPr>
              <w:spacing w:before="40" w:after="40"/>
              <w:rPr>
                <w:noProof/>
                <w:sz w:val="20"/>
              </w:rPr>
            </w:pPr>
          </w:p>
        </w:tc>
        <w:tc>
          <w:tcPr>
            <w:tcW w:w="1276"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0403</w:t>
            </w:r>
          </w:p>
        </w:tc>
        <w:tc>
          <w:tcPr>
            <w:tcW w:w="623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Író, aludttej és tejföl, joghurt, kefir és más erjesztett vagy savanyított tej és tejföl sűrítve vagy cukrozva vagy más édesítőanyag hozzáadásával vagy ízesítve vagy gyümölcs, diófélék vagy kakaó hozzáadásával is:</w:t>
            </w:r>
          </w:p>
        </w:tc>
        <w:tc>
          <w:tcPr>
            <w:tcW w:w="1305" w:type="dxa"/>
            <w:tcBorders>
              <w:top w:val="single" w:sz="4" w:space="0" w:color="auto"/>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Joghurt:</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Ízesítve vagy gyümölcs, diófélék vagy kakaó hozzáadásával is: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Más, tejzsírtartalma:</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0403 10 91</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Legfeljebb 3 tömegszázalék</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480</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0403 10 93</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3 tömegszázalékot meghaladó, de legfeljebb 6 tömegszázalék</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130</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0403 10 99</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6 tömegszázalékot meghaladó</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25</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0403 90</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Ízesítve vagy gyümölcs, diófélék vagy kakaó hozzáadásával is: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Más, tejzsírtartalma:</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0403 90 91</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Legfeljebb 3 tömegszázalék</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530</w:t>
            </w:r>
          </w:p>
        </w:tc>
      </w:tr>
      <w:tr>
        <w:trPr>
          <w:tblCellSpacing w:w="0" w:type="dxa"/>
        </w:trPr>
        <w:tc>
          <w:tcPr>
            <w:tcW w:w="299" w:type="dxa"/>
            <w:tcBorders>
              <w:top w:val="nil"/>
              <w:left w:val="nil"/>
              <w:bottom w:val="single" w:sz="4" w:space="0" w:color="auto"/>
              <w:right w:val="nil"/>
            </w:tcBorders>
            <w:shd w:val="clear" w:color="auto" w:fill="FFFFFF"/>
          </w:tcPr>
          <w:p>
            <w:pPr>
              <w:spacing w:before="40" w:after="40"/>
              <w:rPr>
                <w:noProof/>
                <w:sz w:val="20"/>
              </w:rPr>
            </w:pPr>
          </w:p>
        </w:tc>
        <w:tc>
          <w:tcPr>
            <w:tcW w:w="1276" w:type="dxa"/>
            <w:tcBorders>
              <w:top w:val="nil"/>
              <w:left w:val="nil"/>
              <w:bottom w:val="outset" w:sz="6" w:space="0" w:color="EEECE1"/>
              <w:right w:val="single" w:sz="4" w:space="0" w:color="auto"/>
            </w:tcBorders>
            <w:shd w:val="clear" w:color="auto" w:fill="FFFFFF"/>
            <w:hideMark/>
          </w:tcPr>
          <w:p>
            <w:pPr>
              <w:spacing w:before="40" w:after="40"/>
              <w:rPr>
                <w:noProof/>
                <w:sz w:val="20"/>
              </w:rPr>
            </w:pPr>
            <w:r>
              <w:rPr>
                <w:noProof/>
                <w:sz w:val="20"/>
              </w:rPr>
              <w:t>0403 90 93</w:t>
            </w:r>
          </w:p>
        </w:tc>
        <w:tc>
          <w:tcPr>
            <w:tcW w:w="6237" w:type="dxa"/>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 3 tömegszázalékot meghaladó, de legfeljebb 6 tömegszázalék</w:t>
            </w:r>
          </w:p>
        </w:tc>
        <w:tc>
          <w:tcPr>
            <w:tcW w:w="1305"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55</w:t>
            </w:r>
          </w:p>
        </w:tc>
      </w:tr>
      <w:tr>
        <w:trPr>
          <w:tblCellSpacing w:w="0" w:type="dxa"/>
        </w:trPr>
        <w:tc>
          <w:tcPr>
            <w:tcW w:w="299" w:type="dxa"/>
            <w:tcBorders>
              <w:top w:val="single" w:sz="4" w:space="0" w:color="auto"/>
              <w:left w:val="nil"/>
              <w:bottom w:val="nil"/>
              <w:right w:val="nil"/>
            </w:tcBorders>
            <w:shd w:val="clear" w:color="auto" w:fill="FFFFFF"/>
          </w:tcPr>
          <w:p>
            <w:pPr>
              <w:spacing w:before="40" w:after="40"/>
              <w:rPr>
                <w:noProof/>
                <w:sz w:val="20"/>
              </w:rPr>
            </w:pPr>
          </w:p>
        </w:tc>
        <w:tc>
          <w:tcPr>
            <w:tcW w:w="1276"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1905</w:t>
            </w:r>
          </w:p>
        </w:tc>
        <w:tc>
          <w:tcPr>
            <w:tcW w:w="623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Kenyér, cukrászsütemény, kalács, keksz (biscuit) és más pékáru kakaótartalommal is; áldozóostya, üres gyógyszerkapszula, pecsételőostya, rizspapír és hasonló termék:</w:t>
            </w:r>
          </w:p>
        </w:tc>
        <w:tc>
          <w:tcPr>
            <w:tcW w:w="1305"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Édes keksz (biscuit); gofri és ostya:</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1905 31</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Édes keksz (biscuit);</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ind w:left="542" w:hanging="542"/>
              <w:jc w:val="left"/>
              <w:rPr>
                <w:noProof/>
                <w:sz w:val="20"/>
              </w:rPr>
            </w:pPr>
            <w:r>
              <w:rPr>
                <w:noProof/>
                <w:sz w:val="20"/>
              </w:rPr>
              <w:t xml:space="preserve">– – – Csokoládéval vagy más kakaótartalmú készítménnyel részben vagy </w:t>
            </w:r>
            <w:r>
              <w:rPr>
                <w:noProof/>
                <w:sz w:val="20"/>
              </w:rPr>
              <w:lastRenderedPageBreak/>
              <w:t>teljesen bevonva vagy borítva:</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1905 31 19</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Más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365</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Más: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Más: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1905 31 99</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 – Más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600</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1905 32</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Gofri és ostya:</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Más: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tcPr>
          <w:p>
            <w:pPr>
              <w:spacing w:before="40" w:after="40"/>
              <w:ind w:left="683" w:hanging="683"/>
              <w:jc w:val="left"/>
              <w:rPr>
                <w:noProof/>
                <w:sz w:val="20"/>
              </w:rPr>
            </w:pPr>
            <w:r>
              <w:rPr>
                <w:noProof/>
                <w:sz w:val="20"/>
              </w:rPr>
              <w:t>– – – – Csokoládéval vagy más kakaótartalmú készítménnyel részben vagy teljesen bevonva vagy borítva:</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tcPr>
          <w:p>
            <w:pPr>
              <w:spacing w:before="40" w:after="40"/>
              <w:rPr>
                <w:noProof/>
                <w:sz w:val="20"/>
              </w:rPr>
            </w:pPr>
            <w:r>
              <w:rPr>
                <w:noProof/>
                <w:sz w:val="20"/>
              </w:rPr>
              <w:t>1905 32 19</w:t>
            </w:r>
          </w:p>
        </w:tc>
        <w:tc>
          <w:tcPr>
            <w:tcW w:w="6237" w:type="dxa"/>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 Más</w:t>
            </w:r>
          </w:p>
        </w:tc>
        <w:tc>
          <w:tcPr>
            <w:tcW w:w="1305" w:type="dxa"/>
            <w:tcBorders>
              <w:top w:val="nil"/>
              <w:left w:val="single" w:sz="4" w:space="0" w:color="auto"/>
              <w:bottom w:val="nil"/>
              <w:right w:val="nil"/>
            </w:tcBorders>
            <w:shd w:val="clear" w:color="auto" w:fill="FFFFFF"/>
          </w:tcPr>
          <w:p>
            <w:pPr>
              <w:spacing w:before="40" w:after="40"/>
              <w:jc w:val="right"/>
              <w:rPr>
                <w:noProof/>
                <w:sz w:val="20"/>
              </w:rPr>
            </w:pPr>
            <w:r>
              <w:rPr>
                <w:noProof/>
                <w:sz w:val="20"/>
              </w:rPr>
              <w:t>300</w:t>
            </w: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1905 90</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Más:</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Más:</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single" w:sz="4" w:space="0" w:color="auto"/>
              <w:right w:val="nil"/>
            </w:tcBorders>
            <w:shd w:val="clear" w:color="auto" w:fill="FFFFFF"/>
          </w:tcPr>
          <w:p>
            <w:pPr>
              <w:spacing w:before="40" w:after="40"/>
              <w:rPr>
                <w:noProof/>
                <w:sz w:val="20"/>
              </w:rPr>
            </w:pPr>
          </w:p>
        </w:tc>
        <w:tc>
          <w:tcPr>
            <w:tcW w:w="1276" w:type="dxa"/>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1905 90 45</w:t>
            </w:r>
          </w:p>
        </w:tc>
        <w:tc>
          <w:tcPr>
            <w:tcW w:w="6237" w:type="dxa"/>
            <w:tcBorders>
              <w:top w:val="nil"/>
              <w:left w:val="single" w:sz="4" w:space="0" w:color="auto"/>
              <w:bottom w:val="single" w:sz="4" w:space="0" w:color="auto"/>
              <w:right w:val="single" w:sz="4" w:space="0" w:color="auto"/>
            </w:tcBorders>
            <w:shd w:val="clear" w:color="auto" w:fill="FFFFFF"/>
            <w:hideMark/>
          </w:tcPr>
          <w:p>
            <w:pPr>
              <w:spacing w:before="40" w:after="40"/>
              <w:jc w:val="left"/>
              <w:rPr>
                <w:noProof/>
                <w:sz w:val="20"/>
              </w:rPr>
            </w:pPr>
            <w:r>
              <w:rPr>
                <w:noProof/>
                <w:sz w:val="20"/>
              </w:rPr>
              <w:t>– – – Keksz:</w:t>
            </w:r>
          </w:p>
        </w:tc>
        <w:tc>
          <w:tcPr>
            <w:tcW w:w="1305"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35</w:t>
            </w:r>
          </w:p>
        </w:tc>
      </w:tr>
      <w:tr>
        <w:trPr>
          <w:tblCellSpacing w:w="0" w:type="dxa"/>
        </w:trPr>
        <w:tc>
          <w:tcPr>
            <w:tcW w:w="299" w:type="dxa"/>
            <w:tcBorders>
              <w:top w:val="single" w:sz="4" w:space="0" w:color="auto"/>
              <w:left w:val="nil"/>
              <w:bottom w:val="nil"/>
              <w:right w:val="nil"/>
            </w:tcBorders>
            <w:shd w:val="clear" w:color="auto" w:fill="FFFFFF"/>
          </w:tcPr>
          <w:p>
            <w:pPr>
              <w:spacing w:before="40" w:after="40"/>
              <w:rPr>
                <w:noProof/>
                <w:sz w:val="20"/>
              </w:rPr>
            </w:pPr>
          </w:p>
        </w:tc>
        <w:tc>
          <w:tcPr>
            <w:tcW w:w="1276"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2208</w:t>
            </w:r>
          </w:p>
        </w:tc>
        <w:tc>
          <w:tcPr>
            <w:tcW w:w="623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Nem denaturált etil-alkohol, kevesebb mint 80 térfogatszázalék alkoholtartalommal; szesz, likőr és más szeszes ital:</w:t>
            </w:r>
          </w:p>
        </w:tc>
        <w:tc>
          <w:tcPr>
            <w:tcW w:w="1305"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2208 20</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Szőlőbor vagy szőlőtörköly desztillációjából nyert szesz:</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Legfeljebb 2 literes palackban (tartályban)</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2208 20 29</w:t>
            </w:r>
          </w:p>
        </w:tc>
        <w:tc>
          <w:tcPr>
            <w:tcW w:w="6237" w:type="dxa"/>
            <w:tcBorders>
              <w:top w:val="nil"/>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 – – Más:</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r>
              <w:rPr>
                <w:noProof/>
                <w:sz w:val="20"/>
              </w:rPr>
              <w:t>ex</w:t>
            </w:r>
          </w:p>
        </w:tc>
        <w:tc>
          <w:tcPr>
            <w:tcW w:w="1276" w:type="dxa"/>
            <w:tcBorders>
              <w:top w:val="nil"/>
              <w:left w:val="nil"/>
              <w:bottom w:val="nil"/>
              <w:right w:val="single" w:sz="4" w:space="0" w:color="auto"/>
            </w:tcBorders>
            <w:shd w:val="clear" w:color="auto" w:fill="FFFFFF"/>
          </w:tcPr>
          <w:p>
            <w:pPr>
              <w:spacing w:before="40" w:after="40"/>
              <w:rPr>
                <w:noProof/>
                <w:sz w:val="20"/>
              </w:rPr>
            </w:pPr>
            <w:r>
              <w:rPr>
                <w:noProof/>
                <w:sz w:val="20"/>
              </w:rPr>
              <w:t>2208 20 29</w:t>
            </w:r>
          </w:p>
        </w:tc>
        <w:tc>
          <w:tcPr>
            <w:tcW w:w="6237" w:type="dxa"/>
            <w:tcBorders>
              <w:top w:val="nil"/>
              <w:left w:val="single" w:sz="4" w:space="0" w:color="auto"/>
              <w:bottom w:val="nil"/>
              <w:right w:val="single" w:sz="4" w:space="0" w:color="auto"/>
            </w:tcBorders>
            <w:shd w:val="clear" w:color="auto" w:fill="FFFFFF"/>
          </w:tcPr>
          <w:p>
            <w:pPr>
              <w:spacing w:before="40" w:after="40"/>
              <w:jc w:val="left"/>
              <w:rPr>
                <w:noProof/>
                <w:sz w:val="20"/>
              </w:rPr>
            </w:pPr>
            <w:r>
              <w:rPr>
                <w:noProof/>
                <w:sz w:val="20"/>
              </w:rPr>
              <w:t>– – – – Szőlőbor vagy szőlőtörköly desztillációjából nyert szesz</w:t>
            </w:r>
          </w:p>
        </w:tc>
        <w:tc>
          <w:tcPr>
            <w:tcW w:w="1305" w:type="dxa"/>
            <w:vMerge w:val="restart"/>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85</w:t>
            </w:r>
          </w:p>
        </w:tc>
      </w:tr>
      <w:tr>
        <w:trPr>
          <w:tblCellSpacing w:w="0" w:type="dxa"/>
        </w:trPr>
        <w:tc>
          <w:tcPr>
            <w:tcW w:w="299" w:type="dxa"/>
            <w:tcBorders>
              <w:top w:val="nil"/>
              <w:left w:val="nil"/>
              <w:bottom w:val="single" w:sz="4" w:space="0" w:color="auto"/>
              <w:right w:val="nil"/>
            </w:tcBorders>
            <w:shd w:val="clear" w:color="auto" w:fill="FFFFFF"/>
          </w:tcPr>
          <w:p>
            <w:pPr>
              <w:spacing w:before="40" w:after="40"/>
              <w:rPr>
                <w:noProof/>
                <w:sz w:val="20"/>
              </w:rPr>
            </w:pPr>
            <w:r>
              <w:rPr>
                <w:noProof/>
                <w:sz w:val="20"/>
              </w:rPr>
              <w:t>ex</w:t>
            </w:r>
          </w:p>
        </w:tc>
        <w:tc>
          <w:tcPr>
            <w:tcW w:w="1276" w:type="dxa"/>
            <w:tcBorders>
              <w:top w:val="nil"/>
              <w:left w:val="nil"/>
              <w:bottom w:val="single" w:sz="4" w:space="0" w:color="auto"/>
              <w:right w:val="single" w:sz="4" w:space="0" w:color="auto"/>
            </w:tcBorders>
            <w:shd w:val="clear" w:color="auto" w:fill="FFFFFF"/>
          </w:tcPr>
          <w:p>
            <w:pPr>
              <w:spacing w:before="40" w:after="40"/>
              <w:rPr>
                <w:noProof/>
                <w:sz w:val="20"/>
              </w:rPr>
            </w:pPr>
            <w:r>
              <w:rPr>
                <w:noProof/>
                <w:sz w:val="20"/>
              </w:rPr>
              <w:t>2208 20 29</w:t>
            </w:r>
          </w:p>
        </w:tc>
        <w:tc>
          <w:tcPr>
            <w:tcW w:w="6237" w:type="dxa"/>
            <w:tcBorders>
              <w:top w:val="nil"/>
              <w:left w:val="single" w:sz="4" w:space="0" w:color="auto"/>
              <w:bottom w:val="single" w:sz="4" w:space="0" w:color="auto"/>
              <w:right w:val="single" w:sz="4" w:space="0" w:color="auto"/>
            </w:tcBorders>
            <w:shd w:val="clear" w:color="auto" w:fill="FFFFFF"/>
          </w:tcPr>
          <w:p>
            <w:pPr>
              <w:spacing w:before="40" w:after="40"/>
              <w:jc w:val="left"/>
              <w:rPr>
                <w:noProof/>
                <w:sz w:val="20"/>
              </w:rPr>
            </w:pPr>
            <w:r>
              <w:rPr>
                <w:noProof/>
                <w:sz w:val="20"/>
              </w:rPr>
              <w:t>– – – – Más</w:t>
            </w:r>
          </w:p>
        </w:tc>
        <w:tc>
          <w:tcPr>
            <w:tcW w:w="1305" w:type="dxa"/>
            <w:vMerge/>
            <w:tcBorders>
              <w:top w:val="single" w:sz="4" w:space="0" w:color="auto"/>
              <w:left w:val="single" w:sz="4" w:space="0" w:color="auto"/>
              <w:bottom w:val="single" w:sz="4" w:space="0" w:color="auto"/>
              <w:right w:val="nil"/>
            </w:tcBorders>
            <w:shd w:val="clear" w:color="auto" w:fill="FFFFFF"/>
          </w:tcPr>
          <w:p>
            <w:pPr>
              <w:spacing w:before="40" w:after="40"/>
              <w:rPr>
                <w:noProof/>
                <w:sz w:val="20"/>
              </w:rPr>
            </w:pPr>
          </w:p>
        </w:tc>
      </w:tr>
      <w:tr>
        <w:trPr>
          <w:tblCellSpacing w:w="0" w:type="dxa"/>
        </w:trPr>
        <w:tc>
          <w:tcPr>
            <w:tcW w:w="299" w:type="dxa"/>
            <w:tcBorders>
              <w:top w:val="single" w:sz="4" w:space="0" w:color="auto"/>
              <w:left w:val="nil"/>
              <w:bottom w:val="nil"/>
              <w:right w:val="nil"/>
            </w:tcBorders>
            <w:shd w:val="clear" w:color="auto" w:fill="FFFFFF"/>
          </w:tcPr>
          <w:p>
            <w:pPr>
              <w:spacing w:before="40" w:after="40"/>
              <w:rPr>
                <w:noProof/>
                <w:sz w:val="20"/>
              </w:rPr>
            </w:pPr>
          </w:p>
        </w:tc>
        <w:tc>
          <w:tcPr>
            <w:tcW w:w="1276" w:type="dxa"/>
            <w:tcBorders>
              <w:top w:val="single" w:sz="4" w:space="0" w:color="auto"/>
              <w:left w:val="nil"/>
              <w:bottom w:val="nil"/>
              <w:right w:val="single" w:sz="4" w:space="0" w:color="auto"/>
            </w:tcBorders>
            <w:shd w:val="clear" w:color="auto" w:fill="FFFFFF"/>
            <w:hideMark/>
          </w:tcPr>
          <w:p>
            <w:pPr>
              <w:spacing w:before="40" w:after="40"/>
              <w:rPr>
                <w:noProof/>
                <w:sz w:val="20"/>
              </w:rPr>
            </w:pPr>
            <w:r>
              <w:rPr>
                <w:noProof/>
                <w:sz w:val="20"/>
              </w:rPr>
              <w:t>2402</w:t>
            </w:r>
          </w:p>
        </w:tc>
        <w:tc>
          <w:tcPr>
            <w:tcW w:w="6237" w:type="dxa"/>
            <w:tcBorders>
              <w:top w:val="single" w:sz="4" w:space="0" w:color="auto"/>
              <w:left w:val="single" w:sz="4" w:space="0" w:color="auto"/>
              <w:bottom w:val="nil"/>
              <w:right w:val="single" w:sz="4" w:space="0" w:color="auto"/>
            </w:tcBorders>
            <w:shd w:val="clear" w:color="auto" w:fill="FFFFFF"/>
            <w:hideMark/>
          </w:tcPr>
          <w:p>
            <w:pPr>
              <w:spacing w:before="40" w:after="40"/>
              <w:jc w:val="left"/>
              <w:rPr>
                <w:noProof/>
                <w:sz w:val="20"/>
              </w:rPr>
            </w:pPr>
            <w:r>
              <w:rPr>
                <w:noProof/>
                <w:sz w:val="20"/>
              </w:rPr>
              <w:t>Szivar, mindkét végén levágott végű szivar (manillaszivar), kis alakú szivar (cigarillos) és cigaretta dohányból vagy dohánypótlóból:</w:t>
            </w:r>
          </w:p>
        </w:tc>
        <w:tc>
          <w:tcPr>
            <w:tcW w:w="1305" w:type="dxa"/>
            <w:tcBorders>
              <w:top w:val="single" w:sz="4" w:space="0" w:color="auto"/>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nil"/>
              <w:right w:val="nil"/>
            </w:tcBorders>
            <w:shd w:val="clear" w:color="auto" w:fill="FFFFFF"/>
          </w:tcPr>
          <w:p>
            <w:pPr>
              <w:spacing w:before="40" w:after="40"/>
              <w:rPr>
                <w:noProof/>
                <w:sz w:val="20"/>
              </w:rPr>
            </w:pPr>
          </w:p>
        </w:tc>
        <w:tc>
          <w:tcPr>
            <w:tcW w:w="1276" w:type="dxa"/>
            <w:tcBorders>
              <w:top w:val="nil"/>
              <w:left w:val="nil"/>
              <w:bottom w:val="nil"/>
              <w:right w:val="single" w:sz="4" w:space="0" w:color="auto"/>
            </w:tcBorders>
            <w:shd w:val="clear" w:color="auto" w:fill="FFFFFF"/>
            <w:hideMark/>
          </w:tcPr>
          <w:p>
            <w:pPr>
              <w:spacing w:before="40" w:after="40"/>
              <w:rPr>
                <w:noProof/>
                <w:sz w:val="20"/>
              </w:rPr>
            </w:pPr>
            <w:r>
              <w:rPr>
                <w:noProof/>
                <w:sz w:val="20"/>
              </w:rPr>
              <w:t>2402 20</w:t>
            </w:r>
          </w:p>
        </w:tc>
        <w:tc>
          <w:tcPr>
            <w:tcW w:w="6237" w:type="dxa"/>
            <w:tcBorders>
              <w:top w:val="nil"/>
              <w:left w:val="single" w:sz="4" w:space="0" w:color="auto"/>
              <w:bottom w:val="nil"/>
              <w:right w:val="single" w:sz="4" w:space="0" w:color="auto"/>
            </w:tcBorders>
            <w:shd w:val="clear" w:color="auto" w:fill="FFFFFF"/>
            <w:hideMark/>
          </w:tcPr>
          <w:p>
            <w:pPr>
              <w:spacing w:before="40" w:after="40"/>
              <w:rPr>
                <w:noProof/>
                <w:sz w:val="20"/>
              </w:rPr>
            </w:pPr>
            <w:r>
              <w:rPr>
                <w:noProof/>
                <w:sz w:val="20"/>
              </w:rPr>
              <w:t>– Cigaretta dohánytöltettel:</w:t>
            </w:r>
          </w:p>
        </w:tc>
        <w:tc>
          <w:tcPr>
            <w:tcW w:w="1305" w:type="dxa"/>
            <w:tcBorders>
              <w:top w:val="nil"/>
              <w:left w:val="single" w:sz="4" w:space="0" w:color="auto"/>
              <w:bottom w:val="nil"/>
              <w:right w:val="nil"/>
            </w:tcBorders>
            <w:shd w:val="clear" w:color="auto" w:fill="FFFFFF"/>
          </w:tcPr>
          <w:p>
            <w:pPr>
              <w:spacing w:before="40" w:after="40"/>
              <w:rPr>
                <w:noProof/>
                <w:sz w:val="20"/>
              </w:rPr>
            </w:pPr>
          </w:p>
        </w:tc>
      </w:tr>
      <w:tr>
        <w:trPr>
          <w:tblCellSpacing w:w="0" w:type="dxa"/>
        </w:trPr>
        <w:tc>
          <w:tcPr>
            <w:tcW w:w="299" w:type="dxa"/>
            <w:tcBorders>
              <w:top w:val="nil"/>
              <w:left w:val="nil"/>
              <w:bottom w:val="single" w:sz="4" w:space="0" w:color="auto"/>
              <w:right w:val="nil"/>
            </w:tcBorders>
            <w:shd w:val="clear" w:color="auto" w:fill="FFFFFF"/>
          </w:tcPr>
          <w:p>
            <w:pPr>
              <w:spacing w:before="40" w:after="40"/>
              <w:rPr>
                <w:noProof/>
                <w:sz w:val="20"/>
              </w:rPr>
            </w:pPr>
          </w:p>
        </w:tc>
        <w:tc>
          <w:tcPr>
            <w:tcW w:w="1276" w:type="dxa"/>
            <w:tcBorders>
              <w:top w:val="nil"/>
              <w:left w:val="nil"/>
              <w:bottom w:val="single" w:sz="4" w:space="0" w:color="auto"/>
              <w:right w:val="single" w:sz="4" w:space="0" w:color="auto"/>
            </w:tcBorders>
            <w:shd w:val="clear" w:color="auto" w:fill="FFFFFF"/>
            <w:hideMark/>
          </w:tcPr>
          <w:p>
            <w:pPr>
              <w:spacing w:before="40" w:after="40"/>
              <w:rPr>
                <w:noProof/>
                <w:sz w:val="20"/>
              </w:rPr>
            </w:pPr>
            <w:r>
              <w:rPr>
                <w:noProof/>
                <w:sz w:val="20"/>
              </w:rPr>
              <w:t>2402 20 90</w:t>
            </w:r>
          </w:p>
        </w:tc>
        <w:tc>
          <w:tcPr>
            <w:tcW w:w="6237" w:type="dxa"/>
            <w:tcBorders>
              <w:top w:val="nil"/>
              <w:left w:val="single" w:sz="4" w:space="0" w:color="auto"/>
              <w:bottom w:val="single" w:sz="4" w:space="0" w:color="auto"/>
              <w:right w:val="single" w:sz="4" w:space="0" w:color="auto"/>
            </w:tcBorders>
            <w:shd w:val="clear" w:color="auto" w:fill="FFFFFF"/>
            <w:hideMark/>
          </w:tcPr>
          <w:p>
            <w:pPr>
              <w:spacing w:before="40" w:after="40"/>
              <w:rPr>
                <w:noProof/>
                <w:sz w:val="20"/>
              </w:rPr>
            </w:pPr>
            <w:r>
              <w:rPr>
                <w:noProof/>
                <w:sz w:val="20"/>
              </w:rPr>
              <w:t>– – Más</w:t>
            </w:r>
          </w:p>
        </w:tc>
        <w:tc>
          <w:tcPr>
            <w:tcW w:w="1305" w:type="dxa"/>
            <w:tcBorders>
              <w:top w:val="nil"/>
              <w:left w:val="single" w:sz="4" w:space="0" w:color="auto"/>
              <w:bottom w:val="single" w:sz="4" w:space="0" w:color="auto"/>
              <w:right w:val="nil"/>
            </w:tcBorders>
            <w:shd w:val="clear" w:color="auto" w:fill="FFFFFF"/>
          </w:tcPr>
          <w:p>
            <w:pPr>
              <w:spacing w:before="40" w:after="40"/>
              <w:jc w:val="right"/>
              <w:rPr>
                <w:noProof/>
                <w:sz w:val="20"/>
              </w:rPr>
            </w:pPr>
            <w:r>
              <w:rPr>
                <w:noProof/>
                <w:sz w:val="20"/>
              </w:rPr>
              <w:t>3 200</w:t>
            </w:r>
          </w:p>
        </w:tc>
      </w:tr>
    </w:tbl>
    <w:p>
      <w:pPr>
        <w:rPr>
          <w:noProof/>
          <w:sz w:val="20"/>
        </w:rPr>
      </w:pPr>
    </w:p>
    <w:p>
      <w:pPr>
        <w:spacing w:before="0" w:after="200" w:line="276" w:lineRule="auto"/>
        <w:jc w:val="left"/>
        <w:rPr>
          <w:noProof/>
        </w:rPr>
      </w:pPr>
      <w:r>
        <w:rPr>
          <w:noProof/>
        </w:rPr>
        <w:br w:type="page"/>
      </w:r>
    </w:p>
    <w:p>
      <w:pPr>
        <w:spacing w:after="0"/>
        <w:ind w:left="180"/>
        <w:jc w:val="right"/>
        <w:rPr>
          <w:rStyle w:val="Corpsdutexte9"/>
          <w:rFonts w:eastAsiaTheme="minorHAnsi"/>
          <w:b/>
          <w:noProof/>
          <w:sz w:val="20"/>
        </w:rPr>
      </w:pPr>
      <w:r>
        <w:rPr>
          <w:rStyle w:val="Corpsdutexte9"/>
          <w:rFonts w:eastAsiaTheme="minorHAnsi"/>
          <w:b/>
          <w:noProof/>
          <w:sz w:val="20"/>
        </w:rPr>
        <w:lastRenderedPageBreak/>
        <w:t>IV. MELLÉKLET</w:t>
      </w:r>
    </w:p>
    <w:p>
      <w:pPr>
        <w:spacing w:after="0"/>
        <w:ind w:left="180"/>
        <w:jc w:val="center"/>
        <w:rPr>
          <w:b/>
          <w:noProof/>
          <w:sz w:val="20"/>
        </w:rPr>
      </w:pPr>
    </w:p>
    <w:p>
      <w:pPr>
        <w:spacing w:after="0"/>
        <w:ind w:left="180"/>
        <w:jc w:val="center"/>
        <w:rPr>
          <w:b/>
          <w:noProof/>
          <w:sz w:val="20"/>
        </w:rPr>
      </w:pPr>
    </w:p>
    <w:p>
      <w:pPr>
        <w:spacing w:after="0"/>
        <w:ind w:left="180"/>
        <w:jc w:val="center"/>
        <w:rPr>
          <w:b/>
          <w:noProof/>
          <w:sz w:val="20"/>
        </w:rPr>
      </w:pPr>
    </w:p>
    <w:p>
      <w:pPr>
        <w:spacing w:after="0"/>
        <w:ind w:left="180"/>
        <w:jc w:val="center"/>
        <w:rPr>
          <w:rStyle w:val="Corpsdutexte4"/>
          <w:rFonts w:eastAsiaTheme="minorHAnsi"/>
          <w:i/>
          <w:noProof/>
          <w:sz w:val="20"/>
        </w:rPr>
      </w:pPr>
      <w:r>
        <w:rPr>
          <w:rStyle w:val="Corpsdutexte4"/>
          <w:rFonts w:eastAsiaTheme="minorHAnsi"/>
          <w:i/>
          <w:noProof/>
          <w:sz w:val="20"/>
        </w:rPr>
        <w:t>„A 7. JEGYZŐKÖNYV I. MELLÉKLETÉNEK MÓDOSÍTÁSAI</w:t>
      </w:r>
    </w:p>
    <w:p>
      <w:pPr>
        <w:spacing w:after="0"/>
        <w:ind w:left="180"/>
        <w:jc w:val="center"/>
        <w:rPr>
          <w:rStyle w:val="Corpsdutexte4"/>
          <w:rFonts w:eastAsiaTheme="minorHAnsi"/>
          <w:b/>
          <w:noProof/>
          <w:sz w:val="20"/>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55"/>
        <w:gridCol w:w="8811"/>
      </w:tblGrid>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A borok Európai Unióba irányuló behozataláról szóló, a 7. jegyzőkönyv I. mellékletének 1. pontjában szereplő táblázat helyébe az alábbi táblázat lép.</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43"/>
              <w:gridCol w:w="2713"/>
              <w:gridCol w:w="1653"/>
              <w:gridCol w:w="1496"/>
              <w:gridCol w:w="1685"/>
            </w:tblGrid>
            <w:tr>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KN-kód</w:t>
                  </w:r>
                </w:p>
              </w:tc>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Árumegnevezés</w:t>
                  </w:r>
                  <w:r>
                    <w:rPr>
                      <w:b/>
                      <w:bCs/>
                      <w:noProof/>
                      <w:sz w:val="20"/>
                    </w:rPr>
                    <w:br/>
                  </w:r>
                  <w:r>
                    <w:rPr>
                      <w:b/>
                      <w:noProof/>
                      <w:sz w:val="20"/>
                    </w:rPr>
                    <w:t>(a 7. jegyzőkönyv 2. cikke (1) bekezdése b) pontjának megfelelően)</w:t>
                  </w:r>
                </w:p>
              </w:tc>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Alkalmazandó vám</w:t>
                  </w:r>
                </w:p>
              </w:tc>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Mennyiségek (hl)</w:t>
                  </w:r>
                </w:p>
              </w:tc>
              <w:tc>
                <w:tcPr>
                  <w:tcW w:w="0" w:type="auto"/>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vAlign w:val="center"/>
                  <w:hideMark/>
                </w:tcPr>
                <w:p>
                  <w:pPr>
                    <w:jc w:val="center"/>
                    <w:rPr>
                      <w:b/>
                      <w:bCs/>
                      <w:noProof/>
                      <w:sz w:val="20"/>
                    </w:rPr>
                  </w:pPr>
                  <w:r>
                    <w:rPr>
                      <w:b/>
                      <w:noProof/>
                      <w:sz w:val="20"/>
                    </w:rPr>
                    <w:t>Különös rendelkezések</w:t>
                  </w:r>
                </w:p>
              </w:tc>
            </w:tr>
            <w:t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ex 2204 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Minőségi pezsgőbor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br/>
                    <w:t>vámmentes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br/>
                    <w:t>25 500</w:t>
                  </w:r>
                </w:p>
              </w:tc>
              <w:tc>
                <w:tcPr>
                  <w:tcW w:w="0" w:type="auto"/>
                  <w:vMerge w:val="restart"/>
                  <w:tcBorders>
                    <w:top w:val="single" w:sz="6" w:space="0" w:color="000000"/>
                    <w:left w:val="single" w:sz="6" w:space="0" w:color="000000"/>
                    <w:right w:val="single" w:sz="6" w:space="0" w:color="000000"/>
                  </w:tcBorders>
                  <w:shd w:val="clear" w:color="auto" w:fill="FFFFFF"/>
                  <w:tcMar>
                    <w:top w:w="30" w:type="dxa"/>
                    <w:left w:w="75" w:type="dxa"/>
                    <w:bottom w:w="30" w:type="dxa"/>
                    <w:right w:w="30" w:type="dxa"/>
                  </w:tcMar>
                  <w:vAlign w:val="center"/>
                </w:tcPr>
                <w:p>
                  <w:pPr>
                    <w:jc w:val="center"/>
                    <w:rPr>
                      <w:noProof/>
                      <w:sz w:val="20"/>
                    </w:rPr>
                  </w:pPr>
                  <w:r>
                    <w:rPr>
                      <w:noProof/>
                      <w:sz w:val="20"/>
                    </w:rPr>
                    <w:t>(</w:t>
                  </w:r>
                  <w:r>
                    <w:rPr>
                      <w:noProof/>
                      <w:sz w:val="20"/>
                      <w:vertAlign w:val="superscript"/>
                    </w:rPr>
                    <w:t>1</w:t>
                  </w:r>
                  <w:r>
                    <w:rPr>
                      <w:noProof/>
                      <w:sz w:val="20"/>
                    </w:rPr>
                    <w:t>)  </w:t>
                  </w:r>
                </w:p>
              </w:tc>
            </w:tr>
            <w:t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ex 2204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Bor friss szőlőből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pPr>
                    <w:jc w:val="center"/>
                    <w:rPr>
                      <w:noProof/>
                      <w:sz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pPr>
                    <w:jc w:val="center"/>
                    <w:rPr>
                      <w:noProof/>
                      <w:sz w:val="20"/>
                    </w:rPr>
                  </w:pPr>
                </w:p>
              </w:tc>
              <w:tc>
                <w:tcPr>
                  <w:tcW w:w="0" w:type="auto"/>
                  <w:vMerge/>
                  <w:tcBorders>
                    <w:left w:val="single" w:sz="6" w:space="0" w:color="000000"/>
                    <w:bottom w:val="single" w:sz="4" w:space="0" w:color="auto"/>
                    <w:right w:val="single" w:sz="6" w:space="0" w:color="000000"/>
                  </w:tcBorders>
                  <w:shd w:val="clear" w:color="auto" w:fill="FFFFFF"/>
                  <w:vAlign w:val="center"/>
                  <w:hideMark/>
                </w:tcPr>
                <w:p>
                  <w:pPr>
                    <w:jc w:val="center"/>
                    <w:rPr>
                      <w:noProof/>
                      <w:sz w:val="20"/>
                    </w:rPr>
                  </w:pPr>
                </w:p>
              </w:tc>
            </w:tr>
            <w:t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ex 2204 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Bor friss szőlőből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vámmentes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15 100</w:t>
                  </w:r>
                </w:p>
              </w:tc>
              <w:tc>
                <w:tcPr>
                  <w:tcW w:w="0" w:type="auto"/>
                  <w:tcBorders>
                    <w:top w:val="nil"/>
                    <w:left w:val="single" w:sz="6" w:space="0" w:color="000000"/>
                    <w:bottom w:val="single" w:sz="4" w:space="0" w:color="auto"/>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w:t>
                  </w:r>
                  <w:r>
                    <w:rPr>
                      <w:noProof/>
                      <w:sz w:val="20"/>
                      <w:vertAlign w:val="superscript"/>
                    </w:rPr>
                    <w:t>1</w:t>
                  </w:r>
                  <w:r>
                    <w:rPr>
                      <w:noProof/>
                      <w:sz w:val="20"/>
                    </w:rPr>
                    <w:t>)  </w:t>
                  </w:r>
                </w:p>
              </w:tc>
            </w:tr>
            <w:t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pPr>
                    <w:rPr>
                      <w:b/>
                      <w:noProof/>
                      <w:sz w:val="20"/>
                    </w:rPr>
                  </w:pPr>
                  <w:r>
                    <w:rPr>
                      <w:noProof/>
                      <w:sz w:val="20"/>
                    </w:rPr>
                    <w:t>(</w:t>
                  </w:r>
                  <w:r>
                    <w:rPr>
                      <w:noProof/>
                      <w:sz w:val="20"/>
                      <w:vertAlign w:val="superscript"/>
                    </w:rPr>
                    <w:t>1</w:t>
                  </w:r>
                  <w:r>
                    <w:rPr>
                      <w:noProof/>
                      <w:sz w:val="20"/>
                    </w:rPr>
                    <w:t>)  Az egyik fél kérésére egyeztetésre kerülhet sor a kontingenseknek az ex 2204 29 vámtarifaszám alatt feltüntetett termékek esetében alkalmazott vámkontingens mennyiségeinek az ex 2204 10 és ex 2204 21 vámtarifaszámok alatt feltüntetett termékek esetében alkalmazott vámkontingensbe való átvitelével történő kiigazításáról. A 2017. évre vonatkozóan – e jegyzőkönyv hatálybalépésének és ideiglenes alkalmazásának időpontjától függetlenül – a vámkontingensek teljes mennyiségét alkalmazzák.</w:t>
                  </w:r>
                  <w:r>
                    <w:rPr>
                      <w:b/>
                      <w:noProof/>
                      <w:sz w:val="20"/>
                    </w:rPr>
                    <w:t xml:space="preserve"> </w:t>
                  </w:r>
                </w:p>
              </w:tc>
            </w:tr>
          </w:tbl>
          <w:p>
            <w:pPr>
              <w:rPr>
                <w:noProof/>
                <w:sz w:val="20"/>
              </w:rPr>
            </w:pPr>
          </w:p>
        </w:tc>
      </w:tr>
      <w:tr>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pPr>
              <w:rPr>
                <w:noProof/>
                <w:sz w:val="20"/>
              </w:rPr>
            </w:pPr>
            <w:r>
              <w:rPr>
                <w:noProof/>
                <w:sz w:val="20"/>
              </w:rPr>
              <w:t>A borok Bosznia-Hercegovinába irányuló behozataláról szóló, a 7. jegyzőkönyv I. mellékletének 3. pontjában szereplő táblázat helyébe az alábbi táblázat lép:</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63"/>
              <w:gridCol w:w="1850"/>
              <w:gridCol w:w="1350"/>
              <w:gridCol w:w="1306"/>
              <w:gridCol w:w="1306"/>
              <w:gridCol w:w="1215"/>
            </w:tblGrid>
            <w:tr>
              <w:tc>
                <w:tcPr>
                  <w:tcW w:w="1014"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 xml:space="preserve">Bosznia-hercegovinai vámtarifaszám </w:t>
                  </w:r>
                </w:p>
              </w:tc>
              <w:tc>
                <w:tcPr>
                  <w:tcW w:w="1121"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Árumegnevezés (a 7. jegyzőkönyv 2. cikke (1) bekezdése a) pontjának megfelelően)</w:t>
                  </w:r>
                </w:p>
              </w:tc>
              <w:tc>
                <w:tcPr>
                  <w:tcW w:w="593"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Alkalmazandó vám</w:t>
                  </w:r>
                </w:p>
              </w:tc>
              <w:tc>
                <w:tcPr>
                  <w:tcW w:w="754"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2017.1.1-jétől alkalmazandó mennyiségek (hl)</w:t>
                  </w:r>
                </w:p>
              </w:tc>
              <w:tc>
                <w:tcPr>
                  <w:tcW w:w="759" w:type="pct"/>
                  <w:tcBorders>
                    <w:top w:val="single" w:sz="6" w:space="0" w:color="000000"/>
                    <w:left w:val="single" w:sz="6" w:space="0" w:color="000000"/>
                    <w:bottom w:val="single" w:sz="6" w:space="0" w:color="000000"/>
                    <w:right w:val="single" w:sz="6" w:space="0" w:color="000000"/>
                  </w:tcBorders>
                  <w:shd w:val="pct25" w:color="auto" w:fill="FFFFFF"/>
                  <w:tcMar>
                    <w:top w:w="30" w:type="dxa"/>
                    <w:left w:w="75" w:type="dxa"/>
                    <w:bottom w:w="30" w:type="dxa"/>
                    <w:right w:w="30" w:type="dxa"/>
                  </w:tcMar>
                  <w:hideMark/>
                </w:tcPr>
                <w:p>
                  <w:pPr>
                    <w:jc w:val="center"/>
                    <w:rPr>
                      <w:b/>
                      <w:bCs/>
                      <w:noProof/>
                      <w:sz w:val="20"/>
                    </w:rPr>
                  </w:pPr>
                  <w:r>
                    <w:rPr>
                      <w:b/>
                      <w:noProof/>
                      <w:sz w:val="20"/>
                    </w:rPr>
                    <w:t xml:space="preserve">2018.1.1-jétől alkalmazandó mennyiségek </w:t>
                  </w:r>
                  <w:r>
                    <w:rPr>
                      <w:b/>
                      <w:bCs/>
                      <w:noProof/>
                      <w:sz w:val="20"/>
                    </w:rPr>
                    <w:br/>
                  </w:r>
                  <w:r>
                    <w:rPr>
                      <w:b/>
                      <w:noProof/>
                      <w:sz w:val="20"/>
                    </w:rPr>
                    <w:t>(hl)</w:t>
                  </w:r>
                </w:p>
              </w:tc>
              <w:tc>
                <w:tcPr>
                  <w:tcW w:w="759" w:type="pct"/>
                  <w:tcBorders>
                    <w:top w:val="single" w:sz="6" w:space="0" w:color="000000"/>
                    <w:left w:val="single" w:sz="6" w:space="0" w:color="000000"/>
                    <w:bottom w:val="single" w:sz="6" w:space="0" w:color="000000"/>
                    <w:right w:val="single" w:sz="6" w:space="0" w:color="000000"/>
                  </w:tcBorders>
                  <w:shd w:val="pct25" w:color="auto" w:fill="FFFFFF"/>
                </w:tcPr>
                <w:p>
                  <w:pPr>
                    <w:jc w:val="center"/>
                    <w:rPr>
                      <w:b/>
                      <w:bCs/>
                      <w:noProof/>
                      <w:sz w:val="20"/>
                    </w:rPr>
                  </w:pPr>
                  <w:r>
                    <w:rPr>
                      <w:b/>
                      <w:noProof/>
                      <w:sz w:val="20"/>
                    </w:rPr>
                    <w:t>Különös rendelkezések</w:t>
                  </w:r>
                </w:p>
              </w:tc>
            </w:tr>
            <w:tr>
              <w:tc>
                <w:tcPr>
                  <w:tcW w:w="1014"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ex 2204 10</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Minőségi pezsgőbor</w:t>
                  </w:r>
                </w:p>
              </w:tc>
              <w:tc>
                <w:tcPr>
                  <w:tcW w:w="5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br/>
                    <w:t>vámmentes</w:t>
                  </w:r>
                </w:p>
              </w:tc>
              <w:tc>
                <w:tcPr>
                  <w:tcW w:w="754"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jc w:val="center"/>
                    <w:rPr>
                      <w:noProof/>
                      <w:sz w:val="20"/>
                    </w:rPr>
                  </w:pPr>
                  <w:r>
                    <w:rPr>
                      <w:noProof/>
                      <w:sz w:val="20"/>
                    </w:rPr>
                    <w:t>13 765</w:t>
                  </w:r>
                </w:p>
              </w:tc>
              <w:tc>
                <w:tcPr>
                  <w:tcW w:w="75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vAlign w:val="center"/>
                  <w:hideMark/>
                </w:tcPr>
                <w:p>
                  <w:pPr>
                    <w:jc w:val="center"/>
                    <w:rPr>
                      <w:noProof/>
                      <w:sz w:val="20"/>
                    </w:rPr>
                  </w:pPr>
                  <w:r>
                    <w:rPr>
                      <w:noProof/>
                      <w:sz w:val="20"/>
                    </w:rPr>
                    <w:t>19 530</w:t>
                  </w:r>
                </w:p>
              </w:tc>
              <w:tc>
                <w:tcPr>
                  <w:tcW w:w="759" w:type="pct"/>
                  <w:vMerge w:val="restart"/>
                  <w:tcBorders>
                    <w:top w:val="single" w:sz="6" w:space="0" w:color="000000"/>
                    <w:left w:val="single" w:sz="6" w:space="0" w:color="000000"/>
                    <w:right w:val="single" w:sz="6" w:space="0" w:color="000000"/>
                  </w:tcBorders>
                  <w:shd w:val="clear" w:color="auto" w:fill="FFFFFF"/>
                  <w:vAlign w:val="center"/>
                </w:tcPr>
                <w:p>
                  <w:pPr>
                    <w:jc w:val="center"/>
                    <w:rPr>
                      <w:noProof/>
                      <w:sz w:val="20"/>
                    </w:rPr>
                  </w:pPr>
                  <w:r>
                    <w:rPr>
                      <w:noProof/>
                      <w:sz w:val="20"/>
                    </w:rPr>
                    <w:t>(</w:t>
                  </w:r>
                  <w:r>
                    <w:rPr>
                      <w:noProof/>
                      <w:sz w:val="20"/>
                      <w:vertAlign w:val="superscript"/>
                    </w:rPr>
                    <w:t>2</w:t>
                  </w:r>
                  <w:r>
                    <w:rPr>
                      <w:noProof/>
                      <w:sz w:val="20"/>
                    </w:rPr>
                    <w:t>)</w:t>
                  </w:r>
                </w:p>
              </w:tc>
            </w:tr>
            <w:tr>
              <w:tc>
                <w:tcPr>
                  <w:tcW w:w="1014"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jc w:val="center"/>
                    <w:rPr>
                      <w:noProof/>
                      <w:sz w:val="20"/>
                    </w:rPr>
                  </w:pPr>
                  <w:r>
                    <w:rPr>
                      <w:noProof/>
                      <w:sz w:val="20"/>
                    </w:rPr>
                    <w:t>ex 2204 21</w:t>
                  </w:r>
                </w:p>
              </w:tc>
              <w:tc>
                <w:tcPr>
                  <w:tcW w:w="1121" w:type="pc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pPr>
                    <w:rPr>
                      <w:noProof/>
                      <w:sz w:val="20"/>
                    </w:rPr>
                  </w:pPr>
                  <w:r>
                    <w:rPr>
                      <w:noProof/>
                      <w:sz w:val="20"/>
                    </w:rPr>
                    <w:t>Bor friss szőlőből</w:t>
                  </w:r>
                </w:p>
              </w:tc>
              <w:tc>
                <w:tcPr>
                  <w:tcW w:w="593" w:type="pct"/>
                  <w:vMerge/>
                  <w:tcBorders>
                    <w:top w:val="single" w:sz="6" w:space="0" w:color="000000"/>
                    <w:left w:val="single" w:sz="6" w:space="0" w:color="000000"/>
                    <w:bottom w:val="single" w:sz="6" w:space="0" w:color="000000"/>
                    <w:right w:val="single" w:sz="6" w:space="0" w:color="000000"/>
                  </w:tcBorders>
                  <w:vAlign w:val="center"/>
                  <w:hideMark/>
                </w:tcPr>
                <w:p>
                  <w:pPr>
                    <w:rPr>
                      <w:noProof/>
                      <w:sz w:val="20"/>
                    </w:rPr>
                  </w:pPr>
                </w:p>
              </w:tc>
              <w:tc>
                <w:tcPr>
                  <w:tcW w:w="754" w:type="pct"/>
                  <w:vMerge/>
                  <w:tcBorders>
                    <w:top w:val="single" w:sz="6" w:space="0" w:color="000000"/>
                    <w:left w:val="single" w:sz="6" w:space="0" w:color="000000"/>
                    <w:bottom w:val="single" w:sz="6" w:space="0" w:color="000000"/>
                    <w:right w:val="single" w:sz="6" w:space="0" w:color="000000"/>
                  </w:tcBorders>
                  <w:vAlign w:val="center"/>
                  <w:hideMark/>
                </w:tcPr>
                <w:p>
                  <w:pPr>
                    <w:rPr>
                      <w:noProof/>
                      <w:sz w:val="20"/>
                    </w:rPr>
                  </w:pPr>
                </w:p>
              </w:tc>
              <w:tc>
                <w:tcPr>
                  <w:tcW w:w="759" w:type="pct"/>
                  <w:vMerge/>
                  <w:tcBorders>
                    <w:top w:val="single" w:sz="6" w:space="0" w:color="000000"/>
                    <w:left w:val="single" w:sz="6" w:space="0" w:color="000000"/>
                    <w:bottom w:val="single" w:sz="6" w:space="0" w:color="000000"/>
                    <w:right w:val="single" w:sz="6" w:space="0" w:color="000000"/>
                  </w:tcBorders>
                  <w:vAlign w:val="center"/>
                  <w:hideMark/>
                </w:tcPr>
                <w:p>
                  <w:pPr>
                    <w:rPr>
                      <w:noProof/>
                      <w:sz w:val="20"/>
                    </w:rPr>
                  </w:pPr>
                </w:p>
              </w:tc>
              <w:tc>
                <w:tcPr>
                  <w:tcW w:w="759" w:type="pct"/>
                  <w:vMerge/>
                  <w:tcBorders>
                    <w:left w:val="single" w:sz="6" w:space="0" w:color="000000"/>
                    <w:bottom w:val="single" w:sz="6" w:space="0" w:color="000000"/>
                    <w:right w:val="single" w:sz="6" w:space="0" w:color="000000"/>
                  </w:tcBorders>
                </w:tcPr>
                <w:p>
                  <w:pPr>
                    <w:rPr>
                      <w:noProof/>
                      <w:sz w:val="20"/>
                    </w:rPr>
                  </w:pPr>
                </w:p>
              </w:tc>
            </w:tr>
            <w:t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cPr>
                <w:p>
                  <w:pPr>
                    <w:rPr>
                      <w:noProof/>
                      <w:sz w:val="20"/>
                    </w:rPr>
                  </w:pPr>
                  <w:r>
                    <w:rPr>
                      <w:noProof/>
                      <w:sz w:val="20"/>
                    </w:rPr>
                    <w:t>(</w:t>
                  </w:r>
                  <w:r>
                    <w:rPr>
                      <w:noProof/>
                      <w:sz w:val="20"/>
                      <w:vertAlign w:val="superscript"/>
                    </w:rPr>
                    <w:t>2</w:t>
                  </w:r>
                  <w:r>
                    <w:rPr>
                      <w:noProof/>
                      <w:sz w:val="20"/>
                    </w:rPr>
                    <w:t xml:space="preserve">) A 2017. évre vonatkozóan – e jegyzőkönyv hatálybalépésének és ideiglenes alkalmazásának időpontjától függetlenül – a vámkontingensek teljes mennyiségét alkalmazzák. </w:t>
                  </w:r>
                </w:p>
              </w:tc>
            </w:tr>
          </w:tbl>
          <w:p>
            <w:pPr>
              <w:rPr>
                <w:noProof/>
                <w:sz w:val="20"/>
              </w:rPr>
            </w:pPr>
          </w:p>
        </w:tc>
      </w:tr>
    </w:tbl>
    <w:p>
      <w:pPr>
        <w:rPr>
          <w:i/>
          <w:noProof/>
        </w:rPr>
      </w:pPr>
    </w:p>
    <w:p>
      <w:pPr>
        <w:spacing w:before="0" w:after="240"/>
        <w:jc w:val="center"/>
        <w:rPr>
          <w:noProof/>
        </w:rPr>
      </w:pPr>
    </w:p>
    <w:p>
      <w:pPr>
        <w:pStyle w:val="Typedudocument"/>
        <w:rPr>
          <w:noProof/>
        </w:rPr>
      </w:pPr>
    </w:p>
    <w:sectPr>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5325C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AEA2222"/>
    <w:lvl w:ilvl="0">
      <w:start w:val="1"/>
      <w:numFmt w:val="decimal"/>
      <w:pStyle w:val="ListNumber3"/>
      <w:lvlText w:val="%1."/>
      <w:lvlJc w:val="left"/>
      <w:pPr>
        <w:tabs>
          <w:tab w:val="num" w:pos="926"/>
        </w:tabs>
        <w:ind w:left="926" w:hanging="360"/>
      </w:pPr>
    </w:lvl>
  </w:abstractNum>
  <w:abstractNum w:abstractNumId="2">
    <w:nsid w:val="FFFFFF7F"/>
    <w:multiLevelType w:val="singleLevel"/>
    <w:tmpl w:val="7166BE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805CDA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9067E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D826DC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C62C0E"/>
    <w:lvl w:ilvl="0">
      <w:start w:val="1"/>
      <w:numFmt w:val="decimal"/>
      <w:pStyle w:val="ListNumber"/>
      <w:lvlText w:val="%1."/>
      <w:lvlJc w:val="left"/>
      <w:pPr>
        <w:tabs>
          <w:tab w:val="num" w:pos="360"/>
        </w:tabs>
        <w:ind w:left="360" w:hanging="360"/>
      </w:pPr>
    </w:lvl>
  </w:abstractNum>
  <w:abstractNum w:abstractNumId="7">
    <w:nsid w:val="FFFFFF89"/>
    <w:multiLevelType w:val="singleLevel"/>
    <w:tmpl w:val="9F1689B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D0E0429"/>
    <w:multiLevelType w:val="multilevel"/>
    <w:tmpl w:val="28B89D12"/>
    <w:name w:val="List Dash"/>
    <w:lvl w:ilvl="0">
      <w:start w:val="1"/>
      <w:numFmt w:val="decimal"/>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5 10:18: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0"/>
    <w:docVar w:name="DQCResult_StructureCheck" w:val="0;0"/>
    <w:docVar w:name="DQCResult_SuperfluousWhitespace" w:val="0;50"/>
    <w:docVar w:name="DQCResult_UnknownFonts" w:val="0;0"/>
    <w:docVar w:name="DQCResult_UnknownStyles" w:val="0;1"/>
    <w:docVar w:name="DQCStatus" w:val="Green"/>
    <w:docVar w:name="DQCVersion" w:val="3"/>
    <w:docVar w:name="DQCWithWarnings" w:val="0"/>
    <w:docVar w:name="LW_ACCOMPAGNANT.CP" w:val="a következ\u337?höz:"/>
    <w:docVar w:name="LW_ANNEX_NBR_FIRST" w:val="1"/>
    <w:docVar w:name="LW_ANNEX_NBR_LAST" w:val="1"/>
    <w:docVar w:name="LW_CONFIDENCE" w:val=" "/>
    <w:docVar w:name="LW_CONST_RESTREINT_UE" w:val="RESTREINT UE"/>
    <w:docVar w:name="LW_CORRIGENDUM" w:val="&lt;UNUSED&gt;"/>
    <w:docVar w:name="LW_COVERPAGE_GUID" w:val="5645BED0FE1540CE97DC6238248781FC"/>
    <w:docVar w:name="LW_CROSSREFERENCE" w:val="&lt;UNUSED&gt;"/>
    <w:docVar w:name="LW_DocType" w:val="ANNEX"/>
    <w:docVar w:name="LW_EMISSION" w:val="2016.10.6."/>
    <w:docVar w:name="LW_EMISSION_ISODATE" w:val="2016-10-06"/>
    <w:docVar w:name="LW_EMISSION_LOCATION" w:val="BRX"/>
    <w:docVar w:name="LW_EMISSION_PREFIX" w:val="Brüsszel, "/>
    <w:docVar w:name="LW_EMISSION_SUFFIX" w:val=" "/>
    <w:docVar w:name="LW_ID_DOCSTRUCTURE" w:val="COM/ANNEX"/>
    <w:docVar w:name="LW_ID_DOCTYPE" w:val="SG-017"/>
    <w:docVar w:name="LW_LANGUE" w:val="HU"/>
    <w:docVar w:name="LW_MARKING" w:val="&lt;UNUSED&gt;"/>
    <w:docVar w:name="LW_NOM.INST" w:val="EURÓPAI BIZOTTSÁG"/>
    <w:docVar w:name="LW_NOM.INST_JOINTDOC" w:val="&lt;EMPTY&gt;"/>
    <w:docVar w:name="LW_OBJETACTEPRINCIPAL.CP" w:val="az egyrészr\u337?l az Európai Közösségek és tagállamaik, másrészr\u337?l Bosznia és Hercegovina közötti stabilizációs és társulási megállapodáshoz csatolt, a Horvát Köztársaság Európai Unióhoz történ\u337? csatlakozásának figyelembevétele céljából készült jegyz\u337?könyvnek az Európai Unió és tagállamai nevében történ\u337? megkötésér\u337?l"/>
    <w:docVar w:name="LW_PART_NBR" w:val="1"/>
    <w:docVar w:name="LW_PART_NBR_TOTAL" w:val="1"/>
    <w:docVar w:name="LW_REF.INST.NEW" w:val="COM"/>
    <w:docVar w:name="LW_REF.INST.NEW_ADOPTED" w:val="final"/>
    <w:docVar w:name="LW_REF.INST.NEW_TEXT" w:val="(2016) 640"/>
    <w:docVar w:name="LW_REF.INTERNE" w:val="&lt;UNUSED&gt;"/>
    <w:docVar w:name="LW_SUPERTITRE" w:val="&lt;UNUSED&gt;"/>
    <w:docVar w:name="LW_TITRE.OBJ.CP" w:val="&lt;UNUSED&gt;"/>
    <w:docVar w:name="LW_TYPE.DOC.CP" w:val="MELLÉKLET"/>
    <w:docVar w:name="LW_TYPEACTEPRINCIPAL.CP" w:val="A TANÁCS HATÁROZA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nhideWhenUsed/>
    <w:pPr>
      <w:numPr>
        <w:numId w:val="2"/>
      </w:numPr>
      <w:tabs>
        <w:tab w:val="clear" w:pos="360"/>
        <w:tab w:val="num" w:pos="709"/>
      </w:tabs>
      <w:ind w:left="709" w:hanging="709"/>
    </w:pPr>
    <w:rPr>
      <w:rFonts w:eastAsia="Times New Roman"/>
      <w:szCs w:val="20"/>
    </w:rPr>
  </w:style>
  <w:style w:type="paragraph" w:customStyle="1" w:styleId="ListNumberLevel2">
    <w:name w:val="List Number (Level 2)"/>
    <w:basedOn w:val="Normal"/>
    <w:pPr>
      <w:numPr>
        <w:ilvl w:val="1"/>
        <w:numId w:val="1"/>
      </w:numPr>
    </w:pPr>
    <w:rPr>
      <w:rFonts w:eastAsia="Times New Roman"/>
      <w:szCs w:val="20"/>
    </w:rPr>
  </w:style>
  <w:style w:type="paragraph" w:customStyle="1" w:styleId="ListNumberLevel3">
    <w:name w:val="List Number (Level 3)"/>
    <w:basedOn w:val="Normal"/>
    <w:pPr>
      <w:numPr>
        <w:ilvl w:val="2"/>
        <w:numId w:val="1"/>
      </w:numPr>
    </w:pPr>
    <w:rPr>
      <w:rFonts w:eastAsia="Times New Roman"/>
      <w:szCs w:val="20"/>
    </w:rPr>
  </w:style>
  <w:style w:type="paragraph" w:customStyle="1" w:styleId="ListNumberLevel4">
    <w:name w:val="List Number (Level 4)"/>
    <w:basedOn w:val="Normal"/>
    <w:pPr>
      <w:numPr>
        <w:ilvl w:val="3"/>
        <w:numId w:val="1"/>
      </w:numPr>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hu-HU" w:eastAsia="hu-HU"/>
    </w:rPr>
  </w:style>
  <w:style w:type="paragraph" w:customStyle="1" w:styleId="Annexetitreglobale">
    <w:name w:val="Annexe titre (globale)"/>
    <w:basedOn w:val="Normal"/>
    <w:next w:val="Normal"/>
    <w:pPr>
      <w:jc w:val="center"/>
    </w:pPr>
    <w:rPr>
      <w:rFonts w:eastAsia="Times New Roman"/>
      <w:b/>
      <w:szCs w:val="20"/>
      <w:u w:val="single"/>
    </w:rPr>
  </w:style>
  <w:style w:type="paragraph" w:styleId="ListParagraph">
    <w:name w:val="List Paragraph"/>
    <w:basedOn w:val="Normal"/>
    <w:uiPriority w:val="34"/>
    <w:qFormat/>
    <w:pPr>
      <w:ind w:left="720"/>
      <w:contextualSpacing/>
    </w:pPr>
    <w:rPr>
      <w:rFonts w:eastAsia="Times New Roman"/>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hu-HU"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hu-HU" w:eastAsia="hu-HU"/>
    </w:rPr>
  </w:style>
  <w:style w:type="paragraph" w:styleId="NormalWeb">
    <w:name w:val="Normal (Web)"/>
    <w:basedOn w:val="Normal"/>
    <w:uiPriority w:val="99"/>
    <w:unhideWhenUsed/>
    <w:pPr>
      <w:spacing w:before="100" w:beforeAutospacing="1" w:after="100" w:afterAutospacing="1"/>
      <w:jc w:val="left"/>
    </w:pPr>
    <w:rPr>
      <w:szCs w:val="24"/>
    </w:rPr>
  </w:style>
  <w:style w:type="numbering" w:customStyle="1" w:styleId="NoList1">
    <w:name w:val="No List1"/>
    <w:next w:val="NoList"/>
    <w:uiPriority w:val="99"/>
    <w:semiHidden/>
    <w:unhideWhenUsed/>
  </w:style>
  <w:style w:type="character" w:styleId="Hyperlink">
    <w:name w:val="Hyperlink"/>
    <w:uiPriority w:val="99"/>
    <w:rPr>
      <w:color w:val="0000FF"/>
      <w:u w:val="single"/>
    </w:rPr>
  </w:style>
  <w:style w:type="paragraph" w:styleId="EndnoteText">
    <w:name w:val="endnote text"/>
    <w:basedOn w:val="Normal"/>
    <w:link w:val="EndnoteTextChar"/>
    <w:uiPriority w:val="99"/>
    <w:semiHidden/>
    <w:unhideWhenUsed/>
    <w:pPr>
      <w:spacing w:before="0" w:after="200" w:line="276" w:lineRule="auto"/>
      <w:jc w:val="left"/>
    </w:pPr>
    <w:rPr>
      <w:rFonts w:ascii="Calibri" w:eastAsia="Calibri" w:hAnsi="Calibri"/>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lang w:val="hu-HU"/>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customStyle="1" w:styleId="font5">
    <w:name w:val="font5"/>
    <w:basedOn w:val="Normal"/>
    <w:pPr>
      <w:spacing w:before="100" w:beforeAutospacing="1" w:after="100" w:afterAutospacing="1"/>
      <w:jc w:val="left"/>
    </w:pPr>
    <w:rPr>
      <w:rFonts w:ascii="Arial Unicode MS" w:eastAsia="Arial Unicode MS" w:hAnsi="Arial Unicode MS" w:cs="Arial Unicode MS"/>
      <w:color w:val="000000"/>
      <w:sz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eastAsia="Times New Roman" w:hAnsi="Arial Narrow"/>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Narrow" w:eastAsia="Times New Roman" w:hAnsi="Arial Narrow"/>
      <w:b/>
      <w:bCs/>
      <w:szCs w:val="24"/>
    </w:rPr>
  </w:style>
  <w:style w:type="paragraph" w:customStyle="1" w:styleId="xl77">
    <w:name w:val="xl77"/>
    <w:basedOn w:val="Normal"/>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8">
    <w:name w:val="xl78"/>
    <w:basedOn w:val="Normal"/>
    <w:pPr>
      <w:pBdr>
        <w:top w:val="single" w:sz="4"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9">
    <w:name w:val="xl79"/>
    <w:basedOn w:val="Normal"/>
    <w:pPr>
      <w:pBdr>
        <w:top w:val="single" w:sz="4" w:space="0" w:color="auto"/>
        <w:bottom w:val="single" w:sz="4" w:space="0" w:color="auto"/>
      </w:pBdr>
      <w:shd w:val="clear" w:color="000000" w:fill="FFFFFF"/>
      <w:spacing w:before="100" w:beforeAutospacing="1" w:after="100" w:afterAutospacing="1"/>
      <w:jc w:val="center"/>
      <w:textAlignment w:val="top"/>
    </w:pPr>
    <w:rPr>
      <w:rFonts w:ascii="Arial Narrow" w:eastAsia="Times New Roman" w:hAnsi="Arial Narrow"/>
      <w:szCs w:val="24"/>
    </w:rPr>
  </w:style>
  <w:style w:type="paragraph" w:customStyle="1" w:styleId="xl80">
    <w:name w:val="xl8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82">
    <w:name w:val="xl82"/>
    <w:basedOn w:val="Normal"/>
    <w:pP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Narrow" w:eastAsia="Times New Roman" w:hAnsi="Arial Narrow"/>
      <w:b/>
      <w:bCs/>
      <w:sz w:val="20"/>
      <w:szCs w:val="20"/>
    </w:rPr>
  </w:style>
  <w:style w:type="paragraph" w:customStyle="1" w:styleId="xl88">
    <w:name w:val="xl88"/>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90">
    <w:name w:val="xl90"/>
    <w:basedOn w:val="Normal"/>
    <w:pPr>
      <w:pBdr>
        <w:top w:val="single" w:sz="4" w:space="0" w:color="auto"/>
        <w:left w:val="single" w:sz="4" w:space="0" w:color="auto"/>
      </w:pBdr>
      <w:shd w:val="clear" w:color="000000" w:fill="F2F2F2"/>
      <w:spacing w:before="100" w:beforeAutospacing="1" w:after="100" w:afterAutospacing="1"/>
      <w:jc w:val="center"/>
      <w:textAlignment w:val="top"/>
    </w:pPr>
    <w:rPr>
      <w:rFonts w:ascii="Arial Narrow" w:eastAsia="Times New Roman" w:hAnsi="Arial Narrow"/>
      <w:b/>
      <w:bCs/>
      <w:szCs w:val="24"/>
    </w:rPr>
  </w:style>
  <w:style w:type="paragraph" w:customStyle="1" w:styleId="xl91">
    <w:name w:val="xl91"/>
    <w:basedOn w:val="Normal"/>
    <w:pPr>
      <w:pBdr>
        <w:top w:val="single" w:sz="4" w:space="0" w:color="auto"/>
      </w:pBdr>
      <w:shd w:val="clear" w:color="000000" w:fill="F2F2F2"/>
      <w:spacing w:before="100" w:beforeAutospacing="1" w:after="100" w:afterAutospacing="1"/>
      <w:jc w:val="center"/>
      <w:textAlignment w:val="top"/>
    </w:pPr>
    <w:rPr>
      <w:rFonts w:ascii="Arial Narrow" w:eastAsia="Times New Roman" w:hAnsi="Arial Narrow"/>
      <w:b/>
      <w:bCs/>
      <w:szCs w:val="24"/>
    </w:rPr>
  </w:style>
  <w:style w:type="paragraph" w:customStyle="1" w:styleId="xl92">
    <w:name w:val="xl92"/>
    <w:basedOn w:val="Normal"/>
    <w:pPr>
      <w:pBdr>
        <w:top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93">
    <w:name w:val="xl93"/>
    <w:basedOn w:val="Normal"/>
    <w:pPr>
      <w:pBdr>
        <w:top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94">
    <w:name w:val="xl94"/>
    <w:basedOn w:val="Normal"/>
    <w:pPr>
      <w:shd w:val="clear" w:color="000000" w:fill="FFFFFF"/>
      <w:spacing w:before="100" w:beforeAutospacing="1" w:after="100" w:afterAutospacing="1"/>
      <w:jc w:val="left"/>
      <w:textAlignment w:val="top"/>
    </w:pPr>
    <w:rPr>
      <w:rFonts w:ascii="Arial" w:eastAsia="Times New Roman" w:hAnsi="Arial" w:cs="Arial"/>
      <w:b/>
      <w:bCs/>
      <w:szCs w:val="24"/>
    </w:rPr>
  </w:style>
  <w:style w:type="paragraph" w:customStyle="1" w:styleId="xl95">
    <w:name w:val="xl95"/>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96">
    <w:name w:val="xl96"/>
    <w:basedOn w:val="Normal"/>
    <w:pPr>
      <w:shd w:val="clear" w:color="000000" w:fill="FFFFFF"/>
      <w:spacing w:before="100" w:beforeAutospacing="1" w:after="100" w:afterAutospacing="1"/>
      <w:jc w:val="center"/>
      <w:textAlignment w:val="center"/>
    </w:pPr>
    <w:rPr>
      <w:rFonts w:ascii="Arial" w:eastAsia="Times New Roman" w:hAnsi="Arial" w:cs="Arial"/>
      <w:b/>
      <w:bCs/>
      <w:szCs w:val="24"/>
    </w:rPr>
  </w:style>
  <w:style w:type="paragraph" w:customStyle="1" w:styleId="xl97">
    <w:name w:val="xl97"/>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00">
    <w:name w:val="xl100"/>
    <w:basedOn w:val="Normal"/>
    <w:pP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02">
    <w:name w:val="xl102"/>
    <w:basedOn w:val="Normal"/>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04">
    <w:name w:val="xl104"/>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6">
    <w:name w:val="xl106"/>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09">
    <w:name w:val="xl109"/>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13">
    <w:name w:val="xl11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14">
    <w:name w:val="xl114"/>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15">
    <w:name w:val="xl11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16">
    <w:name w:val="xl116"/>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7">
    <w:name w:val="xl117"/>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8">
    <w:name w:val="xl118"/>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19">
    <w:name w:val="xl119"/>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1">
    <w:name w:val="xl12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2">
    <w:name w:val="xl12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23">
    <w:name w:val="xl12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24">
    <w:name w:val="xl124"/>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5">
    <w:name w:val="xl125"/>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27">
    <w:name w:val="xl127"/>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8">
    <w:name w:val="xl12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9">
    <w:name w:val="xl129"/>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0">
    <w:name w:val="xl130"/>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31">
    <w:name w:val="xl131"/>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32">
    <w:name w:val="xl13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3">
    <w:name w:val="xl133"/>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4">
    <w:name w:val="xl134"/>
    <w:basedOn w:val="Normal"/>
    <w:pPr>
      <w:pBdr>
        <w:top w:val="single" w:sz="4" w:space="0" w:color="auto"/>
        <w:left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35">
    <w:name w:val="xl135"/>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37">
    <w:name w:val="xl13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8">
    <w:name w:val="xl1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9">
    <w:name w:val="xl13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40">
    <w:name w:val="xl140"/>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41">
    <w:name w:val="xl141"/>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42">
    <w:name w:val="xl142"/>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44">
    <w:name w:val="xl144"/>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45">
    <w:name w:val="xl145"/>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46">
    <w:name w:val="xl146"/>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47">
    <w:name w:val="xl147"/>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48">
    <w:name w:val="xl148"/>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49">
    <w:name w:val="xl14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0">
    <w:name w:val="xl15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1">
    <w:name w:val="xl151"/>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2">
    <w:name w:val="xl152"/>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3">
    <w:name w:val="xl153"/>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4">
    <w:name w:val="xl154"/>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5">
    <w:name w:val="xl155"/>
    <w:basedOn w:val="Normal"/>
    <w:pPr>
      <w:pBdr>
        <w:top w:val="single" w:sz="8" w:space="0" w:color="auto"/>
        <w:left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56">
    <w:name w:val="xl156"/>
    <w:basedOn w:val="Normal"/>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57">
    <w:name w:val="xl157"/>
    <w:basedOn w:val="Normal"/>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58">
    <w:name w:val="xl158"/>
    <w:basedOn w:val="Normal"/>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9">
    <w:name w:val="xl159"/>
    <w:basedOn w:val="Normal"/>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0">
    <w:name w:val="xl160"/>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1">
    <w:name w:val="xl161"/>
    <w:basedOn w:val="Normal"/>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2">
    <w:name w:val="xl162"/>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63">
    <w:name w:val="xl16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64">
    <w:name w:val="xl164"/>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5">
    <w:name w:val="xl165"/>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6">
    <w:name w:val="xl166"/>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67">
    <w:name w:val="xl167"/>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68">
    <w:name w:val="xl168"/>
    <w:basedOn w:val="Normal"/>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9">
    <w:name w:val="xl169"/>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70">
    <w:name w:val="xl170"/>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71">
    <w:name w:val="xl171"/>
    <w:basedOn w:val="Normal"/>
    <w:pPr>
      <w:pBdr>
        <w:lef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72">
    <w:name w:val="xl172"/>
    <w:basedOn w:val="Normal"/>
    <w:pP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73">
    <w:name w:val="xl173"/>
    <w:basedOn w:val="Normal"/>
    <w:pPr>
      <w:pBdr>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74">
    <w:name w:val="xl17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75">
    <w:name w:val="xl17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76">
    <w:name w:val="xl17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77">
    <w:name w:val="xl177"/>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78">
    <w:name w:val="xl178"/>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79">
    <w:name w:val="xl17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80">
    <w:name w:val="xl18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81">
    <w:name w:val="xl181"/>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82">
    <w:name w:val="xl18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83">
    <w:name w:val="xl183"/>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84">
    <w:name w:val="xl184"/>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Narrow" w:eastAsia="Times New Roman" w:hAnsi="Arial Narrow"/>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20"/>
      <w:szCs w:val="20"/>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9">
    <w:name w:val="xl189"/>
    <w:basedOn w:val="Normal"/>
    <w:pP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olor w:val="000000"/>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92">
    <w:name w:val="xl192"/>
    <w:basedOn w:val="Normal"/>
    <w:pPr>
      <w:pBdr>
        <w:top w:val="single" w:sz="8"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3">
    <w:name w:val="xl19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94">
    <w:name w:val="xl19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olor w:val="000000"/>
      <w:szCs w:val="24"/>
    </w:rPr>
  </w:style>
  <w:style w:type="paragraph" w:customStyle="1" w:styleId="xl195">
    <w:name w:val="xl195"/>
    <w:basedOn w:val="Normal"/>
    <w:pPr>
      <w:pBdr>
        <w:top w:val="single" w:sz="4"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6">
    <w:name w:val="xl196"/>
    <w:basedOn w:val="Normal"/>
    <w:pPr>
      <w:pBdr>
        <w:top w:val="single" w:sz="4"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7">
    <w:name w:val="xl197"/>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98">
    <w:name w:val="xl19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0">
    <w:name w:val="xl200"/>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2">
    <w:name w:val="xl202"/>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3">
    <w:name w:val="xl203"/>
    <w:basedOn w:val="Normal"/>
    <w:pPr>
      <w:pBdr>
        <w:top w:val="single" w:sz="8" w:space="0" w:color="auto"/>
        <w:left w:val="single" w:sz="8" w:space="0" w:color="auto"/>
        <w:bottom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4">
    <w:name w:val="xl2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5">
    <w:name w:val="xl205"/>
    <w:basedOn w:val="Normal"/>
    <w:pPr>
      <w:pBdr>
        <w:top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6">
    <w:name w:val="xl206"/>
    <w:basedOn w:val="Normal"/>
    <w:pPr>
      <w:pBdr>
        <w:top w:val="single" w:sz="4" w:space="0" w:color="auto"/>
        <w:left w:val="single" w:sz="8" w:space="0" w:color="auto"/>
        <w:bottom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7">
    <w:name w:val="xl207"/>
    <w:basedOn w:val="Normal"/>
    <w:pPr>
      <w:pBdr>
        <w:top w:val="single" w:sz="4" w:space="0" w:color="auto"/>
        <w:left w:val="single" w:sz="8" w:space="0" w:color="auto"/>
        <w:bottom w:val="single" w:sz="8"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8">
    <w:name w:val="xl20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9">
    <w:name w:val="xl209"/>
    <w:basedOn w:val="Normal"/>
    <w:pPr>
      <w:pBdr>
        <w:top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10">
    <w:name w:val="xl21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eastAsia="Times New Roman" w:hAnsi="Arial Narrow"/>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12">
    <w:name w:val="xl2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13">
    <w:name w:val="xl213"/>
    <w:basedOn w:val="Normal"/>
    <w:pPr>
      <w:pBdr>
        <w:left w:val="single" w:sz="4" w:space="0" w:color="auto"/>
        <w:bottom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4">
    <w:name w:val="xl214"/>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 w:val="20"/>
      <w:szCs w:val="20"/>
    </w:rPr>
  </w:style>
  <w:style w:type="paragraph" w:customStyle="1" w:styleId="xl215">
    <w:name w:val="xl215"/>
    <w:basedOn w:val="Normal"/>
    <w:pPr>
      <w:pBdr>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6">
    <w:name w:val="xl216"/>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17">
    <w:name w:val="xl217"/>
    <w:basedOn w:val="Normal"/>
    <w:pPr>
      <w:pBdr>
        <w:top w:val="single" w:sz="4" w:space="0" w:color="auto"/>
        <w:left w:val="single" w:sz="4" w:space="0" w:color="auto"/>
        <w:bottom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 w:val="20"/>
      <w:szCs w:val="20"/>
    </w:rPr>
  </w:style>
  <w:style w:type="paragraph" w:customStyle="1" w:styleId="xl219">
    <w:name w:val="xl219"/>
    <w:basedOn w:val="Normal"/>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21">
    <w:name w:val="xl221"/>
    <w:basedOn w:val="Normal"/>
    <w:pPr>
      <w:pBdr>
        <w:left w:val="single" w:sz="4" w:space="0" w:color="auto"/>
        <w:right w:val="single" w:sz="4" w:space="0" w:color="auto"/>
      </w:pBdr>
      <w:spacing w:before="100" w:beforeAutospacing="1" w:after="100" w:afterAutospacing="1"/>
      <w:jc w:val="left"/>
      <w:textAlignment w:val="top"/>
    </w:pPr>
    <w:rPr>
      <w:rFonts w:ascii="Arial Narrow" w:eastAsia="Times New Roman" w:hAnsi="Arial Narrow"/>
      <w:szCs w:val="24"/>
    </w:rPr>
  </w:style>
  <w:style w:type="paragraph" w:customStyle="1" w:styleId="xl222">
    <w:name w:val="xl222"/>
    <w:basedOn w:val="Normal"/>
    <w:pPr>
      <w:pBdr>
        <w:left w:val="single" w:sz="4" w:space="0" w:color="auto"/>
        <w:right w:val="single" w:sz="4" w:space="0" w:color="auto"/>
      </w:pBdr>
      <w:spacing w:before="100" w:beforeAutospacing="1" w:after="100" w:afterAutospacing="1"/>
      <w:jc w:val="left"/>
      <w:textAlignment w:val="top"/>
    </w:pPr>
    <w:rPr>
      <w:rFonts w:ascii="Arial Narrow" w:eastAsia="Times New Roman" w:hAnsi="Arial Narrow"/>
      <w:sz w:val="20"/>
      <w:szCs w:val="20"/>
    </w:rPr>
  </w:style>
  <w:style w:type="paragraph" w:customStyle="1" w:styleId="xl223">
    <w:name w:val="xl223"/>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4">
    <w:name w:val="xl224"/>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5">
    <w:name w:val="xl225"/>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6">
    <w:name w:val="xl226"/>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7">
    <w:name w:val="xl227"/>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sz w:val="20"/>
      <w:szCs w:val="20"/>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20"/>
      <w:szCs w:val="20"/>
    </w:rPr>
  </w:style>
  <w:style w:type="paragraph" w:customStyle="1" w:styleId="xl230">
    <w:name w:val="xl230"/>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1">
    <w:name w:val="xl231"/>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2">
    <w:name w:val="xl232"/>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3">
    <w:name w:val="xl233"/>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4">
    <w:name w:val="xl234"/>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5">
    <w:name w:val="xl235"/>
    <w:basedOn w:val="Normal"/>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6">
    <w:name w:val="xl236"/>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7">
    <w:name w:val="xl23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8">
    <w:name w:val="xl238"/>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239">
    <w:name w:val="xl239"/>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240">
    <w:name w:val="xl240"/>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1">
    <w:name w:val="xl241"/>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2">
    <w:name w:val="xl242"/>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3">
    <w:name w:val="xl243"/>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4">
    <w:name w:val="xl244"/>
    <w:basedOn w:val="Normal"/>
    <w:pPr>
      <w:pBdr>
        <w:top w:val="single" w:sz="8" w:space="0" w:color="auto"/>
        <w:lef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5">
    <w:name w:val="xl245"/>
    <w:basedOn w:val="Normal"/>
    <w:pPr>
      <w:pBdr>
        <w:top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6">
    <w:name w:val="xl246"/>
    <w:basedOn w:val="Normal"/>
    <w:pPr>
      <w:pBdr>
        <w:top w:val="single" w:sz="8" w:space="0" w:color="auto"/>
        <w:righ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7">
    <w:name w:val="xl247"/>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248">
    <w:name w:val="xl248"/>
    <w:basedOn w:val="Normal"/>
    <w:pPr>
      <w:shd w:val="clear" w:color="000000" w:fill="FFFFFF"/>
      <w:spacing w:before="100" w:beforeAutospacing="1" w:after="100" w:afterAutospacing="1"/>
      <w:jc w:val="left"/>
      <w:textAlignment w:val="top"/>
    </w:pPr>
    <w:rPr>
      <w:rFonts w:ascii="Arial" w:eastAsia="Times New Roman" w:hAnsi="Arial" w:cs="Arial"/>
      <w:b/>
      <w:bCs/>
      <w:szCs w:val="24"/>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4"/>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20"/>
      <w:szCs w:val="20"/>
    </w:rPr>
  </w:style>
  <w:style w:type="paragraph" w:customStyle="1" w:styleId="xl251">
    <w:name w:val="xl251"/>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3">
    <w:name w:val="xl253"/>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4">
    <w:name w:val="xl25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5">
    <w:name w:val="xl25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6">
    <w:name w:val="xl256"/>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7">
    <w:name w:val="xl25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9">
    <w:name w:val="xl25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60">
    <w:name w:val="xl260"/>
    <w:basedOn w:val="Normal"/>
    <w:pPr>
      <w:pBdr>
        <w:top w:val="single" w:sz="4" w:space="0" w:color="auto"/>
        <w:left w:val="single" w:sz="4" w:space="0" w:color="auto"/>
        <w:right w:val="single" w:sz="8" w:space="0" w:color="auto"/>
      </w:pBdr>
      <w:spacing w:before="100" w:beforeAutospacing="1" w:after="100" w:afterAutospacing="1"/>
      <w:jc w:val="center"/>
      <w:textAlignment w:val="top"/>
    </w:pPr>
    <w:rPr>
      <w:rFonts w:ascii="Arial Narrow" w:eastAsia="Times New Roman" w:hAnsi="Arial Narrow"/>
      <w:szCs w:val="24"/>
    </w:rPr>
  </w:style>
  <w:style w:type="paragraph" w:customStyle="1" w:styleId="xl261">
    <w:name w:val="xl261"/>
    <w:basedOn w:val="Normal"/>
    <w:pPr>
      <w:pBdr>
        <w:left w:val="single" w:sz="4" w:space="0" w:color="auto"/>
        <w:right w:val="single" w:sz="8" w:space="0" w:color="auto"/>
      </w:pBdr>
      <w:spacing w:before="100" w:beforeAutospacing="1" w:after="100" w:afterAutospacing="1"/>
      <w:jc w:val="center"/>
      <w:textAlignment w:val="top"/>
    </w:pPr>
    <w:rPr>
      <w:rFonts w:ascii="Arial" w:eastAsia="Times New Roman" w:hAnsi="Arial" w:cs="Arial"/>
      <w:szCs w:val="24"/>
    </w:rPr>
  </w:style>
  <w:style w:type="paragraph" w:customStyle="1" w:styleId="xl262">
    <w:name w:val="xl262"/>
    <w:basedOn w:val="Normal"/>
    <w:pPr>
      <w:pBdr>
        <w:left w:val="single" w:sz="4" w:space="0" w:color="auto"/>
        <w:bottom w:val="single" w:sz="8" w:space="0" w:color="auto"/>
        <w:right w:val="single" w:sz="8" w:space="0" w:color="auto"/>
      </w:pBdr>
      <w:spacing w:before="100" w:beforeAutospacing="1" w:after="100" w:afterAutospacing="1"/>
      <w:jc w:val="center"/>
      <w:textAlignment w:val="top"/>
    </w:pPr>
    <w:rPr>
      <w:rFonts w:ascii="Arial" w:eastAsia="Times New Roman" w:hAnsi="Arial" w:cs="Arial"/>
      <w:szCs w:val="24"/>
    </w:rPr>
  </w:style>
  <w:style w:type="paragraph" w:customStyle="1" w:styleId="xl263">
    <w:name w:val="xl263"/>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64">
    <w:name w:val="xl26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5">
    <w:name w:val="xl265"/>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6">
    <w:name w:val="xl26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7">
    <w:name w:val="xl267"/>
    <w:basedOn w:val="Normal"/>
    <w:pPr>
      <w:pBdr>
        <w:top w:val="single" w:sz="8"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68">
    <w:name w:val="xl268"/>
    <w:basedOn w:val="Normal"/>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69">
    <w:name w:val="xl269"/>
    <w:basedOn w:val="Normal"/>
    <w:pPr>
      <w:pBdr>
        <w:top w:val="single" w:sz="8" w:space="0" w:color="auto"/>
        <w:bottom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0">
    <w:name w:val="xl270"/>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1">
    <w:name w:val="xl271"/>
    <w:basedOn w:val="Normal"/>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2">
    <w:name w:val="xl272"/>
    <w:basedOn w:val="Normal"/>
    <w:pPr>
      <w:pBdr>
        <w:top w:val="single" w:sz="4" w:space="0" w:color="auto"/>
        <w:bottom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3">
    <w:name w:val="xl273"/>
    <w:basedOn w:val="Normal"/>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4">
    <w:name w:val="xl274"/>
    <w:basedOn w:val="Normal"/>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75">
    <w:name w:val="xl275"/>
    <w:basedOn w:val="Normal"/>
    <w:pPr>
      <w:pBdr>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76">
    <w:name w:val="xl276"/>
    <w:basedOn w:val="Normal"/>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styleId="Revision">
    <w:name w:val="Revision"/>
    <w:hidden/>
    <w:uiPriority w:val="99"/>
    <w:semiHidden/>
    <w:pPr>
      <w:spacing w:after="0" w:line="240" w:lineRule="auto"/>
    </w:pPr>
  </w:style>
  <w:style w:type="character" w:customStyle="1" w:styleId="Corpsdutexte">
    <w:name w:val="Corps du texte"/>
    <w:basedOn w:val="DefaultParagraphFon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u-HU"/>
    </w:rPr>
  </w:style>
  <w:style w:type="character" w:customStyle="1" w:styleId="Corpsdutexte9">
    <w:name w:val="Corps du texte (9)"/>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u-HU"/>
    </w:rPr>
  </w:style>
  <w:style w:type="character" w:customStyle="1" w:styleId="Corpsdutexte4">
    <w:name w:val="Corps du texte (4)"/>
    <w:basedOn w:val="DefaultParagraphFon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u-HU"/>
    </w:rPr>
  </w:style>
  <w:style w:type="character" w:customStyle="1" w:styleId="Corpsdutexte2">
    <w:name w:val="Corps du texte (2)"/>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u-HU"/>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nhideWhenUsed/>
    <w:pPr>
      <w:numPr>
        <w:numId w:val="2"/>
      </w:numPr>
      <w:tabs>
        <w:tab w:val="clear" w:pos="360"/>
        <w:tab w:val="num" w:pos="709"/>
      </w:tabs>
      <w:ind w:left="709" w:hanging="709"/>
    </w:pPr>
    <w:rPr>
      <w:rFonts w:eastAsia="Times New Roman"/>
      <w:szCs w:val="20"/>
    </w:rPr>
  </w:style>
  <w:style w:type="paragraph" w:customStyle="1" w:styleId="ListNumberLevel2">
    <w:name w:val="List Number (Level 2)"/>
    <w:basedOn w:val="Normal"/>
    <w:pPr>
      <w:numPr>
        <w:ilvl w:val="1"/>
        <w:numId w:val="1"/>
      </w:numPr>
    </w:pPr>
    <w:rPr>
      <w:rFonts w:eastAsia="Times New Roman"/>
      <w:szCs w:val="20"/>
    </w:rPr>
  </w:style>
  <w:style w:type="paragraph" w:customStyle="1" w:styleId="ListNumberLevel3">
    <w:name w:val="List Number (Level 3)"/>
    <w:basedOn w:val="Normal"/>
    <w:pPr>
      <w:numPr>
        <w:ilvl w:val="2"/>
        <w:numId w:val="1"/>
      </w:numPr>
    </w:pPr>
    <w:rPr>
      <w:rFonts w:eastAsia="Times New Roman"/>
      <w:szCs w:val="20"/>
    </w:rPr>
  </w:style>
  <w:style w:type="paragraph" w:customStyle="1" w:styleId="ListNumberLevel4">
    <w:name w:val="List Number (Level 4)"/>
    <w:basedOn w:val="Normal"/>
    <w:pPr>
      <w:numPr>
        <w:ilvl w:val="3"/>
        <w:numId w:val="1"/>
      </w:numPr>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hu-HU" w:eastAsia="hu-HU"/>
    </w:rPr>
  </w:style>
  <w:style w:type="paragraph" w:customStyle="1" w:styleId="Annexetitreglobale">
    <w:name w:val="Annexe titre (globale)"/>
    <w:basedOn w:val="Normal"/>
    <w:next w:val="Normal"/>
    <w:pPr>
      <w:jc w:val="center"/>
    </w:pPr>
    <w:rPr>
      <w:rFonts w:eastAsia="Times New Roman"/>
      <w:b/>
      <w:szCs w:val="20"/>
      <w:u w:val="single"/>
    </w:rPr>
  </w:style>
  <w:style w:type="paragraph" w:styleId="ListParagraph">
    <w:name w:val="List Paragraph"/>
    <w:basedOn w:val="Normal"/>
    <w:uiPriority w:val="34"/>
    <w:qFormat/>
    <w:pPr>
      <w:ind w:left="720"/>
      <w:contextualSpacing/>
    </w:pPr>
    <w:rPr>
      <w:rFonts w:eastAsia="Times New Roman"/>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hu-HU"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hu-HU" w:eastAsia="hu-HU"/>
    </w:rPr>
  </w:style>
  <w:style w:type="paragraph" w:styleId="NormalWeb">
    <w:name w:val="Normal (Web)"/>
    <w:basedOn w:val="Normal"/>
    <w:uiPriority w:val="99"/>
    <w:unhideWhenUsed/>
    <w:pPr>
      <w:spacing w:before="100" w:beforeAutospacing="1" w:after="100" w:afterAutospacing="1"/>
      <w:jc w:val="left"/>
    </w:pPr>
    <w:rPr>
      <w:szCs w:val="24"/>
    </w:rPr>
  </w:style>
  <w:style w:type="numbering" w:customStyle="1" w:styleId="NoList1">
    <w:name w:val="No List1"/>
    <w:next w:val="NoList"/>
    <w:uiPriority w:val="99"/>
    <w:semiHidden/>
    <w:unhideWhenUsed/>
  </w:style>
  <w:style w:type="character" w:styleId="Hyperlink">
    <w:name w:val="Hyperlink"/>
    <w:uiPriority w:val="99"/>
    <w:rPr>
      <w:color w:val="0000FF"/>
      <w:u w:val="single"/>
    </w:rPr>
  </w:style>
  <w:style w:type="paragraph" w:styleId="EndnoteText">
    <w:name w:val="endnote text"/>
    <w:basedOn w:val="Normal"/>
    <w:link w:val="EndnoteTextChar"/>
    <w:uiPriority w:val="99"/>
    <w:semiHidden/>
    <w:unhideWhenUsed/>
    <w:pPr>
      <w:spacing w:before="0" w:after="200" w:line="276" w:lineRule="auto"/>
      <w:jc w:val="left"/>
    </w:pPr>
    <w:rPr>
      <w:rFonts w:ascii="Calibri" w:eastAsia="Calibri" w:hAnsi="Calibri"/>
      <w:sz w:val="20"/>
      <w:szCs w:val="20"/>
    </w:rPr>
  </w:style>
  <w:style w:type="character" w:customStyle="1" w:styleId="EndnoteTextChar">
    <w:name w:val="Endnote Text Char"/>
    <w:basedOn w:val="DefaultParagraphFont"/>
    <w:link w:val="EndnoteText"/>
    <w:uiPriority w:val="99"/>
    <w:semiHidden/>
    <w:rPr>
      <w:rFonts w:ascii="Calibri" w:eastAsia="Calibri" w:hAnsi="Calibri" w:cs="Times New Roman"/>
      <w:sz w:val="20"/>
      <w:szCs w:val="20"/>
      <w:lang w:val="hu-HU"/>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customStyle="1" w:styleId="font5">
    <w:name w:val="font5"/>
    <w:basedOn w:val="Normal"/>
    <w:pPr>
      <w:spacing w:before="100" w:beforeAutospacing="1" w:after="100" w:afterAutospacing="1"/>
      <w:jc w:val="left"/>
    </w:pPr>
    <w:rPr>
      <w:rFonts w:ascii="Arial Unicode MS" w:eastAsia="Arial Unicode MS" w:hAnsi="Arial Unicode MS" w:cs="Arial Unicode MS"/>
      <w:color w:val="000000"/>
      <w:sz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eastAsia="Times New Roman" w:hAnsi="Arial Narrow"/>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Narrow" w:eastAsia="Times New Roman" w:hAnsi="Arial Narrow"/>
      <w:b/>
      <w:bCs/>
      <w:szCs w:val="24"/>
    </w:rPr>
  </w:style>
  <w:style w:type="paragraph" w:customStyle="1" w:styleId="xl77">
    <w:name w:val="xl77"/>
    <w:basedOn w:val="Normal"/>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8">
    <w:name w:val="xl78"/>
    <w:basedOn w:val="Normal"/>
    <w:pPr>
      <w:pBdr>
        <w:top w:val="single" w:sz="4"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79">
    <w:name w:val="xl79"/>
    <w:basedOn w:val="Normal"/>
    <w:pPr>
      <w:pBdr>
        <w:top w:val="single" w:sz="4" w:space="0" w:color="auto"/>
        <w:bottom w:val="single" w:sz="4" w:space="0" w:color="auto"/>
      </w:pBdr>
      <w:shd w:val="clear" w:color="000000" w:fill="FFFFFF"/>
      <w:spacing w:before="100" w:beforeAutospacing="1" w:after="100" w:afterAutospacing="1"/>
      <w:jc w:val="center"/>
      <w:textAlignment w:val="top"/>
    </w:pPr>
    <w:rPr>
      <w:rFonts w:ascii="Arial Narrow" w:eastAsia="Times New Roman" w:hAnsi="Arial Narrow"/>
      <w:szCs w:val="24"/>
    </w:rPr>
  </w:style>
  <w:style w:type="paragraph" w:customStyle="1" w:styleId="xl80">
    <w:name w:val="xl8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82">
    <w:name w:val="xl82"/>
    <w:basedOn w:val="Normal"/>
    <w:pP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Narrow" w:eastAsia="Times New Roman" w:hAnsi="Arial Narrow"/>
      <w:b/>
      <w:bCs/>
      <w:sz w:val="20"/>
      <w:szCs w:val="20"/>
    </w:rPr>
  </w:style>
  <w:style w:type="paragraph" w:customStyle="1" w:styleId="xl88">
    <w:name w:val="xl88"/>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90">
    <w:name w:val="xl90"/>
    <w:basedOn w:val="Normal"/>
    <w:pPr>
      <w:pBdr>
        <w:top w:val="single" w:sz="4" w:space="0" w:color="auto"/>
        <w:left w:val="single" w:sz="4" w:space="0" w:color="auto"/>
      </w:pBdr>
      <w:shd w:val="clear" w:color="000000" w:fill="F2F2F2"/>
      <w:spacing w:before="100" w:beforeAutospacing="1" w:after="100" w:afterAutospacing="1"/>
      <w:jc w:val="center"/>
      <w:textAlignment w:val="top"/>
    </w:pPr>
    <w:rPr>
      <w:rFonts w:ascii="Arial Narrow" w:eastAsia="Times New Roman" w:hAnsi="Arial Narrow"/>
      <w:b/>
      <w:bCs/>
      <w:szCs w:val="24"/>
    </w:rPr>
  </w:style>
  <w:style w:type="paragraph" w:customStyle="1" w:styleId="xl91">
    <w:name w:val="xl91"/>
    <w:basedOn w:val="Normal"/>
    <w:pPr>
      <w:pBdr>
        <w:top w:val="single" w:sz="4" w:space="0" w:color="auto"/>
      </w:pBdr>
      <w:shd w:val="clear" w:color="000000" w:fill="F2F2F2"/>
      <w:spacing w:before="100" w:beforeAutospacing="1" w:after="100" w:afterAutospacing="1"/>
      <w:jc w:val="center"/>
      <w:textAlignment w:val="top"/>
    </w:pPr>
    <w:rPr>
      <w:rFonts w:ascii="Arial Narrow" w:eastAsia="Times New Roman" w:hAnsi="Arial Narrow"/>
      <w:b/>
      <w:bCs/>
      <w:szCs w:val="24"/>
    </w:rPr>
  </w:style>
  <w:style w:type="paragraph" w:customStyle="1" w:styleId="xl92">
    <w:name w:val="xl92"/>
    <w:basedOn w:val="Normal"/>
    <w:pPr>
      <w:pBdr>
        <w:top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93">
    <w:name w:val="xl93"/>
    <w:basedOn w:val="Normal"/>
    <w:pPr>
      <w:pBdr>
        <w:top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cs="Arial"/>
      <w:b/>
      <w:bCs/>
      <w:sz w:val="20"/>
      <w:szCs w:val="20"/>
    </w:rPr>
  </w:style>
  <w:style w:type="paragraph" w:customStyle="1" w:styleId="xl94">
    <w:name w:val="xl94"/>
    <w:basedOn w:val="Normal"/>
    <w:pPr>
      <w:shd w:val="clear" w:color="000000" w:fill="FFFFFF"/>
      <w:spacing w:before="100" w:beforeAutospacing="1" w:after="100" w:afterAutospacing="1"/>
      <w:jc w:val="left"/>
      <w:textAlignment w:val="top"/>
    </w:pPr>
    <w:rPr>
      <w:rFonts w:ascii="Arial" w:eastAsia="Times New Roman" w:hAnsi="Arial" w:cs="Arial"/>
      <w:b/>
      <w:bCs/>
      <w:szCs w:val="24"/>
    </w:rPr>
  </w:style>
  <w:style w:type="paragraph" w:customStyle="1" w:styleId="xl95">
    <w:name w:val="xl95"/>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96">
    <w:name w:val="xl96"/>
    <w:basedOn w:val="Normal"/>
    <w:pPr>
      <w:shd w:val="clear" w:color="000000" w:fill="FFFFFF"/>
      <w:spacing w:before="100" w:beforeAutospacing="1" w:after="100" w:afterAutospacing="1"/>
      <w:jc w:val="center"/>
      <w:textAlignment w:val="center"/>
    </w:pPr>
    <w:rPr>
      <w:rFonts w:ascii="Arial" w:eastAsia="Times New Roman" w:hAnsi="Arial" w:cs="Arial"/>
      <w:b/>
      <w:bCs/>
      <w:szCs w:val="24"/>
    </w:rPr>
  </w:style>
  <w:style w:type="paragraph" w:customStyle="1" w:styleId="xl97">
    <w:name w:val="xl97"/>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00">
    <w:name w:val="xl100"/>
    <w:basedOn w:val="Normal"/>
    <w:pP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02">
    <w:name w:val="xl102"/>
    <w:basedOn w:val="Normal"/>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04">
    <w:name w:val="xl104"/>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6">
    <w:name w:val="xl106"/>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09">
    <w:name w:val="xl109"/>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13">
    <w:name w:val="xl11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14">
    <w:name w:val="xl114"/>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15">
    <w:name w:val="xl11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16">
    <w:name w:val="xl116"/>
    <w:basedOn w:val="Normal"/>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7">
    <w:name w:val="xl117"/>
    <w:basedOn w:val="Normal"/>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18">
    <w:name w:val="xl118"/>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19">
    <w:name w:val="xl119"/>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1">
    <w:name w:val="xl12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2">
    <w:name w:val="xl122"/>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23">
    <w:name w:val="xl12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24">
    <w:name w:val="xl124"/>
    <w:basedOn w:val="Normal"/>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5">
    <w:name w:val="xl125"/>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27">
    <w:name w:val="xl127"/>
    <w:basedOn w:val="Normal"/>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8">
    <w:name w:val="xl12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29">
    <w:name w:val="xl129"/>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0">
    <w:name w:val="xl130"/>
    <w:basedOn w:val="Normal"/>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31">
    <w:name w:val="xl131"/>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32">
    <w:name w:val="xl13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3">
    <w:name w:val="xl133"/>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4">
    <w:name w:val="xl134"/>
    <w:basedOn w:val="Normal"/>
    <w:pPr>
      <w:pBdr>
        <w:top w:val="single" w:sz="4" w:space="0" w:color="auto"/>
        <w:left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35">
    <w:name w:val="xl135"/>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37">
    <w:name w:val="xl13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8">
    <w:name w:val="xl1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39">
    <w:name w:val="xl13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40">
    <w:name w:val="xl140"/>
    <w:basedOn w:val="Normal"/>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41">
    <w:name w:val="xl141"/>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42">
    <w:name w:val="xl142"/>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43">
    <w:name w:val="xl14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44">
    <w:name w:val="xl144"/>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45">
    <w:name w:val="xl145"/>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46">
    <w:name w:val="xl146"/>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47">
    <w:name w:val="xl147"/>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48">
    <w:name w:val="xl148"/>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49">
    <w:name w:val="xl14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0">
    <w:name w:val="xl15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1">
    <w:name w:val="xl151"/>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2">
    <w:name w:val="xl152"/>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3">
    <w:name w:val="xl153"/>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4">
    <w:name w:val="xl154"/>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55">
    <w:name w:val="xl155"/>
    <w:basedOn w:val="Normal"/>
    <w:pPr>
      <w:pBdr>
        <w:top w:val="single" w:sz="8" w:space="0" w:color="auto"/>
        <w:left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56">
    <w:name w:val="xl156"/>
    <w:basedOn w:val="Normal"/>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57">
    <w:name w:val="xl157"/>
    <w:basedOn w:val="Normal"/>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58">
    <w:name w:val="xl158"/>
    <w:basedOn w:val="Normal"/>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59">
    <w:name w:val="xl159"/>
    <w:basedOn w:val="Normal"/>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0">
    <w:name w:val="xl160"/>
    <w:basedOn w:val="Normal"/>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1">
    <w:name w:val="xl161"/>
    <w:basedOn w:val="Normal"/>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2">
    <w:name w:val="xl162"/>
    <w:basedOn w:val="Normal"/>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63">
    <w:name w:val="xl16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64">
    <w:name w:val="xl164"/>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5">
    <w:name w:val="xl165"/>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6">
    <w:name w:val="xl166"/>
    <w:basedOn w:val="Normal"/>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67">
    <w:name w:val="xl167"/>
    <w:basedOn w:val="Normal"/>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68">
    <w:name w:val="xl168"/>
    <w:basedOn w:val="Normal"/>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69">
    <w:name w:val="xl169"/>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 w:val="20"/>
      <w:szCs w:val="20"/>
    </w:rPr>
  </w:style>
  <w:style w:type="paragraph" w:customStyle="1" w:styleId="xl170">
    <w:name w:val="xl170"/>
    <w:basedOn w:val="Normal"/>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Arial Narrow" w:eastAsia="Times New Roman" w:hAnsi="Arial Narrow"/>
      <w:szCs w:val="24"/>
    </w:rPr>
  </w:style>
  <w:style w:type="paragraph" w:customStyle="1" w:styleId="xl171">
    <w:name w:val="xl171"/>
    <w:basedOn w:val="Normal"/>
    <w:pPr>
      <w:pBdr>
        <w:left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72">
    <w:name w:val="xl172"/>
    <w:basedOn w:val="Normal"/>
    <w:pPr>
      <w:shd w:val="clear" w:color="000000" w:fill="FFFFFF"/>
      <w:spacing w:before="100" w:beforeAutospacing="1" w:after="100" w:afterAutospacing="1"/>
      <w:jc w:val="center"/>
      <w:textAlignment w:val="center"/>
    </w:pPr>
    <w:rPr>
      <w:rFonts w:ascii="Arial" w:eastAsia="Times New Roman" w:hAnsi="Arial" w:cs="Arial"/>
      <w:szCs w:val="24"/>
    </w:rPr>
  </w:style>
  <w:style w:type="paragraph" w:customStyle="1" w:styleId="xl173">
    <w:name w:val="xl173"/>
    <w:basedOn w:val="Normal"/>
    <w:pPr>
      <w:pBdr>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74">
    <w:name w:val="xl174"/>
    <w:basedOn w:val="Normal"/>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75">
    <w:name w:val="xl175"/>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76">
    <w:name w:val="xl17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77">
    <w:name w:val="xl177"/>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78">
    <w:name w:val="xl178"/>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79">
    <w:name w:val="xl17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180">
    <w:name w:val="xl18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81">
    <w:name w:val="xl181"/>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182">
    <w:name w:val="xl18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183">
    <w:name w:val="xl183"/>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184">
    <w:name w:val="xl184"/>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Narrow" w:eastAsia="Times New Roman" w:hAnsi="Arial Narrow"/>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20"/>
      <w:szCs w:val="20"/>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szCs w:val="24"/>
    </w:rPr>
  </w:style>
  <w:style w:type="paragraph" w:customStyle="1" w:styleId="xl189">
    <w:name w:val="xl189"/>
    <w:basedOn w:val="Normal"/>
    <w:pP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olor w:val="000000"/>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92">
    <w:name w:val="xl192"/>
    <w:basedOn w:val="Normal"/>
    <w:pPr>
      <w:pBdr>
        <w:top w:val="single" w:sz="8"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3">
    <w:name w:val="xl193"/>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94">
    <w:name w:val="xl19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olor w:val="000000"/>
      <w:szCs w:val="24"/>
    </w:rPr>
  </w:style>
  <w:style w:type="paragraph" w:customStyle="1" w:styleId="xl195">
    <w:name w:val="xl195"/>
    <w:basedOn w:val="Normal"/>
    <w:pPr>
      <w:pBdr>
        <w:top w:val="single" w:sz="4" w:space="0" w:color="auto"/>
        <w:left w:val="single" w:sz="8" w:space="0" w:color="auto"/>
        <w:bottom w:val="single" w:sz="4"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6">
    <w:name w:val="xl196"/>
    <w:basedOn w:val="Normal"/>
    <w:pPr>
      <w:pBdr>
        <w:top w:val="single" w:sz="4"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Arial Narrow" w:eastAsia="Times New Roman" w:hAnsi="Arial Narrow"/>
      <w:szCs w:val="24"/>
    </w:rPr>
  </w:style>
  <w:style w:type="paragraph" w:customStyle="1" w:styleId="xl197">
    <w:name w:val="xl197"/>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Arial Narrow" w:eastAsia="Times New Roman" w:hAnsi="Arial Narrow"/>
      <w:sz w:val="20"/>
      <w:szCs w:val="20"/>
    </w:rPr>
  </w:style>
  <w:style w:type="paragraph" w:customStyle="1" w:styleId="xl198">
    <w:name w:val="xl19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0">
    <w:name w:val="xl200"/>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2">
    <w:name w:val="xl202"/>
    <w:basedOn w:val="Normal"/>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3">
    <w:name w:val="xl203"/>
    <w:basedOn w:val="Normal"/>
    <w:pPr>
      <w:pBdr>
        <w:top w:val="single" w:sz="8" w:space="0" w:color="auto"/>
        <w:left w:val="single" w:sz="8" w:space="0" w:color="auto"/>
        <w:bottom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4">
    <w:name w:val="xl2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5">
    <w:name w:val="xl205"/>
    <w:basedOn w:val="Normal"/>
    <w:pPr>
      <w:pBdr>
        <w:top w:val="single" w:sz="8"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6">
    <w:name w:val="xl206"/>
    <w:basedOn w:val="Normal"/>
    <w:pPr>
      <w:pBdr>
        <w:top w:val="single" w:sz="4" w:space="0" w:color="auto"/>
        <w:left w:val="single" w:sz="8" w:space="0" w:color="auto"/>
        <w:bottom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7">
    <w:name w:val="xl207"/>
    <w:basedOn w:val="Normal"/>
    <w:pPr>
      <w:pBdr>
        <w:top w:val="single" w:sz="4" w:space="0" w:color="auto"/>
        <w:left w:val="single" w:sz="8" w:space="0" w:color="auto"/>
        <w:bottom w:val="single" w:sz="8"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08">
    <w:name w:val="xl208"/>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 w:val="20"/>
      <w:szCs w:val="20"/>
    </w:rPr>
  </w:style>
  <w:style w:type="paragraph" w:customStyle="1" w:styleId="xl209">
    <w:name w:val="xl209"/>
    <w:basedOn w:val="Normal"/>
    <w:pPr>
      <w:pBdr>
        <w:top w:val="single" w:sz="4" w:space="0" w:color="auto"/>
        <w:bottom w:val="single" w:sz="8" w:space="0" w:color="auto"/>
        <w:right w:val="single" w:sz="4" w:space="0" w:color="auto"/>
      </w:pBdr>
      <w:spacing w:before="100" w:beforeAutospacing="1" w:after="100" w:afterAutospacing="1"/>
      <w:jc w:val="left"/>
      <w:textAlignment w:val="center"/>
    </w:pPr>
    <w:rPr>
      <w:rFonts w:ascii="Arial Narrow" w:eastAsia="Times New Roman" w:hAnsi="Arial Narrow"/>
      <w:szCs w:val="24"/>
    </w:rPr>
  </w:style>
  <w:style w:type="paragraph" w:customStyle="1" w:styleId="xl210">
    <w:name w:val="xl21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eastAsia="Times New Roman" w:hAnsi="Arial Narrow"/>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12">
    <w:name w:val="xl21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13">
    <w:name w:val="xl213"/>
    <w:basedOn w:val="Normal"/>
    <w:pPr>
      <w:pBdr>
        <w:left w:val="single" w:sz="4" w:space="0" w:color="auto"/>
        <w:bottom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4">
    <w:name w:val="xl214"/>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 w:val="20"/>
      <w:szCs w:val="20"/>
    </w:rPr>
  </w:style>
  <w:style w:type="paragraph" w:customStyle="1" w:styleId="xl215">
    <w:name w:val="xl215"/>
    <w:basedOn w:val="Normal"/>
    <w:pPr>
      <w:pBdr>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6">
    <w:name w:val="xl216"/>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17">
    <w:name w:val="xl217"/>
    <w:basedOn w:val="Normal"/>
    <w:pPr>
      <w:pBdr>
        <w:top w:val="single" w:sz="4" w:space="0" w:color="auto"/>
        <w:left w:val="single" w:sz="4" w:space="0" w:color="auto"/>
        <w:bottom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 w:val="20"/>
      <w:szCs w:val="20"/>
    </w:rPr>
  </w:style>
  <w:style w:type="paragraph" w:customStyle="1" w:styleId="xl219">
    <w:name w:val="xl219"/>
    <w:basedOn w:val="Normal"/>
    <w:pPr>
      <w:pBdr>
        <w:top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Arial Narrow" w:eastAsia="Times New Roman" w:hAnsi="Arial Narrow"/>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21">
    <w:name w:val="xl221"/>
    <w:basedOn w:val="Normal"/>
    <w:pPr>
      <w:pBdr>
        <w:left w:val="single" w:sz="4" w:space="0" w:color="auto"/>
        <w:right w:val="single" w:sz="4" w:space="0" w:color="auto"/>
      </w:pBdr>
      <w:spacing w:before="100" w:beforeAutospacing="1" w:after="100" w:afterAutospacing="1"/>
      <w:jc w:val="left"/>
      <w:textAlignment w:val="top"/>
    </w:pPr>
    <w:rPr>
      <w:rFonts w:ascii="Arial Narrow" w:eastAsia="Times New Roman" w:hAnsi="Arial Narrow"/>
      <w:szCs w:val="24"/>
    </w:rPr>
  </w:style>
  <w:style w:type="paragraph" w:customStyle="1" w:styleId="xl222">
    <w:name w:val="xl222"/>
    <w:basedOn w:val="Normal"/>
    <w:pPr>
      <w:pBdr>
        <w:left w:val="single" w:sz="4" w:space="0" w:color="auto"/>
        <w:right w:val="single" w:sz="4" w:space="0" w:color="auto"/>
      </w:pBdr>
      <w:spacing w:before="100" w:beforeAutospacing="1" w:after="100" w:afterAutospacing="1"/>
      <w:jc w:val="left"/>
      <w:textAlignment w:val="top"/>
    </w:pPr>
    <w:rPr>
      <w:rFonts w:ascii="Arial Narrow" w:eastAsia="Times New Roman" w:hAnsi="Arial Narrow"/>
      <w:sz w:val="20"/>
      <w:szCs w:val="20"/>
    </w:rPr>
  </w:style>
  <w:style w:type="paragraph" w:customStyle="1" w:styleId="xl223">
    <w:name w:val="xl223"/>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4">
    <w:name w:val="xl224"/>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5">
    <w:name w:val="xl225"/>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6">
    <w:name w:val="xl226"/>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7">
    <w:name w:val="xl227"/>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sz w:val="20"/>
      <w:szCs w:val="20"/>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20"/>
      <w:szCs w:val="20"/>
    </w:rPr>
  </w:style>
  <w:style w:type="paragraph" w:customStyle="1" w:styleId="xl230">
    <w:name w:val="xl230"/>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1">
    <w:name w:val="xl231"/>
    <w:basedOn w:val="Normal"/>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2">
    <w:name w:val="xl232"/>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3">
    <w:name w:val="xl233"/>
    <w:basedOn w:val="Normal"/>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4">
    <w:name w:val="xl234"/>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5">
    <w:name w:val="xl235"/>
    <w:basedOn w:val="Normal"/>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6">
    <w:name w:val="xl236"/>
    <w:basedOn w:val="Normal"/>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37">
    <w:name w:val="xl23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38">
    <w:name w:val="xl238"/>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239">
    <w:name w:val="xl239"/>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Cs w:val="24"/>
    </w:rPr>
  </w:style>
  <w:style w:type="paragraph" w:customStyle="1" w:styleId="xl240">
    <w:name w:val="xl240"/>
    <w:basedOn w:val="Normal"/>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1">
    <w:name w:val="xl241"/>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2">
    <w:name w:val="xl242"/>
    <w:basedOn w:val="Normal"/>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3">
    <w:name w:val="xl243"/>
    <w:basedOn w:val="Normal"/>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44">
    <w:name w:val="xl244"/>
    <w:basedOn w:val="Normal"/>
    <w:pPr>
      <w:pBdr>
        <w:top w:val="single" w:sz="8" w:space="0" w:color="auto"/>
        <w:lef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5">
    <w:name w:val="xl245"/>
    <w:basedOn w:val="Normal"/>
    <w:pPr>
      <w:pBdr>
        <w:top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6">
    <w:name w:val="xl246"/>
    <w:basedOn w:val="Normal"/>
    <w:pPr>
      <w:pBdr>
        <w:top w:val="single" w:sz="8" w:space="0" w:color="auto"/>
        <w:righ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47">
    <w:name w:val="xl247"/>
    <w:basedOn w:val="Normal"/>
    <w:pPr>
      <w:shd w:val="clear" w:color="000000" w:fill="FFFFFF"/>
      <w:spacing w:before="100" w:beforeAutospacing="1" w:after="100" w:afterAutospacing="1"/>
      <w:jc w:val="left"/>
    </w:pPr>
    <w:rPr>
      <w:rFonts w:ascii="Arial" w:eastAsia="Times New Roman" w:hAnsi="Arial" w:cs="Arial"/>
      <w:b/>
      <w:bCs/>
      <w:szCs w:val="24"/>
    </w:rPr>
  </w:style>
  <w:style w:type="paragraph" w:customStyle="1" w:styleId="xl248">
    <w:name w:val="xl248"/>
    <w:basedOn w:val="Normal"/>
    <w:pPr>
      <w:shd w:val="clear" w:color="000000" w:fill="FFFFFF"/>
      <w:spacing w:before="100" w:beforeAutospacing="1" w:after="100" w:afterAutospacing="1"/>
      <w:jc w:val="left"/>
      <w:textAlignment w:val="top"/>
    </w:pPr>
    <w:rPr>
      <w:rFonts w:ascii="Arial" w:eastAsia="Times New Roman" w:hAnsi="Arial" w:cs="Arial"/>
      <w:b/>
      <w:bCs/>
      <w:szCs w:val="24"/>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4"/>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20"/>
      <w:szCs w:val="20"/>
    </w:rPr>
  </w:style>
  <w:style w:type="paragraph" w:customStyle="1" w:styleId="xl251">
    <w:name w:val="xl251"/>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3">
    <w:name w:val="xl253"/>
    <w:basedOn w:val="Normal"/>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54">
    <w:name w:val="xl25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5">
    <w:name w:val="xl255"/>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6">
    <w:name w:val="xl256"/>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7">
    <w:name w:val="xl25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8">
    <w:name w:val="xl2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59">
    <w:name w:val="xl25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szCs w:val="24"/>
    </w:rPr>
  </w:style>
  <w:style w:type="paragraph" w:customStyle="1" w:styleId="xl260">
    <w:name w:val="xl260"/>
    <w:basedOn w:val="Normal"/>
    <w:pPr>
      <w:pBdr>
        <w:top w:val="single" w:sz="4" w:space="0" w:color="auto"/>
        <w:left w:val="single" w:sz="4" w:space="0" w:color="auto"/>
        <w:right w:val="single" w:sz="8" w:space="0" w:color="auto"/>
      </w:pBdr>
      <w:spacing w:before="100" w:beforeAutospacing="1" w:after="100" w:afterAutospacing="1"/>
      <w:jc w:val="center"/>
      <w:textAlignment w:val="top"/>
    </w:pPr>
    <w:rPr>
      <w:rFonts w:ascii="Arial Narrow" w:eastAsia="Times New Roman" w:hAnsi="Arial Narrow"/>
      <w:szCs w:val="24"/>
    </w:rPr>
  </w:style>
  <w:style w:type="paragraph" w:customStyle="1" w:styleId="xl261">
    <w:name w:val="xl261"/>
    <w:basedOn w:val="Normal"/>
    <w:pPr>
      <w:pBdr>
        <w:left w:val="single" w:sz="4" w:space="0" w:color="auto"/>
        <w:right w:val="single" w:sz="8" w:space="0" w:color="auto"/>
      </w:pBdr>
      <w:spacing w:before="100" w:beforeAutospacing="1" w:after="100" w:afterAutospacing="1"/>
      <w:jc w:val="center"/>
      <w:textAlignment w:val="top"/>
    </w:pPr>
    <w:rPr>
      <w:rFonts w:ascii="Arial" w:eastAsia="Times New Roman" w:hAnsi="Arial" w:cs="Arial"/>
      <w:szCs w:val="24"/>
    </w:rPr>
  </w:style>
  <w:style w:type="paragraph" w:customStyle="1" w:styleId="xl262">
    <w:name w:val="xl262"/>
    <w:basedOn w:val="Normal"/>
    <w:pPr>
      <w:pBdr>
        <w:left w:val="single" w:sz="4" w:space="0" w:color="auto"/>
        <w:bottom w:val="single" w:sz="8" w:space="0" w:color="auto"/>
        <w:right w:val="single" w:sz="8" w:space="0" w:color="auto"/>
      </w:pBdr>
      <w:spacing w:before="100" w:beforeAutospacing="1" w:after="100" w:afterAutospacing="1"/>
      <w:jc w:val="center"/>
      <w:textAlignment w:val="top"/>
    </w:pPr>
    <w:rPr>
      <w:rFonts w:ascii="Arial" w:eastAsia="Times New Roman" w:hAnsi="Arial" w:cs="Arial"/>
      <w:szCs w:val="24"/>
    </w:rPr>
  </w:style>
  <w:style w:type="paragraph" w:customStyle="1" w:styleId="xl263">
    <w:name w:val="xl263"/>
    <w:basedOn w:val="Normal"/>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64">
    <w:name w:val="xl264"/>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5">
    <w:name w:val="xl265"/>
    <w:basedOn w:val="Normal"/>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6">
    <w:name w:val="xl266"/>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267">
    <w:name w:val="xl267"/>
    <w:basedOn w:val="Normal"/>
    <w:pPr>
      <w:pBdr>
        <w:top w:val="single" w:sz="8"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Narrow" w:eastAsia="Times New Roman" w:hAnsi="Arial Narrow"/>
      <w:szCs w:val="24"/>
    </w:rPr>
  </w:style>
  <w:style w:type="paragraph" w:customStyle="1" w:styleId="xl268">
    <w:name w:val="xl268"/>
    <w:basedOn w:val="Normal"/>
    <w:pPr>
      <w:pBdr>
        <w:top w:val="single" w:sz="8" w:space="0" w:color="auto"/>
        <w:left w:val="single" w:sz="8" w:space="0" w:color="auto"/>
        <w:bottom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69">
    <w:name w:val="xl269"/>
    <w:basedOn w:val="Normal"/>
    <w:pPr>
      <w:pBdr>
        <w:top w:val="single" w:sz="8" w:space="0" w:color="auto"/>
        <w:bottom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0">
    <w:name w:val="xl270"/>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1">
    <w:name w:val="xl271"/>
    <w:basedOn w:val="Normal"/>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2">
    <w:name w:val="xl272"/>
    <w:basedOn w:val="Normal"/>
    <w:pPr>
      <w:pBdr>
        <w:top w:val="single" w:sz="4" w:space="0" w:color="auto"/>
        <w:bottom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3">
    <w:name w:val="xl273"/>
    <w:basedOn w:val="Normal"/>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top"/>
    </w:pPr>
    <w:rPr>
      <w:rFonts w:ascii="Arial Narrow" w:eastAsia="Times New Roman" w:hAnsi="Arial Narrow"/>
      <w:b/>
      <w:bCs/>
      <w:szCs w:val="24"/>
    </w:rPr>
  </w:style>
  <w:style w:type="paragraph" w:customStyle="1" w:styleId="xl274">
    <w:name w:val="xl274"/>
    <w:basedOn w:val="Normal"/>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75">
    <w:name w:val="xl275"/>
    <w:basedOn w:val="Normal"/>
    <w:pPr>
      <w:pBdr>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customStyle="1" w:styleId="xl276">
    <w:name w:val="xl276"/>
    <w:basedOn w:val="Normal"/>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Cs w:val="24"/>
    </w:rPr>
  </w:style>
  <w:style w:type="paragraph" w:styleId="Revision">
    <w:name w:val="Revision"/>
    <w:hidden/>
    <w:uiPriority w:val="99"/>
    <w:semiHidden/>
    <w:pPr>
      <w:spacing w:after="0" w:line="240" w:lineRule="auto"/>
    </w:pPr>
  </w:style>
  <w:style w:type="character" w:customStyle="1" w:styleId="Corpsdutexte">
    <w:name w:val="Corps du texte"/>
    <w:basedOn w:val="DefaultParagraphFon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hu-HU"/>
    </w:rPr>
  </w:style>
  <w:style w:type="character" w:customStyle="1" w:styleId="Corpsdutexte9">
    <w:name w:val="Corps du texte (9)"/>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u-HU"/>
    </w:rPr>
  </w:style>
  <w:style w:type="character" w:customStyle="1" w:styleId="Corpsdutexte4">
    <w:name w:val="Corps du texte (4)"/>
    <w:basedOn w:val="DefaultParagraphFon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u-HU"/>
    </w:rPr>
  </w:style>
  <w:style w:type="character" w:customStyle="1" w:styleId="Corpsdutexte2">
    <w:name w:val="Corps du texte (2)"/>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hu-HU"/>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20</Pages>
  <Words>3382</Words>
  <Characters>21311</Characters>
  <Application>Microsoft Office Word</Application>
  <DocSecurity>0</DocSecurity>
  <Lines>1253</Lines>
  <Paragraphs>771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KRETTEK Heike (ELARG)</dc:creator>
  <cp:lastModifiedBy>DIGIT/A3</cp:lastModifiedBy>
  <cp:revision>7</cp:revision>
  <cp:lastPrinted>2016-07-26T14:06:00Z</cp:lastPrinted>
  <dcterms:created xsi:type="dcterms:W3CDTF">2016-10-03T09:20:00Z</dcterms:created>
  <dcterms:modified xsi:type="dcterms:W3CDTF">2016-10-05T08:18:00Z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