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0D1A1D3AA0B417ABF002324CB1B9399"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ΑΙΤΙΟΛΟΓΙΚΗ ΕΚΘΕΣΗ</w:t>
      </w:r>
    </w:p>
    <w:p>
      <w:pPr>
        <w:pStyle w:val="ManualHeading1"/>
        <w:rPr>
          <w:noProof/>
        </w:rPr>
      </w:pPr>
      <w:r>
        <w:rPr>
          <w:noProof/>
        </w:rPr>
        <w:t>1.</w:t>
      </w:r>
      <w:r>
        <w:rPr>
          <w:noProof/>
        </w:rPr>
        <w:tab/>
        <w:t>ΠΛΑΙΣΙΟ ΤΗΣ ΠΡΟΤΑΣΗΣ</w:t>
      </w:r>
    </w:p>
    <w:p>
      <w:pPr>
        <w:pStyle w:val="ManualHeading2"/>
        <w:rPr>
          <w:rFonts w:eastAsia="Arial Unicode MS"/>
          <w:noProof/>
          <w:u w:color="000000"/>
          <w:bdr w:val="nil"/>
        </w:rPr>
      </w:pPr>
      <w:r>
        <w:rPr>
          <w:noProof/>
        </w:rPr>
        <w:t>Αιτιολόγηση και στόχοι της πρότασης</w:t>
      </w:r>
    </w:p>
    <w:p>
      <w:pPr>
        <w:rPr>
          <w:noProof/>
        </w:rPr>
      </w:pPr>
      <w:r>
        <w:rPr>
          <w:noProof/>
        </w:rPr>
        <w:t>Σύμφωνα με το άρθρο 395 παράγραφος 1 της οδηγίας 2006/112/EΚ, της 28ης Νοεμβρίου 2006, σχετικά με το κοινό σύστημα φόρου προστιθέμενης αξίας</w:t>
      </w:r>
      <w:r>
        <w:rPr>
          <w:rStyle w:val="FootnoteReference"/>
          <w:noProof/>
        </w:rPr>
        <w:footnoteReference w:id="1"/>
      </w:r>
      <w:r>
        <w:rPr>
          <w:noProof/>
        </w:rPr>
        <w:t xml:space="preserve"> (εφεξής, η «οδηγία για τον ΦΠΑ»), το Συμβούλιο, αποφασίζοντας ομόφωνα έπειτα από πρόταση της Επιτροπής, μπορεί να επιτρέπει σε κάθε κράτος μέλος να εφαρμόζει ειδικά μέτρα παρέκκλισης από τις διατάξεις της εν λόγω οδηγίας, για λόγους απλούστευσης των διαδικασιών είσπραξης του ΦΠΑ ή πρόληψης ορισμένων τύπων φοροδιαφυγής ή φοροαποφυγής.</w:t>
      </w:r>
    </w:p>
    <w:p>
      <w:pPr>
        <w:rPr>
          <w:noProof/>
        </w:rPr>
      </w:pPr>
      <w:r>
        <w:rPr>
          <w:noProof/>
        </w:rPr>
        <w:t>Με επιστολή που πρωτοκολλήθηκε στην Επιτροπή στις 5 Απριλίου 2016, η Ιταλική Δημοκρατία ζήτησε την άδεια να συνεχίσει να εξαιρεί τους υποκείμενους σε ΦΠΑ με ετήσιο κύκλο εργασιών κατώτερο από το όριο των 65 000 EUR. Σύμφωνα με το άρθρο 395 παράγραφος 2 της οδηγίας για τον ΦΠΑ, η Επιτροπή ενημέρωσε τα άλλα κράτη μέλη, με επιστολή της 21ης Ιουνίου 2016, σχετικά με το αίτημα της Ιταλικής Δημοκρατίας. Με επιστολή της 22ας Ιουνίου 2016, η Επιτροπή γνωστοποίησε στην Ιταλική Δημοκρατία ότι διέθετε όλες τις απαραίτητες πληροφορίες για την εξέταση του αιτήματος.</w:t>
      </w:r>
    </w:p>
    <w:p>
      <w:pPr>
        <w:pStyle w:val="ManualHeading2"/>
        <w:rPr>
          <w:rFonts w:eastAsia="Arial Unicode MS"/>
          <w:noProof/>
        </w:rPr>
      </w:pPr>
      <w:r>
        <w:rPr>
          <w:noProof/>
        </w:rPr>
        <w:t>Συνοχή με τις υφιστάμενες διατάξεις στον συγκεκριμένο τομέα πολιτικής</w:t>
      </w:r>
    </w:p>
    <w:p>
      <w:pPr>
        <w:rPr>
          <w:noProof/>
        </w:rPr>
      </w:pPr>
      <w:r>
        <w:rPr>
          <w:noProof/>
        </w:rPr>
        <w:t>Το κεφάλαιο 1 του Τίτλου XII της οδηγίας για τον ΦΠΑ παρέχει τη δυνατότητα στα κράτη μέλη να εφαρμόζουν ειδικό καθεστώς για τις μικρές επιχειρήσεις και να εξαιρούν τους υποκείμενους στον φόρο με ετήσιο κύκλο εργασιών κατώτερο από ένα συγκεκριμένο όριο. Από την παρούσα εξαίρεση συνάγεται ότι ο υποκείμενος στον φόρο δεν οφείλει να βαρύνει με ΦΠΑ τις υπηρεσίες που παρέχει και, συνεπώς, δεν έχει δικαίωμα έκπτωσης του ΦΠΑ από τις εισροές του.</w:t>
      </w:r>
    </w:p>
    <w:p>
      <w:pPr>
        <w:rPr>
          <w:noProof/>
        </w:rPr>
      </w:pPr>
      <w:r>
        <w:rPr>
          <w:noProof/>
        </w:rPr>
        <w:t>Το παρόν μέτρο εισήχθη για πρώτη φορά σύμφωνα με τις διατάξεις του άρθρου 14 της οδηγίας 67/228/EΟΚ του Συμβουλίου</w:t>
      </w:r>
      <w:r>
        <w:rPr>
          <w:rStyle w:val="FootnoteReference"/>
          <w:noProof/>
        </w:rPr>
        <w:footnoteReference w:id="2"/>
      </w:r>
      <w:r>
        <w:rPr>
          <w:noProof/>
        </w:rPr>
        <w:t>. Ωστόσο, τα κράτη μέλη που δεν χρησιμοποίησαν τη δυνατότητα που τους παρέχει η εν λόγω διάταξη, μπορούσαν μεταγενέστερα, σύμφωνα με το άρθρο 24 παράγραφος 2 στοιχείο β) της οδηγίας 77/338/ΕΟΚ</w:t>
      </w:r>
      <w:r>
        <w:rPr>
          <w:rStyle w:val="FootnoteReference"/>
          <w:noProof/>
        </w:rPr>
        <w:footnoteReference w:id="3"/>
      </w:r>
      <w:r>
        <w:rPr>
          <w:noProof/>
        </w:rPr>
        <w:t>, το οποίο έχει πλέον αναδιατυπωθεί ως πρώτη παράγραφος του άρθρου 285 της οδηγίας για τον ΦΠΑ, να εξαιρούν από τον ΦΠΑ μόνο τους υποκείμενους σε φόρο με ετήσιο κύκλο που δεν υπερέβαινε τις 5 000 EUR. H Ιταλική Δημοκρατία δεν έκανε χρήση της δυνατότητας που παρείχε το άρθρο 14 της οδηγίας 67/228/ΕΟΚ του Συμβουλίου.</w:t>
      </w:r>
    </w:p>
    <w:p>
      <w:pPr>
        <w:rPr>
          <w:noProof/>
          <w:color w:val="000000"/>
        </w:rPr>
      </w:pPr>
      <w:r>
        <w:rPr>
          <w:noProof/>
        </w:rPr>
        <w:t>Λόγω του σημαντικού αριθμού υποκειμένων στον φόρο με πολύ χαμηλό ετήσιο κύκλο εργασιών, η Ιταλική Δημοκρατία αιτήθηκε παρέκκλιση το 2007, με σκοπό να απλοποιήσει τις υποχρεώσεις των μικρών επιχειρήσεων όσον αφορά τον ΦΠΑ και να διευκολύνει τις εθνικές φορολογικές αρχές στην είσπραξη του φόρου, εξαιρώντας τους υποκείμενους στον φόρο με ετήσιο κύκλο που δεν υπερέβαινε τις 30 000 ΕUR. Η εν λόγω παρέκκλιση εγκρίθηκε με την απόφαση 2008/737/EΚ</w:t>
      </w:r>
      <w:r>
        <w:rPr>
          <w:rStyle w:val="FootnoteReference"/>
          <w:noProof/>
        </w:rPr>
        <w:footnoteReference w:id="4"/>
      </w:r>
      <w:r>
        <w:rPr>
          <w:noProof/>
        </w:rPr>
        <w:t xml:space="preserve"> του Συμβουλίου έως την 31η Δεκεμβρίου 2010, στη συνέχεια παρατάθηκε με την απόφαση 2010/688/EΕ του Συμβουλίου</w:t>
      </w:r>
      <w:r>
        <w:rPr>
          <w:rStyle w:val="FootnoteReference"/>
          <w:noProof/>
        </w:rPr>
        <w:footnoteReference w:id="5"/>
      </w:r>
      <w:r>
        <w:rPr>
          <w:noProof/>
        </w:rPr>
        <w:t xml:space="preserve"> έως την 31η Δεκεμβρίου 2013, και έπειτα έως την 31η Δεκεμβρίου 2016 με την απόφαση 2013/678/EΕ του Συμβουλίου</w:t>
      </w:r>
      <w:r>
        <w:rPr>
          <w:rStyle w:val="FootnoteReference"/>
          <w:noProof/>
        </w:rPr>
        <w:footnoteReference w:id="6"/>
      </w:r>
      <w:r>
        <w:rPr>
          <w:noProof/>
        </w:rPr>
        <w:t xml:space="preserve">, η οποία, επιπλέον, αύξησε το ανώτατο επιτρεπόμενο όριο εξαίρεσης σε ετήσιο κύκλο εργασιών 65 000 EUR. Η Ιταλική Δημοκρατία ζητάει τώρα την παράταση του μέτρου, το οποίο είναι προαιρετικό για υποκείμενους στον φόρο, έως την 31η Δεκεμβρίου 2019. Η Ιταλική Δημοκρατία ζήτησε επίσης από την Επιτροπή να εξετάσει την δυνατότητα παράτασης έως την 31η Δεκεμβρίου 2022. </w:t>
      </w:r>
    </w:p>
    <w:p>
      <w:pPr>
        <w:rPr>
          <w:noProof/>
        </w:rPr>
      </w:pPr>
      <w:r>
        <w:rPr>
          <w:noProof/>
        </w:rPr>
        <w:t>Βάσει των πληροφοριών που κοινοποίησε η Ιταλική Δημοκρατία, φαίνεται πως το μέτρο θα έχει αμελητέα επίπτωση στα φορολογικά έσοδα που εισπράττονται κατά το στάδιο της τελικής κατανάλωσης.</w:t>
      </w:r>
    </w:p>
    <w:p>
      <w:pPr>
        <w:rPr>
          <w:noProof/>
        </w:rPr>
      </w:pPr>
      <w:r>
        <w:rPr>
          <w:noProof/>
        </w:rPr>
        <w:t>Οι παρεκκλίσεις χορηγούνται κατά κανόνα για περιορισμένο χρονικό διάστημα, ούτως ώστε να δίνεται η δυνατότητα αξιολόγησης του κατά πόσον το ειδικό μέτρο είναι κατάλληλο και αποτελεσματικό. Επιπλέον, πρέπει να αναφερθεί ότι οι διατάξεις των άρθρων 281 έως 294 της οδηγίας 2006/112/EΚ σχετικά με το ειδικό καθεστώς για μικρές επιχειρήσεις υπόκεινται σε επανεξέταση. Όπως έχει ανακοινωθεί στο σχέδιο δράσης για τον ΦΠΑ</w:t>
      </w:r>
      <w:r>
        <w:rPr>
          <w:rStyle w:val="FootnoteReference"/>
          <w:noProof/>
        </w:rPr>
        <w:footnoteReference w:id="7"/>
      </w:r>
      <w:r>
        <w:rPr>
          <w:noProof/>
        </w:rPr>
        <w:t>, η Επιτροπή πρέπει να παρουσιάσει πρόταση με τη μορφή συγκεντρωτικής δέσμης μέτρων απλούστευσης έως τα τέλη του 2017.</w:t>
      </w:r>
    </w:p>
    <w:p>
      <w:pPr>
        <w:rPr>
          <w:noProof/>
        </w:rPr>
      </w:pPr>
      <w:r>
        <w:rPr>
          <w:noProof/>
        </w:rPr>
        <w:t>Προτείνεται, συνεπώς, η παράταση της παρέκκλισης για περαιτέρω χρονικό διάστημα, το νωρίτερο έως την 31η Δεκεμβρίου 2019 ή έως την ημερομηνία εφαρμογής οδηγίας για την τροποποίηση των διατάξεων της οδηγίας 2006/112/EΚ σχετικά με το ειδικό καθεστώς για μικρές επιχειρήσεις. Λόγω της επανεξέτασης που είναι σε εξέλιξη, θα πρέπει να εξεταστεί η παράταση της παρέκκλισης έως την 31η Δεκεμβρίου 2022. Οι υποκείμενοι στον φόρο θα πρέπει να συνεχίσουν να έχουν τη δυνατότητα να επιλέγουν την υπαγωγή στο κανονικό καθεστώς του ΦΠΑ.</w:t>
      </w:r>
    </w:p>
    <w:p>
      <w:pPr>
        <w:pStyle w:val="ManualHeading2"/>
        <w:rPr>
          <w:noProof/>
        </w:rPr>
      </w:pPr>
      <w:r>
        <w:rPr>
          <w:noProof/>
        </w:rPr>
        <w:t>Συνοχή</w:t>
      </w:r>
      <w:r>
        <w:rPr>
          <w:b w:val="0"/>
          <w:noProof/>
        </w:rPr>
        <w:t xml:space="preserve"> </w:t>
      </w:r>
      <w:r>
        <w:rPr>
          <w:noProof/>
        </w:rPr>
        <w:t>με άλλες πολιτικές της Ένωσης</w:t>
      </w:r>
    </w:p>
    <w:p>
      <w:pPr>
        <w:rPr>
          <w:noProof/>
        </w:rPr>
      </w:pPr>
      <w:r>
        <w:rPr>
          <w:noProof/>
        </w:rPr>
        <w:t>Η αιτούμενη παρέκκλιση συμβαδίζει με τους</w:t>
      </w:r>
      <w:r>
        <w:rPr>
          <w:noProof/>
          <w:color w:val="000000"/>
        </w:rPr>
        <w:t xml:space="preserve"> στόχους της ανακοίνωσης της Επιτροπής </w:t>
      </w:r>
      <w:r>
        <w:rPr>
          <w:i/>
          <w:noProof/>
          <w:color w:val="000000"/>
        </w:rPr>
        <w:t>«Προτεραιότητα στις μικρές επιχειρήσεις» - «Μια “Small Business Act” για την Ευρώπη»</w:t>
      </w:r>
      <w:r>
        <w:rPr>
          <w:rStyle w:val="FootnoteReference"/>
          <w:i/>
          <w:noProof/>
          <w:color w:val="000000"/>
        </w:rPr>
        <w:footnoteReference w:id="8"/>
      </w:r>
      <w:r>
        <w:rPr>
          <w:noProof/>
          <w:color w:val="000000"/>
        </w:rPr>
        <w:t>, η οποία καλεί τα κράτη μέλη να λαμβάνουν υπόψη τα ιδιαίτερα χαρακτηριστικά των μικρομεσαίων επιχειρήσεων (ΜΜΕ) κατά την εκπόνηση της νομοθεσίας και, συνεπώς, να απλοποιήσουν το ισχύον ρυθμιστικό περιβάλλον. Επιπλέον, δεν έχουν διαπιστωθεί προβλήματα στην εφαρμογή του μέτρου, ούτε κατά την επιτήρηση των επιχειρήσεων που αφορά.</w:t>
      </w:r>
    </w:p>
    <w:p>
      <w:pPr>
        <w:pStyle w:val="ManualHeading1"/>
        <w:rPr>
          <w:noProof/>
        </w:rPr>
      </w:pPr>
      <w:r>
        <w:rPr>
          <w:noProof/>
        </w:rPr>
        <w:t>2.</w:t>
      </w:r>
      <w:r>
        <w:rPr>
          <w:noProof/>
        </w:rPr>
        <w:tab/>
        <w:t>ΝΟΜΙΚΗ ΒΑΣΗ, ΕΠΙΚΟΥΡΙΚΟΤΗΤΑ ΚΑΙ ΑΝΑΛΟΓΙΚΟΤΗΤΑ</w:t>
      </w:r>
    </w:p>
    <w:p>
      <w:pPr>
        <w:pStyle w:val="ManualHeading2"/>
        <w:rPr>
          <w:rFonts w:eastAsia="Arial Unicode MS"/>
          <w:noProof/>
          <w:u w:color="000000"/>
          <w:bdr w:val="nil"/>
        </w:rPr>
      </w:pPr>
      <w:r>
        <w:rPr>
          <w:noProof/>
        </w:rPr>
        <w:t>•</w:t>
      </w:r>
      <w:r>
        <w:rPr>
          <w:noProof/>
        </w:rPr>
        <w:tab/>
        <w:t>Νομική βάση</w:t>
      </w:r>
    </w:p>
    <w:p>
      <w:pPr>
        <w:pBdr>
          <w:top w:val="nil"/>
          <w:left w:val="nil"/>
          <w:bottom w:val="nil"/>
          <w:right w:val="nil"/>
          <w:between w:val="nil"/>
          <w:bar w:val="nil"/>
        </w:pBdr>
        <w:spacing w:before="0" w:after="240"/>
        <w:rPr>
          <w:rFonts w:eastAsia="Arial Unicode MS"/>
          <w:noProof/>
        </w:rPr>
      </w:pPr>
      <w:r>
        <w:rPr>
          <w:noProof/>
        </w:rPr>
        <w:t>Το άρθρο 395 της οδηγίας για τον ΦΠΑ.</w:t>
      </w:r>
    </w:p>
    <w:p>
      <w:pPr>
        <w:pStyle w:val="ManualHeading2"/>
        <w:rPr>
          <w:rFonts w:eastAsia="Arial Unicode MS"/>
          <w:noProof/>
          <w:u w:color="000000"/>
          <w:bdr w:val="nil"/>
        </w:rPr>
      </w:pPr>
      <w:r>
        <w:rPr>
          <w:noProof/>
        </w:rPr>
        <w:t>•</w:t>
      </w:r>
      <w:r>
        <w:rPr>
          <w:noProof/>
        </w:rPr>
        <w:tab/>
        <w:t xml:space="preserve">Επικουρικότητα (για μη αποκλειστική αρμοδιότητα) </w:t>
      </w:r>
    </w:p>
    <w:p>
      <w:pPr>
        <w:pBdr>
          <w:top w:val="nil"/>
          <w:left w:val="nil"/>
          <w:bottom w:val="nil"/>
          <w:right w:val="nil"/>
          <w:between w:val="nil"/>
          <w:bar w:val="nil"/>
        </w:pBdr>
        <w:spacing w:before="0" w:after="240"/>
        <w:rPr>
          <w:rFonts w:eastAsia="Arial Unicode MS"/>
          <w:noProof/>
        </w:rPr>
      </w:pPr>
      <w:r>
        <w:rPr>
          <w:noProof/>
        </w:rPr>
        <w:t>Λαμβάνοντας υπόψη τη διάταξη της οδηγίας για τον ΦΠΑ στην οποία βασίζεται η πρόταση, δεν εφαρμόζεται η αρχή της επικουρικότητας.</w:t>
      </w:r>
    </w:p>
    <w:p>
      <w:pPr>
        <w:pStyle w:val="ManualHeading2"/>
        <w:rPr>
          <w:rFonts w:eastAsia="Arial Unicode MS"/>
          <w:noProof/>
          <w:u w:color="000000"/>
          <w:bdr w:val="nil"/>
        </w:rPr>
      </w:pPr>
      <w:r>
        <w:rPr>
          <w:noProof/>
        </w:rPr>
        <w:t>•</w:t>
      </w:r>
      <w:r>
        <w:rPr>
          <w:noProof/>
        </w:rPr>
        <w:tab/>
        <w:t>Αναλογικότητα</w:t>
      </w:r>
    </w:p>
    <w:p>
      <w:pPr>
        <w:rPr>
          <w:noProof/>
        </w:rPr>
      </w:pPr>
      <w:r>
        <w:rPr>
          <w:noProof/>
        </w:rPr>
        <w:t>Η απόφαση αφορά άδεια που χορηγείται σε κράτος μέλος κατόπιν αιτήματός του και ουδόλως συνιστά υποχρέωση.</w:t>
      </w:r>
    </w:p>
    <w:p>
      <w:pPr>
        <w:pBdr>
          <w:top w:val="nil"/>
          <w:left w:val="nil"/>
          <w:bottom w:val="nil"/>
          <w:right w:val="nil"/>
          <w:between w:val="nil"/>
          <w:bar w:val="nil"/>
        </w:pBdr>
        <w:spacing w:before="0" w:after="240"/>
        <w:rPr>
          <w:rFonts w:eastAsia="Arial Unicode MS"/>
          <w:noProof/>
        </w:rPr>
      </w:pPr>
      <w:r>
        <w:rPr>
          <w:noProof/>
        </w:rPr>
        <w:t xml:space="preserve">Λόγω του περιορισμένου πεδίου εφαρμογής της παρέκκλισης, το ειδικό μέτρο είναι ανάλογο με τον επιδιωκόμενο σκοπό που είναι η απλούστευση των υποχρεώσεων ΦΠΑ των μικρών επιχειρήσεων και η διευκόλυνση της είσπραξης του φόρου από τις εθνικές φορολογικές αρχές. </w:t>
      </w:r>
    </w:p>
    <w:p>
      <w:pPr>
        <w:pStyle w:val="ManualHeading2"/>
        <w:rPr>
          <w:rFonts w:eastAsia="Arial Unicode MS"/>
          <w:noProof/>
          <w:u w:color="000000"/>
          <w:bdr w:val="nil"/>
        </w:rPr>
      </w:pPr>
      <w:r>
        <w:rPr>
          <w:noProof/>
        </w:rPr>
        <w:t>•</w:t>
      </w:r>
      <w:r>
        <w:rPr>
          <w:noProof/>
        </w:rPr>
        <w:tab/>
        <w:t>Επιλογή της νομικής πράξης</w:t>
      </w:r>
    </w:p>
    <w:p>
      <w:pPr>
        <w:pBdr>
          <w:top w:val="nil"/>
          <w:left w:val="nil"/>
          <w:bottom w:val="nil"/>
          <w:right w:val="nil"/>
          <w:between w:val="nil"/>
          <w:bar w:val="nil"/>
        </w:pBdr>
        <w:spacing w:before="0" w:after="240"/>
        <w:rPr>
          <w:rFonts w:eastAsia="Arial Unicode MS"/>
          <w:noProof/>
        </w:rPr>
      </w:pPr>
      <w:r>
        <w:rPr>
          <w:noProof/>
        </w:rPr>
        <w:t>Προτεινόμενη νομική πράξη: εκτελεστική απόφαση του Συμβουλίου.</w:t>
      </w:r>
    </w:p>
    <w:p>
      <w:pPr>
        <w:pBdr>
          <w:top w:val="nil"/>
          <w:left w:val="nil"/>
          <w:bottom w:val="nil"/>
          <w:right w:val="nil"/>
          <w:between w:val="nil"/>
          <w:bar w:val="nil"/>
        </w:pBdr>
        <w:spacing w:before="0" w:after="240"/>
        <w:rPr>
          <w:rFonts w:eastAsia="Arial Unicode MS"/>
          <w:noProof/>
        </w:rPr>
      </w:pPr>
      <w:r>
        <w:rPr>
          <w:noProof/>
        </w:rPr>
        <w:t>Άλλα μέσα δεν θα ήταν επαρκή για τον ακόλουθο λόγο:</w:t>
      </w:r>
    </w:p>
    <w:p>
      <w:pPr>
        <w:pBdr>
          <w:top w:val="nil"/>
          <w:left w:val="nil"/>
          <w:bottom w:val="nil"/>
          <w:right w:val="nil"/>
          <w:between w:val="nil"/>
          <w:bar w:val="nil"/>
        </w:pBdr>
        <w:spacing w:before="0" w:after="240"/>
        <w:rPr>
          <w:rFonts w:eastAsia="Arial Unicode MS"/>
          <w:noProof/>
        </w:rPr>
      </w:pPr>
      <w:r>
        <w:rPr>
          <w:noProof/>
        </w:rPr>
        <w:t>σύμφωνα με το άρθρο 395 της οδηγίας 2006/112/EΚ του Συμβουλίου, η παρέκκλιση από τους κοινούς κανόνες για τον ΦΠΑ είναι εφικτή αποκλειστικά με εξουσιοδότηση του Συμβουλίου, αποφασίζοντας ομόφωνα έπειτα από πρόταση της Επιτροπής. Η εκτελεστική απόφαση του Συμβουλίου είναι η πλέον κατάλληλη νομική πράξη καθώς είναι δυνατό να απευθύνεται σε μεμονωμένο κράτος μέλος.</w:t>
      </w:r>
    </w:p>
    <w:p>
      <w:pPr>
        <w:pStyle w:val="ManualHeading1"/>
        <w:rPr>
          <w:noProof/>
        </w:rPr>
      </w:pPr>
    </w:p>
    <w:p>
      <w:pPr>
        <w:pStyle w:val="ManualHeading1"/>
        <w:rPr>
          <w:noProof/>
        </w:rPr>
      </w:pPr>
      <w:r>
        <w:rPr>
          <w:noProof/>
        </w:rPr>
        <w:t>3.</w:t>
      </w:r>
      <w:r>
        <w:rPr>
          <w:noProof/>
        </w:rPr>
        <w:tab/>
        <w:t>ΑΠΟΤΕΛΕΣΜΑΤΑ ΕΚ ΤΩΝ ΥΣΤΕΡΩΝ ΑΞΙΟΛΟΓΗΣΕΩΝ, ΔΙΑΒΟΥΛΕΥΣΕΙΣ ΜΕ ΤΟΥΣ ΕΝΔΙΑΦΕΡΟΜΕΝΟΥΣ ΚΑΙ ΕΚΤΙΜΗΣΕΙΣ ΕΠΙΠΤΩΣΕΩΝ</w:t>
      </w:r>
    </w:p>
    <w:p>
      <w:pPr>
        <w:pStyle w:val="ManualHeading2"/>
        <w:rPr>
          <w:rFonts w:eastAsia="Arial Unicode MS"/>
          <w:noProof/>
          <w:u w:color="000000"/>
          <w:bdr w:val="nil"/>
        </w:rPr>
      </w:pPr>
      <w:r>
        <w:rPr>
          <w:noProof/>
        </w:rPr>
        <w:t>•</w:t>
      </w:r>
      <w:r>
        <w:rPr>
          <w:noProof/>
        </w:rPr>
        <w:tab/>
        <w:t>Διαβουλεύσεις με τους ενδιαφερόμενους</w:t>
      </w:r>
    </w:p>
    <w:p>
      <w:pPr>
        <w:rPr>
          <w:noProof/>
        </w:rPr>
      </w:pPr>
      <w:r>
        <w:rPr>
          <w:noProof/>
        </w:rPr>
        <w:t>Χωρίς εφαρμογή.</w:t>
      </w:r>
    </w:p>
    <w:p>
      <w:pPr>
        <w:pStyle w:val="ManualHeading2"/>
        <w:rPr>
          <w:rFonts w:eastAsia="Arial Unicode MS"/>
          <w:noProof/>
          <w:u w:color="000000"/>
          <w:bdr w:val="nil"/>
        </w:rPr>
      </w:pPr>
      <w:r>
        <w:rPr>
          <w:noProof/>
        </w:rPr>
        <w:t>•</w:t>
      </w:r>
      <w:r>
        <w:rPr>
          <w:noProof/>
        </w:rPr>
        <w:tab/>
        <w:t>Συγκέντρωση και χρήση εμπειρογνωσίας</w:t>
      </w:r>
    </w:p>
    <w:p>
      <w:pPr>
        <w:pBdr>
          <w:top w:val="nil"/>
          <w:left w:val="nil"/>
          <w:bottom w:val="nil"/>
          <w:right w:val="nil"/>
          <w:between w:val="nil"/>
          <w:bar w:val="nil"/>
        </w:pBdr>
        <w:spacing w:before="0" w:after="240"/>
        <w:rPr>
          <w:rFonts w:eastAsia="Arial Unicode MS"/>
          <w:noProof/>
        </w:rPr>
      </w:pPr>
      <w:r>
        <w:rPr>
          <w:noProof/>
        </w:rPr>
        <w:t>Δεν υπήρξε ανάγκη εξωτερικής εμπειρογνωσίας.</w:t>
      </w:r>
    </w:p>
    <w:p>
      <w:pPr>
        <w:pStyle w:val="ManualHeading2"/>
        <w:rPr>
          <w:rFonts w:eastAsia="Arial Unicode MS"/>
          <w:noProof/>
          <w:u w:color="000000"/>
          <w:bdr w:val="nil"/>
        </w:rPr>
      </w:pPr>
      <w:r>
        <w:rPr>
          <w:noProof/>
        </w:rPr>
        <w:t>•</w:t>
      </w:r>
      <w:r>
        <w:rPr>
          <w:noProof/>
        </w:rPr>
        <w:tab/>
        <w:t>Εκτίμηση επιπτώσεων</w:t>
      </w:r>
    </w:p>
    <w:p>
      <w:pPr>
        <w:rPr>
          <w:noProof/>
        </w:rPr>
      </w:pPr>
      <w:r>
        <w:rPr>
          <w:noProof/>
        </w:rPr>
        <w:t>Η απόφαση αποσκοπεί στη συνέχιση εφαρμογής ενός μέτρου απλούστευσης που θα παρέχει εξαίρεση από τον ΦΠΑ στις επιχειρήσεις με ετήσιο κύκλο εργασιών κατώτερο από το όριο των 65 000 EUR. Με αυτό τον τρόπο μειώνονται σημαντικά τα διοικητικά βάρη για τις μικρές επιχειρήσεις και τις φορολογικές αρχές. Ωστόσο, θα καταβάλλεται λιγότερος ΦΠΑ. Θα πρέπει επίσης να σημειωθεί ότι το απλουστευμένο καθεστώς είναι προαιρετικό.</w:t>
      </w:r>
    </w:p>
    <w:p>
      <w:pPr>
        <w:rPr>
          <w:noProof/>
        </w:rPr>
      </w:pPr>
      <w:r>
        <w:rPr>
          <w:noProof/>
        </w:rPr>
        <w:t xml:space="preserve">Λόγω του περιορισμένου πεδίου εφαρμογής της παρέκκλισης και της περιορισμένης χρονικά εφαρμογής της, οι επιπτώσεις θα είναι σε κάθε περίπτωση περιορισμένες. </w:t>
      </w:r>
    </w:p>
    <w:p>
      <w:pPr>
        <w:pStyle w:val="ManualHeading1"/>
        <w:rPr>
          <w:noProof/>
        </w:rPr>
      </w:pPr>
      <w:r>
        <w:rPr>
          <w:noProof/>
        </w:rPr>
        <w:t>4.</w:t>
      </w:r>
      <w:r>
        <w:rPr>
          <w:noProof/>
        </w:rPr>
        <w:tab/>
        <w:t>ΔΗΜΟΣΙΟΝΟΜΙΚΕΣ ΕΠΙΠΤΩΣΕΙΣ</w:t>
      </w:r>
    </w:p>
    <w:p>
      <w:pPr>
        <w:rPr>
          <w:noProof/>
        </w:rPr>
      </w:pPr>
      <w:r>
        <w:rPr>
          <w:noProof/>
        </w:rPr>
        <w:t xml:space="preserve">Η πρόταση δεν έχει επιπτώσεις στον προϋπολογισμό της Ένωσης, καθώς η Ιταλία θα πραγματοποιήσει έναν υπολογισμό αποζημίωσης σύμφωνα με το άρθρο 6 του κανονισμού (EΟΚ, </w:t>
      </w:r>
      <w:r>
        <w:rPr>
          <w:bCs/>
          <w:noProof/>
        </w:rPr>
        <w:t>ΕΥΡΑΤΟΜ</w:t>
      </w:r>
      <w:r>
        <w:rPr>
          <w:noProof/>
        </w:rPr>
        <w:t>) 1553/89 του Συμβουλίου</w:t>
      </w:r>
      <w:r>
        <w:rPr>
          <w:rStyle w:val="FootnoteReference"/>
          <w:noProof/>
        </w:rPr>
        <w:footnoteReference w:id="9"/>
      </w:r>
      <w:r>
        <w:rPr>
          <w:noProof/>
        </w:rPr>
        <w:t>.</w:t>
      </w:r>
    </w:p>
    <w:p>
      <w:pPr>
        <w:pStyle w:val="ManualHeading1"/>
        <w:rPr>
          <w:noProof/>
        </w:rPr>
      </w:pPr>
      <w:r>
        <w:rPr>
          <w:noProof/>
        </w:rPr>
        <w:t>5.</w:t>
      </w:r>
      <w:r>
        <w:rPr>
          <w:noProof/>
        </w:rPr>
        <w:tab/>
        <w:t>ΛΟΙΠΑ ΣΤΟΙΧΕΙΑ</w:t>
      </w:r>
    </w:p>
    <w:p>
      <w:pPr>
        <w:rPr>
          <w:noProof/>
        </w:rPr>
      </w:pPr>
      <w:r>
        <w:rPr>
          <w:noProof/>
        </w:rPr>
        <w:t>Η πρόταση περιλαμβάνει ρήτρα λήξης ισχύος.</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2016/0314 (NLE)</w:t>
      </w:r>
    </w:p>
    <w:p>
      <w:pPr>
        <w:pStyle w:val="Statut"/>
        <w:rPr>
          <w:noProof/>
        </w:rPr>
      </w:pPr>
      <w:r>
        <w:rPr>
          <w:noProof/>
        </w:rPr>
        <w:t>Πρόταση</w:t>
      </w:r>
    </w:p>
    <w:p>
      <w:pPr>
        <w:pStyle w:val="Typedudocument"/>
        <w:rPr>
          <w:noProof/>
        </w:rPr>
      </w:pPr>
      <w:r>
        <w:rPr>
          <w:noProof/>
        </w:rPr>
        <w:t>EKTEΛΕΣΤΙΚΗ ΑΠΟΦΑΣΗ ΤΟΥ ΣΥΜΒΟΥΛΙΟΥ</w:t>
      </w:r>
    </w:p>
    <w:p>
      <w:pPr>
        <w:pStyle w:val="Titreobjet"/>
        <w:rPr>
          <w:noProof/>
        </w:rPr>
      </w:pPr>
      <w:r>
        <w:rPr>
          <w:noProof/>
        </w:rPr>
        <w:t>για την τροποποίηση της απόφασης 2013/678/EΕ που επιτρέπει στην Ιταλική Δημοκρατία να συνεχίσει να εφαρμόζει ειδικό μέτρο παρέκκλισης από το άρθρο 285 της οδηγίας 2006/112/EΚ σχετικά με το κοινό σύστημα φόρου προστιθέμενης αξίας</w:t>
      </w:r>
    </w:p>
    <w:p>
      <w:pPr>
        <w:pStyle w:val="Institutionquiagit"/>
        <w:rPr>
          <w:noProof/>
        </w:rPr>
      </w:pPr>
      <w:r>
        <w:rPr>
          <w:noProof/>
        </w:rPr>
        <w:t>ΤΟ ΣΥΜΒΟΥΛΙΟ ΤΗΣ ΕΥΡΩΠΑΪΚΗΣ ΕΝΩΣΗΣ,</w:t>
      </w:r>
    </w:p>
    <w:p>
      <w:pPr>
        <w:rPr>
          <w:noProof/>
        </w:rPr>
      </w:pPr>
      <w:r>
        <w:rPr>
          <w:noProof/>
        </w:rPr>
        <w:t xml:space="preserve">Έχοντας υπόψη τη Συνθήκη για τη λειτουργία της Ευρωπαϊκής Ένωσης, </w:t>
      </w:r>
    </w:p>
    <w:p>
      <w:pPr>
        <w:rPr>
          <w:noProof/>
        </w:rPr>
      </w:pPr>
      <w:r>
        <w:rPr>
          <w:noProof/>
        </w:rPr>
        <w:t>Έχοντας υπόψη την οδηγία 2006/112/ΕΚ του Συμβουλίου, της 28ης Νοεμβρίου 2006, σχετικά με το κοινό σύστημα φόρου προστιθεμένης αξίας</w:t>
      </w:r>
      <w:r>
        <w:rPr>
          <w:rStyle w:val="FootnoteReference"/>
          <w:noProof/>
        </w:rPr>
        <w:footnoteReference w:id="10"/>
      </w:r>
      <w:r>
        <w:rPr>
          <w:noProof/>
        </w:rPr>
        <w:t xml:space="preserve">, και ιδίως το άρθρο 395, </w:t>
      </w:r>
    </w:p>
    <w:p>
      <w:pPr>
        <w:rPr>
          <w:noProof/>
        </w:rPr>
      </w:pPr>
      <w:r>
        <w:rPr>
          <w:noProof/>
        </w:rPr>
        <w:t>Έχοντας υπόψη την πρόταση της Ευρωπαϊκής Επιτροπής,</w:t>
      </w:r>
    </w:p>
    <w:p>
      <w:pPr>
        <w:rPr>
          <w:noProof/>
        </w:rPr>
      </w:pPr>
      <w:r>
        <w:rPr>
          <w:noProof/>
        </w:rPr>
        <w:t>Εκτιμώντας τα ακόλουθα:</w:t>
      </w:r>
    </w:p>
    <w:p>
      <w:pPr>
        <w:pStyle w:val="ManualConsidrant"/>
        <w:rPr>
          <w:noProof/>
        </w:rPr>
      </w:pPr>
      <w:r>
        <w:t>(1)</w:t>
      </w:r>
      <w:r>
        <w:tab/>
      </w:r>
      <w:r>
        <w:rPr>
          <w:noProof/>
        </w:rPr>
        <w:t>Με την απόφαση 2008/737/EΚ του Συμβουλίου</w:t>
      </w:r>
      <w:r>
        <w:rPr>
          <w:rStyle w:val="FootnoteReference"/>
          <w:noProof/>
        </w:rPr>
        <w:footnoteReference w:id="11"/>
      </w:r>
      <w:r>
        <w:rPr>
          <w:noProof/>
        </w:rPr>
        <w:t>, επιτράπηκε στην Ιταλία, ως μέτρο παρέκκλισης, να απαλλάσσει τους υποκείμενους στον φόρο με ετήσιο κύκλο εργασιών που δεν υπερβαίνει το ποσό των 30 000 EUR, έως την 31η Δεκεμβρίου 2010. Η εφαρμογή της εν λόγω παρέκκλισης παρατάθηκε εν συνεχεία έως την 31η Δεκεμβρίου 2013 με την απόφαση 2010/688/EΕ του Συμβουλίου</w:t>
      </w:r>
      <w:r>
        <w:rPr>
          <w:rStyle w:val="FootnoteReference"/>
          <w:noProof/>
        </w:rPr>
        <w:footnoteReference w:id="12"/>
      </w:r>
      <w:r>
        <w:rPr>
          <w:noProof/>
        </w:rPr>
        <w:t>, και έως την 31η Δεκεμβρίου 2016 με την απόφαση 2013/678/EΕ</w:t>
      </w:r>
      <w:r>
        <w:rPr>
          <w:rStyle w:val="FootnoteReference"/>
          <w:noProof/>
        </w:rPr>
        <w:footnoteReference w:id="13"/>
      </w:r>
      <w:r>
        <w:rPr>
          <w:noProof/>
        </w:rPr>
        <w:t xml:space="preserve"> του Συμβουλίου, η οποία, επιπρόσθετα, αύξησε το ανώτατο όριο της επιτρεπόμενης εξαίρεσης σε 65 000 EUR του ετήσιου κύκλου εργασιών.</w:t>
      </w:r>
    </w:p>
    <w:p>
      <w:pPr>
        <w:pStyle w:val="ManualConsidrant"/>
        <w:rPr>
          <w:noProof/>
        </w:rPr>
      </w:pPr>
      <w:r>
        <w:t>(2)</w:t>
      </w:r>
      <w:r>
        <w:tab/>
      </w:r>
      <w:r>
        <w:rPr>
          <w:noProof/>
        </w:rPr>
        <w:t>Με επιστολή που πρωτοκολλήθηκε στην Επιτροπή στις 5 Απριλίου 2016, η Ιταλία ζήτησε την άδεια να εφαρμόσει μέτρο παρέκκλισης από το άρθρο 285 της οδηγίας 2006/112/ΕΚ προκειμένου να συνεχίσει να απαλλάσσει ορισμένους υποκείμενους σε φόρο, των οποίων ο ετήσιος κύκλος εργασιών δεν υπερβαίνει το ποσό των 65 000 EUR. Με την εφαρμογή του μέτρου αυτού, οι εν λόγω υποκείμενοι σε φόρο θα συνεχίσουν να απαλλάσσονται από τον φόρο προστιθέμενης αξίας (ΦΠΑ).</w:t>
      </w:r>
    </w:p>
    <w:p>
      <w:pPr>
        <w:pStyle w:val="ManualConsidrant"/>
        <w:rPr>
          <w:noProof/>
        </w:rPr>
      </w:pPr>
      <w:r>
        <w:t>(3)</w:t>
      </w:r>
      <w:r>
        <w:tab/>
      </w:r>
      <w:r>
        <w:rPr>
          <w:noProof/>
        </w:rPr>
        <w:t>Η Επιτροπή, με επιστολή της 21ης Ιουνίου 2016, ενημέρωσε τα άλλα κράτη μέλη σχετικά με το αίτημα που υπέβαλε η Ιταλία. Με επιστολή της 22ας Ιουνίου 2016, η Επιτροπή γνωστοποίησε στην Ιταλία ότι διέθετε όλες τις απαραίτητες πληροφορίες για την εξέταση του αιτήματος.</w:t>
      </w:r>
    </w:p>
    <w:p>
      <w:pPr>
        <w:pStyle w:val="ManualConsidrant"/>
        <w:rPr>
          <w:noProof/>
        </w:rPr>
      </w:pPr>
      <w:r>
        <w:t>(4)</w:t>
      </w:r>
      <w:r>
        <w:tab/>
      </w:r>
      <w:r>
        <w:rPr>
          <w:noProof/>
        </w:rPr>
        <w:t>Ένα ειδικό καθεστώς για τις μικρές επιχειρήσεις είναι ήδη διαθέσιμο για τα κράτη μέλη δυνάμει του τίτλου XII της οδηγίας 2006/112/ΕΚ. Το παρατεινόμενο μέτρο παρεκκλίνει του άρθρου 285 της εν λόγω οδηγίας όσον αφορά την εφαρμογή του στην Ιταλία μόνον κατά το μέτρο που το ανώτατο οριζόμενο για το καθεστώς όριο ετήσιου κύκλου εργασιών υπερβαίνει το όριο των 5 000 EUR.</w:t>
      </w:r>
    </w:p>
    <w:p>
      <w:pPr>
        <w:pStyle w:val="ManualConsidrant"/>
        <w:rPr>
          <w:noProof/>
        </w:rPr>
      </w:pPr>
      <w:r>
        <w:t>(5)</w:t>
      </w:r>
      <w:r>
        <w:tab/>
      </w:r>
      <w:r>
        <w:rPr>
          <w:noProof/>
        </w:rPr>
        <w:t>Η αιτούμενη παρέκκλιση συμβαδίζει με τους στόχους της ανακοίνωσης της Επιτροπής «Προτεραιότητα στις μικρές επιχειρήσεις» - «Μια "Small Business Act" για την Ευρώπη», της 25ης Ιουνίου 2008</w:t>
      </w:r>
      <w:r>
        <w:rPr>
          <w:rStyle w:val="FootnoteReference"/>
          <w:noProof/>
        </w:rPr>
        <w:footnoteReference w:id="14"/>
      </w:r>
      <w:r>
        <w:rPr>
          <w:noProof/>
        </w:rPr>
        <w:t>.</w:t>
      </w:r>
    </w:p>
    <w:p>
      <w:pPr>
        <w:pStyle w:val="ManualConsidrant"/>
        <w:rPr>
          <w:noProof/>
        </w:rPr>
      </w:pPr>
      <w:r>
        <w:t>(6)</w:t>
      </w:r>
      <w:r>
        <w:tab/>
      </w:r>
      <w:r>
        <w:rPr>
          <w:noProof/>
        </w:rPr>
        <w:t>Δεδομένου ότι το παρόν μέτρο παρέκκλισης είχε αποτέλεσμα τη μείωση των υποχρεώσεων όσον αφορά τον ΦΠΑ των μικρότερων επιχειρήσεων, θα πρέπει να επιτραπεί στην Ιταλία να εφαρμόσει το μέτρο για περαιτέρω περιορισμένο χρονικό διάστημα. Οι υποκείμενοι στον φόρο θα πρέπει να εξακολουθούν να έχουν τη δυνατότητα να επιλέγουν το κανονικό καθεστώς ΦΠΑ.</w:t>
      </w:r>
    </w:p>
    <w:p>
      <w:pPr>
        <w:pStyle w:val="ManualConsidrant"/>
        <w:rPr>
          <w:noProof/>
        </w:rPr>
      </w:pPr>
      <w:r>
        <w:t>(7)</w:t>
      </w:r>
      <w:r>
        <w:tab/>
      </w:r>
      <w:r>
        <w:rPr>
          <w:noProof/>
        </w:rPr>
        <w:t>Οι παρεκκλίσεις χορηγούνται κατά κανόνα για περιορισμένο χρονικό διάστημα ούτως ώστε να δίνεται η δυνατότητα αξιολόγησης του κατά πόσον το ειδικό μέτρο είναι κατάλληλο και αποτελεσματικό. Επιπλέον, οι διατάξεις των άρθρων 281 έως 294 της οδηγίας 2006/112/EΚ σχετικά με το ειδικό καθεστώς για μικρές επιχειρήσεις υπόκεινται σε επανεξέταση. Η αιτούμενη παρέκκλιση θα πρέπει, συνεπώς, να περιοριστεί χρονικά και να συνοδευτεί από ρήτρα λήξης ισχύος.</w:t>
      </w:r>
    </w:p>
    <w:p>
      <w:pPr>
        <w:pStyle w:val="ManualConsidrant"/>
        <w:rPr>
          <w:noProof/>
        </w:rPr>
      </w:pPr>
      <w:r>
        <w:t>(8)</w:t>
      </w:r>
      <w:r>
        <w:tab/>
      </w:r>
      <w:r>
        <w:rPr>
          <w:noProof/>
        </w:rPr>
        <w:t>Βάσει των πληροφοριών που κοινοποίησε η Ιταλία, η αύξηση του ορίου θα έχει αμελητέα μόνο επίπτωση στο συνολικό ποσό των φορολογικών εσόδων που εισπράττονται στο τελικό στάδιο της κατανάλωσης.</w:t>
      </w:r>
    </w:p>
    <w:p>
      <w:pPr>
        <w:pStyle w:val="ManualConsidrant"/>
        <w:rPr>
          <w:noProof/>
        </w:rPr>
      </w:pPr>
      <w:r>
        <w:t>(9)</w:t>
      </w:r>
      <w:r>
        <w:tab/>
      </w:r>
      <w:r>
        <w:rPr>
          <w:noProof/>
        </w:rPr>
        <w:t>Η παρέκκλιση δεν έχει αρνητικές επιπτώσεις στους ίδιους πόρους της Ένωσης που προέρχονται από τον φόρο προστιθέμενης αξίας,</w:t>
      </w:r>
    </w:p>
    <w:p>
      <w:pPr>
        <w:pStyle w:val="Formuledadoption"/>
        <w:rPr>
          <w:noProof/>
        </w:rPr>
      </w:pPr>
      <w:r>
        <w:rPr>
          <w:noProof/>
        </w:rPr>
        <w:t xml:space="preserve">ΕΞΕΔΩΣΕ ΤΗΝ ΠΑΡΟΥΣΑ ΑΠΟΦΑΣΗ: </w:t>
      </w:r>
    </w:p>
    <w:p>
      <w:pPr>
        <w:pStyle w:val="Titrearticle"/>
        <w:rPr>
          <w:noProof/>
        </w:rPr>
      </w:pPr>
      <w:r>
        <w:rPr>
          <w:noProof/>
        </w:rPr>
        <w:t>Άρθρο 1</w:t>
      </w:r>
    </w:p>
    <w:p>
      <w:pPr>
        <w:rPr>
          <w:rFonts w:eastAsia="Calibri"/>
          <w:noProof/>
        </w:rPr>
      </w:pPr>
      <w:r>
        <w:rPr>
          <w:noProof/>
        </w:rPr>
        <w:t xml:space="preserve">Το άρθρο 2 της απόφασης 2013/678/ΕΕ αντικαθίσταται από το ακόλουθο κείμενο </w:t>
      </w:r>
    </w:p>
    <w:p>
      <w:pPr>
        <w:pStyle w:val="Titrearticle"/>
        <w:rPr>
          <w:noProof/>
        </w:rPr>
      </w:pPr>
      <w:r>
        <w:rPr>
          <w:noProof/>
        </w:rPr>
        <w:t>«Άρθρο 2</w:t>
      </w:r>
    </w:p>
    <w:p>
      <w:pPr>
        <w:rPr>
          <w:noProof/>
        </w:rPr>
      </w:pPr>
      <w:r>
        <w:rPr>
          <w:noProof/>
        </w:rPr>
        <w:t>Η παρούσα απόφαση αρχίζει να ισχύει την ημέρα της κοινοποίησής της.</w:t>
      </w:r>
    </w:p>
    <w:p>
      <w:pPr>
        <w:rPr>
          <w:noProof/>
        </w:rPr>
      </w:pPr>
      <w:r>
        <w:rPr>
          <w:noProof/>
        </w:rPr>
        <w:t>Η παρούσα απόφαση εφαρμόζεται από την 1η Ιανουαρίου 2017 μέχρι την ημερομηνία έναρξης ισχύος οδηγίας για την τροποποίηση των άρθρων 281 έως 294 της οδηγίας 2006/112/ΕΚ σχετικά με το ειδικό καθεστώς για τις μικρές επιχειρήσεις, ή έως την 31η Δεκεμβρίου 2019, ανάλογα με το ποια από τις δύο ημερομηνίες προηγείται.»</w:t>
      </w:r>
    </w:p>
    <w:p>
      <w:pPr>
        <w:pStyle w:val="Titrearticle"/>
        <w:rPr>
          <w:noProof/>
        </w:rPr>
      </w:pPr>
      <w:r>
        <w:rPr>
          <w:noProof/>
        </w:rPr>
        <w:t>Άρθρο 2</w:t>
      </w:r>
    </w:p>
    <w:p>
      <w:pPr>
        <w:rPr>
          <w:noProof/>
        </w:rPr>
      </w:pPr>
      <w:r>
        <w:rPr>
          <w:noProof/>
        </w:rPr>
        <w:t>Η παρούσα απόφαση απευθύνεται στην Ιταλική Δημοκρατία.</w:t>
      </w:r>
    </w:p>
    <w:p>
      <w:pPr>
        <w:pStyle w:val="Fait"/>
        <w:rPr>
          <w:noProof/>
        </w:rPr>
      </w:pPr>
      <w:r>
        <w:rPr>
          <w:noProof/>
        </w:rPr>
        <w:t>Βρυξέλλες,</w:t>
      </w:r>
    </w:p>
    <w:p>
      <w:pPr>
        <w:pStyle w:val="Institutionquisigne"/>
        <w:rPr>
          <w:noProof/>
        </w:rPr>
      </w:pPr>
      <w:r>
        <w:rPr>
          <w:noProof/>
        </w:rPr>
        <w:tab/>
        <w:t>Για το Συμβούλιο</w:t>
      </w:r>
    </w:p>
    <w:p>
      <w:pPr>
        <w:pStyle w:val="Personnequisigne"/>
        <w:rPr>
          <w:noProof/>
        </w:rPr>
      </w:pPr>
      <w:r>
        <w:rPr>
          <w:noProof/>
        </w:rPr>
        <w:tab/>
        <w:t>Ο/Η Πρόεδρος</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EL</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ΕΕ L 347 της 11.12.2006, σ. 1.</w:t>
      </w:r>
    </w:p>
  </w:footnote>
  <w:footnote w:id="2">
    <w:p>
      <w:pPr>
        <w:pStyle w:val="FootnoteText"/>
      </w:pPr>
      <w:r>
        <w:rPr>
          <w:rStyle w:val="FootnoteReference"/>
        </w:rPr>
        <w:footnoteRef/>
      </w:r>
      <w:r>
        <w:tab/>
        <w:t>Δεύτερη οδηγία 67/228/ΕΟΚ του Συμβουλίου, της 11ης Απριλίου 1967, περί εναρμονίσεως των νομοθεσιών των κρατών μελών, των σχετικών με τους φόρους κύκλου εργασιών - διάρθρωση και κανόνες εφαρμογής του κοινού συστήματος φόρου προστιθεμένης αξίας (ΕΕ 71 της 14.4.1967, σ. 1303).</w:t>
      </w:r>
    </w:p>
  </w:footnote>
  <w:footnote w:id="3">
    <w:p>
      <w:pPr>
        <w:pStyle w:val="FootnoteText"/>
      </w:pPr>
      <w:r>
        <w:rPr>
          <w:rStyle w:val="FootnoteReference"/>
        </w:rPr>
        <w:footnoteRef/>
      </w:r>
      <w:r>
        <w:tab/>
        <w:t>Έκτη οδηγία 77/388/ΕΟΚ του Συμβουλίου, της 17ης Μαΐου 1977, περί εναρμονίσεως των νομοθεσιών των κρατών μελών, των σχετικών με τους φόρους κύκλου εργασιών - Κοινό σύστημα φόρου προστιθεμένης αξίας: ομοιόμορφη φορολογική βάση (ΕΕ L 145 της 13.6.1977, σ. 1).</w:t>
      </w:r>
    </w:p>
  </w:footnote>
  <w:footnote w:id="4">
    <w:p>
      <w:pPr>
        <w:pStyle w:val="FootnoteText"/>
      </w:pPr>
      <w:r>
        <w:rPr>
          <w:rStyle w:val="FootnoteReference"/>
        </w:rPr>
        <w:footnoteRef/>
      </w:r>
      <w:r>
        <w:tab/>
        <w:t>Απόφαση 2008/737/ΕΚ του Συμβουλίου, της 15ης Σεπτεμβρίου 2008, με την οποία επιτρέπεται στην Ιταλική Δημοκρατία να εφαρμόσει μέτρο παρέκκλισης από το άρθρο 285 της οδηγίας 2006/112/ΕΚ σχετικά με το κοινό σύστημα φόρου προστιθέμενης αξίας (ΕΕ L 249 της 18.9.2008, σ. 13).</w:t>
      </w:r>
    </w:p>
  </w:footnote>
  <w:footnote w:id="5">
    <w:p>
      <w:pPr>
        <w:pStyle w:val="FootnoteText"/>
      </w:pPr>
      <w:r>
        <w:rPr>
          <w:rStyle w:val="FootnoteReference"/>
        </w:rPr>
        <w:footnoteRef/>
      </w:r>
      <w:r>
        <w:tab/>
        <w:t xml:space="preserve">Εκτελεστική απόφαση 2010/688/ΕΕ του Συμβουλίου, της 15ης Οκτωβρίου 2010, που επιτρέπει στην Ιταλική Δημοκρατία να εφαρμόσει ειδικό μέτρο παρέκκλισης από το άρθρο 285 της οδηγίας 2006/112/ΕΚ σχετικά με το κοινό σύστημα φόρου προστιθέμενης αξίας (ΕΕ L 294 της 12.11.2010, σ. 12). </w:t>
      </w:r>
    </w:p>
  </w:footnote>
  <w:footnote w:id="6">
    <w:p>
      <w:pPr>
        <w:pStyle w:val="FootnoteText"/>
      </w:pPr>
      <w:r>
        <w:rPr>
          <w:rStyle w:val="FootnoteReference"/>
        </w:rPr>
        <w:footnoteRef/>
      </w:r>
      <w:r>
        <w:tab/>
      </w:r>
      <w:hyperlink r:id="rId1">
        <w:r>
          <w:t>Εκτελεστική απόφαση 2013/678/ΕΕ του Συμβουλίου, της 15ης Νοεμβρίου 2013, που επιτρέπει στην Ιταλική Δημοκρατία να συνεχίσει να εφαρμόζει ειδικό μέτρο παρέκκλισης από το άρθρο 285 της οδηγίας 2006/112/ΕΚ σχετικά με το κοινό σύστημα φόρου προστιθέμενης αξίας</w:t>
        </w:r>
      </w:hyperlink>
      <w:r>
        <w:rPr>
          <w:color w:val="444444"/>
          <w:sz w:val="21"/>
        </w:rPr>
        <w:t xml:space="preserve"> (</w:t>
      </w:r>
      <w:r>
        <w:t>ΕΕ L 316 της 27.11.2013, σ. 35).</w:t>
      </w:r>
    </w:p>
  </w:footnote>
  <w:footnote w:id="7">
    <w:p>
      <w:pPr>
        <w:pStyle w:val="FootnoteText"/>
      </w:pPr>
      <w:r>
        <w:rPr>
          <w:rStyle w:val="FootnoteReference"/>
        </w:rPr>
        <w:footnoteRef/>
      </w:r>
      <w:r>
        <w:tab/>
        <w:t>Ανακοίνωση της Επιτροπής προς το Ευρωπαϊκό Κοινοβούλιο, το Συμβούλιο και την Ευρωπαϊκή Οικονομική και Κοινωνική Επιτροπή σχετικά με ένα σχέδιο δράσης για τον ΦΠΑ - Προς έναν ενιαίο χώρο ΦΠΑ στην ΕΕ - Η ώρα των αποφάσεων, Βρυξέλλες, 7.4.2016, COM(2016)148 final.</w:t>
      </w:r>
    </w:p>
  </w:footnote>
  <w:footnote w:id="8">
    <w:p>
      <w:pPr>
        <w:pStyle w:val="FootnoteText"/>
      </w:pPr>
      <w:r>
        <w:rPr>
          <w:rStyle w:val="FootnoteReference"/>
        </w:rPr>
        <w:footnoteRef/>
      </w:r>
      <w:r>
        <w:tab/>
      </w:r>
      <w:r>
        <w:rPr>
          <w:color w:val="000000"/>
        </w:rPr>
        <w:t>COM(2008) 394 της 25</w:t>
      </w:r>
      <w:r>
        <w:rPr>
          <w:color w:val="000000"/>
          <w:vertAlign w:val="superscript"/>
        </w:rPr>
        <w:t>ης</w:t>
      </w:r>
      <w:r>
        <w:rPr>
          <w:color w:val="000000"/>
        </w:rPr>
        <w:t xml:space="preserve"> Ιουνίου 2008.</w:t>
      </w:r>
    </w:p>
  </w:footnote>
  <w:footnote w:id="9">
    <w:p>
      <w:pPr>
        <w:pStyle w:val="FootnoteText"/>
      </w:pPr>
      <w:r>
        <w:rPr>
          <w:rStyle w:val="FootnoteReference"/>
        </w:rPr>
        <w:footnoteRef/>
      </w:r>
      <w:r>
        <w:tab/>
      </w:r>
      <w:r>
        <w:rPr>
          <w:bCs/>
        </w:rPr>
        <w:t>Κανονισμός (ΕΟΚ, Ευρατόμ) αριθ. 1553/89 του Συμβουλίου, της 29ης Μαΐου 1989, για το ομοιόμορφο οριστικό καθεστώς είσπραξης των ιδίων πόρων που προέρχονται από το φόρο επί της προστιθεμένης αξίας</w:t>
      </w:r>
      <w:r>
        <w:rPr>
          <w:rStyle w:val="Strong"/>
          <w:b w:val="0"/>
          <w:color w:val="444444"/>
        </w:rPr>
        <w:t xml:space="preserve"> (</w:t>
      </w:r>
      <w:r>
        <w:t xml:space="preserve">ΕΕ L 155 της 7.6.1989, σ. 9). </w:t>
      </w:r>
    </w:p>
  </w:footnote>
  <w:footnote w:id="10">
    <w:p>
      <w:pPr>
        <w:pStyle w:val="FootnoteText"/>
      </w:pPr>
      <w:r>
        <w:rPr>
          <w:rStyle w:val="FootnoteReference"/>
        </w:rPr>
        <w:footnoteRef/>
      </w:r>
      <w:r>
        <w:tab/>
        <w:t>EE L 347 της 11.12.2006, σ. 1.</w:t>
      </w:r>
    </w:p>
  </w:footnote>
  <w:footnote w:id="11">
    <w:p>
      <w:pPr>
        <w:pStyle w:val="FootnoteText"/>
      </w:pPr>
      <w:r>
        <w:rPr>
          <w:rStyle w:val="FootnoteReference"/>
        </w:rPr>
        <w:footnoteRef/>
      </w:r>
      <w:r>
        <w:tab/>
        <w:t xml:space="preserve">Απόφαση 2008/737/ΕΚ του Συμβουλίου, της 15ης Σεπτεμβρίου 2008, με την οποία επιτρέπεται στην Ιταλική Δημοκρατία να εφαρμόσει μέτρο παρέκκλισης από το άρθρο 285 της οδηγίας 2006/112/ΕΚ σχετικά με το κοινό σύστημα φόρου προστιθέμενης αξίας (ΕΕ L 249 της 18.9.2008, σ. 13). </w:t>
      </w:r>
    </w:p>
  </w:footnote>
  <w:footnote w:id="12">
    <w:p>
      <w:pPr>
        <w:pStyle w:val="FootnoteText"/>
      </w:pPr>
      <w:r>
        <w:rPr>
          <w:rStyle w:val="FootnoteReference"/>
        </w:rPr>
        <w:footnoteRef/>
      </w:r>
      <w:r>
        <w:tab/>
        <w:t xml:space="preserve">Εκτελεστική απόφαση 2010/688/ΕΕ του Συμβουλίου, της 15ης Οκτωβρίου 2010, που επιτρέπει στην Ιταλική Δημοκρατία να εφαρμόσει ειδικό μέτρο παρέκκλισης από το άρθρο 285 της οδηγίας 2006/112/ΕΚ σχετικά με το κοινό σύστημα φόρου προστιθέμενης αξίας (ΕΕ L 294 της 12.11.2010, σ. 12). </w:t>
      </w:r>
    </w:p>
  </w:footnote>
  <w:footnote w:id="13">
    <w:p>
      <w:pPr>
        <w:pStyle w:val="FootnoteText"/>
      </w:pPr>
      <w:r>
        <w:rPr>
          <w:rStyle w:val="FootnoteReference"/>
        </w:rPr>
        <w:footnoteRef/>
      </w:r>
      <w:r>
        <w:tab/>
      </w:r>
      <w:hyperlink r:id="rId2">
        <w:r>
          <w:t>Εκτελεστική απόφαση 2013/678/ΕΕ του Συμβουλίου, της 15ης Νοεμβρίου 2013, που επιτρέπει στην Ιταλική Δημοκρατία να συνεχίσει να εφαρμόζει ειδικό μέτρο παρέκκλισης από το άρθρο 285 της οδηγίας 2006/112/ΕΚ σχετικά με το κοινό σύστημα φόρου προστιθέμενης αξίας</w:t>
        </w:r>
      </w:hyperlink>
      <w:r>
        <w:rPr>
          <w:color w:val="444444"/>
          <w:sz w:val="21"/>
        </w:rPr>
        <w:t xml:space="preserve"> (</w:t>
      </w:r>
      <w:r>
        <w:t>ΕΕ L 316 της 27.11.2013, σ. 35).</w:t>
      </w:r>
    </w:p>
  </w:footnote>
  <w:footnote w:id="14">
    <w:p>
      <w:pPr>
        <w:pStyle w:val="FootnoteText"/>
      </w:pPr>
      <w:r>
        <w:rPr>
          <w:rStyle w:val="FootnoteReference"/>
        </w:rPr>
        <w:footnoteRef/>
      </w:r>
      <w:r>
        <w:tab/>
        <w:t>Ανακοίνωση της Επιτροπής στο Ευρωπαϊκό Κοινοβούλιο, στο Συμβούλιο, στην Ευρωπαϊκή Οικονομική και Κοινωνική Επιτροπή και στην Επιτροπή των Περιφερειών - «Προτεραιότητα στις Μικρές Επιχειρήσεις» - «Μια “Small Business Act” για την Ευρώπη», Βρυξέλλες, 25.6.2008, COM(2008)394 τελικό.</w:t>
      </w:r>
      <w:r>
        <w:rPr>
          <w:rStyle w:val="Strong"/>
          <w:rFonts w:ascii="Lucida Sans Unicode" w:hAnsi="Lucida Sans Unicode"/>
          <w:color w:val="444444"/>
          <w:sz w:val="19"/>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9C4BED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D88E0F0"/>
    <w:lvl w:ilvl="0">
      <w:start w:val="1"/>
      <w:numFmt w:val="decimal"/>
      <w:pStyle w:val="ListNumber3"/>
      <w:lvlText w:val="%1."/>
      <w:lvlJc w:val="left"/>
      <w:pPr>
        <w:tabs>
          <w:tab w:val="num" w:pos="926"/>
        </w:tabs>
        <w:ind w:left="926" w:hanging="360"/>
      </w:pPr>
    </w:lvl>
  </w:abstractNum>
  <w:abstractNum w:abstractNumId="2">
    <w:nsid w:val="FFFFFF7F"/>
    <w:multiLevelType w:val="singleLevel"/>
    <w:tmpl w:val="8FFEAB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D2E98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334093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B9C2C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9C80710"/>
    <w:lvl w:ilvl="0">
      <w:start w:val="1"/>
      <w:numFmt w:val="decimal"/>
      <w:pStyle w:val="ListNumber"/>
      <w:lvlText w:val="%1."/>
      <w:lvlJc w:val="left"/>
      <w:pPr>
        <w:tabs>
          <w:tab w:val="num" w:pos="360"/>
        </w:tabs>
        <w:ind w:left="360" w:hanging="360"/>
      </w:pPr>
    </w:lvl>
  </w:abstractNum>
  <w:abstractNum w:abstractNumId="7">
    <w:nsid w:val="FFFFFF89"/>
    <w:multiLevelType w:val="singleLevel"/>
    <w:tmpl w:val="2786830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57"/>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9-30 10:20:1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C0D1A1D3AA0B417ABF002324CB1B9399"/>
    <w:docVar w:name="LW_CROSSREFERENCE" w:val="&lt;UNUSED&gt;"/>
    <w:docVar w:name="LW_DocType" w:val="COM"/>
    <w:docVar w:name="LW_EMISSION" w:val="7.10.2016"/>
    <w:docVar w:name="LW_EMISSION_ISODATE" w:val="2016-10-07"/>
    <w:docVar w:name="LW_EMISSION_LOCATION" w:val="BRX"/>
    <w:docVar w:name="LW_EMISSION_PREFIX" w:val="Βρυξέλλες,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EL"/>
    <w:docVar w:name="LW_MARKING" w:val="&lt;UNUSED&gt;"/>
    <w:docVar w:name="LW_NOM.INST" w:val="\u917?\u933?\u929?\u937?\u928?\u913?\u938?\u922?\u919? \u917?\u928?\u921?\u932?\u929?\u927?\u928?\u919?"/>
    <w:docVar w:name="LW_NOM.INST_JOINTDOC" w:val="&lt;EMPTY&gt;"/>
    <w:docVar w:name="LW_PART_NBR" w:val="1"/>
    <w:docVar w:name="LW_PART_NBR_TOTAL" w:val="1"/>
    <w:docVar w:name="LW_REF.II.NEW.CP" w:val="NLE"/>
    <w:docVar w:name="LW_REF.II.NEW.CP_NUMBER" w:val="0314"/>
    <w:docVar w:name="LW_REF.II.NEW.CP_YEAR" w:val="2016"/>
    <w:docVar w:name="LW_REF.INST.NEW" w:val="COM"/>
    <w:docVar w:name="LW_REF.INST.NEW_ADOPTED" w:val="final"/>
    <w:docVar w:name="LW_REF.INST.NEW_TEXT" w:val="(2016) 644"/>
    <w:docVar w:name="LW_REF.INTERNE" w:val="&lt;UNUSED&gt;"/>
    <w:docVar w:name="LW_SOUS.TITRE.OBJ.CP" w:val="&lt;UNUSED&gt;"/>
    <w:docVar w:name="LW_STATUT.CP" w:val="\u928?\u961?\u972?\u964?\u945?\u963?\u951?"/>
    <w:docVar w:name="LW_SUPERTITRE" w:val="&lt;UNUSED&gt;"/>
    <w:docVar w:name="LW_TITRE.OBJ.CP" w:val="\u947?\u953?\u945? \u964?\u951?\u957? \u964?\u961?\u959?\u960?\u959?\u960?\u959?\u943?\u951?\u963?\u951? \u964?\u951?\u962? \u945?\u960?\u972?\u966?\u945?\u963?\u951?\u962? 2013/678/E\u917? \u960?\u959?\u965? \u949?\u960?\u953?\u964?\u961?\u941?\u960?\u949?\u953? \u963?\u964?\u951?\u957? \u921?\u964?\u945?\u955?\u953?\u954?\u942? \u916?\u951?\u956?\u959?\u954?\u961?\u945?\u964?\u943?\u945? \u957?\u945? \u963?\u965?\u957?\u949?\u967?\u943?\u963?\u949?\u953? \u957?\u945? \u949?\u966?\u945?\u961?\u956?\u972?\u950?\u949?\u953? \u949?\u953?\u948?\u953?\u954?\u972? \u956?\u941?\u964?\u961?\u959? \u960?\u945?\u961?\u941?\u954?\u954?\u955?\u953?\u963?\u951?\u962? \u945?\u960?\u972? \u964?\u959? \u940?\u961?\u952?\u961?\u959? 285 \u964?\u951?\u962? \u959?\u948?\u951?\u947?\u943?\u945?\u962? 2006/112/E\u922? \u963?\u967?\u949?\u964?\u953?\u954?\u940? \u956?\u949? \u964?\u959? \u954?\u959?\u953?\u957?\u972? \u963?\u973?\u963?\u964?\u951?\u956?\u945? \u966?\u972?\u961?\u959?\u965? \u960?\u961?\u959?\u963?\u964?\u953?\u952?\u941?\u956?\u949?\u957?\u951?\u962? \u945?\u958?\u943?\u945?\u962?"/>
    <w:docVar w:name="LW_TYPE.DOC.CP" w:val="EKTE\u923?\u917?\u931?\u932?\u921?\u922?\u919? \u913?\u928?\u927?\u934?\u913?\u931?\u919? \u932?\u927?\u933? \u931?\u933?\u924?\u914?\u927?\u933?\u923?\u921?\u927?\u933?"/>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el-G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Caption">
    <w:name w:val="caption"/>
    <w:basedOn w:val="Normal"/>
    <w:next w:val="Normal"/>
    <w:semiHidden/>
    <w:unhideWhenUsed/>
    <w:qFormat/>
    <w:rPr>
      <w:b/>
      <w:bCs/>
      <w:sz w:val="20"/>
      <w:szCs w:val="20"/>
    </w:rPr>
  </w:style>
  <w:style w:type="paragraph" w:styleId="TableofFigures">
    <w:name w:val="table of figures"/>
    <w:basedOn w:val="Normal"/>
    <w:next w:val="Normal"/>
  </w:style>
  <w:style w:type="paragraph" w:styleId="ListNumber">
    <w:name w:val="List Number"/>
    <w:basedOn w:val="Normal"/>
    <w:pPr>
      <w:numPr>
        <w:numId w:val="5"/>
      </w:numPr>
      <w:contextualSpacing/>
    </w:pPr>
  </w:style>
  <w:style w:type="paragraph" w:styleId="ListNumber2">
    <w:name w:val="List Number 2"/>
    <w:basedOn w:val="Normal"/>
    <w:pPr>
      <w:numPr>
        <w:numId w:val="6"/>
      </w:numPr>
      <w:contextualSpacing/>
    </w:pPr>
  </w:style>
  <w:style w:type="paragraph" w:styleId="ListNumber3">
    <w:name w:val="List Number 3"/>
    <w:basedOn w:val="Normal"/>
    <w:pPr>
      <w:numPr>
        <w:numId w:val="7"/>
      </w:numPr>
      <w:contextualSpacing/>
    </w:pPr>
  </w:style>
  <w:style w:type="paragraph" w:styleId="ListNumber4">
    <w:name w:val="List Number 4"/>
    <w:basedOn w:val="Normal"/>
    <w:pPr>
      <w:numPr>
        <w:numId w:val="8"/>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eastAsia="el-G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l-GR"/>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l-GR"/>
    </w:rPr>
  </w:style>
  <w:style w:type="paragraph" w:styleId="Revision">
    <w:name w:val="Revision"/>
    <w:hidden/>
    <w:uiPriority w:val="99"/>
    <w:semiHidden/>
    <w:rPr>
      <w:sz w:val="24"/>
      <w:szCs w:val="24"/>
    </w:rPr>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lang w:val="en-GB"/>
    </w:rPr>
  </w:style>
  <w:style w:type="character" w:customStyle="1" w:styleId="Heading2Char">
    <w:name w:val="Heading 2 Char"/>
    <w:basedOn w:val="DefaultParagraphFont"/>
    <w:link w:val="Heading2"/>
    <w:uiPriority w:val="9"/>
    <w:semiHidden/>
    <w:rPr>
      <w:rFonts w:eastAsiaTheme="majorEastAsia"/>
      <w:b/>
      <w:bCs/>
      <w:sz w:val="24"/>
      <w:szCs w:val="26"/>
      <w:lang w:val="en-GB"/>
    </w:rPr>
  </w:style>
  <w:style w:type="character" w:customStyle="1" w:styleId="Heading3Char">
    <w:name w:val="Heading 3 Char"/>
    <w:basedOn w:val="DefaultParagraphFont"/>
    <w:link w:val="Heading3"/>
    <w:uiPriority w:val="9"/>
    <w:semiHidden/>
    <w:rPr>
      <w:rFonts w:eastAsiaTheme="majorEastAsia"/>
      <w:bCs/>
      <w:i/>
      <w:sz w:val="24"/>
      <w:lang w:val="en-GB"/>
    </w:rPr>
  </w:style>
  <w:style w:type="character" w:customStyle="1" w:styleId="Heading4Char">
    <w:name w:val="Heading 4 Char"/>
    <w:basedOn w:val="DefaultParagraphFont"/>
    <w:link w:val="Heading4"/>
    <w:uiPriority w:val="9"/>
    <w:semiHidden/>
    <w:rPr>
      <w:rFonts w:eastAsiaTheme="majorEastAsia"/>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7193">
      <w:bodyDiv w:val="1"/>
      <w:marLeft w:val="0"/>
      <w:marRight w:val="0"/>
      <w:marTop w:val="0"/>
      <w:marBottom w:val="0"/>
      <w:divBdr>
        <w:top w:val="none" w:sz="0" w:space="0" w:color="auto"/>
        <w:left w:val="none" w:sz="0" w:space="0" w:color="auto"/>
        <w:bottom w:val="none" w:sz="0" w:space="0" w:color="auto"/>
        <w:right w:val="none" w:sz="0" w:space="0" w:color="auto"/>
      </w:divBdr>
      <w:divsChild>
        <w:div w:id="1089276365">
          <w:marLeft w:val="0"/>
          <w:marRight w:val="0"/>
          <w:marTop w:val="0"/>
          <w:marBottom w:val="0"/>
          <w:divBdr>
            <w:top w:val="none" w:sz="0" w:space="0" w:color="auto"/>
            <w:left w:val="none" w:sz="0" w:space="0" w:color="auto"/>
            <w:bottom w:val="none" w:sz="0" w:space="0" w:color="auto"/>
            <w:right w:val="none" w:sz="0" w:space="0" w:color="auto"/>
          </w:divBdr>
          <w:divsChild>
            <w:div w:id="22554875">
              <w:marLeft w:val="0"/>
              <w:marRight w:val="0"/>
              <w:marTop w:val="0"/>
              <w:marBottom w:val="0"/>
              <w:divBdr>
                <w:top w:val="none" w:sz="0" w:space="0" w:color="auto"/>
                <w:left w:val="none" w:sz="0" w:space="0" w:color="auto"/>
                <w:bottom w:val="none" w:sz="0" w:space="0" w:color="auto"/>
                <w:right w:val="none" w:sz="0" w:space="0" w:color="auto"/>
              </w:divBdr>
              <w:divsChild>
                <w:div w:id="402215164">
                  <w:marLeft w:val="0"/>
                  <w:marRight w:val="0"/>
                  <w:marTop w:val="0"/>
                  <w:marBottom w:val="0"/>
                  <w:divBdr>
                    <w:top w:val="none" w:sz="0" w:space="0" w:color="auto"/>
                    <w:left w:val="none" w:sz="0" w:space="0" w:color="auto"/>
                    <w:bottom w:val="none" w:sz="0" w:space="0" w:color="auto"/>
                    <w:right w:val="none" w:sz="0" w:space="0" w:color="auto"/>
                  </w:divBdr>
                  <w:divsChild>
                    <w:div w:id="1242183611">
                      <w:marLeft w:val="1"/>
                      <w:marRight w:val="1"/>
                      <w:marTop w:val="0"/>
                      <w:marBottom w:val="0"/>
                      <w:divBdr>
                        <w:top w:val="none" w:sz="0" w:space="0" w:color="auto"/>
                        <w:left w:val="none" w:sz="0" w:space="0" w:color="auto"/>
                        <w:bottom w:val="none" w:sz="0" w:space="0" w:color="auto"/>
                        <w:right w:val="none" w:sz="0" w:space="0" w:color="auto"/>
                      </w:divBdr>
                      <w:divsChild>
                        <w:div w:id="1010257677">
                          <w:marLeft w:val="0"/>
                          <w:marRight w:val="0"/>
                          <w:marTop w:val="0"/>
                          <w:marBottom w:val="0"/>
                          <w:divBdr>
                            <w:top w:val="none" w:sz="0" w:space="0" w:color="auto"/>
                            <w:left w:val="none" w:sz="0" w:space="0" w:color="auto"/>
                            <w:bottom w:val="none" w:sz="0" w:space="0" w:color="auto"/>
                            <w:right w:val="none" w:sz="0" w:space="0" w:color="auto"/>
                          </w:divBdr>
                          <w:divsChild>
                            <w:div w:id="2048481371">
                              <w:marLeft w:val="0"/>
                              <w:marRight w:val="0"/>
                              <w:marTop w:val="0"/>
                              <w:marBottom w:val="0"/>
                              <w:divBdr>
                                <w:top w:val="none" w:sz="0" w:space="0" w:color="auto"/>
                                <w:left w:val="none" w:sz="0" w:space="0" w:color="auto"/>
                                <w:bottom w:val="none" w:sz="0" w:space="0" w:color="auto"/>
                                <w:right w:val="none" w:sz="0" w:space="0" w:color="auto"/>
                              </w:divBdr>
                              <w:divsChild>
                                <w:div w:id="791443621">
                                  <w:marLeft w:val="0"/>
                                  <w:marRight w:val="0"/>
                                  <w:marTop w:val="0"/>
                                  <w:marBottom w:val="360"/>
                                  <w:divBdr>
                                    <w:top w:val="none" w:sz="0" w:space="0" w:color="auto"/>
                                    <w:left w:val="none" w:sz="0" w:space="0" w:color="auto"/>
                                    <w:bottom w:val="none" w:sz="0" w:space="0" w:color="auto"/>
                                    <w:right w:val="none" w:sz="0" w:space="0" w:color="auto"/>
                                  </w:divBdr>
                                  <w:divsChild>
                                    <w:div w:id="797913920">
                                      <w:marLeft w:val="0"/>
                                      <w:marRight w:val="0"/>
                                      <w:marTop w:val="0"/>
                                      <w:marBottom w:val="0"/>
                                      <w:divBdr>
                                        <w:top w:val="none" w:sz="0" w:space="0" w:color="auto"/>
                                        <w:left w:val="none" w:sz="0" w:space="0" w:color="auto"/>
                                        <w:bottom w:val="none" w:sz="0" w:space="0" w:color="auto"/>
                                        <w:right w:val="none" w:sz="0" w:space="0" w:color="auto"/>
                                      </w:divBdr>
                                      <w:divsChild>
                                        <w:div w:id="3898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723909">
      <w:bodyDiv w:val="1"/>
      <w:marLeft w:val="0"/>
      <w:marRight w:val="0"/>
      <w:marTop w:val="0"/>
      <w:marBottom w:val="0"/>
      <w:divBdr>
        <w:top w:val="none" w:sz="0" w:space="0" w:color="auto"/>
        <w:left w:val="none" w:sz="0" w:space="0" w:color="auto"/>
        <w:bottom w:val="none" w:sz="0" w:space="0" w:color="auto"/>
        <w:right w:val="none" w:sz="0" w:space="0" w:color="auto"/>
      </w:divBdr>
    </w:div>
    <w:div w:id="796490138">
      <w:bodyDiv w:val="1"/>
      <w:marLeft w:val="0"/>
      <w:marRight w:val="0"/>
      <w:marTop w:val="0"/>
      <w:marBottom w:val="0"/>
      <w:divBdr>
        <w:top w:val="none" w:sz="0" w:space="0" w:color="auto"/>
        <w:left w:val="none" w:sz="0" w:space="0" w:color="auto"/>
        <w:bottom w:val="none" w:sz="0" w:space="0" w:color="auto"/>
        <w:right w:val="none" w:sz="0" w:space="0" w:color="auto"/>
      </w:divBdr>
    </w:div>
    <w:div w:id="1968702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EN/AUTO/?uri=uriserv:OJ.L_.2013.316.01.0035.01.ENG&amp;toc=OJ:L:2013:316:TOC" TargetMode="External"/><Relationship Id="rId1" Type="http://schemas.openxmlformats.org/officeDocument/2006/relationships/hyperlink" Target="http://eur-lex.europa.eu/legal-content/EL/AUTO/?uri=uriserv:OJ.L_.2013.316.01.0035.01.ENG&amp;toc=OJ:L:2013:316: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6FD10-1996-41A2-B18A-1D377F99B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1759</Words>
  <Characters>9820</Characters>
  <Application>Microsoft Office Word</Application>
  <DocSecurity>0</DocSecurity>
  <Lines>185</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11501</CharactersWithSpaces>
  <SharedDoc>false</SharedDoc>
  <HLinks>
    <vt:vector size="12" baseType="variant">
      <vt:variant>
        <vt:i4>7077910</vt:i4>
      </vt:variant>
      <vt:variant>
        <vt:i4>3</vt:i4>
      </vt:variant>
      <vt:variant>
        <vt:i4>0</vt:i4>
      </vt:variant>
      <vt:variant>
        <vt:i4>5</vt:i4>
      </vt:variant>
      <vt:variant>
        <vt:lpwstr>http://eur-lex.europa.eu/legal-content/EN/AUTO/?uri=uriserv:OJ.L_.2013.316.01.0035.01.ENG&amp;toc=OJ:L:2013:316:TOC</vt:lpwstr>
      </vt:variant>
      <vt:variant>
        <vt:lpwstr/>
      </vt:variant>
      <vt:variant>
        <vt:i4>7077910</vt:i4>
      </vt:variant>
      <vt:variant>
        <vt:i4>0</vt:i4>
      </vt:variant>
      <vt:variant>
        <vt:i4>0</vt:i4>
      </vt:variant>
      <vt:variant>
        <vt:i4>5</vt:i4>
      </vt:variant>
      <vt:variant>
        <vt:lpwstr>http://eur-lex.europa.eu/legal-content/EN/AUTO/?uri=uriserv:OJ.L_.2013.316.01.0035.01.ENG&amp;toc=OJ:L:2013:316:TOC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2016-08-10T08:35:00Z</cp:lastPrinted>
  <dcterms:created xsi:type="dcterms:W3CDTF">2016-09-28T10:23:00Z</dcterms:created>
  <dcterms:modified xsi:type="dcterms:W3CDTF">2016-09-30T08:20:00Z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20150407</vt:lpwstr>
  </property>
  <property fmtid="{D5CDD505-2E9C-101B-9397-08002B2CF9AE}" pid="6" name="Created using">
    <vt:lpwstr>LW 5.8.2, Build 20120919</vt:lpwstr>
  </property>
  <property fmtid="{D5CDD505-2E9C-101B-9397-08002B2CF9AE}" pid="7" name="LWTemplateID">
    <vt:lpwstr>SJ-020</vt:lpwstr>
  </property>
  <property fmtid="{D5CDD505-2E9C-101B-9397-08002B2CF9AE}" pid="8" name="Part">
    <vt:lpwstr>1</vt:lpwstr>
  </property>
  <property fmtid="{D5CDD505-2E9C-101B-9397-08002B2CF9AE}" pid="9" name="Total parts">
    <vt:lpwstr>1</vt:lpwstr>
  </property>
  <property fmtid="{D5CDD505-2E9C-101B-9397-08002B2CF9AE}" pid="10" name="DQCStatus">
    <vt:lpwstr>Green (DQC version 03)</vt:lpwstr>
  </property>
</Properties>
</file>