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1974578E463047A2830E600E97B1DA9E" style="width:450.6pt;height:333.9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36"/>
        </w:rPr>
        <w:lastRenderedPageBreak/>
        <w:t>Sdělení Komise k výzvě ke sdělení skutečností:</w:t>
      </w:r>
      <w:r>
        <w:rPr>
          <w:rFonts w:ascii="Times New Roman" w:hAnsi="Times New Roman" w:cs="Times New Roman"/>
          <w:b/>
          <w:noProof/>
          <w:sz w:val="36"/>
          <w:szCs w:val="36"/>
        </w:rPr>
        <w:br/>
      </w:r>
      <w:r>
        <w:rPr>
          <w:rFonts w:ascii="Times New Roman" w:hAnsi="Times New Roman"/>
          <w:b/>
          <w:noProof/>
          <w:sz w:val="36"/>
        </w:rPr>
        <w:t xml:space="preserve"> regulační rámec EU pro finanční služby</w:t>
      </w:r>
    </w:p>
    <w:p>
      <w:pPr>
        <w:pStyle w:val="Heading1"/>
        <w:spacing w:before="360" w:after="240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1. ÚVOD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Předseda Juncker ve svém projevu o stavu Unie v roce 2016 zdůraznil závazek Komise důkladně přezkoumat veškerou stávající evropskou legislativu tak, aby přinášela skutečnou hodnotu a výsledky. Právě výzva ke sdělení skutečností o regulačním rámci EU pro finanční služby je významným příkladem realizace tohoto závazku. Jde o klíčový příspěvek k programu Komise na zlepšování právní úpravy a Programu pro účelnost a účinnost právních předpisů (REFIT), který zajišťuje, aby legislativa EU přinášela výsledky pro občany i podniky účinně, efektivně a s minimálními náklady.</w:t>
      </w:r>
    </w:p>
    <w:p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Tato výzva ke sdělení skutečností je zároveň prvním příkladem realizace podobného závazku v mezinárodním měřítku. Pravidla pro finanční služby by měla pomoci vytvořit prostředí, které chrání spotřebitele, prosazuje integritu trhu a podporuje investice, růst a tvorbu pracovních míst. Finanční krize vedla k přijetí více než 40 nových právních předpisů EU na obnovu finanční stability a důvěry trhu. Patří mezi ně:</w:t>
      </w:r>
    </w:p>
    <w:p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větší ochrana spotřebitelů a větší transparentnost,</w:t>
      </w:r>
    </w:p>
    <w:p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vylepšený regulační rámec pro bankovnictví, pojišťovnictví, trhy s cennými papíry a správce aktiv, </w:t>
      </w:r>
    </w:p>
    <w:p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jednotný mechanismus dohledu nad velkými a systémovými bankami a</w:t>
      </w:r>
    </w:p>
    <w:p>
      <w:pPr>
        <w:pStyle w:val="ListParagraph"/>
        <w:numPr>
          <w:ilvl w:val="0"/>
          <w:numId w:val="49"/>
        </w:numPr>
        <w:jc w:val="both"/>
        <w:rPr>
          <w:noProof/>
        </w:rPr>
      </w:pPr>
      <w:r>
        <w:rPr>
          <w:rFonts w:ascii="Times New Roman" w:hAnsi="Times New Roman"/>
          <w:noProof/>
          <w:sz w:val="24"/>
        </w:rPr>
        <w:t xml:space="preserve">nové nástroje pro řešení krize bank a účinnější ochranu vkladů.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Celkově tyto reformy zvýšily stabilitu a odolnost finančního systému. Zároveň je však důležité sledovat další vývoj, urychlené provedení a fungování nových pravidel, abychom ověřili, zda plní zamýšlený účel, a v opačném případě zvážili vhodné změny. Jde o významnou součást demokratické odpovědnosti zajišťující, že ti, na něž se tato pravidla vztahují, včetně koncových uživatelů, v ně budou mít důvěru. Součástí této výzvy ke sdělení skutečností je i posouzení interakce mezi jednotlivými pravidly a jejich kombinovaného dopadu na hospodářství. To by mělo zajistit vyřešení nežádoucích důsledků, nesrovnalostí a mezer v současném regulačním rámci. Při ověřování, zda pravidla nadále vyhovují měnící se realitě, je potřeba vzít v potaz i vývoj ve finančním sektoru a hospodářství obecněji, včetně rychlých technologických změn.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Takový přístup podporuje Evropský parlament a Rada. V souladu s usnesením Evropského parlamentu o „hodnocení a výzvách regulace finančních služeb v EU“</w:t>
      </w:r>
      <w:r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vybídla Komise ve své výzvě ke sdělení skutečností externí zúčastněné strany, aby se podělily o své zkušenosti s prováděním finančních nařízení EU a poskytly informace, důkazy a argumenty na podporu posouzení jejich kombinovaného dopadu.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Většina respondentů vyjádřila finančním reformám realizovaným v reakci na krizi podporu. Měli za to, že tato pravidla posílila odolnost finančního systému a zlepšila ochranu investorů i spotřebitelů. Zúčastněné strany však zároveň uvedly příklady možného nesouladu, překrývání a dalších druhů nežádoucího vzájemného působení mezi různými pravidly. Tyto příklady ukazují, jak důležité je kombinovaný dopad pravidel zohlednit a analyzovat. Někteří respondenti zároveň vyjádřili obavy z pravidel plynoucích z provádění mezinárodních dohod, například z dopadu připravovaných opatření, o nichž uvažuje Basilejský výbor pro bankovní dohled, a z toho, jak se aspekty těchto pravidel vzájemně ovlivňují s pravidly stávajícími. Nejrelevantnější reakce týkající se globálních standardů předala Komise příslušným mezinárodním orgánům.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V jiných oblastech, v nichž zúčastněné strany vyjádřily obavy, předložené důkazy nebyly v současnosti důvodem pro změnu. Nicméně Komise bude vývoj nadále sledovat a uvítá další informace zúčastněných stran k otázkám, které by se měly dále analyzovat. 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Na základě důkladného přezkumu a analýzy všech odpovědí na výzvu ke sdělení skutečností a diskusí během veřejného slyšení, které se uskutečnilo v květnu 2016 v Bruselu, dospěla Komise k závěru, že celkově funguje rámec pro finanční služby v EU dobře. Jsou však zapotřebí cílená návazná opatření v následujících oblastech: 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snížení zbytečných regulačních omezení v oblasti financování ekonomiky,</w:t>
      </w:r>
    </w:p>
    <w:p>
      <w:pPr>
        <w:pStyle w:val="ListParagraph"/>
        <w:numPr>
          <w:ilvl w:val="0"/>
          <w:numId w:val="50"/>
        </w:numPr>
        <w:spacing w:before="240" w:after="24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zvýšení proporcionality pravidel, aniž by byly ohroženy cíle obezřetnostního dohledu,</w:t>
      </w:r>
    </w:p>
    <w:p>
      <w:pPr>
        <w:pStyle w:val="ListParagraph"/>
        <w:numPr>
          <w:ilvl w:val="0"/>
          <w:numId w:val="50"/>
        </w:numPr>
        <w:spacing w:before="240" w:after="24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snížení nepatřičné regulační zátěže,</w:t>
      </w:r>
    </w:p>
    <w:p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zajištění větší konzistentnosti a orientace pravidel na budoucnost.</w:t>
      </w:r>
    </w:p>
    <w:p>
      <w:pPr>
        <w:pStyle w:val="ListParagraph"/>
        <w:jc w:val="both"/>
        <w:rPr>
          <w:rFonts w:ascii="Times New Roman" w:hAnsi="Times New Roman"/>
          <w:noProof/>
          <w:sz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Tam, kde je to vhodné a možné, byly výsledky výzvy ke sdělení skutečností začleněny do stávajících přezkumů a legislativních podnětů. Reakce zúčastněných stran byly zapracovány do nadcházejících legislativních návrhů a opatření, včetně přezkumu nařízení a směrnice o kapitálových požadavcích (CRR/CRD IV)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rFonts w:ascii="Times New Roman" w:hAnsi="Times New Roman"/>
          <w:noProof/>
          <w:sz w:val="24"/>
        </w:rPr>
        <w:t>, jejichž výsledkem byl tzv. „balíček CRR2“</w:t>
      </w:r>
      <w:r>
        <w:rPr>
          <w:rStyle w:val="FootnoteReference"/>
          <w:rFonts w:ascii="Times New Roman" w:hAnsi="Times New Roman"/>
          <w:noProof/>
          <w:sz w:val="24"/>
        </w:rPr>
        <w:footnoteReference w:id="5"/>
      </w:r>
      <w:r>
        <w:rPr>
          <w:rFonts w:ascii="Times New Roman" w:hAnsi="Times New Roman"/>
          <w:noProof/>
          <w:sz w:val="24"/>
        </w:rPr>
        <w:t xml:space="preserve"> navržený Komisí dne 23. listopadu 2016, vypracování budoucích opatření obsažených v akčním plánu pro unii kapitálových trhů a nadcházející revize nařízení o infrastruktuře evropských trhů (EMIR)</w:t>
      </w:r>
      <w:r>
        <w:rPr>
          <w:rFonts w:ascii="Times New Roman" w:hAnsi="Times New Roman"/>
          <w:noProof/>
          <w:sz w:val="24"/>
          <w:vertAlign w:val="superscript"/>
        </w:rPr>
        <w:footnoteReference w:id="6"/>
      </w:r>
      <w:r>
        <w:rPr>
          <w:rFonts w:ascii="Times New Roman" w:hAnsi="Times New Roman"/>
          <w:noProof/>
          <w:sz w:val="24"/>
        </w:rPr>
        <w:t xml:space="preserve"> v rámci programu REFIT. Poskytnuté reakce se zároveň zohlední v připravovaných kontrolách účelnosti a hodnoceních, k nimž dojde, jakmile budou k dispozici další údaje o výsledcích a dlouhodobějších dopadech opatření. Výzva ke sdělení skutečností rovněž identifikovala řadu dalších problémů, které by mohly vyžadovat nová opatření politiky. Jsou uvedeny v tomto sdělení. </w:t>
      </w:r>
    </w:p>
    <w:p>
      <w:pPr>
        <w:pStyle w:val="Heading1"/>
        <w:spacing w:after="24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2. NÁVAZNÁ OPATŘENÍ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Při stanovování níže uvedených návazných opatření Komise řádně zohlednila odpovědi širokého spektra zúčastněných stran, včetně skupin uživatelů finančních služeb, orgánů veřejné správy, investorů i příslušného odvětví. Podrobnější popis získaných informací naleznete v doprovodném pracovním dokumentu.</w:t>
      </w:r>
    </w:p>
    <w:p>
      <w:pPr>
        <w:pStyle w:val="Heading2"/>
        <w:rPr>
          <w:noProof/>
        </w:rPr>
      </w:pPr>
      <w:r>
        <w:rPr>
          <w:noProof/>
        </w:rPr>
        <w:t>2.1</w:t>
      </w:r>
      <w:r>
        <w:rPr>
          <w:noProof/>
        </w:rPr>
        <w:tab/>
        <w:t>Snížení zbytečných regulačních omezení v oblasti financování ekonomiky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V souladu s prioritou Komise stimulovat investice, růst a tvorbu pracovních míst musí EU věnovat pozornost oblastem, v nichž pravidla EU mohou bránit finančním tokům do ekonomiky, a zkoumat, zdali by stejných cílů obezřetnostního dohledu nebylo možné dosáhnout způsobem, který bude příznivější pro růst. Jak již bylo zdůrazněno v akčním plánu pro unii kapitálových trhů, konkrétní výzvy politiky představují toky finančních prostředků k malým a středním podnikům a dlouhodobé investice. V této souvislosti se reakce zúčastněných stran týkaly těchto oblastí:</w:t>
      </w:r>
    </w:p>
    <w:p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Schopnost bank financovat širší ekonomiku</w:t>
      </w:r>
    </w:p>
    <w:p>
      <w:p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Podniky i domácnosti v EU zůstávají závislé na kapacitě a ochotě bank financovat jejich investice a aktivity. Komise spolupracuje se společnými normotvůrci na rozvoji unie kapitálových trhů za účelem rozšiřování zdrojů financování, je však důležité, aby řádně fungovalo i financování bankovní.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Většina respondentů se shodla na tom, že reformy přijaté po krizi hrály rozhodující roli při obnově odolnosti bankovního sektoru. Tato odolnost je předpokladem k tomu, aby banky mohly plnit svou roli při financování ekonomiky. Respondenti však zároveň vyjádřili obavy z dopadu připravovaných obezřetnostních opatření, která dokončuje Basilejský výbor pro bankovní dohled, a z případného vzájemného působení těchto opatření se stávajícími pravidly, které by mohlo omezit schopnost financování ze strany bank. Od finanční krize banky navýšily kapitál o více než 800 miliard EUR a pravidelně absolvují zátěžové testy. Nyní se Komise zaměřuje na provedení zbývajících reforem Basilejského výboru pro bankovní dohled pro řešení zbývajících rizik tak, aby byla zajištěna finanční stabilita a aby si banky udržely kapacitu podporovat hospodářský růst EU. </w:t>
      </w:r>
    </w:p>
    <w:p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Financování malých a středních podniků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Malé a střední podniky mají největší podíl na tvorbě pracovních míst a růstu v Evropě. Program opatření Komise na zlepšení možností financování na kapitálovém trhu pro malé a střední podniky respondenti uvítali. Zároveň však uváděli, že naprostá většina financování malých a středních podniků závisí na bankovních úvěrech a že je třeba více pracovat na podpoře tohoto způsobu financování jako doplňku k financování na kapitálových trzích. </w:t>
      </w:r>
    </w:p>
    <w:p>
      <w:pPr>
        <w:keepNext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Dlouhodobě udržitelné investice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Dlouhodobé financování umožňuje investorům získat vyšší a stabilnější výnosy díky dlouhé splatnosti těchto investic. Kvalitní infrastruktura zlepšuje hospodářskou produktivitu, umožňuje růst a pomáhá propojovat jednotný trh. Odpovědi obsahovaly upozornění na některé části právních předpisů považované za překážku dlouhodobých investic. Například uváděly, že rámec pro řízení rizik stanovený ve směrnici Solventnost II</w:t>
      </w:r>
      <w:r>
        <w:rPr>
          <w:rStyle w:val="FootnoteReference"/>
          <w:rFonts w:ascii="Times New Roman" w:hAnsi="Times New Roman"/>
          <w:noProof/>
          <w:sz w:val="24"/>
        </w:rPr>
        <w:footnoteReference w:id="7"/>
      </w:r>
      <w:r>
        <w:rPr>
          <w:rFonts w:ascii="Times New Roman" w:hAnsi="Times New Roman"/>
          <w:noProof/>
          <w:sz w:val="24"/>
        </w:rPr>
        <w:t xml:space="preserve"> omezuje schopnost pojišťoven financovat dlouhodobé investice a že kapitálový rámec pro banky neposkytuje dostatečné pobídky k dlouhodobým investicím. </w:t>
      </w:r>
    </w:p>
    <w:p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Podpora likvidity trhu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Likvidita trhu má zásadní význam pro dobře fungující finanční systém, který podporuje investice a růst efektivní alokací kapitálu. Z nedávných zjištění vyplývá, že likvidita na některých trzích, včetně trhů s podnikovými dluhopisy a repo trhů, se od krize snížila. Ze zjištění vyplývá, že likviditu ovlivňuje řada faktorů. Identifikovat vlivy regulačních změn je obtížné. Komise bude vývoj v této oblasti nadále sledovat a důkladně posuzovat, jaký dopad na likviditu trhu mohou regulační opatření mít. </w:t>
      </w:r>
    </w:p>
    <w:p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Přístup ke clearingovým službám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Významným nástrojem na podporu zajišťování a řízení rizik obchodních společností a finančních podniků jsou deriváty. Rizika na derivátovém trhu výrazně snižuje centrální clearing derivátů, jedna z nejdůležitějších reforem dohodnutých vedoucími představiteli zemí skupiny G20. Ne všechny podniky jsou však dostatečně velké na to, aby měly přímý přístup ke clearingovým střediskům ve funkci ústřední protistrany, a mnohé z nich si clearing derivátových obchodů nechávají provádět bankami. Respondenti vyjádřili obavy, že některá opatření budou bránit bankám v poskytování těchto nepostradatelných clearingových služeb koncovým uživatelům za přiměřenou cenu. </w:t>
      </w:r>
    </w:p>
    <w:p>
      <w:pPr>
        <w:pStyle w:val="Heading3"/>
        <w:spacing w:before="240"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Návazná opatření: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03"/>
        <w:gridCol w:w="7325"/>
      </w:tblGrid>
      <w:tr>
        <w:tc>
          <w:tcPr>
            <w:tcW w:w="1591" w:type="dxa"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Bankovní financování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balíčku CRR2</w:t>
            </w:r>
            <w:r>
              <w:rPr>
                <w:rFonts w:ascii="Times New Roman" w:hAnsi="Times New Roman"/>
                <w:noProof/>
                <w:sz w:val="24"/>
              </w:rPr>
              <w:t xml:space="preserve"> Komise navrhuje úpravy v hlavních oblastech tak, aby byla zajištěna kapacita bank financovat ekonomiku: </w:t>
            </w:r>
          </w:p>
          <w:p>
            <w:pPr>
              <w:pStyle w:val="ListParagraph"/>
              <w:numPr>
                <w:ilvl w:val="1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dojde k úpravě ukazatele pákového poměru</w:t>
            </w:r>
            <w:r>
              <w:rPr>
                <w:rFonts w:ascii="Times New Roman" w:hAnsi="Times New Roman"/>
                <w:noProof/>
                <w:sz w:val="24"/>
              </w:rPr>
              <w:t xml:space="preserve">, aby se zohlednila diverzita ve finančním sektoru EU a zajistil přístup ke clearingovým službám a financování veřejného rozvoje. Ukazatel pákového poměru bude i nadále sloužit jako pojistka vůči nadměrnému pákovému efektu, </w:t>
            </w:r>
          </w:p>
          <w:p>
            <w:pPr>
              <w:pStyle w:val="ListParagraph"/>
              <w:numPr>
                <w:ilvl w:val="1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zásadní přezkum obchodního portfolia se bude zavádět postupně</w:t>
            </w:r>
            <w:r>
              <w:rPr>
                <w:rFonts w:ascii="Times New Roman" w:hAnsi="Times New Roman"/>
                <w:noProof/>
                <w:sz w:val="24"/>
              </w:rPr>
              <w:t>, aby nedocházelo k náhlému a neúměrnému navyšování kapitálu u některých bank, a</w:t>
            </w:r>
          </w:p>
          <w:p>
            <w:pPr>
              <w:pStyle w:val="ListParagraph"/>
              <w:numPr>
                <w:ilvl w:val="1"/>
                <w:numId w:val="21"/>
              </w:numPr>
              <w:spacing w:after="240"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ukazatel čistého stabilního financování se bude zavádět postupně a bude se dolaďovat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 xml:space="preserve">tak, aby se zajistilo řádné fungování aktivit EU v oblasti financování obchodu, trhů derivátů a repo trhů. </w:t>
            </w:r>
          </w:p>
          <w:p>
            <w:pPr>
              <w:pStyle w:val="ListParagraph"/>
              <w:numPr>
                <w:ilvl w:val="0"/>
                <w:numId w:val="21"/>
              </w:numPr>
              <w:spacing w:before="120" w:after="240"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Vzhledem k </w:t>
            </w:r>
            <w:r>
              <w:rPr>
                <w:rFonts w:ascii="Times New Roman" w:hAnsi="Times New Roman"/>
                <w:b/>
                <w:noProof/>
                <w:sz w:val="24"/>
              </w:rPr>
              <w:t>pokroku dosaženému v oblasti bankovní unie</w:t>
            </w:r>
            <w:r>
              <w:rPr>
                <w:rFonts w:ascii="Times New Roman" w:hAnsi="Times New Roman"/>
                <w:noProof/>
                <w:sz w:val="24"/>
              </w:rPr>
              <w:t xml:space="preserve"> Komise v balíčku CRR2 navrhuje opatření, která mají potenciál podporovat integraci přeshraničního bankovnictví v bankovní unii, pod podmínkou vhodných záruk. Tím by se potenciálně mohla zlepšit schopnost přeshraničních bank spravovat kapitál a řídit likviditu v rámci skupiny, mohla by se snížit fragmentace a posílit kapacita bank financovat ekonomiku.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Na podporu úvěrových institucí s přístupem k finančním prostředkům od věřitelů ze zemí mimo EU navrhuje Komise úpravu směrnice o ozdravných postupech a řešení krize bank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8"/>
            </w:r>
            <w:r>
              <w:rPr>
                <w:rFonts w:ascii="Times New Roman" w:hAnsi="Times New Roman"/>
                <w:noProof/>
                <w:sz w:val="24"/>
              </w:rPr>
              <w:t xml:space="preserve"> tak, aby </w:t>
            </w:r>
            <w:r>
              <w:rPr>
                <w:rFonts w:ascii="Times New Roman" w:hAnsi="Times New Roman"/>
                <w:b/>
                <w:noProof/>
                <w:sz w:val="24"/>
              </w:rPr>
              <w:t>požadavek na smluvní uznání ustanovení o rekapitalizaci z vnitřních zdrojů u věřitelů ze zemí mimo EU</w:t>
            </w:r>
            <w:r>
              <w:rPr>
                <w:rFonts w:ascii="Times New Roman" w:hAnsi="Times New Roman"/>
                <w:noProof/>
                <w:sz w:val="24"/>
              </w:rPr>
              <w:t xml:space="preserve"> mohl být uplatňován pragmaticky. </w:t>
            </w:r>
          </w:p>
        </w:tc>
      </w:tr>
      <w:tr>
        <w:tc>
          <w:tcPr>
            <w:tcW w:w="1591" w:type="dxa"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Financování malých a středních podniků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21"/>
              </w:numPr>
              <w:spacing w:before="120" w:after="240"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 současné době se na bankovní úvěry pro malé a střední podniky do 1,5 milionu EUR vztahují nižší kapitálové požadavky než na úvěry pro větší podniky. V balíčku CRR2 Komise navrhuje </w:t>
            </w:r>
            <w:r>
              <w:rPr>
                <w:rFonts w:ascii="Times New Roman" w:hAnsi="Times New Roman"/>
                <w:b/>
                <w:noProof/>
                <w:sz w:val="24"/>
              </w:rPr>
              <w:t>rozšíření „podpůrného koeficientu pro malé a střední podniky“ na veškeré úvěry malým a středním podnikům</w:t>
            </w:r>
            <w:r>
              <w:rPr>
                <w:rFonts w:ascii="Times New Roman" w:hAnsi="Times New Roman"/>
                <w:noProof/>
                <w:sz w:val="24"/>
              </w:rPr>
              <w:t>, včetně úvěrů převyšujících 1,5 milionu EUR.</w:t>
            </w:r>
            <w:r>
              <w:rPr>
                <w:rStyle w:val="CommentReference"/>
                <w:noProof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 rámci obecnějšího úsilí v oblasti financování a kotace malých a středních podniků Komise posoudí uplatňování pravidel podle směrnice o trzích finančních nástrojů (MiFID II)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footnoteReference w:id="9"/>
            </w:r>
            <w:r>
              <w:rPr>
                <w:rFonts w:ascii="Times New Roman" w:hAnsi="Times New Roman"/>
                <w:noProof/>
                <w:sz w:val="24"/>
              </w:rPr>
              <w:t xml:space="preserve"> týkajících se investičního výzkumu v souvislosti s malými a středními podniky. Přestože změny mají celkově omezit střety zájmů a zlepšit fungování trhu, je třeba pečlivě sledovat dopad těchto pravidel na poskytování výzkumu v malých a středních podnicích. 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Komise bude rovněž pozorně sledovat vývoj na trhu tak, aby režim pro emitenty na trzích pro růst malých a středních podniků podle nařízení o zneužívání trhu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footnoteReference w:id="10"/>
            </w:r>
            <w:r>
              <w:rPr>
                <w:rFonts w:ascii="Times New Roman" w:hAnsi="Times New Roman"/>
                <w:noProof/>
                <w:sz w:val="24"/>
              </w:rPr>
              <w:t xml:space="preserve"> zajišťoval správnou rovnováhu mezi podporou kotace malých a středních podniků a ochranou investorů. </w:t>
            </w:r>
          </w:p>
        </w:tc>
      </w:tr>
      <w:tr>
        <w:tc>
          <w:tcPr>
            <w:tcW w:w="1591" w:type="dxa"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Dlouhodobé investice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Komise přijala </w:t>
            </w:r>
            <w:r>
              <w:rPr>
                <w:rFonts w:ascii="Times New Roman" w:hAnsi="Times New Roman"/>
                <w:b/>
                <w:noProof/>
                <w:sz w:val="24"/>
              </w:rPr>
              <w:t>nižší požadavky k riziku u pojistitelů podle směrnice Solventnost II pro způsobilé infrastrukturní projekty</w:t>
            </w:r>
            <w:r>
              <w:rPr>
                <w:rFonts w:ascii="Times New Roman" w:hAnsi="Times New Roman"/>
                <w:noProof/>
                <w:sz w:val="24"/>
              </w:rPr>
              <w:t xml:space="preserve"> a navrhne revizi kalibrace požadavků k riziku u </w:t>
            </w:r>
            <w:r>
              <w:rPr>
                <w:rFonts w:ascii="Times New Roman" w:hAnsi="Times New Roman"/>
                <w:b/>
                <w:noProof/>
                <w:sz w:val="24"/>
              </w:rPr>
              <w:t>infrastrukturních společností</w:t>
            </w:r>
            <w:r>
              <w:rPr>
                <w:rFonts w:ascii="Times New Roman" w:hAnsi="Times New Roman"/>
                <w:noProof/>
                <w:sz w:val="24"/>
              </w:rPr>
              <w:t xml:space="preserve"> tak, aby lépe odrážely nižší riziko těchto investic. V rámci balíčku CRR2 zároveň Komise 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sníží kapitálové požadavky k úvěrovému riziku u investic bank do projektů infrastruktury. 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Budoucí přezkumy směrnice Solventnost II umožní posouzení balíčku dlouhodobých záruk tak, aby se dále zkoumaly pobídky pro dlouhodobé investice ze strany pojistitelů, a posouzení přiměřenosti </w:t>
            </w:r>
            <w:r>
              <w:rPr>
                <w:rFonts w:ascii="Times New Roman" w:hAnsi="Times New Roman"/>
                <w:b/>
                <w:noProof/>
                <w:sz w:val="24"/>
              </w:rPr>
              <w:t>obezřetnostního zacházení se soukromým vlastním kapitálem a soukromým umísťováním dluhu.</w:t>
            </w:r>
          </w:p>
        </w:tc>
      </w:tr>
      <w:tr>
        <w:tc>
          <w:tcPr>
            <w:tcW w:w="1591" w:type="dxa"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Likvidita trhu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Vedle komplexního přezkumu trhů s podnikovými dluhopisy, jenž je součástí akčního plánu pro unii kapitálových trhů, </w:t>
            </w:r>
            <w:r>
              <w:rPr>
                <w:rFonts w:ascii="Times New Roman" w:hAnsi="Times New Roman"/>
                <w:b/>
                <w:noProof/>
                <w:sz w:val="24"/>
              </w:rPr>
              <w:t>Komise rovněž posoudí fungování repo trhů</w:t>
            </w:r>
            <w:r>
              <w:rPr>
                <w:rFonts w:ascii="Times New Roman" w:hAnsi="Times New Roman"/>
                <w:noProof/>
                <w:sz w:val="24"/>
              </w:rPr>
              <w:t xml:space="preserve">. 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Ke zmírnění konkrétních obav ohledně likvidity trhu s dluhopisy Komise navrhla postupné zavádění nového režimu předobchodní transparentnosti u směrnice MiFID II pro nekapitálové nástroje tak, aby se nejprve týkal pouze nejlikvidnějších nástrojů.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Komise posoudí </w:t>
            </w:r>
            <w:r>
              <w:rPr>
                <w:rFonts w:ascii="Times New Roman" w:hAnsi="Times New Roman"/>
                <w:b/>
                <w:noProof/>
                <w:sz w:val="24"/>
              </w:rPr>
              <w:t>definici vynětí „činnosti tvorby trhu“</w:t>
            </w:r>
            <w:r>
              <w:rPr>
                <w:rFonts w:ascii="Times New Roman" w:hAnsi="Times New Roman"/>
                <w:noProof/>
                <w:sz w:val="24"/>
              </w:rPr>
              <w:t xml:space="preserve"> z nařízení o prodeji na krátko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11"/>
            </w:r>
            <w:r>
              <w:rPr>
                <w:rFonts w:ascii="Times New Roman" w:hAnsi="Times New Roman"/>
                <w:noProof/>
                <w:sz w:val="24"/>
              </w:rPr>
              <w:t xml:space="preserve">. 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 </w:t>
            </w:r>
            <w:r>
              <w:rPr>
                <w:rFonts w:ascii="Times New Roman" w:hAnsi="Times New Roman"/>
                <w:b/>
                <w:noProof/>
                <w:sz w:val="24"/>
              </w:rPr>
              <w:t>aktech v přenesené pravomoci k nařízení o centrálních depozitářích cenných papírů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4"/>
              </w:rPr>
              <w:footnoteReference w:id="12"/>
            </w:r>
            <w:r>
              <w:rPr>
                <w:rFonts w:ascii="Times New Roman" w:hAnsi="Times New Roman"/>
                <w:noProof/>
                <w:sz w:val="24"/>
              </w:rPr>
              <w:t xml:space="preserve"> týkajících se peněžitých sankcí a disciplíny při vypořádání Komise navrhla zavedení přiměřenějších pravidel u méně likvidních nástrojů. </w:t>
            </w:r>
          </w:p>
        </w:tc>
      </w:tr>
      <w:tr>
        <w:tc>
          <w:tcPr>
            <w:tcW w:w="1591" w:type="dxa"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Přístup ke clearingovým službám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 rámci </w:t>
            </w:r>
            <w:r>
              <w:rPr>
                <w:rFonts w:ascii="Times New Roman" w:hAnsi="Times New Roman"/>
                <w:b/>
                <w:noProof/>
                <w:sz w:val="24"/>
              </w:rPr>
              <w:t>přezkumu nařízení EMIR</w:t>
            </w:r>
            <w:r>
              <w:rPr>
                <w:rFonts w:ascii="Times New Roman" w:hAnsi="Times New Roman"/>
                <w:noProof/>
                <w:sz w:val="24"/>
              </w:rPr>
              <w:t xml:space="preserve"> Komise posoudí obavy ohledně přístupu ke clearingovým službám a zváží, zda a jak by se požadavky na clearing a na marže měly vztahovat na obchodní společnosti a malé finanční podniky. </w:t>
            </w:r>
          </w:p>
        </w:tc>
      </w:tr>
    </w:tbl>
    <w:p>
      <w:pPr>
        <w:pStyle w:val="Heading2"/>
        <w:rPr>
          <w:noProof/>
        </w:rPr>
      </w:pPr>
      <w:r>
        <w:rPr>
          <w:noProof/>
        </w:rPr>
        <w:t>2.2</w:t>
      </w:r>
      <w:r>
        <w:rPr>
          <w:noProof/>
        </w:rPr>
        <w:tab/>
        <w:t>Zvýšení proporcionality pravidel, aniž by byly ohroženy cíle obezřetnostního dohledu</w:t>
      </w:r>
    </w:p>
    <w:p>
      <w:pPr>
        <w:spacing w:before="120" w:after="240"/>
        <w:jc w:val="both"/>
        <w:rPr>
          <w:rFonts w:ascii="Times New Roman" w:hAnsi="Times New Roman"/>
          <w:b/>
          <w:noProof/>
          <w:color w:val="4F81BD" w:themeColor="accent1"/>
          <w:sz w:val="24"/>
        </w:rPr>
      </w:pPr>
      <w:r>
        <w:rPr>
          <w:rFonts w:ascii="Times New Roman" w:hAnsi="Times New Roman"/>
          <w:noProof/>
          <w:sz w:val="24"/>
        </w:rPr>
        <w:t xml:space="preserve">Regulace se na regulované subjekty musí uplatňovat přiměřeným způsobem, při zohlednění jejich modelu podnikání, velikosti, systémového významu, stejně jako jejich složitosti a přeshraniční činnosti. Přiměřenější pravidla pomohou podporovat hospodářskou soutěž a posilovat odolnost finančního systému zajišťováním jeho rozmanitosti, aniž by byly ohroženy cíle obezřetnostního dohledu, finanční stabilita a celková odolnost. Nižší překážky vstupu umožní novým účastníkům, aby nahradili služby, které v důsledku odchodu méně odolných podniků z trhu již nejsou poskytovány. Zároveň je třeba dbát na to, aby opatření zaměřená na zvýšení proporcionality nenarušovala rovné podmínky. Komise bude zkoumat způsoby, jak přiměřeně posílit proporcionalitu pravidel v oblasti finančních služeb. </w:t>
      </w:r>
    </w:p>
    <w:p>
      <w:pPr>
        <w:pStyle w:val="Heading3"/>
        <w:spacing w:after="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Návazná opatření: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337"/>
      </w:tblGrid>
      <w:tr>
        <w:tc>
          <w:tcPr>
            <w:tcW w:w="1843" w:type="dxa"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Bankovnictví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 rámci balíčku CRR2 Komise navrhuje:</w:t>
            </w:r>
          </w:p>
          <w:p>
            <w:pPr>
              <w:pStyle w:val="ListParagraph"/>
              <w:numPr>
                <w:ilvl w:val="1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další zmírnění zatížení spojeného s podáváním zpráv a umožnění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diferencovaných požadavků na zveřejňování pro malé a jednoduché úvěrové instituce,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>
            <w:pPr>
              <w:pStyle w:val="ListParagraph"/>
              <w:numPr>
                <w:ilvl w:val="1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vynětí malých a jednoduchých institucí a pracovníků s nízkou úrovní pohyblivé složky odměny z pravidel pro odklad a vyplácení v podobě nástrojů, a to s ohledem na zkušenosti s uplatňováním současných předpisů, </w:t>
            </w:r>
          </w:p>
          <w:p>
            <w:pPr>
              <w:pStyle w:val="ListParagraph"/>
              <w:numPr>
                <w:ilvl w:val="1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odstranění zbytečné složitosti v oblasti zacházení s tržním rizikem obchodního portfolia a úvěrovým rizikem protistrany</w:t>
            </w:r>
            <w:r>
              <w:rPr>
                <w:rFonts w:ascii="Times New Roman" w:hAnsi="Times New Roman"/>
                <w:noProof/>
                <w:sz w:val="24"/>
              </w:rPr>
              <w:t xml:space="preserve">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="271" w:lineRule="auto"/>
              <w:ind w:left="357" w:hanging="3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Evropský orgán pro bankovnictví (EBA) hodlá vypracovat nástroj IT, který by měl malým bankám pomoci rozlišit pravidla vztahující se na jejich velikost a činnost od pravidel, která by měla platit pouze pro větší a složitější banky.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="271" w:lineRule="auto"/>
              <w:ind w:left="357" w:hanging="3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 roce 2017 provede Komise </w:t>
            </w:r>
            <w:r>
              <w:rPr>
                <w:rFonts w:ascii="Times New Roman" w:hAnsi="Times New Roman"/>
                <w:b/>
                <w:noProof/>
                <w:sz w:val="24"/>
              </w:rPr>
              <w:t>v rámci programu REFIT revizi</w:t>
            </w:r>
            <w:r>
              <w:rPr>
                <w:rFonts w:ascii="Times New Roman" w:hAnsi="Times New Roman"/>
                <w:noProof/>
                <w:sz w:val="24"/>
              </w:rPr>
              <w:t xml:space="preserve"> obezřetnostního přístupu k </w:t>
            </w:r>
            <w:r>
              <w:rPr>
                <w:rFonts w:ascii="Times New Roman" w:hAnsi="Times New Roman"/>
                <w:b/>
                <w:noProof/>
                <w:sz w:val="24"/>
              </w:rPr>
              <w:t>investičním podnikům</w:t>
            </w:r>
            <w:r>
              <w:rPr>
                <w:rFonts w:ascii="Times New Roman" w:hAnsi="Times New Roman"/>
                <w:noProof/>
                <w:sz w:val="24"/>
              </w:rPr>
              <w:t>, přičemž zohlední doporučení orgánu EBA k vypracování obezřetnostního režimu pro menší investiční podniky, které nepředstavují systémovou hrozbu. V listopadu 2016 zahájil orgán EBA konzultaci v reakci na výzvu Komise k poskytnutí technické poradenství týkajícího se návrhu nového obezřetnostního režimu pro investiční podniky.</w:t>
            </w:r>
          </w:p>
        </w:tc>
      </w:tr>
      <w:tr>
        <w:tc>
          <w:tcPr>
            <w:tcW w:w="1843" w:type="dxa"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Deriváty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35"/>
              </w:numPr>
              <w:spacing w:line="274" w:lineRule="auto"/>
              <w:ind w:left="357" w:hanging="3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 rámci </w:t>
            </w:r>
            <w:r>
              <w:rPr>
                <w:rFonts w:ascii="Times New Roman" w:hAnsi="Times New Roman"/>
                <w:b/>
                <w:noProof/>
                <w:sz w:val="24"/>
              </w:rPr>
              <w:t>přezkumu nařízení EMIR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footnoteReference w:id="13"/>
            </w:r>
            <w:r>
              <w:rPr>
                <w:rFonts w:ascii="Times New Roman" w:hAnsi="Times New Roman"/>
                <w:noProof/>
                <w:sz w:val="24"/>
              </w:rPr>
              <w:t xml:space="preserve"> Komise zváží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úpravu rozsahu požadavků na clearing a na marže podle tohoto nařízení</w:t>
            </w:r>
            <w:r>
              <w:rPr>
                <w:rFonts w:ascii="Times New Roman" w:hAnsi="Times New Roman"/>
                <w:noProof/>
                <w:sz w:val="24"/>
              </w:rPr>
              <w:t xml:space="preserve">, a bude tak řešit nejrůznější výzvy, s nimiž se potýkají nefinanční společnosti, penzijní fondy a drobné finanční protistrany.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="274" w:lineRule="auto"/>
              <w:ind w:left="357" w:hanging="3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Penzijní fondy v současnosti využívají přechodné výjimky z povinnosti clearingu podle nařízení EMIR, přičemž v přezkumu nařízení EMIR bude posouzeno, jak tuto otázku co nejlépe vyřešit. </w:t>
            </w:r>
          </w:p>
        </w:tc>
      </w:tr>
      <w:tr>
        <w:tc>
          <w:tcPr>
            <w:tcW w:w="1843" w:type="dxa"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Pojištění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35"/>
              </w:numPr>
              <w:spacing w:line="274" w:lineRule="auto"/>
              <w:ind w:left="357" w:hanging="3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 červenci 2016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>Komise vydala žádost o technické poradenství adresovanou Evropskému orgánu pro pojišťovnictví a zaměstnanecké penzijní pojištění (EIOPA) k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přezkumu 17 konkrétních bodů v nařízení v přenesené pravomoci Solventnost II.</w:t>
            </w:r>
            <w:r>
              <w:rPr>
                <w:rFonts w:ascii="Times New Roman" w:hAnsi="Times New Roman"/>
                <w:noProof/>
                <w:sz w:val="24"/>
              </w:rPr>
              <w:t xml:space="preserve"> Cílem je zjednodušit metody, předpoklady a výpočty některých modulů ve standardním vzorci a vypracovat rámec pro využití alternativních ratingů. Toto technické poradenství bude využito v </w:t>
            </w:r>
            <w:r>
              <w:rPr>
                <w:rFonts w:ascii="Times New Roman" w:hAnsi="Times New Roman"/>
                <w:b/>
                <w:noProof/>
                <w:sz w:val="24"/>
              </w:rPr>
              <w:t>budoucím přezkumu</w:t>
            </w:r>
            <w:r>
              <w:rPr>
                <w:rFonts w:ascii="Times New Roman" w:hAnsi="Times New Roman"/>
                <w:noProof/>
                <w:sz w:val="24"/>
              </w:rPr>
              <w:t xml:space="preserve"> směrnice Solventnost II. </w:t>
            </w:r>
          </w:p>
        </w:tc>
      </w:tr>
      <w:tr>
        <w:tc>
          <w:tcPr>
            <w:tcW w:w="1843" w:type="dxa"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Správa aktiv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35"/>
              </w:numPr>
              <w:spacing w:line="274" w:lineRule="auto"/>
              <w:ind w:left="357" w:hanging="3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Na základě přístupu uvedeného v balíčku CRR2 Komise posoudí proporcionalitu pravidel obsažených ve směrnici o správcích alternativních investičních fondů (AIFMD</w:t>
            </w:r>
            <w:r>
              <w:rPr>
                <w:rFonts w:ascii="Times New Roman" w:hAnsi="Times New Roman"/>
                <w:b/>
                <w:noProof/>
                <w:sz w:val="24"/>
              </w:rPr>
              <w:t>)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14"/>
            </w:r>
            <w:r>
              <w:rPr>
                <w:rFonts w:ascii="Times New Roman" w:hAnsi="Times New Roman"/>
                <w:noProof/>
                <w:sz w:val="24"/>
              </w:rPr>
              <w:t xml:space="preserve"> a směrnici o subjektech kolektivního investování do převoditelných cenných papírů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>(SKIPCP)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15"/>
            </w:r>
            <w:r>
              <w:rPr>
                <w:rFonts w:ascii="Times New Roman" w:hAnsi="Times New Roman"/>
                <w:noProof/>
                <w:sz w:val="24"/>
              </w:rPr>
              <w:t xml:space="preserve">, například pokud jde o sjednocení režimů odměňování a omezení zátěže spojené s podáváním zpráv. </w:t>
            </w:r>
          </w:p>
        </w:tc>
      </w:tr>
      <w:tr>
        <w:tc>
          <w:tcPr>
            <w:tcW w:w="1843" w:type="dxa"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Odvětví úvěrových hodnocení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35"/>
              </w:numPr>
              <w:spacing w:line="274" w:lineRule="auto"/>
              <w:ind w:left="357" w:hanging="3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Komise posoudí, do jaké míry by se dalo nařízení o ratingových agenturách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16"/>
            </w:r>
            <w:r>
              <w:rPr>
                <w:rFonts w:ascii="Times New Roman" w:hAnsi="Times New Roman"/>
                <w:noProof/>
                <w:sz w:val="24"/>
              </w:rPr>
              <w:t xml:space="preserve"> s větší přiměřeností uplatňovat na malé ratingové agentury tak, aby se posílila hospodářská soutěž v tomto odvětví. Součástí bude objasnění některých stávajících výjimek pro menší podniky a zkoumání zjednodušených požadavků na podávání zpráv a dalších opatření v oblasti přiměřenosti. </w:t>
            </w:r>
          </w:p>
        </w:tc>
      </w:tr>
    </w:tbl>
    <w:p>
      <w:pPr>
        <w:pStyle w:val="Heading2"/>
        <w:rPr>
          <w:noProof/>
        </w:rPr>
      </w:pPr>
      <w:r>
        <w:rPr>
          <w:noProof/>
        </w:rPr>
        <w:t>2.3</w:t>
      </w:r>
      <w:r>
        <w:rPr>
          <w:noProof/>
        </w:rPr>
        <w:tab/>
      </w:r>
      <w:r>
        <w:rPr>
          <w:noProof/>
        </w:rPr>
        <w:tab/>
        <w:t>Snížení nepatřičné regulační zátěže</w:t>
      </w:r>
    </w:p>
    <w:p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Udržení regulační zátěže pouze na minimální úrovni nezbytné k naplnění cílů pravidel při plném využití moderních technologických řešení je jedním z hlavních cílů programu Komise REFIT v rámci programu zlepšování právní úpravy. Komise je pevně odhodlána pokračovat v procesu hodnocení a revidování právních předpisů, aby zabránila zbytečné složitosti nebo zátěži.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Požadavky na podávání zpráv poskytují příslušným orgánům a orgánům dohledu údaje o subjektech na trhu a jejich aktivitách. Přístup k těmto údajům hraje zásadní roli při provádění dohledu nad trhem a zajišťování řádného fungování trhů, finanční stability, ochrany investorů a spravedlivé hospodářské soutěže. Zároveň napomáhá podpoře užší integrace kapitálových trhů. Respondenti na druhou stranu vnímali některé požadavky na podávání zpráv v různých právních předpisech jako nejednotné a duplicitní, přehnaně složité a ne vždy odpovídající danému účelu. V odpovědích se zdůrazňovala významná role technologií: aktualizování systémů podle nejnovějších požadavků sice bývá náročnější, avšak technologický rozvoj může podnikům pomoci, neboť usnadní podávání zpráv.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Ve většině právních předpisů, včetně nařízení o kapitálových požadavcích (CRR) a směrnice Solventnost II, jsou již zapracovány méně náročné požadavky na podávání zpráv pro menší podniky, nicméně provádění se v jednotlivých jurisdikcích liší. </w:t>
      </w:r>
    </w:p>
    <w:p>
      <w:pPr>
        <w:spacing w:after="120"/>
        <w:jc w:val="both"/>
        <w:rPr>
          <w:rFonts w:ascii="Times New Roman" w:hAnsi="Times New Roman"/>
          <w:b/>
          <w:noProof/>
          <w:color w:val="4F81BD" w:themeColor="accent1"/>
          <w:sz w:val="24"/>
        </w:rPr>
      </w:pPr>
      <w:r>
        <w:rPr>
          <w:rFonts w:ascii="Times New Roman" w:hAnsi="Times New Roman"/>
          <w:noProof/>
          <w:sz w:val="24"/>
        </w:rPr>
        <w:t xml:space="preserve">Existují příklady odlišného provedení směrnic EU do vnitrostátních právních předpisů a nejednotného prosazování pravidel EU. Přidávání dalších požadavků (tzv. „gold-plating“) k těm, které jsou ve směrnicích EU stanoveny jako minimální, do vnitrostátních právních předpisů či dohledu v některých případech vedlo k dodatečným a/nebo překrývajícím se požadavkům, čímž mohou vzniknout překážky bránící přeshraniční činnosti finančních podniků. </w:t>
      </w:r>
    </w:p>
    <w:p>
      <w:pPr>
        <w:pStyle w:val="Heading3"/>
        <w:spacing w:before="240"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Návazná opatření: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337"/>
      </w:tblGrid>
      <w:tr>
        <w:tc>
          <w:tcPr>
            <w:tcW w:w="1843" w:type="dxa"/>
          </w:tcPr>
          <w:p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Podávání zpráv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Balíček CRR2</w:t>
            </w:r>
            <w:r>
              <w:rPr>
                <w:rFonts w:ascii="Times New Roman" w:hAnsi="Times New Roman"/>
                <w:noProof/>
                <w:sz w:val="24"/>
              </w:rPr>
              <w:t xml:space="preserve"> navrhuje </w:t>
            </w:r>
            <w:r>
              <w:rPr>
                <w:rFonts w:ascii="Times New Roman" w:hAnsi="Times New Roman"/>
                <w:b/>
                <w:noProof/>
                <w:sz w:val="24"/>
              </w:rPr>
              <w:t>snížení četnosti, s níž musí menší a jednoduché banky podávat zprávy</w:t>
            </w:r>
            <w:r>
              <w:rPr>
                <w:rFonts w:ascii="Times New Roman" w:hAnsi="Times New Roman"/>
                <w:noProof/>
                <w:sz w:val="24"/>
              </w:rPr>
              <w:t xml:space="preserve">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Orgán </w:t>
            </w:r>
            <w:r>
              <w:rPr>
                <w:rFonts w:ascii="Times New Roman" w:hAnsi="Times New Roman"/>
                <w:b/>
                <w:noProof/>
                <w:sz w:val="24"/>
              </w:rPr>
              <w:t>EBA</w:t>
            </w:r>
            <w:r>
              <w:rPr>
                <w:rFonts w:ascii="Times New Roman" w:hAnsi="Times New Roman"/>
                <w:noProof/>
                <w:sz w:val="24"/>
              </w:rPr>
              <w:t xml:space="preserve"> provede do konce tohoto roku konzultace týkající se souboru konkrétních návrhů pro další snižování zátěže vyplývající z požadavků na podávání zpráv v bankovnictví, a to prostřednictvím sladění požadavků dohledu, statistických a makroobezřetnostních požadavků na podávání zpráv a také posílením jednotnosti definic používaných v různých právních předpisech.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 rámci 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přezkumu nařízení EMIR </w:t>
            </w:r>
            <w:r>
              <w:rPr>
                <w:rFonts w:ascii="Times New Roman" w:hAnsi="Times New Roman"/>
                <w:noProof/>
                <w:sz w:val="24"/>
              </w:rPr>
              <w:t xml:space="preserve">se v roce 2017 prozkoumají možnosti vhodného snížení stávajících požadavků na podávání zpráv nefinančními společnostmi, malými finančními společnostmi a penzijními fondy, neboť tyto subjekty vykazují nižší systémové riziko.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" w:hAnsi="Times"/>
                <w:noProof/>
                <w:sz w:val="24"/>
                <w:szCs w:val="24"/>
              </w:rPr>
            </w:pPr>
            <w:r>
              <w:rPr>
                <w:rFonts w:ascii="Times" w:hAnsi="Times"/>
                <w:noProof/>
                <w:sz w:val="24"/>
              </w:rPr>
              <w:t>S cílem řešit obavy týkající se nákladů na dodržování předpisů ve střednědobém až dlouhodobém horizontu provede Komise v rámci programu REFIT komplexní přezkum požadavků na podávání zpráv ve finančním sektoru. V této souvislosti Komise s podporou programu ISA</w:t>
            </w:r>
            <w:r>
              <w:rPr>
                <w:rFonts w:ascii="Times" w:hAnsi="Times"/>
                <w:noProof/>
                <w:sz w:val="24"/>
                <w:vertAlign w:val="superscript"/>
              </w:rPr>
              <w:t>2</w:t>
            </w:r>
            <w:r>
              <w:rPr>
                <w:rStyle w:val="FootnoteReference"/>
                <w:rFonts w:ascii="Times" w:hAnsi="Times"/>
                <w:noProof/>
                <w:sz w:val="24"/>
              </w:rPr>
              <w:footnoteReference w:id="17"/>
            </w:r>
            <w:r>
              <w:rPr>
                <w:rFonts w:ascii="Times" w:hAnsi="Times"/>
                <w:noProof/>
                <w:sz w:val="24"/>
              </w:rPr>
              <w:t xml:space="preserve"> zahájila projekt </w:t>
            </w:r>
            <w:r>
              <w:rPr>
                <w:rFonts w:ascii="Times" w:hAnsi="Times"/>
                <w:b/>
                <w:noProof/>
                <w:sz w:val="24"/>
              </w:rPr>
              <w:t>standardizace finančních údajů</w:t>
            </w:r>
            <w:r>
              <w:rPr>
                <w:rFonts w:ascii="Times" w:hAnsi="Times"/>
                <w:noProof/>
                <w:sz w:val="24"/>
              </w:rPr>
              <w:t xml:space="preserve">, jehož cílem je vytvořit společný jazyk v oblasti finančních údajů. Projekt bude řešit zátěž spojenou s dodržováním předpisů u zdroje a připraví podmínky pro přístup k podávání zpráv „jednou pro všechny“. Projekt podrobně zmapuje požadavky na podávání zpráv ve 20 hlavních právních předpisech z oblasti financí, aby zjistil, zda je možné datová pole a způsoby podávání zpráv omezit, konsolidovat nebo zjednodušit, aniž by byly ohroženy jejich cíle.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Předpokládá se, že orgán EIOPA bude do konce roku 2016 informovat o provádění </w:t>
            </w:r>
            <w:r>
              <w:rPr>
                <w:rFonts w:ascii="Times New Roman" w:hAnsi="Times New Roman"/>
                <w:b/>
                <w:noProof/>
                <w:sz w:val="24"/>
              </w:rPr>
              <w:t>přiměřených požadavků na podávání zpráv malými pojistiteli</w:t>
            </w:r>
            <w:r>
              <w:rPr>
                <w:rFonts w:ascii="Times New Roman" w:hAnsi="Times New Roman"/>
                <w:noProof/>
                <w:sz w:val="24"/>
              </w:rPr>
              <w:t xml:space="preserve"> podle směrnice Solventnost II.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Komise posoudí možnost zavedení jednotné platformy podávání zpráv pro krátký prodej, aby posílila informace poskytované regulačním orgánům, a prozkoumá způsoby, jak snížit zátěž při oznamování čistých krátkých pozic. </w:t>
            </w:r>
          </w:p>
        </w:tc>
      </w:tr>
      <w:tr>
        <w:tc>
          <w:tcPr>
            <w:tcW w:w="1843" w:type="dxa"/>
          </w:tcPr>
          <w:p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Požadavky na zveřejňování informací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Komise v současné době posuzuje vnitrostátní prováděcí opatření u </w:t>
            </w:r>
            <w:r>
              <w:rPr>
                <w:rFonts w:ascii="Times New Roman" w:hAnsi="Times New Roman"/>
                <w:b/>
                <w:noProof/>
                <w:sz w:val="24"/>
              </w:rPr>
              <w:t>směrnice o průhlednosti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4"/>
              </w:rPr>
              <w:footnoteReference w:id="18"/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a směrnice o účetnictví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4"/>
              </w:rPr>
              <w:footnoteReference w:id="19"/>
            </w:r>
            <w:r>
              <w:rPr>
                <w:rFonts w:ascii="Times New Roman" w:hAnsi="Times New Roman"/>
                <w:noProof/>
                <w:sz w:val="24"/>
              </w:rPr>
              <w:t>. Součástí je i posouzení obav, že existují rozdílná pravidla pro oznamování významných účastí na hlasovacích právech.</w:t>
            </w:r>
          </w:p>
        </w:tc>
      </w:tr>
      <w:tr>
        <w:tc>
          <w:tcPr>
            <w:tcW w:w="1843" w:type="dxa"/>
          </w:tcPr>
          <w:p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Náklady na dodržování předpisů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Komise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přezkoumá vnitrostátní možnosti obsažené v nařízení o auditu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4"/>
              </w:rPr>
              <w:footnoteReference w:id="20"/>
            </w:r>
            <w:r>
              <w:rPr>
                <w:rFonts w:ascii="Times New Roman" w:hAnsi="Times New Roman"/>
                <w:noProof/>
                <w:sz w:val="24"/>
              </w:rPr>
              <w:t xml:space="preserve"> se zvláštním zřetelem na přeshraniční dopad povinného střídání a černé listiny zakázaných neauditorských služeb. V rámci iniciativy REFIT bude Komise rovněž konzultovat dopad rozdílných vnitrostátních možností. 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Komise provádí </w:t>
            </w:r>
            <w:r>
              <w:rPr>
                <w:rFonts w:ascii="Times New Roman" w:hAnsi="Times New Roman"/>
                <w:b/>
                <w:noProof/>
                <w:sz w:val="24"/>
              </w:rPr>
              <w:t>mapování vnitrostátních prováděcích opatření</w:t>
            </w:r>
            <w:r>
              <w:rPr>
                <w:rFonts w:ascii="Times New Roman" w:hAnsi="Times New Roman"/>
                <w:noProof/>
                <w:sz w:val="24"/>
              </w:rPr>
              <w:t xml:space="preserve"> s cílem určit ustanovení, u nichž došlo ke „gold-platingu“, což vytváří zbytečné dodatečné náklady na dodržování předpisů. Komise v současné době posuzuje provedení 17 směrnic do vnitrostátního práva. Dále bude sledovat vývoj u těch, které mají být provedeny v letech 2017/2018.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Prostřednictvím </w:t>
            </w:r>
            <w:r>
              <w:rPr>
                <w:rFonts w:ascii="Times New Roman" w:hAnsi="Times New Roman"/>
                <w:b/>
                <w:noProof/>
                <w:sz w:val="24"/>
              </w:rPr>
              <w:t>expertní skupiny členských států pro odstraňování překážek volného pohybu kapitálu</w:t>
            </w:r>
            <w:r>
              <w:rPr>
                <w:rFonts w:ascii="Times New Roman" w:hAnsi="Times New Roman"/>
                <w:noProof/>
                <w:sz w:val="24"/>
              </w:rPr>
              <w:t xml:space="preserve"> v rámci akčního plánu pro unii kapitálových trhů Komise zároveň přezkoumává vnitrostátní ustanovení, která vytvářejí neodůvodněnou či neúměrnou zátěž na přeshraniční pohyb kapitálu. Cílem je vypracovat společný plán s členskými státy ohledně možných opatření k odstranění těchto vnitrostátních překážek.</w:t>
            </w:r>
          </w:p>
        </w:tc>
      </w:tr>
      <w:tr>
        <w:tc>
          <w:tcPr>
            <w:tcW w:w="1843" w:type="dxa"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Omezování překážek vstupu a integrace trhu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Pokud jde o </w:t>
            </w:r>
            <w:r>
              <w:rPr>
                <w:rFonts w:ascii="Times New Roman" w:hAnsi="Times New Roman"/>
                <w:i/>
                <w:noProof/>
                <w:sz w:val="24"/>
              </w:rPr>
              <w:t>překážky vstupu</w:t>
            </w:r>
            <w:r>
              <w:rPr>
                <w:rFonts w:ascii="Times New Roman" w:hAnsi="Times New Roman"/>
                <w:noProof/>
                <w:sz w:val="24"/>
              </w:rPr>
              <w:t xml:space="preserve">, přijala Komise v říjnu 2016 </w:t>
            </w:r>
            <w:r>
              <w:rPr>
                <w:rFonts w:ascii="Times New Roman" w:hAnsi="Times New Roman"/>
                <w:b/>
                <w:noProof/>
                <w:sz w:val="24"/>
              </w:rPr>
              <w:t>zprávu o stavu trhu ratingových agentur.</w:t>
            </w:r>
            <w:r>
              <w:rPr>
                <w:rFonts w:ascii="Times New Roman" w:hAnsi="Times New Roman"/>
                <w:noProof/>
                <w:sz w:val="24"/>
              </w:rPr>
              <w:t xml:space="preserve"> Zpráva obsahovala předběžné posouzení hospodářské soutěže na tomto trhu, potenciálních překážek a neúměrných nákladů, s nimiž se potýkají menší ratingové agentury. Komise bude vývoj v této oblasti nadále sledovat.</w:t>
            </w:r>
          </w:p>
          <w:p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Komise bude sledovat uplatňování a dopady ustanovení o externím zajištění (outsourcingu) obsažených v nařízení o referenčních hodnotách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21"/>
            </w:r>
            <w:r>
              <w:rPr>
                <w:rFonts w:ascii="Times New Roman" w:hAnsi="Times New Roman"/>
                <w:noProof/>
                <w:sz w:val="24"/>
              </w:rPr>
              <w:t xml:space="preserve">, podle nichž jsou administrátoři referenčních hodnot povinni zaručit příslušným vnitrostátním orgánům faktický přístup k údajům. 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Pokud jde o </w:t>
            </w:r>
            <w:r>
              <w:rPr>
                <w:rFonts w:ascii="Times New Roman" w:hAnsi="Times New Roman"/>
                <w:i/>
                <w:noProof/>
                <w:sz w:val="24"/>
              </w:rPr>
              <w:t>překážky integrace trhu</w:t>
            </w:r>
            <w:r>
              <w:rPr>
                <w:rFonts w:ascii="Times New Roman" w:hAnsi="Times New Roman"/>
                <w:noProof/>
                <w:sz w:val="24"/>
              </w:rPr>
              <w:t xml:space="preserve">, konzultuje Komise v rámci akčního plánu pro unii kapitálových trhů </w:t>
            </w:r>
            <w:r>
              <w:rPr>
                <w:rFonts w:ascii="Times New Roman" w:hAnsi="Times New Roman"/>
                <w:b/>
                <w:noProof/>
                <w:sz w:val="24"/>
              </w:rPr>
              <w:t>přeshraniční překážky spravování fondů.</w:t>
            </w:r>
            <w:r>
              <w:rPr>
                <w:rFonts w:ascii="Times New Roman" w:hAnsi="Times New Roman"/>
                <w:noProof/>
                <w:sz w:val="24"/>
              </w:rPr>
              <w:t xml:space="preserve"> Na základě výsledků může navrhnout legislativní změnu, donucovací opatření nebo metodický pokyn k odstranění překážek. Komise má rovněž v úmyslu </w:t>
            </w:r>
            <w:r>
              <w:rPr>
                <w:rFonts w:ascii="Times New Roman" w:hAnsi="Times New Roman"/>
                <w:b/>
                <w:noProof/>
                <w:sz w:val="24"/>
              </w:rPr>
              <w:t>prozkoumat proveditelnost zjednodušení řady povolení potřebných pro poskytování těchto služeb na celém jednotném trhu</w:t>
            </w:r>
            <w:r>
              <w:rPr>
                <w:rFonts w:ascii="Times New Roman" w:hAnsi="Times New Roman"/>
                <w:noProof/>
                <w:sz w:val="24"/>
              </w:rPr>
              <w:t xml:space="preserve">. </w:t>
            </w:r>
          </w:p>
        </w:tc>
      </w:tr>
    </w:tbl>
    <w:p>
      <w:pPr>
        <w:pStyle w:val="Heading2"/>
        <w:rPr>
          <w:noProof/>
        </w:rPr>
      </w:pPr>
      <w:r>
        <w:rPr>
          <w:noProof/>
        </w:rPr>
        <w:t>2.4</w:t>
      </w:r>
      <w:r>
        <w:rPr>
          <w:noProof/>
        </w:rPr>
        <w:tab/>
        <w:t>Zajištění konzistentnějšího regulačního rámce orientovaného na budoucnost</w:t>
      </w:r>
    </w:p>
    <w:p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Výzva ke sdělení skutečností zároveň zdůraznila potřebu zajistit konzistentnost celkového regulačního rámce, dále posilovat ochranu investorů a spotřebitelů, řešit zbývající rizika ve finančním systému a udržovat regulační rámec v souladu s aktuálním technologickým vývojem.</w:t>
      </w:r>
    </w:p>
    <w:p>
      <w:pPr>
        <w:spacing w:after="12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Řešení nekonzistentních interakcí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Výzva ke sdělení skutečností odhalila několik nežádoucích interakcí mezi jednotlivými právními předpisy. Například nižší riziko používání derivátů po reformách v rámci nařízení EMIR nebylo odpovídajícím způsobem zohledněno v obezřetnostních pravidlech platných pro pojišťovny podle směrnice Solventnost II ani v pravidlech platných pro SKIPCP. Nebo obavy, že by ukazatel pákového poměru mohl penalizovat banky, které jednají jako členové clearingového systému, neboť v jejich expozicích se nebere v úvahu snížení možných budoucích rizik pomocí (oddělených) počátečních marží. Na druhou stranu ne všechny interakce jsou důvodem k zásahům. Není například dostatečně prokázáno, že by ukazatel pákového poměru bránil bankám držet vysoce kvalitní likvidní aktiva, která vyžaduje ukazatel krytí likvidity. </w:t>
      </w:r>
    </w:p>
    <w:p>
      <w:pPr>
        <w:spacing w:after="120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Posilování ochrany investorů a spotřebitelů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Komise podnikla významné kroky ke zlepšení ochrany investorů a spotřebitelů finančních služeb. Většina z těchto nových či revidovaných právních předpisů však vstoupila v platnost nedávno nebo teprve v platnost vstoupí, přičemž některé jsou stále ještě ve fázi provádění. Sdružení spotřebitelů zdůraznila, že důvěra spotřebitelů v poskytovatele finančních služeb je stále nízká, a vyzvala Komisi, aby v této oblasti podnikla další opatření.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Tento názor sdružení spotřebitelů odpovídá zjištěním hodnotící zprávy o spotřebitelských trzích, kde se finanční služby již několik let umísťují na konci žebříčku. Nízká důvěra spotřebitelů ve finanční služby omezuje jejich účast na těchto službách, a to zejména v oblasti přeshraničního prodeje. K obnovení této důvěry je důležité, aby politika Komise řešila ochranu spotřebitelů i prosazování pravidel. </w:t>
      </w:r>
    </w:p>
    <w:p>
      <w:pPr>
        <w:spacing w:after="120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Řešení mezer v regulačním rámci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Mezery v regulačním rámci se mohou projevit například v důsledku regulatorní arbitráže, finančních inovací či technologického rozvoje, jelikož uživatelé i poskytovatelé finančních služeb své chování časem přizpůsobují. Jednou z vyhlášených priorit Komise je dokončení programu finanční reformy tím, že se bude zabývat zbývajícími riziky, včetně rizik souvisejících se subjekty systémového významu. </w:t>
      </w:r>
    </w:p>
    <w:p>
      <w:pPr>
        <w:spacing w:after="120"/>
        <w:jc w:val="both"/>
        <w:rPr>
          <w:rFonts w:ascii="Times New Roman" w:hAnsi="Times New Roman" w:cs="Times New Roman"/>
          <w:b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Zohlednění technologického vývoje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Technologie </w:t>
      </w:r>
      <w:r>
        <w:rPr>
          <w:rFonts w:ascii="Times New Roman" w:hAnsi="Times New Roman"/>
          <w:noProof/>
          <w:sz w:val="24"/>
        </w:rPr>
        <w:t xml:space="preserve">mění </w:t>
      </w:r>
      <w:r>
        <w:rPr>
          <w:rFonts w:ascii="Times New Roman" w:hAnsi="Times New Roman"/>
          <w:noProof/>
          <w:color w:val="000000"/>
          <w:sz w:val="24"/>
        </w:rPr>
        <w:t xml:space="preserve">modely podnikání účastníků na finančním </w:t>
      </w:r>
      <w:r>
        <w:rPr>
          <w:rFonts w:ascii="Times New Roman" w:hAnsi="Times New Roman"/>
          <w:noProof/>
          <w:sz w:val="24"/>
        </w:rPr>
        <w:t xml:space="preserve">trhu i jejich </w:t>
      </w:r>
      <w:r>
        <w:rPr>
          <w:rFonts w:ascii="Times New Roman" w:hAnsi="Times New Roman"/>
          <w:noProof/>
          <w:color w:val="000000"/>
          <w:sz w:val="24"/>
        </w:rPr>
        <w:t>interakci s klienty</w:t>
      </w:r>
      <w:r>
        <w:rPr>
          <w:rFonts w:ascii="Times New Roman" w:hAnsi="Times New Roman"/>
          <w:noProof/>
          <w:sz w:val="24"/>
        </w:rPr>
        <w:t xml:space="preserve"> a investory. To přináší významné příležitosti pro zavedené účastníky trhu, ale i pro ty, kdo jsou na trhu nováčky. Rovněž zákazníci by měli těžit z rozmanitějších a efektivnějších finančních služeb. Zároveň ale existují obavy ohledně </w:t>
      </w:r>
      <w:r>
        <w:rPr>
          <w:rFonts w:ascii="Times New Roman" w:hAnsi="Times New Roman"/>
          <w:noProof/>
          <w:color w:val="000000"/>
          <w:sz w:val="24"/>
        </w:rPr>
        <w:t>případných rizik, která z toho mohou plynout pro řádné fungování a</w:t>
      </w:r>
      <w:r>
        <w:rPr>
          <w:rFonts w:ascii="Times New Roman" w:hAnsi="Times New Roman"/>
          <w:noProof/>
          <w:sz w:val="24"/>
        </w:rPr>
        <w:t xml:space="preserve"> stabilitu finančních trhů. Tato rizika je třeba sledovat a zmírňovat. Finanční regulace by zejména měla být dostatečně pružná, aby podporovala, a nikoli oslabovala technologický pokrok a zároveň zajišťovala ochranu spotřebitele na vysoké úrovni. </w:t>
      </w:r>
    </w:p>
    <w:p>
      <w:pPr>
        <w:pStyle w:val="Heading3"/>
        <w:spacing w:before="240"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Návazná opatření: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70"/>
        <w:gridCol w:w="7310"/>
      </w:tblGrid>
      <w:tr>
        <w:tc>
          <w:tcPr>
            <w:tcW w:w="1843" w:type="dxa"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Řešení interakcí a nesrovnalostí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Za účelem 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zajištění schopnosti bank poskytovat klientům clearingové služby </w:t>
            </w:r>
            <w:r>
              <w:rPr>
                <w:rFonts w:ascii="Times New Roman" w:hAnsi="Times New Roman"/>
                <w:noProof/>
                <w:sz w:val="24"/>
              </w:rPr>
              <w:t xml:space="preserve">podle nařízení EMIR navrhuje Komise v </w:t>
            </w:r>
            <w:r>
              <w:rPr>
                <w:rFonts w:ascii="Times New Roman" w:hAnsi="Times New Roman"/>
                <w:b/>
                <w:noProof/>
                <w:sz w:val="24"/>
              </w:rPr>
              <w:t>balíčku CRR2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</w:rPr>
              <w:t>úpravu ukazatele pákového poměru</w:t>
            </w:r>
            <w:r>
              <w:rPr>
                <w:rFonts w:ascii="Times New Roman" w:hAnsi="Times New Roman"/>
                <w:noProof/>
                <w:sz w:val="24"/>
              </w:rPr>
              <w:t xml:space="preserve">, která by umožnila bankám kompenzovat případnou budoucí expozici příslušných derivátových transakcí s počáteční marží. </w:t>
            </w:r>
          </w:p>
          <w:p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Komise zreviduje </w:t>
            </w:r>
            <w:r>
              <w:rPr>
                <w:rFonts w:ascii="Times New Roman" w:hAnsi="Times New Roman"/>
                <w:b/>
                <w:noProof/>
                <w:sz w:val="24"/>
              </w:rPr>
              <w:t>rámec pro zmírnění úvěrového rizika protistrany Solventnost II</w:t>
            </w:r>
            <w:r>
              <w:rPr>
                <w:rFonts w:ascii="Times New Roman" w:hAnsi="Times New Roman"/>
                <w:noProof/>
                <w:sz w:val="24"/>
              </w:rPr>
              <w:t xml:space="preserve"> tak, aby se v budoucím přezkumu aktu v přenesené pravomoci Solventnost II zohlednilo přijetí nařízení </w:t>
            </w:r>
            <w:r>
              <w:rPr>
                <w:rFonts w:ascii="Times New Roman" w:hAnsi="Times New Roman"/>
                <w:b/>
                <w:noProof/>
                <w:sz w:val="24"/>
              </w:rPr>
              <w:t>EMIR</w:t>
            </w:r>
            <w:r>
              <w:rPr>
                <w:rFonts w:ascii="Times New Roman" w:hAnsi="Times New Roman"/>
                <w:noProof/>
                <w:sz w:val="24"/>
              </w:rPr>
              <w:t>. Komise požádala orgán EIOPA o návrh aktualizace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 xml:space="preserve">aktu v přenesené pravomoci Solventnost II tak, aby se zohlednilo snížené riziko protistrany, které přineslo nařízení EMIR. Budoucí přezkum se bude zabývat také </w:t>
            </w:r>
            <w:r>
              <w:rPr>
                <w:rFonts w:ascii="Times New Roman" w:hAnsi="Times New Roman"/>
                <w:b/>
                <w:noProof/>
                <w:sz w:val="24"/>
              </w:rPr>
              <w:t>nesrovnalostmi mezi směrnicí Solventnost II a nařízením o kapitálových požadavcích, pokud jde o přístup k regionálním vládám a místním úřadům.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Konzultace Komise za účelem získání informací, zda je současný regulační rámec </w:t>
            </w:r>
            <w:r>
              <w:rPr>
                <w:rFonts w:ascii="Times New Roman" w:hAnsi="Times New Roman"/>
                <w:b/>
                <w:noProof/>
                <w:sz w:val="24"/>
              </w:rPr>
              <w:t>směrnice o finančních konglomerátech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4"/>
              </w:rPr>
              <w:footnoteReference w:id="22"/>
            </w:r>
            <w:r>
              <w:rPr>
                <w:rFonts w:ascii="Times New Roman" w:hAnsi="Times New Roman"/>
                <w:noProof/>
                <w:sz w:val="24"/>
              </w:rPr>
              <w:t xml:space="preserve"> přiměřený a odpovídá danému účelu, skončila v září 2016. V rámci pracovního plánu programu </w:t>
            </w:r>
            <w:r>
              <w:rPr>
                <w:rFonts w:ascii="Times New Roman" w:hAnsi="Times New Roman"/>
                <w:b/>
                <w:noProof/>
                <w:sz w:val="24"/>
              </w:rPr>
              <w:t>REFIT</w:t>
            </w:r>
            <w:r>
              <w:rPr>
                <w:rFonts w:ascii="Times New Roman" w:hAnsi="Times New Roman"/>
                <w:noProof/>
                <w:sz w:val="24"/>
              </w:rPr>
              <w:t xml:space="preserve"> na rok 2017 pak Komise vyhodnotí relevantnost, účinnost, efektivitu, konzistentnost a přidanou hodnotu aktuálního rámce směrnice o finančních konglomerátech. </w:t>
            </w:r>
          </w:p>
          <w:p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 rámci balíčku CRR2 Komise navrhuje postupné zavedení vlivů obezřetnosti u kapitálu, které plynou z nového modelu snižování hodnoty aktiv, do revidovaných mezinárodních standardů účetního výkaznictví (</w:t>
            </w:r>
            <w:r>
              <w:rPr>
                <w:rFonts w:ascii="Times New Roman" w:hAnsi="Times New Roman"/>
                <w:b/>
                <w:noProof/>
                <w:sz w:val="24"/>
              </w:rPr>
              <w:t>IFRS 9</w:t>
            </w:r>
            <w:r>
              <w:rPr>
                <w:rFonts w:ascii="Times New Roman" w:hAnsi="Times New Roman"/>
                <w:noProof/>
                <w:sz w:val="24"/>
              </w:rPr>
              <w:t xml:space="preserve">), aby se zabránilo náhlému dopadu na úvěrování ze strany bank. </w:t>
            </w:r>
          </w:p>
          <w:p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Komise požádala orgán ESMA o analýzu informací předložených k omezením </w:t>
            </w:r>
            <w:r>
              <w:rPr>
                <w:rFonts w:ascii="Times New Roman" w:hAnsi="Times New Roman"/>
                <w:b/>
                <w:noProof/>
                <w:sz w:val="24"/>
              </w:rPr>
              <w:t>SKIPCP, pokud jde o využívání OTC derivátů</w:t>
            </w:r>
            <w:r>
              <w:rPr>
                <w:rFonts w:ascii="Times New Roman" w:hAnsi="Times New Roman"/>
                <w:noProof/>
                <w:sz w:val="24"/>
              </w:rPr>
              <w:t xml:space="preserve">. </w:t>
            </w:r>
          </w:p>
        </w:tc>
      </w:tr>
      <w:tr>
        <w:tc>
          <w:tcPr>
            <w:tcW w:w="1843" w:type="dxa"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Posilování ochrany investorů a spotřebitelů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 návaznosti na Zelenou knihu o maloobchodních finančních službách Komise začátkem roku 2017 zveřejní </w:t>
            </w:r>
            <w:r>
              <w:rPr>
                <w:rFonts w:ascii="Times New Roman" w:hAnsi="Times New Roman"/>
                <w:b/>
                <w:noProof/>
                <w:sz w:val="24"/>
              </w:rPr>
              <w:t>akční plán, v němž budou uvedeny kroky k budování hlubšího jednotného trhu maloobchodních finančních služeb</w:t>
            </w:r>
            <w:r>
              <w:rPr>
                <w:rFonts w:ascii="Times New Roman" w:hAnsi="Times New Roman"/>
                <w:noProof/>
                <w:sz w:val="24"/>
              </w:rPr>
              <w:t>.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>Cílem akčního plánu bude, aby pomohl zlepšit postavení spotřebitelů a jim i poskytovatelům umožnil lépe využít potenciálu jednotného trhu.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Akční plán pro maloobchodní finanční služby</w:t>
            </w:r>
            <w:r>
              <w:rPr>
                <w:rFonts w:ascii="Times New Roman" w:hAnsi="Times New Roman"/>
                <w:noProof/>
                <w:sz w:val="24"/>
              </w:rPr>
              <w:t xml:space="preserve"> mimo jiné zváží, jak:</w:t>
            </w:r>
          </w:p>
          <w:p>
            <w:pPr>
              <w:pStyle w:val="ListParagraph"/>
              <w:spacing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i) zlepšit ochranu spotřebitelů při nákupu finančních služeb z jiného státu a on-line. Zejména zvýší povědomí o možnostech mimosoudního řešení přeshraničních sporů;</w:t>
            </w:r>
          </w:p>
          <w:p>
            <w:pPr>
              <w:pStyle w:val="ListParagraph"/>
              <w:spacing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ii) omezit právní a regulační překážky, s nimiž se potýkají podniky při poskytování finančních služeb v zahraničí, včetně případů, kdy využívají rostoucí digitalizace maloobchodních finančních služeb, a </w:t>
            </w:r>
          </w:p>
          <w:p>
            <w:pPr>
              <w:pStyle w:val="ListParagraph"/>
              <w:spacing w:line="276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iii) zajistit, aby požadavky na zveřejňování odpovídaly v digitálním světě danému účelu. </w:t>
            </w:r>
          </w:p>
          <w:p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 rámci akčního plánu pro unii kapitálových trhů zahajuje Komise </w:t>
            </w:r>
            <w:r>
              <w:rPr>
                <w:rFonts w:ascii="Times New Roman" w:hAnsi="Times New Roman"/>
                <w:b/>
                <w:noProof/>
                <w:sz w:val="24"/>
              </w:rPr>
              <w:t>komplexní posouzení evropských trhů maloobchodních investičních produktů</w:t>
            </w:r>
            <w:r>
              <w:rPr>
                <w:rFonts w:ascii="Times New Roman" w:hAnsi="Times New Roman"/>
                <w:noProof/>
                <w:sz w:val="24"/>
              </w:rPr>
              <w:t xml:space="preserve">, v rámci něhož bude zkoumat distribuční kanály, investiční poradenství a možnosti, které přináší technologie. </w:t>
            </w:r>
          </w:p>
        </w:tc>
      </w:tr>
      <w:tr>
        <w:tc>
          <w:tcPr>
            <w:tcW w:w="1843" w:type="dxa"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Řešení mezer v regulačním rámci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 rámci akčního plán pro maloobchodní finanční služby může Komise zvážit přínosy zlepšení ochrany podle </w:t>
            </w:r>
            <w:r>
              <w:rPr>
                <w:rFonts w:ascii="Times New Roman" w:hAnsi="Times New Roman"/>
                <w:b/>
                <w:noProof/>
                <w:sz w:val="24"/>
              </w:rPr>
              <w:t>směrnice o systému pro odškodnění investorů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23"/>
            </w:r>
            <w:r>
              <w:rPr>
                <w:rFonts w:ascii="Times New Roman" w:hAnsi="Times New Roman"/>
                <w:noProof/>
                <w:sz w:val="24"/>
              </w:rPr>
              <w:t xml:space="preserve"> s ohledem na zkušenosti získané v této oblasti v minulosti.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Komise brzy představí 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návrh rámce pro ozdravné postupy a řešení krize u ústředních protistran. 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 rámci </w:t>
            </w:r>
            <w:r>
              <w:rPr>
                <w:rFonts w:ascii="Times New Roman" w:hAnsi="Times New Roman"/>
                <w:b/>
                <w:noProof/>
                <w:sz w:val="24"/>
              </w:rPr>
              <w:t>nadcházejícího přezkumu makroobezřetnostního rámce EU</w:t>
            </w:r>
            <w:r>
              <w:rPr>
                <w:rFonts w:ascii="Times New Roman" w:hAnsi="Times New Roman"/>
                <w:noProof/>
                <w:sz w:val="24"/>
              </w:rPr>
              <w:t xml:space="preserve"> budou posouzeny případné nesrovnalosti v sadě nástrojů makroobezřetnostních opatření a případy, kde se překrývají nástroje v oblasti identifikace rizik, kalibrace a akumulace. Jak již bylo zohledněno v konzultačním dokumentu, přezkum rovněž posoudí přínosy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rozšíření makroobezřetnostního rámce i na oblast mimo bankovnictví</w:t>
            </w:r>
            <w:r>
              <w:rPr>
                <w:rFonts w:ascii="Times New Roman" w:hAnsi="Times New Roman"/>
                <w:noProof/>
                <w:sz w:val="24"/>
              </w:rPr>
              <w:t xml:space="preserve">. </w:t>
            </w:r>
          </w:p>
        </w:tc>
      </w:tr>
      <w:tr>
        <w:tc>
          <w:tcPr>
            <w:tcW w:w="1843" w:type="dxa"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Zohlednění technologického vývoje</w:t>
            </w:r>
          </w:p>
        </w:tc>
        <w:tc>
          <w:tcPr>
            <w:tcW w:w="7337" w:type="dxa"/>
          </w:tcPr>
          <w:p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Za účelem sledování technologického rozvoje s dopadem na finanční sektor a případné vypracování vhodných řešení byl zřízen interní </w:t>
            </w:r>
            <w:r>
              <w:rPr>
                <w:rFonts w:ascii="Times New Roman" w:hAnsi="Times New Roman"/>
                <w:b/>
                <w:noProof/>
                <w:sz w:val="24"/>
              </w:rPr>
              <w:t>pracovní tým FinTech</w:t>
            </w:r>
            <w:r>
              <w:rPr>
                <w:rFonts w:ascii="Times New Roman" w:hAnsi="Times New Roman"/>
                <w:noProof/>
                <w:sz w:val="24"/>
              </w:rPr>
              <w:t xml:space="preserve">. </w:t>
            </w:r>
          </w:p>
          <w:p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 červenci 2016 Komise zveřejnila návrh na změnu </w:t>
            </w:r>
            <w:r>
              <w:rPr>
                <w:rFonts w:ascii="Times New Roman" w:hAnsi="Times New Roman"/>
                <w:b/>
                <w:noProof/>
                <w:sz w:val="24"/>
              </w:rPr>
              <w:t>směrnice o boji proti praní peněz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24"/>
            </w:r>
            <w:r>
              <w:rPr>
                <w:rFonts w:ascii="Times New Roman" w:hAnsi="Times New Roman"/>
                <w:noProof/>
                <w:sz w:val="24"/>
              </w:rPr>
              <w:t xml:space="preserve">, aby chránila vznikající inovativní technologie, jako jsou virtuální měny, před nezákonným použitím. </w:t>
            </w:r>
          </w:p>
          <w:p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noProof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Útvary Komise rovněž uskuteční výměnu názorů se zúčastněnými stranami o tom, jak sdílet informace o kybernetických hrozbách. </w:t>
            </w:r>
          </w:p>
          <w:p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noProof/>
              </w:rPr>
            </w:pPr>
            <w:r>
              <w:rPr>
                <w:rFonts w:ascii="Times New Roman" w:hAnsi="Times New Roman"/>
                <w:noProof/>
                <w:sz w:val="24"/>
              </w:rPr>
              <w:t>Akční plán pro maloobchodní finanční služby zváží, jak podpořit bezpečné a chráněné vzdálené rozpoznávání identity a podepisování smluv.</w:t>
            </w:r>
          </w:p>
        </w:tc>
      </w:tr>
    </w:tbl>
    <w:p>
      <w:pPr>
        <w:pStyle w:val="Heading1"/>
        <w:spacing w:after="240"/>
        <w:rPr>
          <w:rFonts w:ascii="Times New Roman" w:hAnsi="Times New Roman" w:cs="Times New Roman"/>
          <w:noProof/>
        </w:rPr>
      </w:pPr>
    </w:p>
    <w:p>
      <w:pPr>
        <w:rPr>
          <w:rFonts w:eastAsiaTheme="majorEastAsia"/>
          <w:noProof/>
          <w:color w:val="365F91" w:themeColor="accent1" w:themeShade="BF"/>
          <w:sz w:val="28"/>
          <w:szCs w:val="28"/>
        </w:rPr>
      </w:pPr>
      <w:r>
        <w:rPr>
          <w:noProof/>
        </w:rPr>
        <w:br w:type="page"/>
      </w:r>
    </w:p>
    <w:p>
      <w:pPr>
        <w:pStyle w:val="Heading1"/>
        <w:spacing w:after="240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3. DALŠÍ KROKY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Podklady shromážděné v rámci výzvy ke sdělení skutečností jsou cennou pomůckou při utváření probíhajících politických iniciativ Komise. Celkový rámec sice stále funguje dobře, dojde však k určitému přizpůsobení prostřednictvím: 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kontrol účelnosti a přezkumů právních předpisů v rámci programu REFIT, včetně požadavků na podávání zpráv ve finančním sektoru, 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kalibrace opatření na legislativní i prováděcí úrovni, 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průběžné politické práce, např. s cílem podrobněji rozlišit a urychlit opatření v rámci akčního plánu pro unii kapitálových trhů, a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příspěvku Komise ke globálnímu úsilí o měření a hodnocení kombinovaného účinku reforem.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V tomto sdělení je uvedena řada konkrétních opatření politiky, která Komise hodlá podniknout v rámci návazných činností. Komise bude sledovat pokrok při provádění příslušných oblastí a svá zjištění i případný další postup zveřejní před koncem roku 2017.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Tato výzva ke sdělení skutečností by se neměla považovat za jednorázovou záležitost. Zásady programu zlepšování právní úpravy se budou i nadále přísně uplatňovat při vytváření legislativních návrhů Komise, a to prostřednictvím posuzování jejich hospodářského dopadu, minimalizace nákladů na dodržování předpisů a zajišťování proporcionality. Komise bude i nadále jednat se všemi relevantními zúčastněnými stranami prostřednictvím nejrůznějších konzultačních mechanismů, jimiž disponuje, aby toto strany měly příležitost poskytnout další informace a přispět k rozvoji příslušné politiky. Komise se zejména těší na to, že získá kvantitativní důkazy o dopadu právních předpisů EU na spotřebitele, hospodářské subjekty i ekonomiku jako celek. Díky tomu by Komise lépe mohla prohlubovat své analytické schopnosti měření efektivity, účinnosti a přidané hodnoty EU u těchto reforem a přispívat k příslušným pracovním úkolům na globální úrovni.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Tato výzva ke sdělení skutečností ukazuje odhodlání Komise v oblasti Programu pro účelnost a účinnost právních předpisů (REFIT) a programu zlepšování právní úpravy. Potvrdila, že rozvoj a kalibrace politik na základě konkrétních údajů, zvážení možných interakcí se stávajícími právními předpisy, podrobného sledování, hodnocení a posuzování dopadů, zajišťování transparentnosti, zapojení zúčastněných stran a otevřené veřejné konzultace dokáží vytvořit lepší a účinnější předpisy a zabránit zbytečné zátěži – a to při splnění základních cílů v souvislosti s finanční stabilitou, ochranou spotřebitelů/investorů a podporou tvorby pracovních míst, růstu a investic. Zásady programu zlepšování právní úpravy by se měly prosazovat také na globální úrovni. Proto je povzbuzující, že mezinárodní orgány jako skupina G20, Rada pro finanční stabilitu (FSB) a Basilejský výbor pro bankovní dohled (BCBS) začínají posuzovat celkovou soudržnost reforem. Komise je připravena se na této činnosti podílet. 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276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CS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45563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rPr>
          <w:rFonts w:ascii="Times New Roman" w:hAnsi="Times New Roman" w:cs="Times New Roman"/>
          <w:lang w:val="lv-LV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hyperlink r:id="rId1">
        <w:r>
          <w:rPr>
            <w:rStyle w:val="Hyperlink"/>
            <w:rFonts w:ascii="Times New Roman" w:hAnsi="Times New Roman"/>
          </w:rPr>
          <w:t>http://www.europarl.europa.eu/sides/getDoc.do?pubRef=-//EP//NONSGML+REPORT+A8-2015-0360+0+DOC+PDF+V0//CS</w:t>
        </w:r>
      </w:hyperlink>
      <w:r>
        <w:rPr>
          <w:rFonts w:ascii="Times New Roman" w:hAnsi="Times New Roman"/>
        </w:rPr>
        <w:t xml:space="preserve"> 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Nařízení (EU) č. 575/2013. 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Směrnice 2013/36/EU. 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„Balíček CRR2“ popisuje kombinaci opatření ke snížení rizik v těchto návrzích: „návrhu nařízení Evropského parlamentu a Rady o změně nařízení (EU) č. 575/2013 a nařízení (EU) č. 648/2012“, „návrhu směrnice Evropského parlamentu a Rady o změně směrnice 2013/36/EU“, „návrhu směrnice Evropského parlamentu a Rady o změně směrnice 2014/59/EU“ a „návrhu nařízení Evropského parlamentu a Rady o změně nařízení (EU) č. 806/2014“.</w:t>
      </w:r>
    </w:p>
  </w:footnote>
  <w:footnote w:id="6">
    <w:p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Nařízení (EU) č. 648/2012. </w:t>
      </w:r>
    </w:p>
  </w:footnote>
  <w:footnote w:id="7">
    <w:p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Směrnice 2009/138/ES. </w:t>
      </w:r>
    </w:p>
  </w:footnote>
  <w:footnote w:id="8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 xml:space="preserve"> Směrnice 2014/59/EU. </w:t>
      </w:r>
    </w:p>
  </w:footnote>
  <w:footnote w:id="9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 xml:space="preserve"> Směrnice 2014/65/EU. </w:t>
      </w:r>
    </w:p>
  </w:footnote>
  <w:footnote w:id="10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 xml:space="preserve"> Nařízení (EU) č. 596/2014. </w:t>
      </w:r>
    </w:p>
  </w:footnote>
  <w:footnote w:id="11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 xml:space="preserve"> Nařízení (EU) č. 236/2012. 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 xml:space="preserve"> Nařízení (EU) č. 909/2014. 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 xml:space="preserve"> Další informace naleznete ve zprávě o přezkumu nařízení EMIR ze dne 22. listopadu 2016.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 xml:space="preserve"> Směrnice 2011/61/EU. Článek 69 uvádí, že „Do 22. července 2017 zahájí Komise na základě veřejné konzultace a po projednání s příslušnými orgány přezkum uplatňování a oblasti působnosti této směrnice“. 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 xml:space="preserve"> Směrnice 2014/91/EU. 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 xml:space="preserve"> Nařízení (EU) č. 462/2013.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 xml:space="preserve"> Rozhodnutí (EU) 2015/2240.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 xml:space="preserve"> Směrnice 2013/50/EU. 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 xml:space="preserve"> Směrnice 2013/34/EU. </w:t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 xml:space="preserve"> Nařízení (EU) č. 537/2014. </w:t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 xml:space="preserve"> Nařízení (EU) 2016/1011.</w:t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 xml:space="preserve"> Směrnice 2002/87/ES. </w:t>
      </w:r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 xml:space="preserve"> Směrnice 97/9/ES.</w:t>
      </w:r>
    </w:p>
  </w:footnote>
  <w:footnote w:id="24">
    <w:p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Směrnice (EU) 2015/849.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5B"/>
    <w:multiLevelType w:val="hybridMultilevel"/>
    <w:tmpl w:val="1F3ED7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3C06CB"/>
    <w:multiLevelType w:val="hybridMultilevel"/>
    <w:tmpl w:val="8CA068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863D6D"/>
    <w:multiLevelType w:val="hybridMultilevel"/>
    <w:tmpl w:val="5E961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8A83164">
      <w:start w:val="6"/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CA37AE"/>
    <w:multiLevelType w:val="hybridMultilevel"/>
    <w:tmpl w:val="9E582F1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9B64B5"/>
    <w:multiLevelType w:val="hybridMultilevel"/>
    <w:tmpl w:val="A288E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64ACE"/>
    <w:multiLevelType w:val="hybridMultilevel"/>
    <w:tmpl w:val="31FCEEA0"/>
    <w:lvl w:ilvl="0" w:tplc="635632D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B1273"/>
    <w:multiLevelType w:val="hybridMultilevel"/>
    <w:tmpl w:val="5D8AE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5261DD"/>
    <w:multiLevelType w:val="hybridMultilevel"/>
    <w:tmpl w:val="61903ABA"/>
    <w:lvl w:ilvl="0" w:tplc="080C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0E046DE1"/>
    <w:multiLevelType w:val="hybridMultilevel"/>
    <w:tmpl w:val="26480FC2"/>
    <w:lvl w:ilvl="0" w:tplc="CD188C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3A264C"/>
    <w:multiLevelType w:val="hybridMultilevel"/>
    <w:tmpl w:val="CEFAE7A4"/>
    <w:lvl w:ilvl="0" w:tplc="08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0">
    <w:nsid w:val="105C4145"/>
    <w:multiLevelType w:val="hybridMultilevel"/>
    <w:tmpl w:val="8DA8E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65967"/>
    <w:multiLevelType w:val="hybridMultilevel"/>
    <w:tmpl w:val="270EA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9B6BD3"/>
    <w:multiLevelType w:val="hybridMultilevel"/>
    <w:tmpl w:val="89B67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D2AB6"/>
    <w:multiLevelType w:val="hybridMultilevel"/>
    <w:tmpl w:val="60E2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6071F"/>
    <w:multiLevelType w:val="hybridMultilevel"/>
    <w:tmpl w:val="CFE65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B00FCB"/>
    <w:multiLevelType w:val="hybridMultilevel"/>
    <w:tmpl w:val="2528B66E"/>
    <w:lvl w:ilvl="0" w:tplc="50CC29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D315E6"/>
    <w:multiLevelType w:val="hybridMultilevel"/>
    <w:tmpl w:val="B692B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773C3"/>
    <w:multiLevelType w:val="hybridMultilevel"/>
    <w:tmpl w:val="BDF889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48127AC"/>
    <w:multiLevelType w:val="hybridMultilevel"/>
    <w:tmpl w:val="78C00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60B50"/>
    <w:multiLevelType w:val="hybridMultilevel"/>
    <w:tmpl w:val="7E38B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983B64"/>
    <w:multiLevelType w:val="hybridMultilevel"/>
    <w:tmpl w:val="14EAA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66562D"/>
    <w:multiLevelType w:val="hybridMultilevel"/>
    <w:tmpl w:val="7DA4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9102C1"/>
    <w:multiLevelType w:val="hybridMultilevel"/>
    <w:tmpl w:val="A6742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A73CC"/>
    <w:multiLevelType w:val="hybridMultilevel"/>
    <w:tmpl w:val="37D2B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35CA1"/>
    <w:multiLevelType w:val="hybridMultilevel"/>
    <w:tmpl w:val="9DEA90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05880"/>
    <w:multiLevelType w:val="hybridMultilevel"/>
    <w:tmpl w:val="EBFCE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7038A9"/>
    <w:multiLevelType w:val="hybridMultilevel"/>
    <w:tmpl w:val="DB18A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01BE9"/>
    <w:multiLevelType w:val="hybridMultilevel"/>
    <w:tmpl w:val="F036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895EF5"/>
    <w:multiLevelType w:val="hybridMultilevel"/>
    <w:tmpl w:val="48BCA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5076E5"/>
    <w:multiLevelType w:val="hybridMultilevel"/>
    <w:tmpl w:val="7CE607B6"/>
    <w:lvl w:ilvl="0" w:tplc="3602353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07016"/>
    <w:multiLevelType w:val="hybridMultilevel"/>
    <w:tmpl w:val="306C2A76"/>
    <w:lvl w:ilvl="0" w:tplc="A57E51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77A13"/>
    <w:multiLevelType w:val="hybridMultilevel"/>
    <w:tmpl w:val="5BA68A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51C4E71"/>
    <w:multiLevelType w:val="hybridMultilevel"/>
    <w:tmpl w:val="930A5276"/>
    <w:lvl w:ilvl="0" w:tplc="ECC86B7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25149"/>
    <w:multiLevelType w:val="hybridMultilevel"/>
    <w:tmpl w:val="685C1D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D0B0B"/>
    <w:multiLevelType w:val="hybridMultilevel"/>
    <w:tmpl w:val="CDCCB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477252"/>
    <w:multiLevelType w:val="hybridMultilevel"/>
    <w:tmpl w:val="01F4541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60782F73"/>
    <w:multiLevelType w:val="hybridMultilevel"/>
    <w:tmpl w:val="FC086A6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EF37E9"/>
    <w:multiLevelType w:val="hybridMultilevel"/>
    <w:tmpl w:val="3B36D2D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4D0A66"/>
    <w:multiLevelType w:val="hybridMultilevel"/>
    <w:tmpl w:val="18FC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B919E2"/>
    <w:multiLevelType w:val="hybridMultilevel"/>
    <w:tmpl w:val="6AF48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C26393D"/>
    <w:multiLevelType w:val="hybridMultilevel"/>
    <w:tmpl w:val="3DCAF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1251A6"/>
    <w:multiLevelType w:val="hybridMultilevel"/>
    <w:tmpl w:val="3982B18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>
    <w:nsid w:val="72C711A5"/>
    <w:multiLevelType w:val="hybridMultilevel"/>
    <w:tmpl w:val="392A91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071C66"/>
    <w:multiLevelType w:val="hybridMultilevel"/>
    <w:tmpl w:val="5678C48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A6749E"/>
    <w:multiLevelType w:val="hybridMultilevel"/>
    <w:tmpl w:val="4E602E2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BB68A1"/>
    <w:multiLevelType w:val="hybridMultilevel"/>
    <w:tmpl w:val="7C682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6">
    <w:nsid w:val="7CBE4812"/>
    <w:multiLevelType w:val="singleLevel"/>
    <w:tmpl w:val="23C821E4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7">
    <w:nsid w:val="7E89247A"/>
    <w:multiLevelType w:val="hybridMultilevel"/>
    <w:tmpl w:val="3964F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4"/>
  </w:num>
  <w:num w:numId="4">
    <w:abstractNumId w:val="22"/>
  </w:num>
  <w:num w:numId="5">
    <w:abstractNumId w:val="21"/>
  </w:num>
  <w:num w:numId="6">
    <w:abstractNumId w:val="38"/>
  </w:num>
  <w:num w:numId="7">
    <w:abstractNumId w:val="42"/>
  </w:num>
  <w:num w:numId="8">
    <w:abstractNumId w:val="26"/>
  </w:num>
  <w:num w:numId="9">
    <w:abstractNumId w:val="32"/>
  </w:num>
  <w:num w:numId="10">
    <w:abstractNumId w:val="29"/>
  </w:num>
  <w:num w:numId="11">
    <w:abstractNumId w:val="2"/>
  </w:num>
  <w:num w:numId="12">
    <w:abstractNumId w:val="30"/>
  </w:num>
  <w:num w:numId="13">
    <w:abstractNumId w:val="31"/>
  </w:num>
  <w:num w:numId="14">
    <w:abstractNumId w:val="9"/>
  </w:num>
  <w:num w:numId="15">
    <w:abstractNumId w:val="11"/>
  </w:num>
  <w:num w:numId="16">
    <w:abstractNumId w:val="23"/>
  </w:num>
  <w:num w:numId="17">
    <w:abstractNumId w:val="37"/>
  </w:num>
  <w:num w:numId="18">
    <w:abstractNumId w:val="15"/>
  </w:num>
  <w:num w:numId="19">
    <w:abstractNumId w:val="7"/>
  </w:num>
  <w:num w:numId="20">
    <w:abstractNumId w:val="0"/>
  </w:num>
  <w:num w:numId="21">
    <w:abstractNumId w:val="25"/>
  </w:num>
  <w:num w:numId="22">
    <w:abstractNumId w:val="12"/>
  </w:num>
  <w:num w:numId="23">
    <w:abstractNumId w:val="19"/>
  </w:num>
  <w:num w:numId="24">
    <w:abstractNumId w:val="6"/>
  </w:num>
  <w:num w:numId="25">
    <w:abstractNumId w:val="18"/>
  </w:num>
  <w:num w:numId="26">
    <w:abstractNumId w:val="13"/>
  </w:num>
  <w:num w:numId="27">
    <w:abstractNumId w:val="24"/>
  </w:num>
  <w:num w:numId="28">
    <w:abstractNumId w:val="43"/>
  </w:num>
  <w:num w:numId="29">
    <w:abstractNumId w:val="36"/>
  </w:num>
  <w:num w:numId="30">
    <w:abstractNumId w:val="33"/>
  </w:num>
  <w:num w:numId="31">
    <w:abstractNumId w:val="3"/>
  </w:num>
  <w:num w:numId="32">
    <w:abstractNumId w:val="1"/>
  </w:num>
  <w:num w:numId="33">
    <w:abstractNumId w:val="17"/>
  </w:num>
  <w:num w:numId="34">
    <w:abstractNumId w:val="44"/>
  </w:num>
  <w:num w:numId="35">
    <w:abstractNumId w:val="20"/>
  </w:num>
  <w:num w:numId="36">
    <w:abstractNumId w:val="35"/>
  </w:num>
  <w:num w:numId="37">
    <w:abstractNumId w:val="45"/>
  </w:num>
  <w:num w:numId="38">
    <w:abstractNumId w:val="28"/>
  </w:num>
  <w:num w:numId="39">
    <w:abstractNumId w:val="39"/>
  </w:num>
  <w:num w:numId="40">
    <w:abstractNumId w:val="47"/>
  </w:num>
  <w:num w:numId="41">
    <w:abstractNumId w:val="10"/>
  </w:num>
  <w:num w:numId="42">
    <w:abstractNumId w:val="47"/>
  </w:num>
  <w:num w:numId="43">
    <w:abstractNumId w:val="16"/>
  </w:num>
  <w:num w:numId="44">
    <w:abstractNumId w:val="5"/>
  </w:num>
  <w:num w:numId="45">
    <w:abstractNumId w:val="46"/>
    <w:lvlOverride w:ilvl="0">
      <w:startOverride w:val="1"/>
    </w:lvlOverride>
  </w:num>
  <w:num w:numId="46">
    <w:abstractNumId w:val="39"/>
  </w:num>
  <w:num w:numId="47">
    <w:abstractNumId w:val="40"/>
  </w:num>
  <w:num w:numId="48">
    <w:abstractNumId w:val="8"/>
  </w:num>
  <w:num w:numId="49">
    <w:abstractNumId w:val="41"/>
  </w:num>
  <w:num w:numId="50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LUWE">
    <w15:presenceInfo w15:providerId="None" w15:userId="WOLUW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1974578E463047A2830E600E97B1DA9E"/>
    <w:docVar w:name="LW_CROSSREFERENCE" w:val="{SWD(2016) 359 final}"/>
    <w:docVar w:name="LW_DocType" w:val="NORMAL"/>
    <w:docVar w:name="LW_EMISSION" w:val="23.11.2016"/>
    <w:docVar w:name="LW_EMISSION_ISODATE" w:val="2016-11-23"/>
    <w:docVar w:name="LW_EMISSION_LOCATION" w:val="BRX"/>
    <w:docVar w:name="LW_EMISSION_PREFIX" w:val="V Bruselu dne "/>
    <w:docVar w:name="LW_EMISSION_SUFFIX" w:val=" "/>
    <w:docVar w:name="LW_ID_DOCTYPE_NONLW" w:val="CP-014"/>
    <w:docVar w:name="LW_LANGUE" w:val="CS"/>
    <w:docVar w:name="LW_MARKING" w:val="&lt;UNUSED&gt;"/>
    <w:docVar w:name="LW_NOM.INST" w:val="EVROPSKÁ KOMISE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855"/>
    <w:docVar w:name="LW_REF.INTERNE" w:val="&lt;UNUSED&gt;"/>
    <w:docVar w:name="LW_SOUS.TITRE.OBJ.CP" w:val="&lt;UNUSED&gt;"/>
    <w:docVar w:name="LW_SUPERTITRE" w:val="&lt;UNUSED&gt;"/>
    <w:docVar w:name="LW_TITRE.OBJ.CP" w:val="Výzva ke sd\u283?lení skute\u269?ností:_x000b_ regula\u269?ní rámec EU pro finan\u269?ní slu\u382?by"/>
    <w:docVar w:name="LW_TYPE.DOC.CP" w:val="SD\u282?LENÍ KOMISE EVROPSKÉMU PARLAMENTU, RAD\u282?, EVROPSKÉMU HOSPODÁ\u344?SKÉMU A SOCIÁLNÍMU VÝBORU A VÝBORU REGION\u366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keepNext/>
      <w:keepLines/>
      <w:spacing w:before="360" w:after="120"/>
      <w:ind w:left="851" w:hanging="851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Arial" w:hAnsi="Arial" w:cs="Arial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paragraph" w:customStyle="1" w:styleId="Considrant">
    <w:name w:val="Considérant"/>
    <w:basedOn w:val="Normal"/>
    <w:pPr>
      <w:numPr>
        <w:numId w:val="4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36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36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36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36"/>
    </w:rPr>
  </w:style>
  <w:style w:type="paragraph" w:styleId="ListBullet">
    <w:name w:val="List Bullet"/>
    <w:basedOn w:val="Normal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keepNext/>
      <w:keepLines/>
      <w:spacing w:before="360" w:after="120"/>
      <w:ind w:left="851" w:hanging="851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Arial" w:hAnsi="Arial" w:cs="Arial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paragraph" w:customStyle="1" w:styleId="Considrant">
    <w:name w:val="Considérant"/>
    <w:basedOn w:val="Normal"/>
    <w:pPr>
      <w:numPr>
        <w:numId w:val="4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36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36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36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36"/>
    </w:rPr>
  </w:style>
  <w:style w:type="paragraph" w:styleId="ListBullet">
    <w:name w:val="List Bullet"/>
    <w:basedOn w:val="Normal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6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4890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89431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3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62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87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Relationship Id="rId27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rl.europa.eu/sides/getDoc.do?pubRef=-//EP//NONSGML+REPORT+A8-2015-0360+0+DOC+PDF+V0//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FE5AD-2F76-48C2-8F0B-F6524AE5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4614</Words>
  <Characters>29258</Characters>
  <Application>Microsoft Office Word</Application>
  <DocSecurity>0</DocSecurity>
  <Lines>562</Lines>
  <Paragraphs>160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33712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23</cp:revision>
  <cp:lastPrinted>2016-11-17T07:54:00Z</cp:lastPrinted>
  <dcterms:created xsi:type="dcterms:W3CDTF">2016-11-18T16:29:00Z</dcterms:created>
  <dcterms:modified xsi:type="dcterms:W3CDTF">2016-11-24T09:21:00Z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