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64AEDA9D9F04AB194709F7A80FDAAC0" style="width:450.75pt;height:32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120" w:line="240" w:lineRule="auto"/>
        <w:jc w:val="center"/>
        <w:rPr>
          <w:rFonts w:ascii="Times New Roman" w:eastAsiaTheme="minorHAnsi" w:hAnsi="Times New Roman" w:cs="Times New Roman"/>
          <w:b/>
          <w:smallCaps/>
          <w:noProof/>
        </w:rPr>
      </w:pPr>
      <w:bookmarkStart w:id="1" w:name="_GoBack"/>
      <w:bookmarkEnd w:id="1"/>
      <w:r>
        <w:rPr>
          <w:rFonts w:ascii="Times New Roman" w:eastAsiaTheme="minorHAnsi" w:hAnsi="Times New Roman"/>
          <w:b/>
          <w:smallCaps/>
          <w:noProof/>
        </w:rPr>
        <w:lastRenderedPageBreak/>
        <w:t>KOMISIJAS PAZIŅOJUMS</w:t>
      </w:r>
    </w:p>
    <w:p>
      <w:pPr>
        <w:spacing w:after="120" w:line="240" w:lineRule="auto"/>
        <w:jc w:val="center"/>
        <w:rPr>
          <w:rFonts w:ascii="Times New Roman" w:eastAsiaTheme="minorHAnsi" w:hAnsi="Times New Roman" w:cs="Times New Roman"/>
          <w:b/>
          <w:smallCaps/>
          <w:noProof/>
        </w:rPr>
      </w:pPr>
      <w:r>
        <w:rPr>
          <w:rFonts w:ascii="Times New Roman" w:eastAsiaTheme="minorHAnsi" w:hAnsi="Times New Roman"/>
          <w:b/>
          <w:smallCaps/>
          <w:noProof/>
        </w:rPr>
        <w:t>Eiropas topošie līderi... Jaunuzņēmumu un augošo uzņēmumu atbalsta iniciatīva</w:t>
      </w:r>
    </w:p>
    <w:p>
      <w:pPr>
        <w:spacing w:after="120" w:line="240" w:lineRule="auto"/>
        <w:jc w:val="both"/>
        <w:rPr>
          <w:rFonts w:ascii="Times New Roman" w:eastAsiaTheme="minorHAnsi" w:hAnsi="Times New Roman" w:cs="Times New Roman"/>
          <w:noProof/>
        </w:rPr>
      </w:pPr>
    </w:p>
    <w:p>
      <w:pPr>
        <w:pStyle w:val="Heading2"/>
        <w:rPr>
          <w:smallCaps/>
          <w:noProof/>
        </w:rPr>
      </w:pPr>
      <w:r>
        <w:rPr>
          <w:noProof/>
        </w:rPr>
        <w:t>1.</w:t>
      </w:r>
      <w:r>
        <w:rPr>
          <w:noProof/>
        </w:rPr>
        <w:tab/>
      </w:r>
      <w:r>
        <w:rPr>
          <w:smallCaps/>
          <w:noProof/>
        </w:rPr>
        <w:t>Ievads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Intensīvi augoši uzņēmumi rada daudz vairāk darba vietu nekā citi</w:t>
      </w:r>
      <w:r>
        <w:rPr>
          <w:rStyle w:val="FootnoteReference"/>
          <w:rFonts w:ascii="Times New Roman" w:eastAsiaTheme="minorHAnsi" w:hAnsi="Times New Roman"/>
          <w:noProof/>
        </w:rPr>
        <w:footnoteReference w:id="2"/>
      </w:r>
      <w:r>
        <w:rPr>
          <w:noProof/>
        </w:rPr>
        <w:t>.</w:t>
      </w:r>
      <w:r>
        <w:rPr>
          <w:rFonts w:ascii="Times New Roman" w:eastAsiaTheme="minorHAnsi" w:hAnsi="Times New Roman"/>
          <w:noProof/>
        </w:rPr>
        <w:t xml:space="preserve"> Liela daļa no šiem uzņēmumiem ir jaunuzņēmumi, kuri aug plašumā, kļūdami par lielākiem uzņēmumiem. Tie palielina ES novatorismu un konkurētspēju, stiprinot tautsaimniecību. Tādi "augoši uzņēmumi" var arī dot sociālu labumu, cita starpā piedāvājot elastīgākus un modernākus darba apstākļus.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Vienotā tirgus stratēģijā Komisija paziņoja, ka izlūkos iespējas vienoto tirgu padarīt piemērotāku jaunizveidotiem un augošiem uzņēmumiem. Galu galā jauno un augošo uzņēmumu "ekosistēmas" uzlabošana Eiropā tieši labvēlīgi iespaidos nodarbinātību un izaugsmi ES.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Jaunuzņēmumi, kas bieži ir tehniski labi apgādāti</w:t>
      </w:r>
      <w:r>
        <w:rPr>
          <w:rStyle w:val="FootnoteReference"/>
          <w:rFonts w:ascii="Times New Roman" w:eastAsiaTheme="minorHAnsi" w:hAnsi="Times New Roman"/>
          <w:noProof/>
        </w:rPr>
        <w:footnoteReference w:id="3"/>
      </w:r>
      <w:r>
        <w:rPr>
          <w:rFonts w:ascii="Times New Roman" w:eastAsiaTheme="minorHAnsi" w:hAnsi="Times New Roman"/>
          <w:noProof/>
        </w:rPr>
        <w:t xml:space="preserve">, visumā apvieno strauju izaugsmi, lielu paļaušanos uz inovāciju ražojumos, procesos un finansēšanā, ārkārtīgu vērību pret tehnoloģiju attīstību un novatorisku uzņēmējdarbības modeļu, bieži arī sadarbības platformu, plašu izmantošanu.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Vairākas dalībvalstis jau ir ieviesušas vai plāno iniciatīvas, kas radītu inovācijai un uzņēmējdarbībai labvēlīgu vidi. Rezultātā jaunu uzņēmumu izveidē nav lielas atšķirības starp ES un ASV</w:t>
      </w:r>
      <w:r>
        <w:rPr>
          <w:rStyle w:val="FootnoteReference"/>
          <w:rFonts w:ascii="Times New Roman" w:eastAsiaTheme="minorHAnsi" w:hAnsi="Times New Roman"/>
          <w:noProof/>
        </w:rPr>
        <w:footnoteReference w:id="4"/>
      </w:r>
      <w:r>
        <w:rPr>
          <w:noProof/>
        </w:rPr>
        <w:t>.</w:t>
      </w:r>
      <w:r>
        <w:rPr>
          <w:rFonts w:ascii="Times New Roman" w:eastAsiaTheme="minorHAnsi" w:hAnsi="Times New Roman"/>
          <w:noProof/>
        </w:rPr>
        <w:t xml:space="preserve"> Tas īpaši labi redzams tehnoloģiju nozarēs, kur ES uzņēmumi pamazām kļūst par pasaules līderiem noteiktās vidējo un augsto tehnoloģiju nozarēs (piemēram, inženiertehnisko iekārtu un automobiļu būvē).</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Darba vietu radīšanu un izaugsmi veicina vairākas ES iniciatīvas — Eiropas Stratēģisko investīciju fonds (ESIF)</w:t>
      </w:r>
      <w:r>
        <w:rPr>
          <w:rStyle w:val="FootnoteReference"/>
          <w:rFonts w:ascii="Times New Roman" w:eastAsiaTheme="minorHAnsi" w:hAnsi="Times New Roman"/>
          <w:noProof/>
        </w:rPr>
        <w:footnoteReference w:id="5"/>
      </w:r>
      <w:r>
        <w:rPr>
          <w:rFonts w:ascii="Times New Roman" w:eastAsiaTheme="minorHAnsi" w:hAnsi="Times New Roman"/>
          <w:noProof/>
        </w:rPr>
        <w:t xml:space="preserve"> un tā paplašināšana un pastiprināšana, bet pamats tālākiem uzlabojumiem ir arī Vienotā tirgus stratēģija</w:t>
      </w:r>
      <w:r>
        <w:rPr>
          <w:rStyle w:val="FootnoteReference"/>
          <w:rFonts w:ascii="Times New Roman" w:eastAsiaTheme="minorHAnsi" w:hAnsi="Times New Roman"/>
          <w:noProof/>
        </w:rPr>
        <w:footnoteReference w:id="6"/>
      </w:r>
      <w:r>
        <w:rPr>
          <w:rFonts w:ascii="Times New Roman" w:eastAsiaTheme="minorHAnsi" w:hAnsi="Times New Roman"/>
          <w:noProof/>
        </w:rPr>
        <w:t>, Digitālais vienotais tirgus</w:t>
      </w:r>
      <w:r>
        <w:rPr>
          <w:rStyle w:val="FootnoteReference"/>
          <w:rFonts w:ascii="Times New Roman" w:eastAsiaTheme="minorHAnsi" w:hAnsi="Times New Roman"/>
          <w:noProof/>
        </w:rPr>
        <w:footnoteReference w:id="7"/>
      </w:r>
      <w:r>
        <w:rPr>
          <w:rFonts w:ascii="Times New Roman" w:eastAsiaTheme="minorHAnsi" w:hAnsi="Times New Roman"/>
          <w:noProof/>
        </w:rPr>
        <w:t xml:space="preserve"> un Kapitāla tirgu savienība</w:t>
      </w:r>
      <w:r>
        <w:rPr>
          <w:rStyle w:val="FootnoteReference"/>
          <w:rFonts w:ascii="Times New Roman" w:eastAsiaTheme="minorHAnsi" w:hAnsi="Times New Roman"/>
          <w:noProof/>
        </w:rPr>
        <w:footnoteReference w:id="8"/>
      </w:r>
      <w:r>
        <w:rPr>
          <w:rFonts w:ascii="Times New Roman" w:eastAsiaTheme="minorHAnsi" w:hAnsi="Times New Roman"/>
          <w:noProof/>
        </w:rPr>
        <w:t>. Bez tam Eiropas strukturālo un investīciju fondu (ESI fondu) spēcīgāka koncentrēšanās uz inovāciju un MVU atbalstīšanu nozīmē atbalstu ar riska kapitālu līdz 140 000 jaunuzņēmumu un augošo uzņēmumu</w:t>
      </w:r>
      <w:r>
        <w:rPr>
          <w:rStyle w:val="FootnoteReference"/>
          <w:rFonts w:ascii="Times New Roman" w:hAnsi="Times New Roman"/>
          <w:noProof/>
        </w:rPr>
        <w:footnoteReference w:id="9"/>
      </w:r>
      <w:r>
        <w:rPr>
          <w:rFonts w:ascii="Times New Roman" w:eastAsiaTheme="minorHAnsi" w:hAnsi="Times New Roman"/>
          <w:noProof/>
        </w:rPr>
        <w:t>. ESIF jau ir noslēgti nolīgumi par atbalstu 377 000 MVU, ieskaitot jaunuzņēmumus.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Taču gaidītās uzplauksmes un izplešanās Eiropā un aiz tās robežām nav – pārāk maz Eiropas jaunuzņēmumu tiek pāri kritiskajai 2–3 gadu fāzei, un vēl mazāk pārtop par plašākiem uzņēmumiem</w:t>
      </w:r>
      <w:r>
        <w:rPr>
          <w:rStyle w:val="FootnoteReference"/>
          <w:rFonts w:ascii="Times New Roman" w:eastAsiaTheme="minorHAnsi" w:hAnsi="Times New Roman"/>
          <w:noProof/>
        </w:rPr>
        <w:footnoteReference w:id="10"/>
      </w:r>
      <w:r>
        <w:rPr>
          <w:noProof/>
        </w:rPr>
        <w:t>.</w:t>
      </w:r>
      <w:r>
        <w:rPr>
          <w:rFonts w:ascii="Times New Roman" w:eastAsiaTheme="minorHAnsi" w:hAnsi="Times New Roman"/>
          <w:noProof/>
        </w:rPr>
        <w:t xml:space="preserve">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Iemeslu šādai situācijai ir daudz, taču ir aplēsts, ka nākamajos 20 gados varētu tikt radīts līdz 1 miljonam jaunu darba vietu un ES IKP pievienoti līdz 2 triljoniem eiro, ja augošo uzņēmumu īpatsvars atbilstu tam, kas ir ASV</w:t>
      </w:r>
      <w:r>
        <w:rPr>
          <w:rStyle w:val="FootnoteReference"/>
          <w:rFonts w:ascii="Times New Roman" w:eastAsiaTheme="minorHAnsi" w:hAnsi="Times New Roman"/>
          <w:noProof/>
        </w:rPr>
        <w:footnoteReference w:id="11"/>
      </w:r>
      <w:r>
        <w:rPr>
          <w:noProof/>
        </w:rPr>
        <w:t>.</w:t>
      </w:r>
      <w:r>
        <w:rPr>
          <w:rFonts w:ascii="Times New Roman" w:eastAsiaTheme="minorHAnsi" w:hAnsi="Times New Roman"/>
          <w:noProof/>
        </w:rPr>
        <w:t xml:space="preserve"> Tā kā uzņēmuma lielums un ražīgums ir pozitīvā atkarībā, tas uzlabotu Eiropas ražīguma pieaugumu</w:t>
      </w:r>
      <w:r>
        <w:rPr>
          <w:rStyle w:val="FootnoteReference"/>
          <w:rFonts w:ascii="Times New Roman" w:eastAsiaTheme="minorHAnsi" w:hAnsi="Times New Roman"/>
          <w:noProof/>
        </w:rPr>
        <w:footnoteReference w:id="12"/>
      </w:r>
      <w:r>
        <w:rPr>
          <w:rStyle w:val="FootnoteReference"/>
          <w:rFonts w:ascii="Times New Roman" w:eastAsiaTheme="minorHAnsi" w:hAnsi="Times New Roman"/>
          <w:noProof/>
          <w:color w:val="5F497A" w:themeColor="accent4" w:themeShade="BF"/>
        </w:rPr>
        <w:footnoteReference w:id="13"/>
      </w:r>
      <w:r>
        <w:rPr>
          <w:noProof/>
        </w:rPr>
        <w:t>.</w:t>
      </w:r>
      <w:r>
        <w:rPr>
          <w:rFonts w:ascii="Times New Roman" w:eastAsiaTheme="minorHAnsi" w:hAnsi="Times New Roman"/>
          <w:noProof/>
        </w:rPr>
        <w:t xml:space="preserve"> Bez tam, ja tiktu apzinātas iespējas atbalstīt jaunuzņēmumu paplašināšanos, no tā būtu labums tradicionālajiem uzņēmumiem, jo tiktu atbalstīta to darbība un izaugsme vienotajā tirgū.</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Ainu apstiprina Komisijas šogad rīkotā sabiedriskā apspriešana. Galvenie secinājumi</w:t>
      </w:r>
      <w:r>
        <w:rPr>
          <w:rStyle w:val="FootnoteReference"/>
          <w:rFonts w:ascii="Times New Roman" w:eastAsiaTheme="minorHAnsi" w:hAnsi="Times New Roman"/>
          <w:noProof/>
        </w:rPr>
        <w:footnoteReference w:id="14"/>
      </w:r>
      <w:r>
        <w:rPr>
          <w:rFonts w:ascii="Times New Roman" w:eastAsiaTheme="minorHAnsi" w:hAnsi="Times New Roman"/>
          <w:noProof/>
        </w:rPr>
        <w:t xml:space="preserve"> ir šādi:</w:t>
      </w:r>
    </w:p>
    <w:p>
      <w:pPr>
        <w:pStyle w:val="ListParagraph"/>
        <w:numPr>
          <w:ilvl w:val="0"/>
          <w:numId w:val="22"/>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jaunuzņēmumi, kas meklē iespējas paplašināties, joprojām sastopas ar </w:t>
      </w:r>
      <w:r>
        <w:rPr>
          <w:rFonts w:ascii="Times New Roman" w:eastAsiaTheme="minorHAnsi" w:hAnsi="Times New Roman"/>
          <w:b/>
          <w:noProof/>
        </w:rPr>
        <w:t xml:space="preserve">pārāk daudziem regulatīviem </w:t>
      </w:r>
      <w:r>
        <w:rPr>
          <w:rFonts w:ascii="Times New Roman" w:eastAsiaTheme="minorHAnsi" w:hAnsi="Times New Roman"/>
          <w:noProof/>
        </w:rPr>
        <w:t xml:space="preserve">un </w:t>
      </w:r>
      <w:r>
        <w:rPr>
          <w:rFonts w:ascii="Times New Roman" w:eastAsiaTheme="minorHAnsi" w:hAnsi="Times New Roman"/>
          <w:b/>
          <w:noProof/>
        </w:rPr>
        <w:t>administratīviem šķēršļiem</w:t>
      </w:r>
      <w:r>
        <w:rPr>
          <w:rFonts w:ascii="Times New Roman" w:eastAsiaTheme="minorHAnsi" w:hAnsi="Times New Roman"/>
          <w:noProof/>
        </w:rPr>
        <w:t>, sevišķi pārrobežu situācijās,</w:t>
      </w:r>
    </w:p>
    <w:p>
      <w:pPr>
        <w:pStyle w:val="ListParagraph"/>
        <w:numPr>
          <w:ilvl w:val="0"/>
          <w:numId w:val="22"/>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gan jaunuzņēmumiem, gan augošajiem uzņēmumiem </w:t>
      </w:r>
      <w:r>
        <w:rPr>
          <w:rFonts w:ascii="Times New Roman" w:eastAsiaTheme="minorHAnsi" w:hAnsi="Times New Roman"/>
          <w:b/>
          <w:noProof/>
        </w:rPr>
        <w:t>ir pārāk maz iespēju</w:t>
      </w:r>
      <w:r>
        <w:rPr>
          <w:rFonts w:ascii="Times New Roman" w:eastAsiaTheme="minorHAnsi" w:hAnsi="Times New Roman"/>
          <w:noProof/>
        </w:rPr>
        <w:t xml:space="preserve"> sameklēt potenciālos partnerus finanšu, uzņēmējdarbības un pašvaldību iestāžu vidū un stāties ar tiem attiecībās, </w:t>
      </w:r>
    </w:p>
    <w:p>
      <w:pPr>
        <w:pStyle w:val="ListParagraph"/>
        <w:numPr>
          <w:ilvl w:val="0"/>
          <w:numId w:val="22"/>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viens no lielākajiem paplašināšanās šķēršļiem ir</w:t>
      </w:r>
      <w:r>
        <w:rPr>
          <w:noProof/>
        </w:rPr>
        <w:t xml:space="preserve"> </w:t>
      </w:r>
      <w:r>
        <w:rPr>
          <w:rFonts w:ascii="Times New Roman" w:eastAsiaTheme="minorHAnsi" w:hAnsi="Times New Roman"/>
          <w:b/>
          <w:noProof/>
        </w:rPr>
        <w:t>finansējuma nepieejamība</w:t>
      </w:r>
      <w:r>
        <w:rPr>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Īsi sakot, jaunuzņēmumu un augošo uzņēmumu izaugsmes potenciālu var īpaši iegrožot joprojām pārāk lielā daudzgabalainība vienotajā tirgū</w:t>
      </w:r>
      <w:r>
        <w:rPr>
          <w:rStyle w:val="FootnoteReference"/>
          <w:rFonts w:ascii="Times New Roman" w:eastAsiaTheme="minorHAnsi" w:hAnsi="Times New Roman"/>
          <w:noProof/>
        </w:rPr>
        <w:footnoteReference w:id="15"/>
      </w:r>
      <w:r>
        <w:rPr>
          <w:rFonts w:ascii="Times New Roman" w:eastAsiaTheme="minorHAnsi" w:hAnsi="Times New Roman"/>
          <w:noProof/>
        </w:rPr>
        <w:t>. Liekas, ka regulatīvie un administratīvie šķēršļi visā ES tiem bieži atņem stimulu inovēt, pelnīt ar nemateriāliem aktīviem un izvērst darbību. Uzņēmumi mēdz aiziet no ES jurisdikcijas uz vietām ar lielāku izaugsmes potenciālu, un iznākumā ES var zust darba vietas.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Eiropas publiskā sektora iestādēm, jaunuzņēmumiem un to darījumpartneriem jārīkojas kolektīvi, lai nepieļautu, ka jaunuzņēmumu centieni ir veltīgi. Ir vajadzīga partnerība ar valstu, reģionu un pašvaldību iestādēm, it īpaši ar pašiem jaunuzņēmumiem. Te vajadzīgs arī, lai iestādes veicinātu apstākļus, kuros jaunuzņēmumi var paplašināties. Jaunuzņēmumi no savas puses var radīt darba vietas, konkurēt tirgū un uzņemties sociālo atbildību. Nesenais Augošo uzņēmumu Eiropas manifests</w:t>
      </w:r>
      <w:r>
        <w:rPr>
          <w:rStyle w:val="FootnoteReference"/>
          <w:rFonts w:ascii="Times New Roman" w:eastAsiaTheme="minorHAnsi" w:hAnsi="Times New Roman"/>
          <w:noProof/>
        </w:rPr>
        <w:footnoteReference w:id="16"/>
      </w:r>
      <w:r>
        <w:rPr>
          <w:rFonts w:ascii="Times New Roman" w:eastAsiaTheme="minorHAnsi" w:hAnsi="Times New Roman"/>
          <w:noProof/>
        </w:rPr>
        <w:t xml:space="preserve"> liecina, ka jaunuzņēmumi ir gatavi iesaistīties. Komisija apsveic šo iniciatīvu, kas nākusi no praktiskas darbības veicējiem, un tās ieteikumi ir devuši Komisijai vielu pārdomām par šiem jautājumiem.</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Iniciatīva risina trīs jautājumus: </w:t>
      </w:r>
      <w:r>
        <w:rPr>
          <w:rFonts w:ascii="Times New Roman" w:eastAsiaTheme="minorHAnsi" w:hAnsi="Times New Roman"/>
          <w:b/>
          <w:noProof/>
        </w:rPr>
        <w:t>šķēršļi</w:t>
      </w:r>
      <w:r>
        <w:rPr>
          <w:rFonts w:ascii="Times New Roman" w:eastAsiaTheme="minorHAnsi" w:hAnsi="Times New Roman"/>
          <w:noProof/>
        </w:rPr>
        <w:t>,</w:t>
      </w:r>
      <w:r>
        <w:rPr>
          <w:rFonts w:ascii="Times New Roman" w:eastAsiaTheme="minorHAnsi" w:hAnsi="Times New Roman"/>
          <w:b/>
          <w:noProof/>
        </w:rPr>
        <w:t xml:space="preserve"> partneru un iespēju trūkums</w:t>
      </w:r>
      <w:r>
        <w:rPr>
          <w:rFonts w:ascii="Times New Roman" w:eastAsiaTheme="minorHAnsi" w:hAnsi="Times New Roman"/>
          <w:noProof/>
        </w:rPr>
        <w:t>,</w:t>
      </w:r>
      <w:r>
        <w:rPr>
          <w:rFonts w:ascii="Times New Roman" w:eastAsiaTheme="minorHAnsi" w:hAnsi="Times New Roman"/>
          <w:b/>
          <w:noProof/>
        </w:rPr>
        <w:t xml:space="preserve"> grūtības ar finansējumu</w:t>
      </w:r>
      <w:r>
        <w:rPr>
          <w:rFonts w:ascii="Times New Roman" w:eastAsiaTheme="minorHAnsi" w:hAnsi="Times New Roman"/>
          <w:noProof/>
        </w:rPr>
        <w:t>. Tās pamatā ir:</w:t>
      </w:r>
    </w:p>
    <w:p>
      <w:pPr>
        <w:pStyle w:val="ListParagraph"/>
        <w:numPr>
          <w:ilvl w:val="0"/>
          <w:numId w:val="23"/>
        </w:numPr>
        <w:spacing w:after="120" w:line="240" w:lineRule="auto"/>
        <w:jc w:val="both"/>
        <w:rPr>
          <w:rFonts w:ascii="Times New Roman" w:eastAsiaTheme="minorHAnsi" w:hAnsi="Times New Roman" w:cs="Times New Roman"/>
          <w:noProof/>
        </w:rPr>
      </w:pPr>
      <w:r>
        <w:rPr>
          <w:rFonts w:ascii="Times New Roman" w:eastAsiaTheme="minorHAnsi" w:hAnsi="Times New Roman"/>
          <w:b/>
          <w:noProof/>
        </w:rPr>
        <w:t>koordinēta pieeja</w:t>
      </w:r>
      <w:r>
        <w:rPr>
          <w:rFonts w:ascii="Times New Roman" w:eastAsiaTheme="minorHAnsi" w:hAnsi="Times New Roman"/>
          <w:noProof/>
        </w:rPr>
        <w:t xml:space="preserve"> visās ES politikas jomās, esošo un izstrādājamo pasākumu izvēršana, ieskaitot nozaru pieeju, piemēram, kosmosa nozarē,</w:t>
      </w:r>
    </w:p>
    <w:p>
      <w:pPr>
        <w:pStyle w:val="ListParagraph"/>
        <w:numPr>
          <w:ilvl w:val="0"/>
          <w:numId w:val="23"/>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ierobežotu un mērķētu </w:t>
      </w:r>
      <w:r>
        <w:rPr>
          <w:rFonts w:ascii="Times New Roman" w:eastAsiaTheme="minorHAnsi" w:hAnsi="Times New Roman"/>
          <w:b/>
          <w:noProof/>
        </w:rPr>
        <w:t>praktisku pasākumu</w:t>
      </w:r>
      <w:r>
        <w:rPr>
          <w:rFonts w:ascii="Times New Roman" w:eastAsiaTheme="minorHAnsi" w:hAnsi="Times New Roman"/>
          <w:noProof/>
        </w:rPr>
        <w:t xml:space="preserve"> virkne un, pats galvenais —</w:t>
      </w:r>
    </w:p>
    <w:p>
      <w:pPr>
        <w:pStyle w:val="ListParagraph"/>
        <w:numPr>
          <w:ilvl w:val="0"/>
          <w:numId w:val="23"/>
        </w:numPr>
        <w:spacing w:after="120" w:line="240" w:lineRule="auto"/>
        <w:jc w:val="both"/>
        <w:rPr>
          <w:rFonts w:ascii="Times New Roman" w:eastAsiaTheme="minorHAnsi" w:hAnsi="Times New Roman" w:cs="Times New Roman"/>
          <w:noProof/>
        </w:rPr>
      </w:pPr>
      <w:r>
        <w:rPr>
          <w:rFonts w:ascii="Times New Roman" w:eastAsiaTheme="minorHAnsi" w:hAnsi="Times New Roman"/>
          <w:b/>
          <w:noProof/>
        </w:rPr>
        <w:t>partnerība</w:t>
      </w:r>
      <w:r>
        <w:rPr>
          <w:rFonts w:ascii="Times New Roman" w:eastAsiaTheme="minorHAnsi" w:hAnsi="Times New Roman"/>
          <w:noProof/>
        </w:rPr>
        <w:t>.</w:t>
      </w:r>
    </w:p>
    <w:p>
      <w:pPr>
        <w:spacing w:after="120" w:line="240" w:lineRule="auto"/>
        <w:jc w:val="both"/>
        <w:rPr>
          <w:rFonts w:ascii="Times New Roman" w:eastAsiaTheme="minorHAnsi" w:hAnsi="Times New Roman" w:cs="Times New Roman"/>
          <w:noProof/>
        </w:rPr>
      </w:pPr>
    </w:p>
    <w:p>
      <w:pPr>
        <w:pStyle w:val="Heading2"/>
        <w:rPr>
          <w:smallCaps/>
          <w:noProof/>
        </w:rPr>
      </w:pPr>
      <w:r>
        <w:rPr>
          <w:noProof/>
        </w:rPr>
        <w:t>2.</w:t>
      </w:r>
      <w:r>
        <w:rPr>
          <w:noProof/>
        </w:rPr>
        <w:tab/>
      </w:r>
      <w:r>
        <w:rPr>
          <w:smallCaps/>
          <w:noProof/>
        </w:rPr>
        <w:t>Šķēršļu novākšana</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Daudziem novatoriskiem jauniem uzņēmumiem ir bail, ka, izauguši pārāk lieli, tie cietīs no apgrūtinošākiem noteikumiem, arī bez kādas pārrobežu izplešanās. Daudzas pašreizējās iniciatīvas ar mērķi pazemināt šķēršļus pārrobežu darbībām aptver ne tikai jaunuzņēmumus, bet tām var būt īpaši labvēlīga ietekme uz jaunuzņēmumiem – tās ir, piemēram, sadarbīgās ekonomikas izveides darbs</w:t>
      </w:r>
      <w:r>
        <w:rPr>
          <w:rStyle w:val="FootnoteReference"/>
          <w:rFonts w:ascii="Times New Roman" w:eastAsiaTheme="minorHAnsi" w:hAnsi="Times New Roman"/>
          <w:noProof/>
        </w:rPr>
        <w:footnoteReference w:id="17"/>
      </w:r>
      <w:r>
        <w:rPr>
          <w:rFonts w:ascii="Times New Roman" w:eastAsiaTheme="minorHAnsi" w:hAnsi="Times New Roman"/>
          <w:noProof/>
        </w:rPr>
        <w:t>, iniciatīvas ar mērķi vēl vairāk uzlabot pakalpojumu sniegšanu vienotajā tirgū un e-pārvaldi vai IKT standartizācijas prioritātes</w:t>
      </w:r>
      <w:r>
        <w:rPr>
          <w:rStyle w:val="FootnoteReference"/>
          <w:rFonts w:ascii="Times New Roman" w:eastAsiaTheme="minorHAnsi" w:hAnsi="Times New Roman"/>
          <w:noProof/>
        </w:rPr>
        <w:footnoteReference w:id="18"/>
      </w:r>
      <w:r>
        <w:rPr>
          <w:rFonts w:ascii="Times New Roman" w:eastAsiaTheme="minorHAnsi" w:hAnsi="Times New Roman"/>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Vissvarīgākais: </w:t>
      </w:r>
      <w:r>
        <w:rPr>
          <w:rFonts w:ascii="Times New Roman" w:eastAsiaTheme="minorHAnsi" w:hAnsi="Times New Roman"/>
          <w:b/>
          <w:noProof/>
        </w:rPr>
        <w:t>normatīvo un administratīvo prasību un formalitāšu</w:t>
      </w:r>
      <w:r>
        <w:rPr>
          <w:rFonts w:ascii="Times New Roman" w:eastAsiaTheme="minorHAnsi" w:hAnsi="Times New Roman"/>
          <w:noProof/>
        </w:rPr>
        <w:t xml:space="preserve"> apzināšana un izpilde var būt laikietilpīga, bet </w:t>
      </w:r>
      <w:r>
        <w:rPr>
          <w:rFonts w:ascii="Times New Roman" w:eastAsiaTheme="minorHAnsi" w:hAnsi="Times New Roman"/>
          <w:b/>
          <w:noProof/>
        </w:rPr>
        <w:t>informācija</w:t>
      </w:r>
      <w:r>
        <w:rPr>
          <w:rFonts w:ascii="Times New Roman" w:eastAsiaTheme="minorHAnsi" w:hAnsi="Times New Roman"/>
          <w:noProof/>
        </w:rPr>
        <w:t xml:space="preserve"> par valsts un ES normām bieži vien ir izklaidus un grūti uztverama. Visu nodokļu, uzņēmējdarbības tiesību, darba tiesību un citādu prasību izprašana ir liels pārbaudījums, it sevišķi jaunuzņēmumam ar ierobežotiem resursiem vai kompetenci šajā jomā. Apspriešanā atklājās, ka pat tad, kad jaunuzņēmumi visas attiecīgās prasības ir izpratuši un izpildījuši, viņiem tās liekas pārlielu smaga nasta. Turpat 40 % respondentu atzīst, ka paplašināšanās ir grūtāka, nekā cerēts. </w:t>
      </w:r>
    </w:p>
    <w:p>
      <w:pPr>
        <w:spacing w:after="120" w:line="240" w:lineRule="auto"/>
        <w:jc w:val="both"/>
        <w:rPr>
          <w:rFonts w:ascii="Times New Roman" w:eastAsiaTheme="minorHAnsi" w:hAnsi="Times New Roman" w:cs="Times New Roman"/>
          <w:noProof/>
        </w:rPr>
      </w:pPr>
      <w:r>
        <w:rPr>
          <w:rFonts w:ascii="Times New Roman" w:hAnsi="Times New Roman"/>
          <w:noProof/>
        </w:rPr>
        <w:t>Jaunuzņēmumiem, sevišķi digitālajiem, izrādās grūti nolīgt personālu citās ES valstīs (atšķiras nodokļu un nodarbinātības normas). Meitasuzņēmuma izveidošana bieži ir pārāk apgrūtinoša un neatbilst vajadzībām (piemēram, nolīgt tikai vienu personu).</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Tādēļ publiskās pārvaldes iestādēm visos līmeņos — vietējā, reģiona, valsts un Eiropas — ir kas jādara, lai novāktu nevajadzīgos šķēršļus un apgrūtinājumus un palīdzētu uzņēmumiem pārvarēt neizbēgamos šķēršļus.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Vairākās no šīm jomām Komisija jau ir lēmusi rīkoties un izziņojusi turpmākus pasākumus</w:t>
      </w:r>
      <w:r>
        <w:rPr>
          <w:rStyle w:val="FootnoteReference"/>
          <w:rFonts w:ascii="Times New Roman" w:eastAsiaTheme="minorHAnsi" w:hAnsi="Times New Roman"/>
          <w:noProof/>
        </w:rPr>
        <w:footnoteReference w:id="19"/>
      </w:r>
      <w:r>
        <w:rPr>
          <w:rFonts w:ascii="Times New Roman" w:eastAsiaTheme="minorHAnsi" w:hAnsi="Times New Roman"/>
          <w:noProof/>
        </w:rPr>
        <w:t>. 2017. gadā Komisija iecerējusi iesniegt iniciatīvu par vienoto digitālo vārteju, kas ļautu pilsoņiem un uzņēmumiem viegli piekļūt vienotā tirgus informācijai, e-procedūrām, palīdzībai, konsultācijām un problēmu risināšanas pakalpojumiem, kā arī dotu iespējas pārrobežu procedūras izpildīt tiešsaistē</w:t>
      </w:r>
      <w:r>
        <w:rPr>
          <w:rStyle w:val="FootnoteReference"/>
          <w:rFonts w:ascii="Times New Roman" w:eastAsiaTheme="minorHAnsi" w:hAnsi="Times New Roman"/>
          <w:noProof/>
        </w:rPr>
        <w:footnoteReference w:id="20"/>
      </w:r>
      <w:r>
        <w:rPr>
          <w:rFonts w:ascii="Times New Roman" w:eastAsiaTheme="minorHAnsi" w:hAnsi="Times New Roman"/>
          <w:noProof/>
        </w:rPr>
        <w:t>.</w:t>
      </w:r>
    </w:p>
    <w:p>
      <w:pPr>
        <w:spacing w:after="120" w:line="240" w:lineRule="auto"/>
        <w:jc w:val="both"/>
        <w:rPr>
          <w:noProof/>
        </w:rPr>
      </w:pPr>
      <w:r>
        <w:rPr>
          <w:rFonts w:ascii="Times New Roman" w:eastAsiaTheme="minorHAnsi" w:hAnsi="Times New Roman"/>
          <w:noProof/>
        </w:rPr>
        <w:t xml:space="preserve">Dalībvalstu ekspertu grupā valstu iestādes ar "Apvāršņa 2020" politikas atbalsta instrumentu pēta jaunuzņēmumu vispārējo regulējumu, tā dodot iespēju atsevišķām dalībvalstīm prasīt ieteikumus par tādu uzņēmumu darbības satvara uzlabošanu. Gādājot par to, lai Komisijas un dalībvalstu rīcībā būtu detalizēta informācija un liecības par jaunuzņēmumiem un augošajiem uzņēmumiem, Komisija ar pārkārtoto </w:t>
      </w:r>
      <w:r>
        <w:rPr>
          <w:rFonts w:ascii="Times New Roman" w:eastAsiaTheme="minorHAnsi" w:hAnsi="Times New Roman"/>
          <w:b/>
          <w:noProof/>
        </w:rPr>
        <w:t>Eiropas uzņēmumu puduru un rūpniecības pārmaiņu novērošanas centru</w:t>
      </w:r>
      <w:r>
        <w:rPr>
          <w:rStyle w:val="FootnoteReference"/>
          <w:rFonts w:ascii="Times New Roman" w:eastAsiaTheme="minorHAnsi" w:hAnsi="Times New Roman"/>
          <w:b/>
          <w:noProof/>
        </w:rPr>
        <w:footnoteReference w:id="21"/>
      </w:r>
      <w:r>
        <w:rPr>
          <w:rFonts w:ascii="Times New Roman" w:eastAsiaTheme="minorHAnsi" w:hAnsi="Times New Roman"/>
          <w:noProof/>
        </w:rPr>
        <w:t xml:space="preserve"> pirmoreiz sistemātiski savāks ziņas par jaunuzņēmumiem un augošajiem uzņēmumiem, veiks sīku analīzi un sniegs atsauksmes un pierādījumus dalībvalstīm, kas tām palīdzēs uzlabot politikas veidošanu un racionalizēt īstenošanas rīkus.</w:t>
      </w:r>
      <w:r>
        <w:rPr>
          <w:noProof/>
        </w:rPr>
        <w:t xml:space="preserve">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Otrkārt, jaunuzņēmumiem īpašas raizes sagādā </w:t>
      </w:r>
      <w:r>
        <w:rPr>
          <w:rFonts w:ascii="Times New Roman" w:eastAsiaTheme="minorHAnsi" w:hAnsi="Times New Roman"/>
          <w:b/>
          <w:noProof/>
        </w:rPr>
        <w:t>nodokļi un 28 dažādu nodokļu režīmu prasību izpildes smagā nasta</w:t>
      </w:r>
      <w:r>
        <w:rPr>
          <w:rFonts w:ascii="Times New Roman" w:eastAsiaTheme="minorHAnsi" w:hAnsi="Times New Roman"/>
          <w:noProof/>
        </w:rPr>
        <w:t xml:space="preserve"> – 58 % respondentu Komisijas rīkotajā apspriešanā ziņojuši par augstām nodokļu saistību izpildes izmaksām. Mazie un vidējie uzņēmumi (MVU) aptuveni 30 % no visām ar nodokļiem saistītajām izmaksām tērē nodokļu saistību izpildei, un skaitlis ir vēl lielāks, ja viņi paplašinās aiz robežām</w:t>
      </w:r>
      <w:r>
        <w:rPr>
          <w:rStyle w:val="FootnoteReference"/>
          <w:rFonts w:ascii="Times New Roman" w:eastAsiaTheme="minorHAnsi" w:hAnsi="Times New Roman"/>
          <w:noProof/>
        </w:rPr>
        <w:footnoteReference w:id="22"/>
      </w:r>
      <w:r>
        <w:rPr>
          <w:rFonts w:ascii="Times New Roman" w:eastAsiaTheme="minorHAnsi" w:hAnsi="Times New Roman"/>
          <w:noProof/>
        </w:rPr>
        <w:t xml:space="preserve">. Problēmas atrisinājums radītu taustāmas pārmaiņas un varētu palīdzēt jaunuzņēmumu izaugsmē. </w:t>
      </w:r>
    </w:p>
    <w:p>
      <w:pPr>
        <w:spacing w:after="120" w:line="240" w:lineRule="auto"/>
        <w:jc w:val="both"/>
        <w:rPr>
          <w:noProof/>
        </w:rPr>
      </w:pPr>
      <w:r>
        <w:rPr>
          <w:rFonts w:ascii="Times New Roman" w:eastAsiaTheme="minorHAnsi" w:hAnsi="Times New Roman"/>
          <w:noProof/>
        </w:rPr>
        <w:t>Komisijas 2016. gada 6. aprīlī pieņemtajā rīcības plānā jau skaidrots, ka modernizēt un vienkāršot pievienotās vērtības nodokļa (PVN) sistēmu, kas attiecas uz pārrobežu tirdzniecību ES teritorijā, Komisija plāno, radot vienotu PVN zonu</w:t>
      </w:r>
      <w:r>
        <w:rPr>
          <w:rStyle w:val="FootnoteReference"/>
          <w:rFonts w:ascii="Times New Roman" w:eastAsiaTheme="minorHAnsi" w:hAnsi="Times New Roman"/>
          <w:noProof/>
        </w:rPr>
        <w:footnoteReference w:id="23"/>
      </w:r>
      <w:r>
        <w:rPr>
          <w:rFonts w:ascii="Times New Roman" w:eastAsiaTheme="minorHAnsi" w:hAnsi="Times New Roman"/>
          <w:noProof/>
        </w:rPr>
        <w:t>. Tāpēc tuvākajos mēnešos tā nāks klajā ar vispusīgu pasākumu kompleksu, kam jāmazina ES PVN sistēmas sarežģītība un neviengabalainība, tādējādi radot vidi, kas veicina uzņēmumu izaugsmi un ir labvēlīga pārrobežu tirdzniecībai. Nākamajās nedēļās Komisija liks priekšā vienkāršot viena lodziņa minishēmu (</w:t>
      </w:r>
      <w:r>
        <w:rPr>
          <w:rFonts w:ascii="Times New Roman" w:eastAsiaTheme="minorHAnsi" w:hAnsi="Times New Roman"/>
          <w:i/>
          <w:noProof/>
        </w:rPr>
        <w:t>MOSS</w:t>
      </w:r>
      <w:r>
        <w:rPr>
          <w:rFonts w:ascii="Times New Roman" w:eastAsiaTheme="minorHAnsi" w:hAnsi="Times New Roman"/>
          <w:noProof/>
        </w:rPr>
        <w:t>) un to attiecināt arī uz preču un citu pakalpojumu pārrobežu piegādēm no uzņēmumiem patērētājiem. 2017. gadā tā nāks klajā ar mērķtiecīgu MVU, ieskaitot jaunuzņēmumus, PVN vienkāršošanas paketi.</w:t>
      </w:r>
      <w:r>
        <w:rPr>
          <w:noProof/>
        </w:rPr>
        <w:t xml:space="preserve"> </w:t>
      </w:r>
      <w:r>
        <w:rPr>
          <w:rFonts w:ascii="Times New Roman" w:eastAsiaTheme="minorHAnsi" w:hAnsi="Times New Roman"/>
          <w:noProof/>
        </w:rPr>
        <w:t>Tā arī ierosinās PVN galīgo režīmu pārrobežu tirdzniecībai ES iekšienē, kas vēl vairāk samazinās nastu jaunuzņēmumiem un augošiem uzņēmumiem.</w:t>
      </w:r>
      <w:r>
        <w:rPr>
          <w:noProof/>
        </w:rPr>
        <w:t xml:space="preserve"> </w:t>
      </w:r>
    </w:p>
    <w:p>
      <w:pPr>
        <w:spacing w:after="120" w:line="240" w:lineRule="auto"/>
        <w:jc w:val="both"/>
        <w:rPr>
          <w:noProof/>
        </w:rPr>
      </w:pPr>
      <w:r>
        <w:rPr>
          <w:rFonts w:ascii="Times New Roman" w:hAnsi="Times New Roman"/>
          <w:noProof/>
        </w:rPr>
        <w:t>Bez tam starp nesen pieņemtajiem priekšlikumiem atjaunot kopējo konsolidētā uzņēmumu ienākuma nodokļa bāzi (</w:t>
      </w:r>
      <w:r>
        <w:rPr>
          <w:rFonts w:ascii="Times New Roman" w:hAnsi="Times New Roman"/>
          <w:i/>
          <w:noProof/>
        </w:rPr>
        <w:t>CCCTB</w:t>
      </w:r>
      <w:r>
        <w:rPr>
          <w:rFonts w:ascii="Times New Roman" w:hAnsi="Times New Roman"/>
          <w:noProof/>
        </w:rPr>
        <w:t xml:space="preserve">) ir iniciatīvas par uzņēmumu izaugsmi un paplašināšanos pāri robežām vienotajā tirgū. Konkrēti, novatoriskiem jaunuzņēmumiem un augošiem uzņēmumiem, kuri izraudzītos </w:t>
      </w:r>
      <w:r>
        <w:rPr>
          <w:rFonts w:ascii="Times New Roman" w:hAnsi="Times New Roman"/>
          <w:i/>
          <w:noProof/>
        </w:rPr>
        <w:t>CCCTB</w:t>
      </w:r>
      <w:r>
        <w:rPr>
          <w:rFonts w:ascii="Times New Roman" w:hAnsi="Times New Roman"/>
          <w:noProof/>
        </w:rPr>
        <w:t xml:space="preserve"> izmantot, būtu īpaši izdevīgs ar pētniecību un izstrādi saistīts nodokļa atskaitījums un atvieglojums, kas nodrošinātu pašu kapitāla un aizņēmuma finansēšanas līdztiesīgu traktējumu nodokļu aspektā</w:t>
      </w:r>
      <w:r>
        <w:rPr>
          <w:rStyle w:val="FootnoteReference"/>
          <w:rFonts w:ascii="Times New Roman" w:hAnsi="Times New Roman"/>
          <w:noProof/>
        </w:rPr>
        <w:footnoteReference w:id="24"/>
      </w:r>
      <w:r>
        <w:rPr>
          <w:rFonts w:ascii="Times New Roman" w:hAnsi="Times New Roman"/>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Treškārt, godīgi riskētāji pārāk bieži tiek pakļauti nelietderīgām un pārilgām </w:t>
      </w:r>
      <w:r>
        <w:rPr>
          <w:rFonts w:ascii="Times New Roman" w:eastAsiaTheme="minorHAnsi" w:hAnsi="Times New Roman"/>
          <w:b/>
          <w:noProof/>
        </w:rPr>
        <w:t>maksātnespējas procedūrām</w:t>
      </w:r>
      <w:r>
        <w:rPr>
          <w:rFonts w:ascii="Times New Roman" w:eastAsiaTheme="minorHAnsi" w:hAnsi="Times New Roman"/>
          <w:noProof/>
        </w:rPr>
        <w:t xml:space="preserve">. Pie tam darbotiesspējīgiem uzņēmumiem nav iespējas pārstrukturēties. Turklāt liekas, ka ir ļoti maz "otro iespēju" godīgiem parādu apkrautiem uzņēmējiem, lai gan neveiksme mēdz būt daļa no sekmīga uzņēmēja karjeras. Bailes no neveiksmes un soda par to var laupīt drosmi ieguldīt, lai paplašinātos.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 </w:t>
      </w:r>
      <w:r>
        <w:rPr>
          <w:rFonts w:ascii="Times New Roman" w:eastAsiaTheme="minorHAnsi" w:hAnsi="Times New Roman"/>
          <w:b/>
          <w:noProof/>
        </w:rPr>
        <w:t>Uzņēmējdarbības un maksātnespējas normu</w:t>
      </w:r>
      <w:r>
        <w:rPr>
          <w:rFonts w:ascii="Times New Roman" w:eastAsiaTheme="minorHAnsi" w:hAnsi="Times New Roman"/>
          <w:noProof/>
        </w:rPr>
        <w:t xml:space="preserve"> aspektā Komisija tagad ir pieņēmusi likumdošanas instrumentu, kas i) garantēs laicīgas brīdināšanas mehānisma un pārstrukturēšanas regulējuma pieejamību dalībvalstīs, lai varētu atjaunot darbotiesspēju un nepiedzīvot maksātnespēju, sevišķi MVU, ii) dos otru iespēju atsevišķiem godīgiem uzņēmējiem ar pārmērīgu parādu nastu, atlaižot tiem parādus, un iii) uzlabos pārstrukturēšanas, maksātnespējas un parāda atlaišanas precedūru lietderību. Komisijai ir arī nodoms 2017. gadā iepazīstināt ar iniciatīvu uzņēmējdarbības tiesībās, kas atvieglinātu ciparu tehnoloģiju izmantošanu visā uzņēmuma pastāvēšanas laikā, it sevišķi saistībā ar reģistrēšanos un uzņēmuma dokumentu iesniegšanu un informēšanu, un uzņēmumu pārrobežu apvienošanās un sadalīšanās jautājumos, kas aptvertu arī atjauninātus noteikumus par pārrobežu apvienošanos un tos papildinošus noteikumus par pārrobežu sadalīšanos. Kā izziņots digitālā vienotā tirgus stratēģijā un e-pārvaldes rīcības plānā, ar dalībvalstu līdzdalību uzņēmumu un pārvaldes sadarbības jomā 2016. gadā tiks sākts plašs vienreizējas iesniegšanas principa pārrobežu iedzīvināšanas izmēģinājuma projekts</w:t>
      </w:r>
      <w:r>
        <w:rPr>
          <w:rStyle w:val="FootnoteReference"/>
          <w:rFonts w:ascii="Times New Roman" w:eastAsiaTheme="minorHAnsi" w:hAnsi="Times New Roman"/>
          <w:noProof/>
        </w:rPr>
        <w:footnoteReference w:id="25"/>
      </w:r>
      <w:r>
        <w:rPr>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Ceturtkārt, </w:t>
      </w:r>
      <w:r>
        <w:rPr>
          <w:rFonts w:ascii="Times New Roman" w:eastAsiaTheme="minorHAnsi" w:hAnsi="Times New Roman"/>
          <w:b/>
          <w:noProof/>
        </w:rPr>
        <w:t>darba tiesību</w:t>
      </w:r>
      <w:r>
        <w:rPr>
          <w:rFonts w:ascii="Times New Roman" w:eastAsiaTheme="minorHAnsi" w:hAnsi="Times New Roman"/>
          <w:noProof/>
        </w:rPr>
        <w:t xml:space="preserve"> jomā Komisija turpinās atvieglināt darba ņēmēju tiesību ievērošanu un respektēšanu jaunuzņēmumos, tostarp ES darba laika un veselības un drošības normu ziņā.</w:t>
      </w:r>
    </w:p>
    <w:p>
      <w:pPr>
        <w:spacing w:after="120" w:line="240" w:lineRule="auto"/>
        <w:jc w:val="both"/>
        <w:rPr>
          <w:noProof/>
        </w:rPr>
      </w:pPr>
      <w:r>
        <w:rPr>
          <w:rFonts w:ascii="Times New Roman" w:eastAsiaTheme="minorHAnsi" w:hAnsi="Times New Roman"/>
          <w:noProof/>
        </w:rPr>
        <w:t xml:space="preserve">Papildus tam ES turpinās izmantot </w:t>
      </w:r>
      <w:r>
        <w:rPr>
          <w:rFonts w:ascii="Times New Roman" w:hAnsi="Times New Roman"/>
          <w:b/>
          <w:noProof/>
        </w:rPr>
        <w:t>tirdzniecības</w:t>
      </w:r>
      <w:r>
        <w:rPr>
          <w:rFonts w:ascii="Times New Roman" w:eastAsiaTheme="minorHAnsi" w:hAnsi="Times New Roman"/>
          <w:noProof/>
        </w:rPr>
        <w:t xml:space="preserve"> politiku, lai dotu iespējas jaunuzņēmumiem </w:t>
      </w:r>
      <w:r>
        <w:rPr>
          <w:rFonts w:ascii="Times New Roman" w:hAnsi="Times New Roman"/>
          <w:noProof/>
        </w:rPr>
        <w:t xml:space="preserve">un augošiem uzņēmumiem </w:t>
      </w:r>
      <w:r>
        <w:rPr>
          <w:rFonts w:ascii="Times New Roman" w:eastAsiaTheme="minorHAnsi" w:hAnsi="Times New Roman"/>
          <w:noProof/>
        </w:rPr>
        <w:t>paplašināties ārvalstu tirgos, sevišķi ar tirdzniecības nolīgumiem un piemērotiem paredzamu un skaidru tirdzniecības noteikumu nodrošināšanas pasākumiem.</w:t>
      </w:r>
    </w:p>
    <w:p>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heme="minorHAnsi" w:hAnsi="Times New Roman" w:cs="Times New Roman"/>
          <w:b/>
          <w:i/>
          <w:noProof/>
        </w:rPr>
      </w:pPr>
      <w:r>
        <w:rPr>
          <w:rFonts w:ascii="Times New Roman" w:eastAsiaTheme="minorHAnsi" w:hAnsi="Times New Roman"/>
          <w:b/>
          <w:i/>
          <w:noProof/>
        </w:rPr>
        <w:t>Turpmākie pasākumi</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 xml:space="preserve">Komisija kopā ar Eiropas Parlamentu un kopā ar Padomi un Eiropas Parlamentu centīsies nodrošināt, ka laikus tiek pieņemts un īstenots priekšlikums par </w:t>
      </w:r>
      <w:r>
        <w:rPr>
          <w:rFonts w:ascii="Times New Roman" w:eastAsiaTheme="minorHAnsi" w:hAnsi="Times New Roman"/>
          <w:b/>
          <w:i/>
          <w:noProof/>
        </w:rPr>
        <w:t>preventīvās pārstrukturēšanas mehānismiem</w:t>
      </w:r>
      <w:r>
        <w:rPr>
          <w:rFonts w:ascii="Times New Roman" w:eastAsiaTheme="minorHAnsi" w:hAnsi="Times New Roman"/>
          <w:i/>
          <w:noProof/>
        </w:rPr>
        <w:t xml:space="preserve">, </w:t>
      </w:r>
      <w:r>
        <w:rPr>
          <w:rFonts w:ascii="Times New Roman" w:eastAsiaTheme="minorHAnsi" w:hAnsi="Times New Roman"/>
          <w:b/>
          <w:i/>
          <w:noProof/>
        </w:rPr>
        <w:t>otru iespēju godīgiem uzņēmējiem</w:t>
      </w:r>
      <w:r>
        <w:rPr>
          <w:rFonts w:ascii="Times New Roman" w:eastAsiaTheme="minorHAnsi" w:hAnsi="Times New Roman"/>
          <w:i/>
          <w:noProof/>
        </w:rPr>
        <w:t xml:space="preserve"> </w:t>
      </w:r>
      <w:r>
        <w:rPr>
          <w:rFonts w:ascii="Times New Roman" w:eastAsiaTheme="minorHAnsi" w:hAnsi="Times New Roman"/>
          <w:b/>
          <w:i/>
          <w:noProof/>
        </w:rPr>
        <w:t>un pārstrukturēšanas, maksātnespējas un parāda atlaišanas procedūru augstāku lietderību.</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Komisija izvērsīs gaidāmos norādījumus par dalībvalstu riska kapitāla nodokļa režīma labāko praksi</w:t>
      </w:r>
      <w:r>
        <w:rPr>
          <w:rFonts w:ascii="Times New Roman" w:eastAsiaTheme="minorHAnsi" w:hAnsi="Times New Roman"/>
          <w:b/>
          <w:i/>
          <w:noProof/>
        </w:rPr>
        <w:t>.</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 xml:space="preserve">-      Lai palīdzētu jaunuzņēmumiem un augošiem uzņēmumiem orientēties izkliedētos informācijas avotos, </w:t>
      </w:r>
      <w:r>
        <w:rPr>
          <w:rFonts w:ascii="Times New Roman" w:eastAsiaTheme="minorHAnsi" w:hAnsi="Times New Roman"/>
          <w:b/>
          <w:i/>
          <w:noProof/>
        </w:rPr>
        <w:t>Eiropas Biznesa atbalsta tīkls (EEN) papildinās savu konsultatīvo dienestu</w:t>
      </w:r>
      <w:r>
        <w:rPr>
          <w:rFonts w:ascii="Times New Roman" w:eastAsiaTheme="minorHAnsi" w:hAnsi="Times New Roman"/>
          <w:i/>
          <w:noProof/>
        </w:rPr>
        <w:t xml:space="preserve"> ar specializētiem paplašināšanās konsultantiem tādos jautājumos kā attiecīgās valstu un Eiropas normas, finansēšanas iespējas, partnerība, un kā piekļūt pārrobežu publiskajam iepirkumam, saistīties ar Jaunuzņēmumu Eiropu un MVU piekļuvi digitālās inovācijas centriem un MVU ražošanas izmēģinājuma līnijām saskaņā ar "Apvārsni 2020".</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2017. gadā</w:t>
      </w:r>
      <w:r>
        <w:rPr>
          <w:noProof/>
        </w:rPr>
        <w:t xml:space="preserve"> </w:t>
      </w:r>
      <w:r>
        <w:rPr>
          <w:rFonts w:ascii="Times New Roman" w:eastAsiaTheme="minorHAnsi" w:hAnsi="Times New Roman"/>
          <w:i/>
          <w:noProof/>
        </w:rPr>
        <w:t xml:space="preserve">Konkurētspējas padomes augsta līmeņa grupā Komisija atbalstīs visu dalībvalstu noteikumu un prakses jaunuzņēmumu un augošo uzņēmumu jomā </w:t>
      </w:r>
      <w:r>
        <w:rPr>
          <w:rFonts w:ascii="Times New Roman" w:eastAsiaTheme="minorHAnsi" w:hAnsi="Times New Roman"/>
          <w:b/>
          <w:i/>
          <w:noProof/>
        </w:rPr>
        <w:t>plašu, dziļu un detalizētu salīdzinošo izvērtēšanu</w:t>
      </w:r>
      <w:r>
        <w:rPr>
          <w:rFonts w:ascii="Times New Roman" w:eastAsiaTheme="minorHAnsi" w:hAnsi="Times New Roman"/>
          <w:i/>
          <w:noProof/>
        </w:rPr>
        <w:t>.</w:t>
      </w:r>
    </w:p>
    <w:p>
      <w:pPr>
        <w:pStyle w:val="Heading2"/>
        <w:rPr>
          <w:smallCaps/>
          <w:noProof/>
        </w:rPr>
      </w:pPr>
    </w:p>
    <w:p>
      <w:pPr>
        <w:pStyle w:val="Heading2"/>
        <w:rPr>
          <w:smallCaps/>
          <w:noProof/>
        </w:rPr>
      </w:pPr>
      <w:r>
        <w:rPr>
          <w:noProof/>
        </w:rPr>
        <w:t xml:space="preserve">3. </w:t>
      </w:r>
      <w:r>
        <w:rPr>
          <w:smallCaps/>
          <w:noProof/>
        </w:rPr>
        <w:t>Jaunu iespēju radīšana</w:t>
      </w:r>
    </w:p>
    <w:p>
      <w:pPr>
        <w:spacing w:after="120" w:line="240" w:lineRule="auto"/>
        <w:jc w:val="both"/>
        <w:rPr>
          <w:rFonts w:ascii="Times New Roman" w:hAnsi="Times New Roman" w:cs="Times New Roman"/>
          <w:noProof/>
        </w:rPr>
      </w:pPr>
      <w:r>
        <w:rPr>
          <w:rFonts w:ascii="Times New Roman" w:hAnsi="Times New Roman"/>
          <w:noProof/>
        </w:rPr>
        <w:t>ES un dalībvalstis varētu vēl vairāk vienkāršot jaunuzņēmumu dzīvi, tos atbalstot šādās sfērās:</w:t>
      </w:r>
    </w:p>
    <w:p>
      <w:pPr>
        <w:pStyle w:val="ListParagraph"/>
        <w:numPr>
          <w:ilvl w:val="0"/>
          <w:numId w:val="14"/>
        </w:numPr>
        <w:spacing w:after="120" w:line="240" w:lineRule="auto"/>
        <w:jc w:val="both"/>
        <w:rPr>
          <w:rFonts w:ascii="Times New Roman" w:hAnsi="Times New Roman" w:cs="Times New Roman"/>
          <w:noProof/>
        </w:rPr>
      </w:pPr>
      <w:r>
        <w:rPr>
          <w:rFonts w:ascii="Times New Roman" w:hAnsi="Times New Roman"/>
          <w:noProof/>
        </w:rPr>
        <w:t xml:space="preserve">savešana kopā ar </w:t>
      </w:r>
      <w:r>
        <w:rPr>
          <w:rFonts w:ascii="Times New Roman" w:hAnsi="Times New Roman"/>
          <w:b/>
          <w:noProof/>
        </w:rPr>
        <w:t>vajadzīgajiem partneriem</w:t>
      </w:r>
      <w:r>
        <w:rPr>
          <w:rFonts w:ascii="Times New Roman" w:hAnsi="Times New Roman"/>
          <w:noProof/>
        </w:rPr>
        <w:t xml:space="preserve"> (ieguldītājiem, darījumpartneriem, augstskolām, pētniecības centriem),</w:t>
      </w:r>
    </w:p>
    <w:p>
      <w:pPr>
        <w:pStyle w:val="ListParagraph"/>
        <w:numPr>
          <w:ilvl w:val="0"/>
          <w:numId w:val="14"/>
        </w:numPr>
        <w:spacing w:after="120" w:line="240" w:lineRule="auto"/>
        <w:jc w:val="both"/>
        <w:rPr>
          <w:rFonts w:ascii="Times New Roman" w:hAnsi="Times New Roman" w:cs="Times New Roman"/>
          <w:noProof/>
        </w:rPr>
      </w:pPr>
      <w:r>
        <w:rPr>
          <w:rFonts w:ascii="Times New Roman" w:hAnsi="Times New Roman"/>
          <w:noProof/>
        </w:rPr>
        <w:t xml:space="preserve">piekļūšana komercdarbības iespējām (sevišķi </w:t>
      </w:r>
      <w:r>
        <w:rPr>
          <w:rFonts w:ascii="Times New Roman" w:hAnsi="Times New Roman"/>
          <w:b/>
          <w:noProof/>
        </w:rPr>
        <w:t>iepirkuma</w:t>
      </w:r>
      <w:r>
        <w:rPr>
          <w:rFonts w:ascii="Times New Roman" w:hAnsi="Times New Roman"/>
          <w:noProof/>
        </w:rPr>
        <w:t xml:space="preserve"> līgumiem),</w:t>
      </w:r>
    </w:p>
    <w:p>
      <w:pPr>
        <w:pStyle w:val="ListParagraph"/>
        <w:numPr>
          <w:ilvl w:val="0"/>
          <w:numId w:val="14"/>
        </w:numPr>
        <w:spacing w:after="120" w:line="240" w:lineRule="auto"/>
        <w:jc w:val="both"/>
        <w:rPr>
          <w:rFonts w:ascii="Times New Roman" w:hAnsi="Times New Roman" w:cs="Times New Roman"/>
          <w:noProof/>
        </w:rPr>
      </w:pPr>
      <w:r>
        <w:rPr>
          <w:rFonts w:ascii="Times New Roman" w:hAnsi="Times New Roman"/>
          <w:noProof/>
        </w:rPr>
        <w:t xml:space="preserve">darbinieku ar </w:t>
      </w:r>
      <w:r>
        <w:rPr>
          <w:rFonts w:ascii="Times New Roman" w:hAnsi="Times New Roman"/>
          <w:b/>
          <w:noProof/>
        </w:rPr>
        <w:t>piemērotām prasmēm</w:t>
      </w:r>
      <w:r>
        <w:rPr>
          <w:rFonts w:ascii="Times New Roman" w:hAnsi="Times New Roman"/>
          <w:noProof/>
        </w:rPr>
        <w:t xml:space="preserve"> nolīgšana, arī no zemēm ārpus ES.</w:t>
      </w:r>
    </w:p>
    <w:p>
      <w:pPr>
        <w:pStyle w:val="Heading3"/>
        <w:rPr>
          <w:noProof/>
        </w:rPr>
      </w:pPr>
      <w:r>
        <w:rPr>
          <w:noProof/>
        </w:rPr>
        <w:t>3.1.</w:t>
      </w:r>
      <w:r>
        <w:rPr>
          <w:noProof/>
        </w:rPr>
        <w:tab/>
        <w:t>Partneri, puduri un "ekosistēmas"</w:t>
      </w:r>
    </w:p>
    <w:p>
      <w:pPr>
        <w:spacing w:after="120" w:line="240" w:lineRule="auto"/>
        <w:jc w:val="both"/>
        <w:rPr>
          <w:rFonts w:ascii="Times New Roman" w:hAnsi="Times New Roman" w:cs="Times New Roman"/>
          <w:noProof/>
        </w:rPr>
      </w:pPr>
      <w:r>
        <w:rPr>
          <w:rFonts w:ascii="Times New Roman" w:hAnsi="Times New Roman"/>
          <w:noProof/>
        </w:rPr>
        <w:t>Beidzamajos gados Komisija un ES dalībvalstis ir atbalstījušas "</w:t>
      </w:r>
      <w:r>
        <w:rPr>
          <w:rFonts w:ascii="Times New Roman" w:hAnsi="Times New Roman"/>
          <w:b/>
          <w:noProof/>
        </w:rPr>
        <w:t>kopienu</w:t>
      </w:r>
      <w:r>
        <w:rPr>
          <w:rFonts w:ascii="Times New Roman" w:hAnsi="Times New Roman"/>
          <w:noProof/>
        </w:rPr>
        <w:t>" radīšanu, lai palīdzētu jaunuzņēmumiem sazināties ar potenciāliem partneriem (kā ieguldītājiem, darījumpartneriem, augstskolām, pētniecības centriem) pasākumos, platformās, uzņēmumu puduros, tīklos un atbalstošās vietējās/reģionu "ekosistēmās"</w:t>
      </w:r>
      <w:r>
        <w:rPr>
          <w:rStyle w:val="FootnoteReference"/>
          <w:rFonts w:ascii="Times New Roman" w:hAnsi="Times New Roman"/>
          <w:noProof/>
        </w:rPr>
        <w:footnoteReference w:id="26"/>
      </w:r>
      <w:r>
        <w:rPr>
          <w:noProof/>
        </w:rPr>
        <w:t>.</w:t>
      </w:r>
      <w:r>
        <w:rPr>
          <w:rFonts w:ascii="Times New Roman" w:hAnsi="Times New Roman"/>
          <w:noProof/>
        </w:rPr>
        <w:t xml:space="preserve"> </w:t>
      </w:r>
    </w:p>
    <w:p>
      <w:pPr>
        <w:spacing w:after="120" w:line="240" w:lineRule="auto"/>
        <w:jc w:val="both"/>
        <w:rPr>
          <w:rFonts w:ascii="Times New Roman" w:hAnsi="Times New Roman" w:cs="Times New Roman"/>
          <w:noProof/>
        </w:rPr>
      </w:pPr>
      <w:r>
        <w:rPr>
          <w:rFonts w:ascii="Times New Roman" w:hAnsi="Times New Roman"/>
          <w:noProof/>
        </w:rPr>
        <w:t>ES līmenī ir parādījusies iniciatīva "Jaunuzņēmumu Eiropa", kas pazīstama kā sakaru veidotāja starp ekosistēmām</w:t>
      </w:r>
      <w:r>
        <w:rPr>
          <w:rStyle w:val="FootnoteReference"/>
          <w:rFonts w:ascii="Times New Roman" w:hAnsi="Times New Roman"/>
          <w:noProof/>
        </w:rPr>
        <w:footnoteReference w:id="27"/>
      </w:r>
      <w:r>
        <w:rPr>
          <w:rFonts w:ascii="Times New Roman" w:hAnsi="Times New Roman"/>
          <w:noProof/>
        </w:rPr>
        <w:t>, jo tā koncentrējas uz cilvēku savešanu kopā, vietējām ekosistēmām, sakariem ar citiem ekonomikas reģioniem un jaunuzņēmumu informēšanu "pie viena lodziņa".</w:t>
      </w:r>
      <w:r>
        <w:rPr>
          <w:noProof/>
        </w:rPr>
        <w:t xml:space="preserve"> </w:t>
      </w:r>
      <w:r>
        <w:rPr>
          <w:rFonts w:ascii="Times New Roman" w:hAnsi="Times New Roman"/>
          <w:noProof/>
        </w:rPr>
        <w:t>Lai gan zināmi panākumi jau gūti, darbības tiks pastiprinātas, it sevišķi partneru meklēšana ieguldītāju, sabiedrību un uzņēmēju vidū, kā arī reģionu lēmumpieņēmēju tīklošana.</w:t>
      </w:r>
    </w:p>
    <w:p>
      <w:pPr>
        <w:spacing w:after="120" w:line="240" w:lineRule="auto"/>
        <w:jc w:val="both"/>
        <w:rPr>
          <w:rFonts w:ascii="Times New Roman" w:hAnsi="Times New Roman" w:cs="Times New Roman"/>
          <w:noProof/>
        </w:rPr>
      </w:pPr>
      <w:r>
        <w:rPr>
          <w:rFonts w:ascii="Times New Roman" w:hAnsi="Times New Roman"/>
          <w:noProof/>
        </w:rPr>
        <w:t>Bez tam Eiropas Inovāciju un tehnoloģiju institūts (</w:t>
      </w:r>
      <w:r>
        <w:rPr>
          <w:rFonts w:ascii="Times New Roman" w:hAnsi="Times New Roman"/>
          <w:i/>
          <w:noProof/>
        </w:rPr>
        <w:t>EIT</w:t>
      </w:r>
      <w:r>
        <w:rPr>
          <w:rFonts w:ascii="Times New Roman" w:hAnsi="Times New Roman"/>
          <w:noProof/>
        </w:rPr>
        <w:t xml:space="preserve">) ir izveidojis virkni zināšanu un inovāciju kopienu IKT, enerģētikas, klimata pārmaiņu, veselības aprūpes un izejvielu tematiskajās jomās, kur 25 % finansē publiskais sektors, bet pārējo – privāti ieguldījumi. </w:t>
      </w:r>
      <w:r>
        <w:rPr>
          <w:rFonts w:ascii="Times New Roman" w:hAnsi="Times New Roman"/>
          <w:i/>
          <w:noProof/>
        </w:rPr>
        <w:t>EIT</w:t>
      </w:r>
      <w:r>
        <w:rPr>
          <w:rFonts w:ascii="Times New Roman" w:hAnsi="Times New Roman"/>
          <w:noProof/>
        </w:rPr>
        <w:t xml:space="preserve"> nāk talkā dažādās frontēs: uzņēmējdarbības prasmes, mentorēšana un jaunuzņēmuma paātrināšana.</w:t>
      </w:r>
    </w:p>
    <w:p>
      <w:pPr>
        <w:spacing w:after="120" w:line="240" w:lineRule="auto"/>
        <w:jc w:val="both"/>
        <w:rPr>
          <w:rFonts w:ascii="Times New Roman" w:hAnsi="Times New Roman" w:cs="Times New Roman"/>
          <w:noProof/>
        </w:rPr>
      </w:pPr>
      <w:r>
        <w:rPr>
          <w:rFonts w:ascii="Times New Roman" w:hAnsi="Times New Roman"/>
          <w:noProof/>
        </w:rPr>
        <w:t>ES ir izveidojusi arī tematiskas smalkas specializācijas platformas</w:t>
      </w:r>
      <w:r>
        <w:rPr>
          <w:rStyle w:val="FootnoteReference"/>
          <w:rFonts w:ascii="Times New Roman" w:hAnsi="Times New Roman"/>
          <w:noProof/>
        </w:rPr>
        <w:footnoteReference w:id="28"/>
      </w:r>
      <w:r>
        <w:rPr>
          <w:rFonts w:ascii="Times New Roman" w:hAnsi="Times New Roman"/>
          <w:noProof/>
        </w:rPr>
        <w:t>, kas savieno reģionus un uzņēmumus un atbalsta Eiropas strukturālo un investīciju fondu (ESI fondu) ieguldījumus jaunuzņēmumos, ko veicina reģionu tīkli un Eiropas stratēģiskās puduru partnerības. Šie projekti apvienojumā ar mērķētu atbalstu</w:t>
      </w:r>
      <w:r>
        <w:rPr>
          <w:rStyle w:val="FootnoteReference"/>
          <w:rFonts w:ascii="Times New Roman" w:hAnsi="Times New Roman"/>
          <w:noProof/>
        </w:rPr>
        <w:footnoteReference w:id="29"/>
      </w:r>
      <w:r>
        <w:rPr>
          <w:rFonts w:ascii="Times New Roman" w:hAnsi="Times New Roman"/>
          <w:noProof/>
        </w:rPr>
        <w:t xml:space="preserve"> palīdzēs radīt iespējas augošiem uzņēmumiem. Komisija mudinās dalībvalstis piedalīties šajās tematiskajās smalkas specializācijas platformās un izmantot "Apvāršņa 2020" politikas atbalsta instrumentu.</w:t>
      </w:r>
    </w:p>
    <w:p>
      <w:pPr>
        <w:spacing w:after="120" w:line="240" w:lineRule="auto"/>
        <w:jc w:val="both"/>
        <w:rPr>
          <w:rFonts w:ascii="Times New Roman" w:hAnsi="Times New Roman" w:cs="Times New Roman"/>
          <w:noProof/>
        </w:rPr>
      </w:pPr>
      <w:r>
        <w:rPr>
          <w:rFonts w:ascii="Times New Roman" w:hAnsi="Times New Roman"/>
          <w:noProof/>
        </w:rPr>
        <w:t xml:space="preserve">Par spīti šīm iniciatīvām sabiedriskā apspriešana tomēr uzrāda, ka jaunuzņēmumiem un augošajiem uzņēmumiem pienāktos </w:t>
      </w:r>
      <w:r>
        <w:rPr>
          <w:rFonts w:ascii="Times New Roman" w:hAnsi="Times New Roman"/>
          <w:b/>
          <w:noProof/>
        </w:rPr>
        <w:t>vēl vairāk koordinēts atbalsts</w:t>
      </w:r>
      <w:r>
        <w:rPr>
          <w:rFonts w:ascii="Times New Roman" w:hAnsi="Times New Roman"/>
          <w:noProof/>
        </w:rPr>
        <w:t>:</w:t>
      </w:r>
    </w:p>
    <w:p>
      <w:pPr>
        <w:pStyle w:val="ListParagraph"/>
        <w:numPr>
          <w:ilvl w:val="0"/>
          <w:numId w:val="20"/>
        </w:numPr>
        <w:spacing w:after="120" w:line="240" w:lineRule="auto"/>
        <w:jc w:val="both"/>
        <w:rPr>
          <w:rFonts w:ascii="Times New Roman" w:hAnsi="Times New Roman" w:cs="Times New Roman"/>
          <w:noProof/>
        </w:rPr>
      </w:pPr>
      <w:r>
        <w:rPr>
          <w:rFonts w:ascii="Times New Roman" w:hAnsi="Times New Roman"/>
          <w:noProof/>
        </w:rPr>
        <w:t xml:space="preserve">efektīvi savstarpēji savienotu ES apmēra puduru un ekosistēmu </w:t>
      </w:r>
      <w:r>
        <w:rPr>
          <w:rFonts w:ascii="Times New Roman" w:hAnsi="Times New Roman"/>
          <w:b/>
          <w:noProof/>
        </w:rPr>
        <w:t>kritiskā masa</w:t>
      </w:r>
      <w:r>
        <w:rPr>
          <w:rFonts w:ascii="Times New Roman" w:hAnsi="Times New Roman"/>
          <w:noProof/>
        </w:rPr>
        <w:t>,</w:t>
      </w:r>
    </w:p>
    <w:p>
      <w:pPr>
        <w:pStyle w:val="ListParagraph"/>
        <w:numPr>
          <w:ilvl w:val="0"/>
          <w:numId w:val="20"/>
        </w:numPr>
        <w:spacing w:after="120" w:line="240" w:lineRule="auto"/>
        <w:jc w:val="both"/>
        <w:rPr>
          <w:rFonts w:ascii="Times New Roman" w:hAnsi="Times New Roman" w:cs="Times New Roman"/>
          <w:noProof/>
        </w:rPr>
      </w:pPr>
      <w:r>
        <w:rPr>
          <w:rFonts w:ascii="Times New Roman" w:hAnsi="Times New Roman"/>
          <w:b/>
          <w:noProof/>
        </w:rPr>
        <w:t>paātrinātāju</w:t>
      </w:r>
      <w:r>
        <w:rPr>
          <w:rFonts w:ascii="Times New Roman" w:hAnsi="Times New Roman"/>
          <w:noProof/>
        </w:rPr>
        <w:t xml:space="preserve"> un </w:t>
      </w:r>
      <w:r>
        <w:rPr>
          <w:rFonts w:ascii="Times New Roman" w:hAnsi="Times New Roman"/>
          <w:b/>
          <w:noProof/>
        </w:rPr>
        <w:t>inkubatoru</w:t>
      </w:r>
      <w:r>
        <w:rPr>
          <w:rFonts w:ascii="Times New Roman" w:hAnsi="Times New Roman"/>
          <w:noProof/>
        </w:rPr>
        <w:t xml:space="preserve"> labāka izmantošana,</w:t>
      </w:r>
    </w:p>
    <w:p>
      <w:pPr>
        <w:pStyle w:val="ListParagraph"/>
        <w:numPr>
          <w:ilvl w:val="0"/>
          <w:numId w:val="20"/>
        </w:numPr>
        <w:spacing w:after="120" w:line="240" w:lineRule="auto"/>
        <w:jc w:val="both"/>
        <w:rPr>
          <w:rFonts w:ascii="Times New Roman" w:hAnsi="Times New Roman" w:cs="Times New Roman"/>
          <w:noProof/>
        </w:rPr>
      </w:pPr>
      <w:r>
        <w:rPr>
          <w:rFonts w:ascii="Times New Roman" w:hAnsi="Times New Roman"/>
          <w:noProof/>
        </w:rPr>
        <w:t xml:space="preserve">ES apmēra </w:t>
      </w:r>
      <w:r>
        <w:rPr>
          <w:rFonts w:ascii="Times New Roman" w:hAnsi="Times New Roman"/>
          <w:b/>
          <w:noProof/>
        </w:rPr>
        <w:t>platforma, kas savienotu</w:t>
      </w:r>
      <w:r>
        <w:rPr>
          <w:rFonts w:ascii="Times New Roman" w:hAnsi="Times New Roman"/>
          <w:noProof/>
        </w:rPr>
        <w:t xml:space="preserve"> jaunuzņēmumus ar potenciāliem partneriem (līdzās pastāvošajām publiskā un privātā sektora platformām).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b/>
          <w:i/>
          <w:noProof/>
        </w:rPr>
      </w:pPr>
      <w:r>
        <w:rPr>
          <w:rFonts w:ascii="Times New Roman" w:eastAsiaTheme="minorHAnsi" w:hAnsi="Times New Roman"/>
          <w:b/>
          <w:i/>
          <w:noProof/>
        </w:rPr>
        <w:t>Turpmākie pasākumi</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SimSun" w:hAnsi="Times New Roman" w:cs="Times New Roman"/>
          <w:i/>
          <w:iCs/>
          <w:noProof/>
        </w:rPr>
      </w:pPr>
      <w:r>
        <w:rPr>
          <w:rFonts w:ascii="Times New Roman" w:eastAsiaTheme="minorHAnsi" w:hAnsi="Times New Roman"/>
          <w:i/>
          <w:noProof/>
        </w:rPr>
        <w:t xml:space="preserve">- </w:t>
      </w:r>
      <w:r>
        <w:rPr>
          <w:noProof/>
        </w:rPr>
        <w:tab/>
      </w:r>
      <w:r>
        <w:rPr>
          <w:rFonts w:ascii="Times New Roman" w:hAnsi="Times New Roman"/>
          <w:i/>
          <w:noProof/>
        </w:rPr>
        <w:t xml:space="preserve">2017. gadā Komisija </w:t>
      </w:r>
      <w:r>
        <w:rPr>
          <w:rFonts w:ascii="Times New Roman" w:hAnsi="Times New Roman"/>
          <w:b/>
          <w:i/>
          <w:noProof/>
        </w:rPr>
        <w:t>pastiprinās Jaunuzņēmumu Eiropu,</w:t>
      </w:r>
      <w:r>
        <w:rPr>
          <w:rFonts w:ascii="Times New Roman" w:hAnsi="Times New Roman"/>
          <w:i/>
          <w:noProof/>
        </w:rPr>
        <w:t xml:space="preserve"> un tās tvērums kļūs plašāks par IKT un tīmekļa jaunuzņēmumu sektoru</w:t>
      </w:r>
      <w:r>
        <w:rPr>
          <w:rFonts w:ascii="Times New Roman" w:hAnsi="Times New Roman"/>
          <w:b/>
          <w:i/>
          <w:noProof/>
        </w:rPr>
        <w:t xml:space="preserve">. </w:t>
      </w:r>
      <w:r>
        <w:rPr>
          <w:rFonts w:ascii="Times New Roman" w:hAnsi="Times New Roman"/>
          <w:i/>
          <w:noProof/>
        </w:rPr>
        <w:t xml:space="preserve">Komisija koordinēs darbu visā ES, lai </w:t>
      </w:r>
      <w:r>
        <w:rPr>
          <w:rFonts w:ascii="Times New Roman" w:hAnsi="Times New Roman"/>
          <w:b/>
          <w:i/>
          <w:noProof/>
        </w:rPr>
        <w:t>saistītu pudurus un ekosistēmas visā Eiropā, kā arī panāktu labāku saskanību starp dažādām ES iniciatīvām</w:t>
      </w:r>
      <w:r>
        <w:rPr>
          <w:rFonts w:ascii="Times New Roman" w:hAnsi="Times New Roman"/>
          <w:i/>
          <w:noProof/>
        </w:rPr>
        <w:t>, it sevišķi, saistot valstu un reģionu ministrijas, inovācijas aģentūras un citas ieinteresētās personas un ekosistēmas.</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noProof/>
        </w:rPr>
      </w:pPr>
      <w:r>
        <w:rPr>
          <w:rFonts w:ascii="Times New Roman" w:hAnsi="Times New Roman"/>
          <w:i/>
          <w:noProof/>
        </w:rPr>
        <w:t>-</w:t>
      </w:r>
      <w:r>
        <w:rPr>
          <w:noProof/>
        </w:rPr>
        <w:tab/>
      </w:r>
      <w:r>
        <w:rPr>
          <w:rFonts w:ascii="Times New Roman" w:hAnsi="Times New Roman"/>
          <w:i/>
          <w:noProof/>
        </w:rPr>
        <w:t xml:space="preserve">Lai </w:t>
      </w:r>
      <w:r>
        <w:rPr>
          <w:rFonts w:ascii="Times New Roman" w:hAnsi="Times New Roman"/>
          <w:b/>
          <w:i/>
          <w:noProof/>
        </w:rPr>
        <w:t>saistītu jaunuzņēmumus ar darījumpartneriem</w:t>
      </w:r>
      <w:r>
        <w:rPr>
          <w:rFonts w:ascii="Times New Roman" w:hAnsi="Times New Roman"/>
          <w:i/>
          <w:noProof/>
        </w:rPr>
        <w:t xml:space="preserve">, 2017. gadā Komisija sāks vairākus izmēģinājuma pasākumus tādās jomās kā partneru meklēšana, jaunuzņēmumu, vidēja kapitāla un lielo uzņēmumu sasaiste un </w:t>
      </w:r>
      <w:r>
        <w:rPr>
          <w:rFonts w:ascii="Times New Roman" w:hAnsi="Times New Roman"/>
          <w:noProof/>
        </w:rPr>
        <w:t>Erasmus</w:t>
      </w:r>
      <w:r>
        <w:rPr>
          <w:rFonts w:ascii="Times New Roman" w:hAnsi="Times New Roman"/>
          <w:i/>
          <w:noProof/>
        </w:rPr>
        <w:t xml:space="preserve"> jauno uzņēmēju programmas attiecināšana uz inkubatoriem un uzņēmējiem starptautiskajos tirgos.</w:t>
      </w:r>
    </w:p>
    <w:p>
      <w:pPr>
        <w:spacing w:after="120" w:line="240" w:lineRule="auto"/>
        <w:jc w:val="both"/>
        <w:rPr>
          <w:rFonts w:ascii="Times New Roman" w:hAnsi="Times New Roman" w:cs="Times New Roman"/>
          <w:noProof/>
        </w:rPr>
      </w:pPr>
    </w:p>
    <w:p>
      <w:pPr>
        <w:pStyle w:val="Heading3"/>
        <w:rPr>
          <w:noProof/>
        </w:rPr>
      </w:pPr>
      <w:r>
        <w:rPr>
          <w:noProof/>
        </w:rPr>
        <w:t xml:space="preserve">3.2. </w:t>
      </w:r>
      <w:r>
        <w:rPr>
          <w:noProof/>
        </w:rPr>
        <w:tab/>
        <w:t>Iepirkuma iespējas</w:t>
      </w:r>
    </w:p>
    <w:p>
      <w:pPr>
        <w:spacing w:after="120" w:line="240" w:lineRule="auto"/>
        <w:jc w:val="both"/>
        <w:rPr>
          <w:rFonts w:ascii="Times New Roman" w:hAnsi="Times New Roman" w:cs="Times New Roman"/>
          <w:noProof/>
        </w:rPr>
      </w:pPr>
      <w:r>
        <w:rPr>
          <w:rFonts w:ascii="Times New Roman" w:hAnsi="Times New Roman"/>
          <w:b/>
          <w:noProof/>
        </w:rPr>
        <w:t>Publiskā iepirkuma</w:t>
      </w:r>
      <w:r>
        <w:rPr>
          <w:rFonts w:ascii="Times New Roman" w:hAnsi="Times New Roman"/>
          <w:noProof/>
        </w:rPr>
        <w:t xml:space="preserve"> līgumi var atbalstīt paplašināšanās darbības, taču MVU joprojām nav pietiekami pārstāvēti</w:t>
      </w:r>
      <w:r>
        <w:rPr>
          <w:rStyle w:val="FootnoteReference"/>
          <w:rFonts w:ascii="Times New Roman" w:hAnsi="Times New Roman"/>
          <w:noProof/>
        </w:rPr>
        <w:footnoteReference w:id="30"/>
      </w:r>
      <w:r>
        <w:rPr>
          <w:rFonts w:ascii="Times New Roman" w:hAnsi="Times New Roman"/>
          <w:noProof/>
        </w:rPr>
        <w:t>, sevišķi t. s. iepirkumā "virs robežvērtības"</w:t>
      </w:r>
      <w:r>
        <w:rPr>
          <w:rStyle w:val="FootnoteReference"/>
          <w:rFonts w:ascii="Times New Roman" w:hAnsi="Times New Roman"/>
          <w:noProof/>
        </w:rPr>
        <w:footnoteReference w:id="31"/>
      </w:r>
      <w:r>
        <w:rPr>
          <w:noProof/>
        </w:rPr>
        <w:t>.</w:t>
      </w:r>
      <w:r>
        <w:rPr>
          <w:rFonts w:ascii="Times New Roman" w:hAnsi="Times New Roman"/>
          <w:noProof/>
        </w:rPr>
        <w:t xml:space="preserve"> </w:t>
      </w:r>
    </w:p>
    <w:p>
      <w:pPr>
        <w:spacing w:after="120" w:line="240" w:lineRule="auto"/>
        <w:jc w:val="both"/>
        <w:rPr>
          <w:rFonts w:ascii="Times New Roman" w:hAnsi="Times New Roman" w:cs="Times New Roman"/>
          <w:noProof/>
        </w:rPr>
      </w:pPr>
      <w:r>
        <w:rPr>
          <w:rFonts w:ascii="Times New Roman" w:hAnsi="Times New Roman"/>
          <w:noProof/>
        </w:rPr>
        <w:t>Publiskajam iepirkumam – tirgum 2 triljonu EUR vērtībā – ir milzu potenciāls jaunuzņēmumu izveidē un augošo uzņēmumu izaugsmē. Patlaban šis potenciāls vēl netiek pietiekami izmantots. Salīdzinot ar jaunuzņēmumu un augošo uzņēmumu īpatsvaru tautsaimniecībā, tie nesaņem samērīgu daļu publiskā iepirkuma līgumu</w:t>
      </w:r>
      <w:r>
        <w:rPr>
          <w:rStyle w:val="FootnoteReference"/>
          <w:rFonts w:ascii="Times New Roman" w:hAnsi="Times New Roman"/>
          <w:noProof/>
        </w:rPr>
        <w:footnoteReference w:id="32"/>
      </w:r>
      <w:r>
        <w:rPr>
          <w:rFonts w:ascii="Times New Roman" w:hAnsi="Times New Roman"/>
          <w:noProof/>
        </w:rPr>
        <w:t>. Lai labāk aptvertu novatoriskus jaunuzņēmumus un augošos uzņēmumus, ir nepieciešams labāks atbalsts līgumslēdzējām iestādēm tirgus iespēju un modernizēto iepirkuma rīku izmantošanā. Konkrēti, iepriekšēja apspriešanās ar tirgus dalībniekiem un inovācijas partnerības jaunuzņēmumiem un augošiem uzņēmumiem var būt ietekmīgi līdzekļi savu novatorisko ražojumu pārdošanā publiskā sektora pircējiem. Tādējādi jaunuzņēmumi un augošie uzņēmumi vieglāk gūs panākumus publiskajā iepirkumā. Šajā ziņā būtiska ir e-iepirkuma ieviešana.</w:t>
      </w:r>
    </w:p>
    <w:p>
      <w:pPr>
        <w:spacing w:after="120" w:line="240" w:lineRule="auto"/>
        <w:jc w:val="both"/>
        <w:rPr>
          <w:rFonts w:ascii="Times New Roman" w:hAnsi="Times New Roman" w:cs="Times New Roman"/>
          <w:noProof/>
        </w:rPr>
      </w:pPr>
      <w:r>
        <w:rPr>
          <w:rFonts w:ascii="Times New Roman" w:hAnsi="Times New Roman"/>
          <w:noProof/>
        </w:rPr>
        <w:t>Labi plānots inovācijas publiskais iepirkums jau ir palīdzējis nogādāt līdz tirgum neizmēģinātas idejas, tā radot pārrobežu izaugsmes iespējas.</w:t>
      </w:r>
    </w:p>
    <w:p>
      <w:pPr>
        <w:spacing w:after="120" w:line="240" w:lineRule="auto"/>
        <w:jc w:val="both"/>
        <w:rPr>
          <w:rFonts w:ascii="Times New Roman" w:hAnsi="Times New Roman" w:cs="Times New Roman"/>
          <w:noProof/>
        </w:rPr>
      </w:pPr>
      <w:r>
        <w:rPr>
          <w:rFonts w:ascii="Times New Roman" w:hAnsi="Times New Roman"/>
          <w:noProof/>
        </w:rPr>
        <w:t>Pirmajās 7. pamatprogrammas inovācijas iepirkuma darbībās MVU ieguva 2,5 reizes vairāk līgumu nekā standartiepirkumā (73 % pret 29 %), un 15 reižu vairāk līgumu nekā vidēji Eiropas publiskajā iepirkumā tika piešķirts pāri robežām (29 % pret 2 %)</w:t>
      </w:r>
      <w:r>
        <w:rPr>
          <w:rStyle w:val="FootnoteReference"/>
          <w:rFonts w:ascii="Times New Roman" w:hAnsi="Times New Roman"/>
          <w:noProof/>
        </w:rPr>
        <w:footnoteReference w:id="33"/>
      </w:r>
      <w:r>
        <w:rPr>
          <w:noProof/>
        </w:rPr>
        <w:t>.</w:t>
      </w:r>
    </w:p>
    <w:p>
      <w:pPr>
        <w:spacing w:after="120" w:line="240" w:lineRule="auto"/>
        <w:jc w:val="both"/>
        <w:rPr>
          <w:rFonts w:ascii="Times New Roman" w:hAnsi="Times New Roman" w:cs="Times New Roman"/>
          <w:noProof/>
        </w:rPr>
      </w:pPr>
      <w:r>
        <w:rPr>
          <w:rFonts w:ascii="Times New Roman" w:hAnsi="Times New Roman"/>
          <w:noProof/>
        </w:rPr>
        <w:t xml:space="preserve">2014. gadā ES pieņēma jaunu publiskā iepirkuma regulējumu, kas dod iespējas jaunuzņēmumiem piekļūt publiskajam iepirkumam. Tomēr liekas, ka valstu vai reģionu un pašvaldību konkursu rīkotāji vēl nepietiekami apzinās šīs iespējas.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b/>
          <w:i/>
          <w:noProof/>
        </w:rPr>
      </w:pPr>
      <w:r>
        <w:rPr>
          <w:rFonts w:ascii="Times New Roman" w:hAnsi="Times New Roman"/>
          <w:b/>
          <w:i/>
          <w:noProof/>
        </w:rPr>
        <w:t>Turpmākie pasākumi</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i/>
          <w:noProof/>
        </w:rPr>
      </w:pPr>
      <w:r>
        <w:rPr>
          <w:rFonts w:ascii="Times New Roman" w:hAnsi="Times New Roman"/>
          <w:i/>
          <w:noProof/>
        </w:rPr>
        <w:t>-</w:t>
      </w:r>
      <w:r>
        <w:rPr>
          <w:noProof/>
        </w:rPr>
        <w:tab/>
      </w:r>
      <w:r>
        <w:rPr>
          <w:rFonts w:ascii="Times New Roman" w:hAnsi="Times New Roman"/>
          <w:i/>
          <w:noProof/>
        </w:rPr>
        <w:t xml:space="preserve">2017. gadā Komisija ieviesīs </w:t>
      </w:r>
      <w:r>
        <w:rPr>
          <w:rFonts w:ascii="Times New Roman" w:eastAsiaTheme="minorHAnsi" w:hAnsi="Times New Roman"/>
          <w:b/>
          <w:i/>
          <w:noProof/>
        </w:rPr>
        <w:t>ES iepirkuma</w:t>
      </w:r>
      <w:r>
        <w:rPr>
          <w:rFonts w:ascii="Times New Roman" w:hAnsi="Times New Roman"/>
          <w:i/>
          <w:noProof/>
        </w:rPr>
        <w:t xml:space="preserve"> pasākumus ar šādu nolūku: i) ieviest inovācijas māklerus, kas veidotu publiskā inovācijas iepirkumā ieinteresētu pircēju tīklus, saistīt tos ar novatoriskiem uzņēmumiem un palīdzēt uzņēmumiem piekļūt riska finansējumam</w:t>
      </w:r>
      <w:r>
        <w:rPr>
          <w:rStyle w:val="FootnoteReference"/>
          <w:rFonts w:ascii="Times New Roman" w:eastAsiaTheme="minorHAnsi" w:hAnsi="Times New Roman"/>
          <w:i/>
          <w:noProof/>
        </w:rPr>
        <w:footnoteReference w:id="34"/>
      </w:r>
      <w:r>
        <w:rPr>
          <w:rFonts w:ascii="Times New Roman" w:hAnsi="Times New Roman"/>
          <w:i/>
          <w:noProof/>
        </w:rPr>
        <w:t>, ii) mudināt visas dalībvalstis izvirzīt drosmīgus inovācijas iepirkuma mērķus, iii) dot norādījumus par novatorisku iepirkumu</w:t>
      </w:r>
      <w:r>
        <w:rPr>
          <w:rStyle w:val="FootnoteReference"/>
          <w:rFonts w:ascii="Times New Roman" w:eastAsiaTheme="minorHAnsi" w:hAnsi="Times New Roman"/>
          <w:i/>
          <w:noProof/>
        </w:rPr>
        <w:footnoteReference w:id="35"/>
      </w:r>
      <w:r>
        <w:rPr>
          <w:rFonts w:ascii="Times New Roman" w:hAnsi="Times New Roman"/>
          <w:i/>
          <w:noProof/>
        </w:rPr>
        <w:t>, izvēršot Inovācijas partnerību.</w:t>
      </w:r>
    </w:p>
    <w:p>
      <w:pPr>
        <w:spacing w:after="120" w:line="240" w:lineRule="auto"/>
        <w:jc w:val="both"/>
        <w:rPr>
          <w:rFonts w:ascii="Times New Roman" w:hAnsi="Times New Roman" w:cs="Times New Roman"/>
          <w:noProof/>
        </w:rPr>
      </w:pPr>
    </w:p>
    <w:p>
      <w:pPr>
        <w:pStyle w:val="Heading3"/>
        <w:keepNext/>
        <w:rPr>
          <w:noProof/>
        </w:rPr>
      </w:pPr>
      <w:r>
        <w:rPr>
          <w:noProof/>
        </w:rPr>
        <w:t>3.3.</w:t>
      </w:r>
      <w:r>
        <w:rPr>
          <w:noProof/>
        </w:rPr>
        <w:tab/>
        <w:t>Prasmes</w:t>
      </w:r>
    </w:p>
    <w:p>
      <w:pPr>
        <w:spacing w:after="120" w:line="240" w:lineRule="auto"/>
        <w:jc w:val="both"/>
        <w:rPr>
          <w:rFonts w:ascii="Times New Roman" w:hAnsi="Times New Roman" w:cs="Times New Roman"/>
          <w:noProof/>
        </w:rPr>
      </w:pPr>
      <w:r>
        <w:rPr>
          <w:rFonts w:ascii="Times New Roman" w:eastAsiaTheme="minorHAnsi" w:hAnsi="Times New Roman"/>
          <w:noProof/>
        </w:rPr>
        <w:t xml:space="preserve">Augošiem uzņēmumiem vajadzīgi darbinieki ar piemērotām </w:t>
      </w:r>
      <w:r>
        <w:rPr>
          <w:rFonts w:ascii="Times New Roman" w:hAnsi="Times New Roman"/>
          <w:b/>
          <w:noProof/>
        </w:rPr>
        <w:t>prasmēm</w:t>
      </w:r>
      <w:r>
        <w:rPr>
          <w:rFonts w:ascii="Times New Roman" w:eastAsiaTheme="minorHAnsi" w:hAnsi="Times New Roman"/>
          <w:noProof/>
        </w:rPr>
        <w:t xml:space="preserve">, konkrēti </w:t>
      </w:r>
      <w:r>
        <w:rPr>
          <w:rFonts w:ascii="Times New Roman" w:hAnsi="Times New Roman"/>
          <w:b/>
          <w:noProof/>
        </w:rPr>
        <w:t>tehniskām, finansiālām</w:t>
      </w:r>
      <w:r>
        <w:rPr>
          <w:rFonts w:ascii="Times New Roman" w:eastAsiaTheme="minorHAnsi" w:hAnsi="Times New Roman"/>
          <w:noProof/>
        </w:rPr>
        <w:t xml:space="preserve"> un </w:t>
      </w:r>
      <w:r>
        <w:rPr>
          <w:rFonts w:ascii="Times New Roman" w:hAnsi="Times New Roman"/>
          <w:b/>
          <w:noProof/>
        </w:rPr>
        <w:t>digitālām</w:t>
      </w:r>
      <w:r>
        <w:rPr>
          <w:rFonts w:ascii="Times New Roman" w:eastAsiaTheme="minorHAnsi" w:hAnsi="Times New Roman"/>
          <w:noProof/>
        </w:rPr>
        <w:t xml:space="preserve"> prasmēm. Izšķirīga ir arī uzņēmība un paplašināšanas </w:t>
      </w:r>
      <w:r>
        <w:rPr>
          <w:rFonts w:ascii="Times New Roman" w:hAnsi="Times New Roman"/>
          <w:b/>
          <w:noProof/>
        </w:rPr>
        <w:t>pārvaldības</w:t>
      </w:r>
      <w:r>
        <w:rPr>
          <w:rFonts w:ascii="Times New Roman" w:eastAsiaTheme="minorHAnsi" w:hAnsi="Times New Roman"/>
          <w:noProof/>
        </w:rPr>
        <w:t xml:space="preserve"> un </w:t>
      </w:r>
      <w:r>
        <w:rPr>
          <w:rFonts w:ascii="Times New Roman" w:hAnsi="Times New Roman"/>
          <w:b/>
          <w:noProof/>
        </w:rPr>
        <w:t>vadības</w:t>
      </w:r>
      <w:r>
        <w:rPr>
          <w:rFonts w:ascii="Times New Roman" w:eastAsiaTheme="minorHAnsi" w:hAnsi="Times New Roman"/>
          <w:noProof/>
        </w:rPr>
        <w:t xml:space="preserve"> prasmes.</w:t>
      </w:r>
    </w:p>
    <w:p>
      <w:pPr>
        <w:spacing w:after="120" w:line="240" w:lineRule="auto"/>
        <w:jc w:val="both"/>
        <w:rPr>
          <w:rFonts w:ascii="Times New Roman" w:hAnsi="Times New Roman" w:cs="Times New Roman"/>
          <w:noProof/>
        </w:rPr>
      </w:pPr>
      <w:r>
        <w:rPr>
          <w:rFonts w:ascii="Times New Roman" w:hAnsi="Times New Roman"/>
          <w:noProof/>
        </w:rPr>
        <w:t>Balstoties uz "</w:t>
      </w:r>
      <w:r>
        <w:rPr>
          <w:rFonts w:ascii="Times New Roman" w:hAnsi="Times New Roman"/>
          <w:b/>
          <w:noProof/>
        </w:rPr>
        <w:t>Jauno Prasmju programmu Eiropai</w:t>
      </w:r>
      <w:r>
        <w:rPr>
          <w:rFonts w:ascii="Times New Roman" w:hAnsi="Times New Roman"/>
          <w:noProof/>
        </w:rPr>
        <w:t xml:space="preserve">" (2016. gada jūnijs), Komisija savā darbā cenšas paaugstināt </w:t>
      </w:r>
      <w:r>
        <w:rPr>
          <w:rFonts w:ascii="Times New Roman" w:hAnsi="Times New Roman"/>
          <w:b/>
          <w:noProof/>
        </w:rPr>
        <w:t>prasmju</w:t>
      </w:r>
      <w:r>
        <w:rPr>
          <w:rFonts w:ascii="Times New Roman" w:hAnsi="Times New Roman"/>
          <w:noProof/>
        </w:rPr>
        <w:t xml:space="preserve"> </w:t>
      </w:r>
      <w:r>
        <w:rPr>
          <w:rFonts w:ascii="Times New Roman" w:hAnsi="Times New Roman"/>
          <w:b/>
          <w:noProof/>
        </w:rPr>
        <w:t>kvalitāti</w:t>
      </w:r>
      <w:r>
        <w:rPr>
          <w:rFonts w:ascii="Times New Roman" w:hAnsi="Times New Roman"/>
          <w:noProof/>
        </w:rPr>
        <w:t xml:space="preserve"> un </w:t>
      </w:r>
      <w:r>
        <w:rPr>
          <w:rFonts w:ascii="Times New Roman" w:hAnsi="Times New Roman"/>
          <w:b/>
          <w:noProof/>
        </w:rPr>
        <w:t>vajadzību darba tirgū</w:t>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Šīs problēmas tiks risinātas ar šādām trim iniciatīvām:</w:t>
      </w:r>
    </w:p>
    <w:p>
      <w:pPr>
        <w:pStyle w:val="ListParagraph"/>
        <w:numPr>
          <w:ilvl w:val="0"/>
          <w:numId w:val="25"/>
        </w:numPr>
        <w:spacing w:after="120" w:line="240" w:lineRule="auto"/>
        <w:contextualSpacing w:val="0"/>
        <w:jc w:val="both"/>
        <w:rPr>
          <w:rFonts w:ascii="Times New Roman" w:eastAsiaTheme="minorHAnsi" w:hAnsi="Times New Roman" w:cs="Times New Roman"/>
          <w:noProof/>
        </w:rPr>
      </w:pPr>
      <w:r>
        <w:rPr>
          <w:rFonts w:ascii="Times New Roman" w:eastAsiaTheme="minorHAnsi" w:hAnsi="Times New Roman"/>
          <w:noProof/>
        </w:rPr>
        <w:t>gaidāmā "</w:t>
      </w:r>
      <w:r>
        <w:rPr>
          <w:rFonts w:ascii="Times New Roman" w:eastAsiaTheme="minorHAnsi" w:hAnsi="Times New Roman"/>
          <w:b/>
          <w:noProof/>
        </w:rPr>
        <w:t>Digitālo prasmju un arodu koalīcija"</w:t>
      </w:r>
      <w:r>
        <w:rPr>
          <w:rFonts w:ascii="Times New Roman" w:eastAsiaTheme="minorHAnsi" w:hAnsi="Times New Roman"/>
          <w:noProof/>
        </w:rPr>
        <w:t>, kas atbalsta izglītības, nodarbinātības un rūpniecības sadarbību,</w:t>
      </w:r>
    </w:p>
    <w:p>
      <w:pPr>
        <w:pStyle w:val="ListParagraph"/>
        <w:numPr>
          <w:ilvl w:val="0"/>
          <w:numId w:val="25"/>
        </w:numPr>
        <w:spacing w:after="120" w:line="240" w:lineRule="auto"/>
        <w:contextualSpacing w:val="0"/>
        <w:jc w:val="both"/>
        <w:rPr>
          <w:rFonts w:ascii="Times New Roman" w:hAnsi="Times New Roman" w:cs="Times New Roman"/>
          <w:noProof/>
        </w:rPr>
      </w:pPr>
      <w:r>
        <w:rPr>
          <w:rFonts w:ascii="Times New Roman" w:eastAsiaTheme="minorHAnsi" w:hAnsi="Times New Roman"/>
          <w:noProof/>
        </w:rPr>
        <w:t>"</w:t>
      </w:r>
      <w:r>
        <w:rPr>
          <w:rFonts w:ascii="Times New Roman" w:eastAsiaTheme="minorHAnsi" w:hAnsi="Times New Roman"/>
          <w:b/>
          <w:noProof/>
        </w:rPr>
        <w:t>Plāns nozaru sadarbībai prasmju jomā</w:t>
      </w:r>
      <w:r>
        <w:rPr>
          <w:rFonts w:ascii="Times New Roman" w:eastAsiaTheme="minorHAnsi" w:hAnsi="Times New Roman"/>
          <w:noProof/>
        </w:rPr>
        <w:t>", kas uzlabo prasmju zinātību un mazina prasmju deficītu,</w:t>
      </w:r>
    </w:p>
    <w:p>
      <w:pPr>
        <w:pStyle w:val="ListParagraph"/>
        <w:numPr>
          <w:ilvl w:val="0"/>
          <w:numId w:val="25"/>
        </w:numPr>
        <w:spacing w:after="120" w:line="240" w:lineRule="auto"/>
        <w:ind w:left="851" w:hanging="425"/>
        <w:contextualSpacing w:val="0"/>
        <w:jc w:val="both"/>
        <w:rPr>
          <w:rFonts w:ascii="Times New Roman" w:hAnsi="Times New Roman" w:cs="Times New Roman"/>
          <w:noProof/>
        </w:rPr>
      </w:pPr>
      <w:r>
        <w:rPr>
          <w:rFonts w:ascii="Times New Roman" w:hAnsi="Times New Roman"/>
          <w:noProof/>
        </w:rPr>
        <w:t xml:space="preserve">gaidāmais </w:t>
      </w:r>
      <w:r>
        <w:rPr>
          <w:rFonts w:ascii="Times New Roman" w:hAnsi="Times New Roman"/>
          <w:b/>
          <w:noProof/>
        </w:rPr>
        <w:t xml:space="preserve">"lielo datu rīks" </w:t>
      </w:r>
      <w:r>
        <w:rPr>
          <w:rFonts w:ascii="Times New Roman" w:hAnsi="Times New Roman"/>
          <w:noProof/>
        </w:rPr>
        <w:t>prasmju zinātībai un prognozēšanai, kas ietilpst "ES prasmju panorāmā".</w:t>
      </w:r>
    </w:p>
    <w:p>
      <w:pPr>
        <w:spacing w:after="120" w:line="240" w:lineRule="auto"/>
        <w:jc w:val="both"/>
        <w:rPr>
          <w:rFonts w:ascii="Times New Roman" w:hAnsi="Times New Roman" w:cs="Times New Roman"/>
          <w:noProof/>
        </w:rPr>
      </w:pPr>
      <w:r>
        <w:rPr>
          <w:rFonts w:ascii="Times New Roman" w:hAnsi="Times New Roman"/>
          <w:noProof/>
        </w:rPr>
        <w:t>Komisija ir arī izveidojusi divus satvarus mācīšanas un prasmju novērtēšanas uzlabošanai:</w:t>
      </w:r>
    </w:p>
    <w:p>
      <w:pPr>
        <w:pStyle w:val="ListParagraph"/>
        <w:numPr>
          <w:ilvl w:val="0"/>
          <w:numId w:val="16"/>
        </w:numPr>
        <w:spacing w:after="120" w:line="240" w:lineRule="auto"/>
        <w:jc w:val="both"/>
        <w:rPr>
          <w:rFonts w:ascii="Times New Roman" w:hAnsi="Times New Roman" w:cs="Times New Roman"/>
          <w:noProof/>
        </w:rPr>
      </w:pPr>
      <w:r>
        <w:rPr>
          <w:rFonts w:ascii="Times New Roman" w:hAnsi="Times New Roman"/>
          <w:noProof/>
        </w:rPr>
        <w:t>Eiropas uzņēmējdarbības satvaru (</w:t>
      </w:r>
      <w:r>
        <w:rPr>
          <w:rFonts w:ascii="Times New Roman" w:hAnsi="Times New Roman"/>
          <w:i/>
          <w:noProof/>
        </w:rPr>
        <w:t>EntrComp</w:t>
      </w:r>
      <w:r>
        <w:rPr>
          <w:rFonts w:ascii="Times New Roman" w:hAnsi="Times New Roman"/>
          <w:noProof/>
        </w:rPr>
        <w:t>) un</w:t>
      </w:r>
    </w:p>
    <w:p>
      <w:pPr>
        <w:pStyle w:val="ListParagraph"/>
        <w:numPr>
          <w:ilvl w:val="0"/>
          <w:numId w:val="16"/>
        </w:numPr>
        <w:spacing w:after="120" w:line="240" w:lineRule="auto"/>
        <w:jc w:val="both"/>
        <w:rPr>
          <w:rFonts w:ascii="Times New Roman" w:hAnsi="Times New Roman" w:cs="Times New Roman"/>
          <w:noProof/>
        </w:rPr>
      </w:pPr>
      <w:r>
        <w:rPr>
          <w:rFonts w:ascii="Times New Roman" w:hAnsi="Times New Roman"/>
          <w:noProof/>
        </w:rPr>
        <w:t>digitālās kompetences satvaru (</w:t>
      </w:r>
      <w:r>
        <w:rPr>
          <w:rFonts w:ascii="Times New Roman" w:hAnsi="Times New Roman"/>
          <w:i/>
          <w:noProof/>
        </w:rPr>
        <w:t>DigComp</w:t>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 xml:space="preserve">Sadarbībā ar dalībvalstīm tā veicinās šo satvaru ieviešanu šajās valstīs. Tajā pašā laikā </w:t>
      </w:r>
      <w:r>
        <w:rPr>
          <w:rFonts w:ascii="Times New Roman" w:hAnsi="Times New Roman"/>
          <w:i/>
          <w:noProof/>
        </w:rPr>
        <w:t>EIT</w:t>
      </w:r>
      <w:r>
        <w:rPr>
          <w:rFonts w:ascii="Times New Roman" w:hAnsi="Times New Roman"/>
          <w:noProof/>
        </w:rPr>
        <w:t xml:space="preserve"> turpinās un pastiprinās maģistriem mācīt apvienotas tehniskās un uzņēmējdarbības prasmes. </w:t>
      </w:r>
    </w:p>
    <w:p>
      <w:pPr>
        <w:spacing w:after="120" w:line="240" w:lineRule="auto"/>
        <w:jc w:val="both"/>
        <w:rPr>
          <w:rFonts w:ascii="Times New Roman" w:hAnsi="Times New Roman" w:cs="Times New Roman"/>
          <w:noProof/>
        </w:rPr>
      </w:pPr>
      <w:r>
        <w:rPr>
          <w:rFonts w:ascii="Times New Roman" w:hAnsi="Times New Roman"/>
          <w:noProof/>
        </w:rPr>
        <w:t>Komisija veicina arī IKT profesionālismu — Eiropas e-kompetences sistēma</w:t>
      </w:r>
      <w:r>
        <w:rPr>
          <w:rStyle w:val="FootnoteReference"/>
          <w:rFonts w:ascii="Times New Roman" w:hAnsi="Times New Roman"/>
          <w:noProof/>
        </w:rPr>
        <w:footnoteReference w:id="36"/>
      </w:r>
      <w:r>
        <w:rPr>
          <w:rFonts w:ascii="Times New Roman" w:hAnsi="Times New Roman"/>
          <w:noProof/>
        </w:rPr>
        <w:t xml:space="preserve"> IKT speciālistiem tagad ir standarts. Visbeidzot – svarīgs panākumu faktors ir spēja piesaistīt talantīgākos darbiniekus, arī no ārpussavienības zemēm. 2016. gada jūnijā Komisija lika priekšā reformēt </w:t>
      </w:r>
      <w:r>
        <w:rPr>
          <w:rFonts w:ascii="Times New Roman" w:hAnsi="Times New Roman"/>
          <w:b/>
          <w:noProof/>
        </w:rPr>
        <w:t>ES zilo karti</w:t>
      </w:r>
      <w:r>
        <w:rPr>
          <w:rFonts w:ascii="Times New Roman" w:hAnsi="Times New Roman"/>
          <w:noProof/>
        </w:rPr>
        <w:t>, lai tā labāk pievilinātu augsti kvalificētus trešo valstu strādniekus</w:t>
      </w:r>
      <w:r>
        <w:rPr>
          <w:rStyle w:val="FootnoteReference"/>
          <w:rFonts w:ascii="Times New Roman" w:hAnsi="Times New Roman"/>
          <w:noProof/>
        </w:rPr>
        <w:footnoteReference w:id="37"/>
      </w:r>
      <w:r>
        <w:rPr>
          <w:noProof/>
        </w:rPr>
        <w:t>.</w:t>
      </w:r>
      <w:r>
        <w:rPr>
          <w:rFonts w:ascii="Times New Roman" w:hAnsi="Times New Roman"/>
          <w:noProof/>
        </w:rPr>
        <w:t xml:space="preserve"> Tā kā ārzemju talanti var dot arī svarīgu ieguldījumu jaunuzņēmumu dibināšanā, ES ir jādara vairāk, lai tos pievilinātu un atbalstītu.</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b/>
          <w:i/>
          <w:noProof/>
        </w:rPr>
      </w:pPr>
      <w:r>
        <w:rPr>
          <w:rFonts w:ascii="Times New Roman" w:eastAsiaTheme="minorHAnsi" w:hAnsi="Times New Roman"/>
          <w:b/>
          <w:i/>
          <w:noProof/>
        </w:rPr>
        <w:t>Turpmākie pasākumi</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i/>
          <w:noProof/>
        </w:rPr>
      </w:pPr>
      <w:r>
        <w:rPr>
          <w:rFonts w:ascii="Times New Roman" w:eastAsiaTheme="minorHAnsi" w:hAnsi="Times New Roman"/>
          <w:i/>
          <w:noProof/>
        </w:rPr>
        <w:t xml:space="preserve">- </w:t>
      </w:r>
      <w:r>
        <w:rPr>
          <w:noProof/>
        </w:rPr>
        <w:tab/>
      </w:r>
      <w:r>
        <w:rPr>
          <w:rFonts w:ascii="Times New Roman" w:eastAsiaTheme="minorHAnsi" w:hAnsi="Times New Roman"/>
          <w:i/>
          <w:noProof/>
        </w:rPr>
        <w:t xml:space="preserve">2017. gadā </w:t>
      </w:r>
      <w:r>
        <w:rPr>
          <w:rFonts w:ascii="Times New Roman" w:hAnsi="Times New Roman"/>
          <w:i/>
          <w:noProof/>
        </w:rPr>
        <w:t xml:space="preserve">Komisija </w:t>
      </w:r>
      <w:r>
        <w:rPr>
          <w:rFonts w:ascii="Times New Roman" w:eastAsiaTheme="minorHAnsi" w:hAnsi="Times New Roman"/>
          <w:i/>
          <w:noProof/>
        </w:rPr>
        <w:t xml:space="preserve">attīstīs Jauno prasmju programmu Eiropai, lūkojot pastiprināt </w:t>
      </w:r>
      <w:r>
        <w:rPr>
          <w:rFonts w:ascii="Times New Roman" w:eastAsiaTheme="minorHAnsi" w:hAnsi="Times New Roman"/>
          <w:b/>
          <w:i/>
          <w:noProof/>
        </w:rPr>
        <w:t>EIT</w:t>
      </w:r>
      <w:r>
        <w:rPr>
          <w:rFonts w:ascii="Times New Roman" w:eastAsiaTheme="minorHAnsi" w:hAnsi="Times New Roman"/>
          <w:i/>
          <w:noProof/>
        </w:rPr>
        <w:t xml:space="preserve"> darbību, kas veicina uzņēmējdarbības, vadības un inovācijas prasmes.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i/>
          <w:noProof/>
        </w:rPr>
      </w:pPr>
      <w:r>
        <w:rPr>
          <w:rFonts w:ascii="Times New Roman" w:eastAsiaTheme="minorHAnsi" w:hAnsi="Times New Roman"/>
          <w:i/>
          <w:noProof/>
        </w:rPr>
        <w:t>-</w:t>
      </w:r>
      <w:r>
        <w:rPr>
          <w:noProof/>
        </w:rPr>
        <w:tab/>
      </w:r>
      <w:r>
        <w:rPr>
          <w:rFonts w:ascii="Times New Roman" w:hAnsi="Times New Roman"/>
          <w:i/>
          <w:noProof/>
        </w:rPr>
        <w:t xml:space="preserve">Komisija mudinās dalībvalstis vairāk izmantot </w:t>
      </w:r>
      <w:r>
        <w:rPr>
          <w:rFonts w:ascii="Times New Roman" w:hAnsi="Times New Roman"/>
          <w:noProof/>
        </w:rPr>
        <w:t>Erasmus+</w:t>
      </w:r>
      <w:r>
        <w:rPr>
          <w:rFonts w:ascii="Times New Roman" w:hAnsi="Times New Roman"/>
          <w:i/>
          <w:noProof/>
        </w:rPr>
        <w:t xml:space="preserve"> zināšanu apvienības un pašnovērtēšanas rīku </w:t>
      </w:r>
      <w:r>
        <w:rPr>
          <w:rFonts w:ascii="Times New Roman" w:hAnsi="Times New Roman"/>
          <w:noProof/>
        </w:rPr>
        <w:t>HEInnovate</w:t>
      </w:r>
      <w:r>
        <w:rPr>
          <w:rFonts w:ascii="Times New Roman" w:hAnsi="Times New Roman"/>
          <w:i/>
          <w:noProof/>
        </w:rPr>
        <w:t>.</w:t>
      </w:r>
    </w:p>
    <w:p>
      <w:pPr>
        <w:spacing w:after="120" w:line="240" w:lineRule="auto"/>
        <w:jc w:val="both"/>
        <w:rPr>
          <w:rFonts w:ascii="Times New Roman" w:hAnsi="Times New Roman" w:cs="Times New Roman"/>
          <w:noProof/>
        </w:rPr>
      </w:pPr>
    </w:p>
    <w:p>
      <w:pPr>
        <w:pStyle w:val="Heading3"/>
        <w:rPr>
          <w:noProof/>
        </w:rPr>
      </w:pPr>
      <w:r>
        <w:rPr>
          <w:noProof/>
        </w:rPr>
        <w:t>3.4.</w:t>
      </w:r>
      <w:r>
        <w:rPr>
          <w:noProof/>
        </w:rPr>
        <w:tab/>
        <w:t>ES inovēšanas iespēju paplašināšana jaunuzņēmumiem un augošajiem uzņēmumiem</w:t>
      </w:r>
    </w:p>
    <w:p>
      <w:pPr>
        <w:spacing w:after="120" w:line="240" w:lineRule="auto"/>
        <w:jc w:val="both"/>
        <w:rPr>
          <w:rFonts w:ascii="Times New Roman" w:hAnsi="Times New Roman" w:cs="Times New Roman"/>
          <w:noProof/>
        </w:rPr>
      </w:pPr>
      <w:r>
        <w:rPr>
          <w:rFonts w:ascii="Times New Roman" w:hAnsi="Times New Roman"/>
          <w:noProof/>
        </w:rPr>
        <w:t>Komisija ir plašāk atbalstījusi MVU ar Pētniecības un inovācijas pamatprogrammu "Apvārsnis 2020" gan kā pētniecības iestāžu un citu uzņēmumu partnerus pētnieciskos sadarbības projektos, gan kā atsevišķus atbalsta saņēmējus. Tā ir arī vairojusi atbalstu inovācijai ar jauniem demonstrējumu projektiem, atvieglinājusi eksperimentu un izmēģinājumu iekārtu pieejamību un novatoriska iepirkuma darbības un stiprinājusi finansēšanas instrumentus. Rezultātā ir palielinājusies MVU dalība, kas pašlaik ir pārsniegusi iecerēto 20 % robežu.</w:t>
      </w:r>
    </w:p>
    <w:p>
      <w:pPr>
        <w:spacing w:after="120" w:line="240" w:lineRule="auto"/>
        <w:jc w:val="both"/>
        <w:rPr>
          <w:rFonts w:ascii="Times New Roman" w:hAnsi="Times New Roman" w:cs="Times New Roman"/>
          <w:noProof/>
        </w:rPr>
      </w:pPr>
      <w:r>
        <w:rPr>
          <w:rFonts w:ascii="Times New Roman" w:hAnsi="Times New Roman"/>
          <w:noProof/>
        </w:rPr>
        <w:t>Jaunais MVU atbalsta instruments jau ir atbalstījis inovācijas projektus 1924</w:t>
      </w:r>
      <w:r>
        <w:rPr>
          <w:rStyle w:val="FootnoteReference"/>
          <w:rFonts w:ascii="Times New Roman" w:hAnsi="Times New Roman"/>
          <w:noProof/>
        </w:rPr>
        <w:footnoteReference w:id="38"/>
      </w:r>
      <w:r>
        <w:rPr>
          <w:rFonts w:ascii="Times New Roman" w:hAnsi="Times New Roman"/>
          <w:noProof/>
        </w:rPr>
        <w:t xml:space="preserve"> MVU. Tomēr fakti un ieinteresēto personu viedokļi</w:t>
      </w:r>
      <w:r>
        <w:rPr>
          <w:rStyle w:val="FootnoteReference"/>
          <w:rFonts w:ascii="Times New Roman" w:hAnsi="Times New Roman"/>
          <w:noProof/>
        </w:rPr>
        <w:footnoteReference w:id="39"/>
      </w:r>
      <w:r>
        <w:rPr>
          <w:rFonts w:ascii="Times New Roman" w:hAnsi="Times New Roman"/>
          <w:noProof/>
        </w:rPr>
        <w:t xml:space="preserve"> rāda, ka "Apvārsnim 2020" labāk veicas ar pastāvošo tehnoloģiju un uzņēmumu atbalstīšanu nekā ar jaunuzņēmumiem, kuri inovē jaunos tirgos vai ciparu un fizisko tehnoloģiju saskares punktos. Pašreizējais atbalsts no to vajadzību viedokļa tiek uzskatīts par pārāk komplicētu, neelastīgu un lēnu. </w:t>
      </w:r>
    </w:p>
    <w:p>
      <w:pPr>
        <w:spacing w:after="120" w:line="240" w:lineRule="auto"/>
        <w:jc w:val="both"/>
        <w:rPr>
          <w:rFonts w:ascii="Times New Roman" w:hAnsi="Times New Roman" w:cs="Times New Roman"/>
          <w:noProof/>
        </w:rPr>
      </w:pPr>
      <w:r>
        <w:rPr>
          <w:rFonts w:ascii="Times New Roman" w:hAnsi="Times New Roman"/>
          <w:noProof/>
        </w:rPr>
        <w:t>Ņemot vērā izklāstīto, Komisija grasās izdarīt izmaiņas attiecīgajā "Apvāršņa 2020" periodā (2018–2020). Tās būs:</w:t>
      </w:r>
    </w:p>
    <w:p>
      <w:pPr>
        <w:pStyle w:val="ListParagraph"/>
        <w:numPr>
          <w:ilvl w:val="0"/>
          <w:numId w:val="17"/>
        </w:numPr>
        <w:spacing w:after="120" w:line="240" w:lineRule="auto"/>
        <w:jc w:val="both"/>
        <w:rPr>
          <w:rFonts w:ascii="Times New Roman" w:hAnsi="Times New Roman" w:cs="Times New Roman"/>
          <w:noProof/>
        </w:rPr>
      </w:pPr>
      <w:r>
        <w:rPr>
          <w:rFonts w:ascii="Times New Roman" w:hAnsi="Times New Roman"/>
          <w:noProof/>
        </w:rPr>
        <w:t xml:space="preserve">pilnīgi </w:t>
      </w:r>
      <w:r>
        <w:rPr>
          <w:rFonts w:ascii="Times New Roman" w:hAnsi="Times New Roman"/>
          <w:b/>
          <w:noProof/>
        </w:rPr>
        <w:t>augšupēja pieeja</w:t>
      </w:r>
      <w:r>
        <w:rPr>
          <w:rFonts w:ascii="Times New Roman" w:hAnsi="Times New Roman"/>
          <w:noProof/>
        </w:rPr>
        <w:t xml:space="preserve"> — lai tiesīgi uz atbalstu būtu novatoriski projekti, kas skar vairākas nozares vai tehnoloģijas,</w:t>
      </w:r>
    </w:p>
    <w:p>
      <w:pPr>
        <w:pStyle w:val="ListParagraph"/>
        <w:numPr>
          <w:ilvl w:val="0"/>
          <w:numId w:val="17"/>
        </w:numPr>
        <w:spacing w:after="120" w:line="240" w:lineRule="auto"/>
        <w:jc w:val="both"/>
        <w:rPr>
          <w:rFonts w:ascii="Times New Roman" w:hAnsi="Times New Roman" w:cs="Times New Roman"/>
          <w:noProof/>
        </w:rPr>
      </w:pPr>
      <w:r>
        <w:rPr>
          <w:rFonts w:ascii="Times New Roman" w:hAnsi="Times New Roman"/>
          <w:noProof/>
        </w:rPr>
        <w:t xml:space="preserve">uzlabot jaunuzņēmumiem </w:t>
      </w:r>
      <w:r>
        <w:rPr>
          <w:rFonts w:ascii="Times New Roman" w:hAnsi="Times New Roman"/>
          <w:b/>
          <w:noProof/>
        </w:rPr>
        <w:t>finansiālā un tehniskā atbalsta pieejamību</w:t>
      </w:r>
      <w:r>
        <w:rPr>
          <w:rFonts w:ascii="Times New Roman" w:hAnsi="Times New Roman"/>
          <w:noProof/>
        </w:rPr>
        <w:t>,</w:t>
      </w:r>
    </w:p>
    <w:p>
      <w:pPr>
        <w:pStyle w:val="ListParagraph"/>
        <w:numPr>
          <w:ilvl w:val="0"/>
          <w:numId w:val="17"/>
        </w:numPr>
        <w:spacing w:after="120" w:line="240" w:lineRule="auto"/>
        <w:jc w:val="both"/>
        <w:rPr>
          <w:rFonts w:ascii="Times New Roman" w:hAnsi="Times New Roman" w:cs="Times New Roman"/>
          <w:noProof/>
        </w:rPr>
      </w:pPr>
      <w:r>
        <w:rPr>
          <w:rFonts w:ascii="Times New Roman" w:hAnsi="Times New Roman"/>
          <w:noProof/>
        </w:rPr>
        <w:t xml:space="preserve">mērķēt atbalstu uz revolucionārām novācijām, kuras veido tirgu un kurām ir </w:t>
      </w:r>
      <w:r>
        <w:rPr>
          <w:rFonts w:ascii="Times New Roman" w:hAnsi="Times New Roman"/>
          <w:b/>
          <w:noProof/>
        </w:rPr>
        <w:t>paplašināšanās potenciāls</w:t>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 xml:space="preserve">Uz to pamata un atbilstoši "Apvāršņa 2020" pustermiņa novērtējumam Eiropas Komisija apdomās iespēju izveidot </w:t>
      </w:r>
      <w:r>
        <w:rPr>
          <w:rFonts w:ascii="Times New Roman" w:hAnsi="Times New Roman"/>
          <w:b/>
          <w:noProof/>
        </w:rPr>
        <w:t>Eiropas Inovācijas padomi</w:t>
      </w:r>
      <w:r>
        <w:rPr>
          <w:rStyle w:val="FootnoteReference"/>
          <w:rFonts w:ascii="Times New Roman" w:hAnsi="Times New Roman"/>
          <w:b/>
          <w:noProof/>
        </w:rPr>
        <w:footnoteReference w:id="40"/>
      </w:r>
      <w:r>
        <w:rPr>
          <w:rFonts w:ascii="Times New Roman" w:hAnsi="Times New Roman"/>
          <w:noProof/>
        </w:rPr>
        <w:t xml:space="preserve"> turpmākajām programmām, kas radītu revolucionāras novācijas, kuras spētu aptvert un radīt jaunus tirgus. </w:t>
      </w:r>
    </w:p>
    <w:p>
      <w:pPr>
        <w:spacing w:after="120" w:line="240" w:lineRule="auto"/>
        <w:jc w:val="both"/>
        <w:rPr>
          <w:rFonts w:ascii="Times New Roman" w:hAnsi="Times New Roman"/>
          <w:noProof/>
        </w:rPr>
      </w:pPr>
      <w:r>
        <w:rPr>
          <w:rFonts w:ascii="Times New Roman" w:hAnsi="Times New Roman"/>
          <w:noProof/>
        </w:rPr>
        <w:t xml:space="preserve">Papildus MVU specifisku vajadzību ievērošanai, kā atvērta un atvieglināta piekļūšana eksperimentu un izmēģinājumu iekārtām, iniciatīva </w:t>
      </w:r>
      <w:r>
        <w:rPr>
          <w:rFonts w:ascii="Times New Roman" w:hAnsi="Times New Roman"/>
          <w:b/>
          <w:noProof/>
        </w:rPr>
        <w:t>"Inovācijas radars"</w:t>
      </w:r>
      <w:r>
        <w:rPr>
          <w:rFonts w:ascii="Times New Roman" w:hAnsi="Times New Roman"/>
          <w:noProof/>
        </w:rPr>
        <w:t xml:space="preserve"> sadarbībā ar inovācijas centru reģioniem atvieglo "Apvāršņa 2020" finansēto novāciju ar tirgus potenciālu un to veidotāju komandu (MVU, jaunuzņēmumu, no iepriekšējiem atdalīto uzņēmumu, augstskolu utt.) laicīgu pamanīšanu.</w:t>
      </w:r>
    </w:p>
    <w:p>
      <w:pPr>
        <w:spacing w:after="120" w:line="240" w:lineRule="auto"/>
        <w:jc w:val="both"/>
        <w:rPr>
          <w:rFonts w:ascii="Times New Roman" w:hAnsi="Times New Roman" w:cs="Times New Roman"/>
          <w:noProof/>
        </w:rPr>
      </w:pPr>
      <w:r>
        <w:rPr>
          <w:rFonts w:ascii="Times New Roman" w:hAnsi="Times New Roman"/>
          <w:b/>
          <w:noProof/>
        </w:rPr>
        <w:t>Eiropas Inovāciju un tehnoloģiju institūts</w:t>
      </w:r>
      <w:r>
        <w:rPr>
          <w:rFonts w:ascii="Times New Roman" w:hAnsi="Times New Roman"/>
          <w:noProof/>
        </w:rPr>
        <w:t xml:space="preserve"> (</w:t>
      </w:r>
      <w:r>
        <w:rPr>
          <w:rFonts w:ascii="Times New Roman" w:hAnsi="Times New Roman"/>
          <w:i/>
          <w:noProof/>
        </w:rPr>
        <w:t>EIT</w:t>
      </w:r>
      <w:r>
        <w:rPr>
          <w:rFonts w:ascii="Times New Roman" w:hAnsi="Times New Roman"/>
          <w:noProof/>
        </w:rPr>
        <w:t xml:space="preserve">) ir izveidojis Eiropas mēroga paātrinātājus novatoriskiem uzņēmumiem. </w:t>
      </w:r>
      <w:r>
        <w:rPr>
          <w:rFonts w:ascii="Times New Roman" w:hAnsi="Times New Roman"/>
          <w:i/>
          <w:noProof/>
        </w:rPr>
        <w:t>EIT</w:t>
      </w:r>
      <w:r>
        <w:rPr>
          <w:rFonts w:ascii="Times New Roman" w:hAnsi="Times New Roman"/>
          <w:noProof/>
        </w:rPr>
        <w:t xml:space="preserve"> arī izlūkos, kā veidot shēmas tiešai ieguldīšanai pastāvošo novatorisko uzņēmumu palašināšanā, piesaistot papildu ieguldījumus no publiskā un privātā sektora avotiem un pastāvošajiem instrumentiem.</w:t>
      </w:r>
    </w:p>
    <w:p>
      <w:pPr>
        <w:snapToGrid w:val="0"/>
        <w:spacing w:after="120" w:line="240" w:lineRule="auto"/>
        <w:jc w:val="both"/>
        <w:rPr>
          <w:rFonts w:ascii="Times New Roman" w:eastAsiaTheme="minorHAnsi" w:hAnsi="Times New Roman" w:cs="Times New Roman"/>
          <w:noProof/>
        </w:rPr>
      </w:pPr>
      <w:r>
        <w:rPr>
          <w:rFonts w:ascii="Times New Roman" w:eastAsiaTheme="minorHAnsi" w:hAnsi="Times New Roman"/>
          <w:noProof/>
        </w:rPr>
        <w:t>Bez tam jaunuzņēmumiem un augošajiem uzņēmumiem (un vispār MVU) ir pārāk grūti, pat ja tie vēlas, sagādāt un pārvērst materiālā vērtībā intelektuālā īpašuma tiesības (</w:t>
      </w:r>
      <w:r>
        <w:rPr>
          <w:rFonts w:ascii="Times New Roman" w:eastAsiaTheme="minorHAnsi" w:hAnsi="Times New Roman"/>
          <w:b/>
          <w:noProof/>
        </w:rPr>
        <w:t>IĪT</w:t>
      </w:r>
      <w:r>
        <w:rPr>
          <w:rFonts w:ascii="Times New Roman" w:eastAsiaTheme="minorHAnsi" w:hAnsi="Times New Roman"/>
          <w:noProof/>
        </w:rPr>
        <w:t>), jo trūkst precīzas informācijas un zināšanu, kā IĪT</w:t>
      </w:r>
      <w:r>
        <w:rPr>
          <w:noProof/>
        </w:rPr>
        <w:t xml:space="preserve"> </w:t>
      </w:r>
      <w:r>
        <w:rPr>
          <w:rFonts w:ascii="Times New Roman" w:eastAsiaTheme="minorHAnsi" w:hAnsi="Times New Roman"/>
          <w:noProof/>
        </w:rPr>
        <w:t>stratēģiski izmantot par ieguldīšanas vai izaugsmes līdzekļiem, relatīvi augstas ir sistēmas izmaksas, grūti dabūt IĪT novērtējumu</w:t>
      </w:r>
      <w:r>
        <w:rPr>
          <w:rStyle w:val="FootnoteReference"/>
          <w:rFonts w:ascii="Times New Roman" w:eastAsiaTheme="minorHAnsi" w:hAnsi="Times New Roman"/>
          <w:noProof/>
        </w:rPr>
        <w:t xml:space="preserve"> </w:t>
      </w:r>
      <w:r>
        <w:rPr>
          <w:rStyle w:val="FootnoteReference"/>
          <w:rFonts w:ascii="Times New Roman" w:eastAsiaTheme="minorHAnsi" w:hAnsi="Times New Roman"/>
          <w:noProof/>
        </w:rPr>
        <w:footnoteReference w:id="41"/>
      </w:r>
      <w:r>
        <w:rPr>
          <w:rFonts w:ascii="Times New Roman" w:eastAsiaTheme="minorHAnsi" w:hAnsi="Times New Roman"/>
          <w:noProof/>
        </w:rPr>
        <w:t xml:space="preserve"> un augstas ir IĪT aizsardzības izmaksas.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Tikai 9 % ES mazo uzņēmumu izmanto reģistrētu intelektuālo īpašumu un vēl mazāk izmanto tiesības, kuras ir nodrošinātas visā ES ((3 % reģistrē ES tirdzniecības markas)</w:t>
      </w:r>
      <w:r>
        <w:rPr>
          <w:rStyle w:val="FootnoteReference"/>
          <w:rFonts w:ascii="Times New Roman" w:eastAsiaTheme="minorHAnsi" w:hAnsi="Times New Roman"/>
          <w:noProof/>
        </w:rPr>
        <w:footnoteReference w:id="42"/>
      </w:r>
      <w:r>
        <w:rPr>
          <w:rFonts w:ascii="Times New Roman" w:eastAsiaTheme="minorHAnsi" w:hAnsi="Times New Roman"/>
          <w:noProof/>
        </w:rPr>
        <w:t>. Tādēļ tiem bieži netiek viņu novatorisko centienu potenciālie augļi. Salīdzinot ar līdzīgiem uzņēmumiem, MVU, kuri aktīvi izmanto intelektuālo īpašumu, ģenerē par 32 % lielākus ieņēmumus uz vienu darbinieku, un tas ļauj tiem piedāvāt pievilcīgākas algas un straujāk sapulcēt darbaspēku. Tādējādi intelektuālais īpašums ir būtisks mazo uzņēmumu inovācijas pastiprināšanā.</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Visbeidzot, novatori, it īpaši jaunuzņēmumi, ieviesdami savas novācijas tirgū, bieži uzduras normatīviem šķēršļiem vai neskaidrībām. Labāka regulējuma programmas ietvaros Komisija ņem vērā, kā pašreizējās un jaunās tiesību normas var ietekmēt inovāciju</w:t>
      </w:r>
      <w:r>
        <w:rPr>
          <w:rStyle w:val="FootnoteReference"/>
          <w:rFonts w:ascii="Times New Roman" w:eastAsiaTheme="minorHAnsi" w:hAnsi="Times New Roman"/>
          <w:noProof/>
        </w:rPr>
        <w:footnoteReference w:id="43"/>
      </w:r>
      <w:r>
        <w:rPr>
          <w:rFonts w:ascii="Times New Roman" w:eastAsiaTheme="minorHAnsi" w:hAnsi="Times New Roman"/>
          <w:noProof/>
        </w:rPr>
        <w:t>, – atbilstoši Padomes pieprasītajam "inovācijas principam"</w:t>
      </w:r>
      <w:r>
        <w:rPr>
          <w:rStyle w:val="FootnoteReference"/>
          <w:rFonts w:ascii="Times New Roman" w:eastAsiaTheme="minorHAnsi" w:hAnsi="Times New Roman"/>
          <w:noProof/>
        </w:rPr>
        <w:footnoteReference w:id="44"/>
      </w:r>
      <w:r>
        <w:rPr>
          <w:rFonts w:ascii="Times New Roman" w:eastAsiaTheme="minorHAnsi" w:hAnsi="Times New Roman"/>
          <w:noProof/>
        </w:rPr>
        <w:t>.</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jc w:val="both"/>
        <w:rPr>
          <w:rFonts w:ascii="Times New Roman" w:hAnsi="Times New Roman" w:cs="Times New Roman"/>
          <w:b/>
          <w:i/>
          <w:noProof/>
        </w:rPr>
      </w:pPr>
      <w:r>
        <w:rPr>
          <w:rFonts w:ascii="Times New Roman" w:hAnsi="Times New Roman"/>
          <w:b/>
          <w:i/>
          <w:noProof/>
        </w:rPr>
        <w:t>Turpmākie pasākumi</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noProof/>
        </w:rPr>
      </w:pPr>
      <w:r>
        <w:rPr>
          <w:rFonts w:ascii="Times New Roman" w:hAnsi="Times New Roman"/>
          <w:i/>
          <w:noProof/>
        </w:rPr>
        <w:t>-</w:t>
      </w:r>
      <w:r>
        <w:rPr>
          <w:noProof/>
        </w:rPr>
        <w:tab/>
      </w:r>
      <w:r>
        <w:rPr>
          <w:rFonts w:ascii="Times New Roman" w:hAnsi="Times New Roman"/>
          <w:i/>
          <w:noProof/>
        </w:rPr>
        <w:t xml:space="preserve"> Lai </w:t>
      </w:r>
      <w:r>
        <w:rPr>
          <w:rFonts w:ascii="Times New Roman" w:hAnsi="Times New Roman"/>
          <w:b/>
          <w:i/>
          <w:noProof/>
        </w:rPr>
        <w:t>uzlabotu atbalstu inovācijai</w:t>
      </w:r>
      <w:r>
        <w:rPr>
          <w:rFonts w:ascii="Times New Roman" w:hAnsi="Times New Roman"/>
          <w:i/>
          <w:noProof/>
        </w:rPr>
        <w:t xml:space="preserve">, Komisija ir nodomājusi izdarīt izmaiņas atlikušajā "Apvāršņa 2020" laikposmā, lai sniegtu augšupēju atbalstu, kas būtu virzīts uz revolucionāriem inovācijas projektiem ar augstu paplašināšanās potenciālu, un domās par šās pieejas pastiprināšanu nākotnē ar </w:t>
      </w:r>
      <w:r>
        <w:rPr>
          <w:rFonts w:ascii="Times New Roman" w:hAnsi="Times New Roman"/>
          <w:b/>
          <w:i/>
          <w:noProof/>
        </w:rPr>
        <w:t>Eiropas Inovācijas padomes</w:t>
      </w:r>
      <w:r>
        <w:rPr>
          <w:rStyle w:val="FootnoteReference"/>
          <w:rFonts w:ascii="Times New Roman" w:hAnsi="Times New Roman"/>
          <w:b/>
          <w:i/>
          <w:noProof/>
        </w:rPr>
        <w:footnoteReference w:id="45"/>
      </w:r>
      <w:r>
        <w:rPr>
          <w:rFonts w:ascii="Times New Roman" w:hAnsi="Times New Roman"/>
          <w:i/>
          <w:noProof/>
        </w:rPr>
        <w:t xml:space="preserve"> palīdzību.</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noProof/>
        </w:rPr>
      </w:pPr>
      <w:r>
        <w:rPr>
          <w:rFonts w:ascii="Times New Roman" w:hAnsi="Times New Roman"/>
          <w:i/>
          <w:noProof/>
        </w:rPr>
        <w:t>-</w:t>
      </w:r>
      <w:r>
        <w:rPr>
          <w:noProof/>
        </w:rPr>
        <w:tab/>
      </w:r>
      <w:r>
        <w:rPr>
          <w:rFonts w:ascii="Times New Roman" w:hAnsi="Times New Roman"/>
          <w:i/>
          <w:noProof/>
        </w:rPr>
        <w:t xml:space="preserve">Komisija izmantos </w:t>
      </w:r>
      <w:r>
        <w:rPr>
          <w:rFonts w:ascii="Times New Roman" w:hAnsi="Times New Roman"/>
          <w:b/>
          <w:i/>
          <w:noProof/>
        </w:rPr>
        <w:t>Inovācijas radaru</w:t>
      </w:r>
      <w:r>
        <w:rPr>
          <w:rFonts w:ascii="Times New Roman" w:hAnsi="Times New Roman"/>
          <w:i/>
          <w:noProof/>
        </w:rPr>
        <w:t>, lai savestu kopā potenciālos darījumpartnerus un ieguldītājus ar "Apvāršņa 2020" finansētajiem novatoriem, tā atbalstot to paplašināšanos.</w:t>
      </w:r>
      <w:r>
        <w:rPr>
          <w:noProof/>
        </w:rPr>
        <w:t xml:space="preserve">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 xml:space="preserve">Komisija īstenos </w:t>
      </w:r>
      <w:r>
        <w:rPr>
          <w:rFonts w:ascii="Times New Roman" w:eastAsiaTheme="minorHAnsi" w:hAnsi="Times New Roman"/>
          <w:b/>
          <w:i/>
          <w:noProof/>
        </w:rPr>
        <w:t>inovācijas vienošanās</w:t>
      </w:r>
      <w:r>
        <w:rPr>
          <w:rFonts w:ascii="Times New Roman" w:eastAsiaTheme="minorHAnsi" w:hAnsi="Times New Roman"/>
          <w:i/>
          <w:noProof/>
        </w:rPr>
        <w:t xml:space="preserve"> shēmas izvērtēšanu, kas ļaus novatoriem sadarboties ar publiskajām iestādēm un citām ieinteresētajām personām, meklējot labākos veidus apjausto normatīvo šķēršļu pārvarēšanai, un veiksmes gadījumā tos izmantot arī citās attiecīgās jomās. Šajā sakarā Komisija arī lūkos rast pamatu </w:t>
      </w:r>
      <w:r>
        <w:rPr>
          <w:rFonts w:ascii="Times New Roman" w:eastAsiaTheme="minorHAnsi" w:hAnsi="Times New Roman"/>
          <w:b/>
          <w:i/>
          <w:noProof/>
        </w:rPr>
        <w:t xml:space="preserve">normējuma "izmēģinājuma lauciņiem".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noProof/>
        </w:rPr>
      </w:pPr>
      <w:r>
        <w:rPr>
          <w:rFonts w:ascii="Times New Roman" w:hAnsi="Times New Roman"/>
          <w:i/>
          <w:noProof/>
        </w:rPr>
        <w:t>-</w:t>
      </w:r>
      <w:r>
        <w:rPr>
          <w:noProof/>
        </w:rPr>
        <w:tab/>
      </w:r>
      <w:r>
        <w:rPr>
          <w:rFonts w:ascii="Times New Roman" w:eastAsiaTheme="minorHAnsi" w:hAnsi="Times New Roman"/>
          <w:i/>
          <w:noProof/>
        </w:rPr>
        <w:t xml:space="preserve">2017.–2018. gadā Komisija plāno pieņemt virkni pasākumu, kas </w:t>
      </w:r>
      <w:r>
        <w:rPr>
          <w:rFonts w:ascii="Times New Roman" w:eastAsiaTheme="minorHAnsi" w:hAnsi="Times New Roman"/>
          <w:b/>
          <w:i/>
          <w:noProof/>
        </w:rPr>
        <w:t>atbalstītu MVU IĪT izmantošanu</w:t>
      </w:r>
      <w:r>
        <w:rPr>
          <w:rStyle w:val="FootnoteReference"/>
          <w:rFonts w:ascii="Times New Roman" w:eastAsiaTheme="minorHAnsi" w:hAnsi="Times New Roman"/>
          <w:b/>
          <w:i/>
          <w:noProof/>
        </w:rPr>
        <w:footnoteReference w:id="46"/>
      </w:r>
      <w:r>
        <w:rPr>
          <w:rFonts w:ascii="Times New Roman" w:eastAsiaTheme="minorHAnsi" w:hAnsi="Times New Roman"/>
          <w:b/>
          <w:i/>
          <w:noProof/>
        </w:rPr>
        <w:t xml:space="preserve">: </w:t>
      </w:r>
      <w:r>
        <w:rPr>
          <w:rFonts w:ascii="Times New Roman" w:eastAsiaTheme="minorHAnsi" w:hAnsi="Times New Roman"/>
          <w:i/>
          <w:noProof/>
        </w:rPr>
        <w:t>i) plašāk ieviešot izpratni par pastāvošajām IP atbalsta shēmām MVU vajadzībām, ii) izveidojot ES intelektuālā īpašuma starpniecības un arbitrāžas tīklu MVU vajadzībām, iii) rosinot Eiropas līmeņa apdrošināšanas shēmu radīšanu tiesvedības vajadzībām un intelektuālā īpašuma zādzību gadījumiem, iv) uzlabojot intelektuālā īpašuma atbalsta finansēšanas shēmu koordināciju, iespējams, arī ar norādījumiem dalībvalstīm</w:t>
      </w:r>
      <w:r>
        <w:rPr>
          <w:rStyle w:val="FootnoteReference"/>
          <w:rFonts w:ascii="Times New Roman" w:eastAsiaTheme="minorHAnsi" w:hAnsi="Times New Roman"/>
          <w:i/>
          <w:noProof/>
        </w:rPr>
        <w:footnoteReference w:id="47"/>
      </w:r>
      <w:r>
        <w:rPr>
          <w:rFonts w:ascii="Times New Roman" w:eastAsiaTheme="minorHAnsi" w:hAnsi="Times New Roman"/>
          <w:i/>
          <w:noProof/>
        </w:rPr>
        <w:t>.</w:t>
      </w:r>
    </w:p>
    <w:p>
      <w:pPr>
        <w:pStyle w:val="Heading3"/>
        <w:rPr>
          <w:noProof/>
        </w:rPr>
      </w:pPr>
    </w:p>
    <w:p>
      <w:pPr>
        <w:pStyle w:val="Heading3"/>
        <w:keepNext/>
        <w:rPr>
          <w:noProof/>
        </w:rPr>
      </w:pPr>
      <w:r>
        <w:rPr>
          <w:noProof/>
        </w:rPr>
        <w:t>3.5.</w:t>
      </w:r>
      <w:r>
        <w:rPr>
          <w:noProof/>
        </w:rPr>
        <w:tab/>
        <w:t>Sociālā ekonomika un sociālie uzņēmumi</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Visumā, ir arvien lielāka interese par sociālo inovāciju kā taku uz ilgtspējīgu izaugsmi, piem., taisnīgu tirdzniecību, tālmācību, mobilajiem naudas pārskaitījumiem, migrantu integrēšanu un bezoglekļa mājokļiem.</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Sociālajiem jaunuzņēmumiem</w:t>
      </w:r>
      <w:r>
        <w:rPr>
          <w:rStyle w:val="FootnoteReference"/>
          <w:rFonts w:ascii="Times New Roman" w:eastAsiaTheme="minorHAnsi" w:hAnsi="Times New Roman"/>
          <w:noProof/>
        </w:rPr>
        <w:footnoteReference w:id="48"/>
      </w:r>
      <w:r>
        <w:rPr>
          <w:rFonts w:ascii="Times New Roman" w:eastAsiaTheme="minorHAnsi" w:hAnsi="Times New Roman"/>
          <w:noProof/>
        </w:rPr>
        <w:t xml:space="preserve"> tādēļ ir liels inovācijas potenciāls un labvēlīga ietekme tautsaimniecībā un visplašākajā sabiedrībā</w:t>
      </w:r>
      <w:r>
        <w:rPr>
          <w:rStyle w:val="FootnoteReference"/>
          <w:rFonts w:ascii="Times New Roman" w:eastAsiaTheme="minorHAnsi" w:hAnsi="Times New Roman"/>
          <w:noProof/>
        </w:rPr>
        <w:footnoteReference w:id="49"/>
      </w:r>
      <w:r>
        <w:rPr>
          <w:noProof/>
        </w:rPr>
        <w:t>.</w:t>
      </w:r>
      <w:r>
        <w:rPr>
          <w:rFonts w:ascii="Times New Roman" w:eastAsiaTheme="minorHAnsi" w:hAnsi="Times New Roman"/>
          <w:noProof/>
        </w:rPr>
        <w:t xml:space="preserve"> To uzņēmējdarbības modelis — saimnieciskā izdevīguma kombinēšana ar sabiedriskā labuma mērķiem</w:t>
      </w:r>
      <w:r>
        <w:rPr>
          <w:rStyle w:val="FootnoteReference"/>
          <w:rFonts w:ascii="Times New Roman" w:eastAsiaTheme="minorHAnsi" w:hAnsi="Times New Roman"/>
          <w:noProof/>
        </w:rPr>
        <w:footnoteReference w:id="50"/>
      </w:r>
      <w:r>
        <w:rPr>
          <w:rFonts w:ascii="Times New Roman" w:eastAsiaTheme="minorHAnsi" w:hAnsi="Times New Roman"/>
          <w:noProof/>
        </w:rPr>
        <w:t xml:space="preserve"> — ir izrādījies ļoti noturīgs</w:t>
      </w:r>
      <w:r>
        <w:rPr>
          <w:rStyle w:val="FootnoteReference"/>
          <w:rFonts w:ascii="Times New Roman" w:eastAsiaTheme="minorHAnsi" w:hAnsi="Times New Roman"/>
          <w:noProof/>
        </w:rPr>
        <w:footnoteReference w:id="51"/>
      </w:r>
      <w:r>
        <w:rPr>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Šādiem jaunuzņēmumiem ir arī labas perspektīvas, jo aug pieprasījums pēc sociālās inovācijas un rodas jaunas tehnoloģijas un sadarbības platformas. Turklāt daudziem ir potenciāls izplatīt iemēģinātus uzņēmējdarbības modeļus, kurus var atdarināt citās teritorijās. Tomēr šiem uzņēmumiem joprojām ir grūti iegūt finansējumu un atbalstu, sevišķi šādu iemeslu dēļ:</w:t>
      </w:r>
    </w:p>
    <w:p>
      <w:pPr>
        <w:numPr>
          <w:ilvl w:val="0"/>
          <w:numId w:val="18"/>
        </w:numPr>
        <w:spacing w:after="120" w:line="240" w:lineRule="auto"/>
        <w:contextualSpacing/>
        <w:jc w:val="both"/>
        <w:rPr>
          <w:rFonts w:ascii="Times New Roman" w:eastAsiaTheme="minorHAnsi" w:hAnsi="Times New Roman" w:cs="Times New Roman"/>
          <w:b/>
          <w:noProof/>
        </w:rPr>
      </w:pPr>
      <w:r>
        <w:rPr>
          <w:rFonts w:ascii="Times New Roman" w:eastAsiaTheme="minorHAnsi" w:hAnsi="Times New Roman"/>
          <w:noProof/>
        </w:rPr>
        <w:t>netiek atzīts un izprasts to saimnieciskais potenciāls,</w:t>
      </w:r>
    </w:p>
    <w:p>
      <w:pPr>
        <w:numPr>
          <w:ilvl w:val="0"/>
          <w:numId w:val="18"/>
        </w:numPr>
        <w:spacing w:after="120" w:line="240" w:lineRule="auto"/>
        <w:contextualSpacing/>
        <w:jc w:val="both"/>
        <w:rPr>
          <w:rFonts w:ascii="Times New Roman" w:eastAsiaTheme="minorHAnsi" w:hAnsi="Times New Roman" w:cs="Times New Roman"/>
          <w:b/>
          <w:noProof/>
        </w:rPr>
      </w:pPr>
      <w:r>
        <w:rPr>
          <w:rFonts w:ascii="Times New Roman" w:eastAsiaTheme="minorHAnsi" w:hAnsi="Times New Roman"/>
          <w:noProof/>
        </w:rPr>
        <w:t>nepietiekami tiek izmantotas modernās tehnoloģijas. </w:t>
      </w:r>
    </w:p>
    <w:p>
      <w:pPr>
        <w:spacing w:after="120" w:line="240" w:lineRule="auto"/>
        <w:contextualSpacing/>
        <w:jc w:val="both"/>
        <w:rPr>
          <w:rFonts w:ascii="Times New Roman" w:eastAsiaTheme="minorHAnsi" w:hAnsi="Times New Roman" w:cs="Times New Roman"/>
          <w:b/>
          <w:noProof/>
        </w:rPr>
      </w:pPr>
    </w:p>
    <w:p>
      <w:pPr>
        <w:spacing w:after="120" w:line="240" w:lineRule="auto"/>
        <w:contextualSpacing/>
        <w:jc w:val="both"/>
        <w:rPr>
          <w:rFonts w:ascii="Times New Roman" w:hAnsi="Times New Roman"/>
          <w:noProof/>
        </w:rPr>
      </w:pPr>
      <w:r>
        <w:rPr>
          <w:rFonts w:ascii="Times New Roman" w:hAnsi="Times New Roman"/>
          <w:noProof/>
        </w:rPr>
        <w:t>Bez tam Komisija kopā ar Eiropas Investīciju fondu ir sākuši izmantot jaunus finansēšanas instrumentus, lai palielinātu aizdevumus sociālajiem uzņēmumiem, un jaunus sociālas iedarbības pašu kapitāla instrumentus no Eiropas Stratēģisko investīciju fonda.</w:t>
      </w:r>
    </w:p>
    <w:p>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hAnsi="Times New Roman" w:cs="Times New Roman"/>
          <w:b/>
          <w:i/>
          <w:noProof/>
        </w:rPr>
      </w:pPr>
      <w:r>
        <w:rPr>
          <w:rFonts w:ascii="Times New Roman" w:hAnsi="Times New Roman"/>
          <w:b/>
          <w:i/>
          <w:noProof/>
        </w:rPr>
        <w:t>Turpmākie pasākumi</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i/>
          <w:noProof/>
        </w:rPr>
      </w:pPr>
      <w:r>
        <w:rPr>
          <w:rFonts w:ascii="Times New Roman" w:hAnsi="Times New Roman"/>
          <w:i/>
          <w:noProof/>
        </w:rPr>
        <w:t>-</w:t>
      </w:r>
      <w:r>
        <w:rPr>
          <w:noProof/>
        </w:rPr>
        <w:tab/>
      </w:r>
      <w:r>
        <w:rPr>
          <w:rFonts w:ascii="Times New Roman" w:hAnsi="Times New Roman"/>
          <w:i/>
          <w:noProof/>
        </w:rPr>
        <w:t xml:space="preserve">Attīstot Sociālo uzņēmumu iniciatīvu, Komisija mudinās sociālos jaunuzņēmumus </w:t>
      </w:r>
      <w:r>
        <w:rPr>
          <w:rFonts w:ascii="Times New Roman" w:hAnsi="Times New Roman"/>
          <w:b/>
          <w:i/>
          <w:noProof/>
        </w:rPr>
        <w:t>paplašināties</w:t>
      </w:r>
      <w:r>
        <w:rPr>
          <w:rFonts w:ascii="Times New Roman" w:hAnsi="Times New Roman"/>
          <w:i/>
          <w:noProof/>
        </w:rPr>
        <w:t>, arī ar pasākumiem, kas vērsti uz labāku piekļuvi finansējumam, labāku piekļuvi tirgiem un normatīvā satvara nostiprināšanu, konsultējot dalībvalstis par politikas plānošanu.</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i/>
          <w:noProof/>
        </w:rPr>
      </w:pPr>
      <w:r>
        <w:rPr>
          <w:rFonts w:ascii="Times New Roman" w:hAnsi="Times New Roman"/>
          <w:i/>
          <w:noProof/>
        </w:rPr>
        <w:t>-</w:t>
      </w:r>
      <w:r>
        <w:rPr>
          <w:noProof/>
        </w:rPr>
        <w:tab/>
      </w:r>
      <w:r>
        <w:rPr>
          <w:rFonts w:ascii="Times New Roman" w:hAnsi="Times New Roman"/>
          <w:i/>
          <w:noProof/>
        </w:rPr>
        <w:t>Komisija arī pētīs pasākumus, kas varētu atvieglināt jaunu tehnoloģiju pārņemšanu un jaunu uzņēmējdarbības modeļu izmantošanu</w:t>
      </w:r>
      <w:r>
        <w:rPr>
          <w:rStyle w:val="FootnoteReference"/>
          <w:rFonts w:ascii="Times New Roman" w:eastAsiaTheme="minorHAnsi" w:hAnsi="Times New Roman"/>
          <w:i/>
          <w:noProof/>
        </w:rPr>
        <w:footnoteReference w:id="52"/>
      </w:r>
      <w:r>
        <w:rPr>
          <w:rFonts w:ascii="Times New Roman" w:hAnsi="Times New Roman"/>
          <w:i/>
          <w:noProof/>
        </w:rPr>
        <w:t xml:space="preserve"> un atbalstīt sociālās ekonomikas un sociālo uzņēmumu ietekmes finansēšanu ar ES attīstības un kaimiņattiecību politiku un starptautiskiem forumiem (piem., G20 iekļaujošās uzņēmējdarbības platformu)</w:t>
      </w:r>
      <w:r>
        <w:rPr>
          <w:rStyle w:val="FootnoteReference"/>
          <w:rFonts w:ascii="Times New Roman" w:eastAsiaTheme="minorHAnsi" w:hAnsi="Times New Roman"/>
          <w:i/>
          <w:noProof/>
        </w:rPr>
        <w:footnoteReference w:id="53"/>
      </w:r>
      <w:r>
        <w:rPr>
          <w:rFonts w:ascii="Times New Roman" w:hAnsi="Times New Roman"/>
          <w:i/>
          <w:noProof/>
        </w:rPr>
        <w:t>.</w:t>
      </w:r>
    </w:p>
    <w:p>
      <w:pPr>
        <w:spacing w:after="120" w:line="240" w:lineRule="auto"/>
        <w:jc w:val="both"/>
        <w:rPr>
          <w:rFonts w:ascii="Times New Roman" w:eastAsiaTheme="minorHAnsi" w:hAnsi="Times New Roman" w:cs="Times New Roman"/>
          <w:b/>
          <w:noProof/>
        </w:rPr>
      </w:pPr>
    </w:p>
    <w:p>
      <w:pPr>
        <w:pStyle w:val="Heading2"/>
        <w:rPr>
          <w:smallCaps/>
          <w:noProof/>
        </w:rPr>
      </w:pPr>
      <w:r>
        <w:rPr>
          <w:noProof/>
        </w:rPr>
        <w:t xml:space="preserve">4. </w:t>
      </w:r>
      <w:r>
        <w:rPr>
          <w:smallCaps/>
          <w:noProof/>
        </w:rPr>
        <w:t>Finansējuma pieejamība</w:t>
      </w:r>
    </w:p>
    <w:p>
      <w:pPr>
        <w:spacing w:after="120" w:line="240" w:lineRule="auto"/>
        <w:jc w:val="both"/>
        <w:rPr>
          <w:rFonts w:ascii="Times New Roman" w:hAnsi="Times New Roman" w:cs="Times New Roman"/>
          <w:noProof/>
        </w:rPr>
      </w:pPr>
      <w:r>
        <w:rPr>
          <w:rFonts w:ascii="Times New Roman" w:hAnsi="Times New Roman"/>
          <w:noProof/>
        </w:rPr>
        <w:t xml:space="preserve">Noņemot un vienkāršojot regulējumu un paplašinot iespējas atrast partnerus, publiskā iepirkuma līgumi un efektīva personāla komplektācija palīdzēs augošiem uzņēmumiem paplašināties un radīt pastāvīgas darba vietas. </w:t>
      </w:r>
      <w:r>
        <w:rPr>
          <w:rFonts w:ascii="Times New Roman" w:hAnsi="Times New Roman"/>
          <w:b/>
          <w:noProof/>
        </w:rPr>
        <w:t>Finansējuma nepieejamība</w:t>
      </w:r>
      <w:r>
        <w:rPr>
          <w:rFonts w:ascii="Times New Roman" w:hAnsi="Times New Roman"/>
          <w:noProof/>
        </w:rPr>
        <w:t xml:space="preserve"> ir lielākais pārvaramais šķērslis. </w:t>
      </w:r>
    </w:p>
    <w:p>
      <w:pPr>
        <w:spacing w:after="120" w:line="240" w:lineRule="auto"/>
        <w:jc w:val="both"/>
        <w:rPr>
          <w:rFonts w:ascii="Times New Roman" w:hAnsi="Times New Roman" w:cs="Times New Roman"/>
          <w:noProof/>
        </w:rPr>
      </w:pPr>
      <w:r>
        <w:rPr>
          <w:rFonts w:ascii="Times New Roman" w:hAnsi="Times New Roman"/>
          <w:noProof/>
        </w:rPr>
        <w:t>Lai gan ES problēmas uzņēmuma darbības sākuma posmā nav lielākas par problēmām ASV, akadēmiskie pētījumi un sabiedriskas apspriešanas apstiprina, ka ir būtiskas atšķirības paplašināšanās posmā. Daļēji tas skaidrojams ar finansējuma apjomu, kāds pieejams riska kapitāla ieguldījumiem: rēķina, ka 2014. gadā ES bija pieejami tikai ap 5 miljardi euro, bet ASV – 26 miljardi euro</w:t>
      </w:r>
      <w:r>
        <w:rPr>
          <w:rStyle w:val="FootnoteReference"/>
          <w:rFonts w:ascii="Times New Roman" w:hAnsi="Times New Roman"/>
          <w:noProof/>
        </w:rPr>
        <w:footnoteReference w:id="54"/>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 xml:space="preserve">Bez tam </w:t>
      </w:r>
      <w:r>
        <w:rPr>
          <w:rFonts w:ascii="Times New Roman" w:hAnsi="Times New Roman"/>
          <w:b/>
          <w:noProof/>
        </w:rPr>
        <w:t>Eiropas riska kapitāla fondi</w:t>
      </w:r>
      <w:r>
        <w:rPr>
          <w:rFonts w:ascii="Times New Roman" w:hAnsi="Times New Roman"/>
          <w:noProof/>
        </w:rPr>
        <w:t xml:space="preserve"> caurmērā ir mazāki</w:t>
      </w:r>
      <w:r>
        <w:rPr>
          <w:rStyle w:val="FootnoteReference"/>
          <w:rFonts w:ascii="Times New Roman" w:hAnsi="Times New Roman"/>
          <w:noProof/>
        </w:rPr>
        <w:footnoteReference w:id="55"/>
      </w:r>
      <w:r>
        <w:rPr>
          <w:rFonts w:ascii="Times New Roman" w:hAnsi="Times New Roman"/>
          <w:noProof/>
        </w:rPr>
        <w:t xml:space="preserve"> un nespēj pietiekami palīdzēt uzņēmumiem izaugt no jaunuzņēmumiem par vidēja kapitāla uzņēmumiem un uzņēmumiem ar ietekmi pasaulē. 2007.–2012. gadā Eiropas riska kapitāla fonda caurmēra lielums (slēdzot) bija 61 miljons euro un 50 % bija mazāki par 27 miljoniem euro; ASV vidusmēra riska kapitāla fonds 2014. gadā bija 135 miljonu dolāru liels</w:t>
      </w:r>
      <w:r>
        <w:rPr>
          <w:rStyle w:val="FootnoteReference"/>
          <w:rFonts w:ascii="Times New Roman" w:hAnsi="Times New Roman"/>
          <w:noProof/>
        </w:rPr>
        <w:footnoteReference w:id="56"/>
      </w:r>
      <w:r>
        <w:rPr>
          <w:noProof/>
        </w:rPr>
        <w:t>.</w:t>
      </w:r>
      <w:r>
        <w:rPr>
          <w:rFonts w:ascii="Times New Roman" w:hAnsi="Times New Roman"/>
          <w:noProof/>
        </w:rPr>
        <w:t xml:space="preserve"> Tā augošajiem uzņēmumiem ir īpaša problēma, jo finansējums sliecas ar laiku izsīkt.</w:t>
      </w:r>
    </w:p>
    <w:p>
      <w:pPr>
        <w:spacing w:after="120" w:line="240" w:lineRule="auto"/>
        <w:jc w:val="both"/>
        <w:rPr>
          <w:rFonts w:ascii="Times New Roman" w:hAnsi="Times New Roman" w:cs="Times New Roman"/>
          <w:noProof/>
        </w:rPr>
      </w:pPr>
      <w:r>
        <w:rPr>
          <w:rFonts w:ascii="Times New Roman" w:hAnsi="Times New Roman"/>
          <w:noProof/>
        </w:rPr>
        <w:t xml:space="preserve">Ieguldītājiem ir vissvarīgāk, lai varētu izvēlēties vienu no vairākām </w:t>
      </w:r>
      <w:r>
        <w:rPr>
          <w:rFonts w:ascii="Times New Roman" w:hAnsi="Times New Roman"/>
          <w:b/>
          <w:noProof/>
        </w:rPr>
        <w:t>izejas stratēģijām</w:t>
      </w:r>
      <w:r>
        <w:rPr>
          <w:rFonts w:ascii="Times New Roman" w:hAnsi="Times New Roman"/>
          <w:noProof/>
        </w:rPr>
        <w:t xml:space="preserve">. Tiem jāzina, ka tie spēs atgūt ieguldīto, lai tas notiktu sākotnējā publiskā piedāvājumā, uzņēmuma pārdošanā citam uzņēmumam, pārdošanā tālāka posma riska kapitāla vai privātkapitāla fondam vai atpakaļpārdošanā sabiedrības dibinātājiem. Taču patlabanējā nezināšana par finansēšanas iespējām izraisa nedrošību un sašaurina ieguldīšanu. Tāpat, jo vairāk finansējuma pieejams vēlākos posmos, jo ticamāk, ka ieguldītāji ieguldīs pirmajā un otrajā kārtā. </w:t>
      </w:r>
    </w:p>
    <w:p>
      <w:pPr>
        <w:spacing w:after="120" w:line="240" w:lineRule="auto"/>
        <w:jc w:val="both"/>
        <w:rPr>
          <w:rFonts w:ascii="Times New Roman" w:hAnsi="Times New Roman" w:cs="Times New Roman"/>
          <w:noProof/>
        </w:rPr>
      </w:pPr>
      <w:r>
        <w:rPr>
          <w:rFonts w:ascii="Times New Roman" w:hAnsi="Times New Roman"/>
          <w:noProof/>
        </w:rPr>
        <w:t xml:space="preserve">Piekļūstot </w:t>
      </w:r>
      <w:r>
        <w:rPr>
          <w:rFonts w:ascii="Times New Roman" w:hAnsi="Times New Roman"/>
          <w:b/>
          <w:noProof/>
        </w:rPr>
        <w:t>publiskajam finansējumam</w:t>
      </w:r>
      <w:r>
        <w:rPr>
          <w:rFonts w:ascii="Times New Roman" w:hAnsi="Times New Roman"/>
          <w:noProof/>
        </w:rPr>
        <w:t>, 85 % respondentu sabiedriskajā apspriešanā prasīja pēc finansēšanas iniciatīvu labākas saskanības un pārredzamības un precīzākas virzīšanas uz uzņēmumiem, kuri nākotnē varētu kļūt par līderiem.</w:t>
      </w:r>
    </w:p>
    <w:p>
      <w:pPr>
        <w:spacing w:after="120" w:line="240" w:lineRule="auto"/>
        <w:jc w:val="both"/>
        <w:rPr>
          <w:rFonts w:ascii="Times New Roman" w:eastAsiaTheme="minorHAnsi" w:hAnsi="Times New Roman" w:cs="Times New Roman"/>
          <w:noProof/>
        </w:rPr>
      </w:pPr>
      <w:r>
        <w:rPr>
          <w:rFonts w:ascii="Times New Roman" w:hAnsi="Times New Roman"/>
          <w:noProof/>
        </w:rPr>
        <w:t>Komisija šos jautājumus risina vairākās politikas jomās. Budžeta pustermiņa pārskatīšanā tā aicināja palielināt budžetu ESIF</w:t>
      </w:r>
      <w:r>
        <w:rPr>
          <w:rStyle w:val="FootnoteReference"/>
          <w:rFonts w:ascii="Times New Roman" w:eastAsiaTheme="minorHAnsi" w:hAnsi="Times New Roman"/>
          <w:noProof/>
        </w:rPr>
        <w:footnoteReference w:id="57"/>
      </w:r>
      <w:r>
        <w:rPr>
          <w:rFonts w:ascii="Times New Roman" w:hAnsi="Times New Roman"/>
          <w:noProof/>
        </w:rPr>
        <w:t xml:space="preserve"> un </w:t>
      </w:r>
      <w:r>
        <w:rPr>
          <w:rFonts w:ascii="Times New Roman" w:hAnsi="Times New Roman"/>
          <w:i/>
          <w:noProof/>
        </w:rPr>
        <w:t>COSME</w:t>
      </w:r>
      <w:r>
        <w:rPr>
          <w:rFonts w:ascii="Times New Roman" w:hAnsi="Times New Roman"/>
          <w:noProof/>
        </w:rPr>
        <w:t>, pastiprinot pastāvošos finansēšanas instrumentus un mobilizējot papildu finansējumu MVU darbības sākuma un paplašināšanas posmos.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Kopš 2010. gada ES Nodarbinātības un sociālās inovācijas programma (</w:t>
      </w:r>
      <w:r>
        <w:rPr>
          <w:rFonts w:ascii="Times New Roman" w:eastAsiaTheme="minorHAnsi" w:hAnsi="Times New Roman"/>
          <w:i/>
          <w:noProof/>
        </w:rPr>
        <w:t>EaSI</w:t>
      </w:r>
      <w:r>
        <w:rPr>
          <w:rFonts w:ascii="Times New Roman" w:eastAsiaTheme="minorHAnsi" w:hAnsi="Times New Roman"/>
          <w:noProof/>
        </w:rPr>
        <w:t xml:space="preserve">) un tās priekštece ir atvēlējušas 1 miljardu euro mikroaizdevumiem sīko uzņēmumu izveidei vai attīstībai, sniedzot atbalstu vairāk nekā 100 000 mikrouzņēmējiem visā Eiropā. </w:t>
      </w:r>
    </w:p>
    <w:p>
      <w:pPr>
        <w:spacing w:after="120" w:line="240" w:lineRule="auto"/>
        <w:jc w:val="both"/>
        <w:rPr>
          <w:rFonts w:ascii="Times New Roman" w:hAnsi="Times New Roman" w:cs="Times New Roman"/>
          <w:noProof/>
        </w:rPr>
      </w:pPr>
      <w:r>
        <w:rPr>
          <w:rFonts w:ascii="Times New Roman" w:eastAsiaTheme="minorHAnsi" w:hAnsi="Times New Roman"/>
          <w:noProof/>
        </w:rPr>
        <w:t xml:space="preserve">Palīdzēs arī 2015. gadā iedibinātā </w:t>
      </w:r>
      <w:r>
        <w:rPr>
          <w:rFonts w:ascii="Times New Roman" w:hAnsi="Times New Roman"/>
          <w:b/>
          <w:noProof/>
        </w:rPr>
        <w:t>Kapitāla tirgu savienība</w:t>
      </w:r>
      <w:r>
        <w:rPr>
          <w:rFonts w:ascii="Times New Roman" w:eastAsiaTheme="minorHAnsi" w:hAnsi="Times New Roman"/>
          <w:noProof/>
        </w:rPr>
        <w:t>. Komisija virza plašu pasākumu kopumu, kas domāts riska kapitāla finansēšanai ES. Saistībā ar vienotā tirgus stratēģiju tajā ierosināts radīt visas Eiropas riska kapitāla fondu fondu, lai pārvarētu Eiropas riska kapitāla fondu apjoma nepietiekamību un neviengabalainību, no jauna piesaistītu vairāk privātā kapitāla riska kapitālam, dotu iespēju vairāk MVU saņemt finansējumu ilgāku laiku un dažādotu finansēšanu jaunuzņēmumiem, inovācijai un nekotētiem uzņēmumiem</w:t>
      </w:r>
      <w:r>
        <w:rPr>
          <w:rStyle w:val="FootnoteReference"/>
          <w:rFonts w:ascii="Times New Roman" w:eastAsiaTheme="minorHAnsi" w:hAnsi="Times New Roman"/>
          <w:noProof/>
        </w:rPr>
        <w:footnoteReference w:id="58"/>
      </w:r>
      <w:r>
        <w:rPr>
          <w:rFonts w:ascii="Times New Roman" w:eastAsiaTheme="minorHAnsi" w:hAnsi="Times New Roman"/>
          <w:noProof/>
        </w:rPr>
        <w:t>. Turklāt 2016. gada jūlijā Komisija pieņēma priekšlikumu grozīt regulas par Eiropas riska kapitāla fondiem (</w:t>
      </w:r>
      <w:r>
        <w:rPr>
          <w:rFonts w:ascii="Times New Roman" w:eastAsiaTheme="minorHAnsi" w:hAnsi="Times New Roman"/>
          <w:i/>
          <w:noProof/>
        </w:rPr>
        <w:t>EuVECA</w:t>
      </w:r>
      <w:r>
        <w:rPr>
          <w:rFonts w:ascii="Times New Roman" w:eastAsiaTheme="minorHAnsi" w:hAnsi="Times New Roman"/>
          <w:noProof/>
        </w:rPr>
        <w:t>) un, kā jau teikts, par Eiropas sociālās uzņēmējdarbības fondiem (</w:t>
      </w:r>
      <w:r>
        <w:rPr>
          <w:rFonts w:ascii="Times New Roman" w:eastAsiaTheme="minorHAnsi" w:hAnsi="Times New Roman"/>
          <w:i/>
          <w:noProof/>
        </w:rPr>
        <w:t>EuSEF</w:t>
      </w:r>
      <w:r>
        <w:rPr>
          <w:rFonts w:ascii="Times New Roman" w:eastAsiaTheme="minorHAnsi" w:hAnsi="Times New Roman"/>
          <w:noProof/>
        </w:rPr>
        <w:t xml:space="preserve">), lai atvieglotu MVU turpmāku finansēšanu pāri robežām. Papildinot visas Eiropas riska kapitāla fondu fondu un ESIF, Komisija skatīs, kāda būtu potenciālā pievienotā vērtība </w:t>
      </w:r>
      <w:r>
        <w:rPr>
          <w:rFonts w:ascii="Times New Roman" w:eastAsiaTheme="minorHAnsi" w:hAnsi="Times New Roman"/>
          <w:b/>
          <w:noProof/>
        </w:rPr>
        <w:t>riska kapitāla papildu stimuliem</w:t>
      </w:r>
      <w:r>
        <w:rPr>
          <w:rFonts w:ascii="Times New Roman" w:eastAsiaTheme="minorHAnsi" w:hAnsi="Times New Roman"/>
          <w:noProof/>
        </w:rPr>
        <w:t>, piemēram, ar shēmām, kas ļautu privāti pārvaldītiem privātiem ieguldījumu fondiem gūt labumu no publiskā sektora garantijas, palielinot aizņēmumu finansēšanu, lai veiktu pašu kapitāla un aizdevuma ieguldījumus jaunuzņēmumos un augošos uzņēmumos.</w:t>
      </w:r>
    </w:p>
    <w:p>
      <w:pPr>
        <w:spacing w:after="120" w:line="240" w:lineRule="auto"/>
        <w:jc w:val="both"/>
        <w:rPr>
          <w:rFonts w:ascii="Times New Roman" w:hAnsi="Times New Roman"/>
          <w:noProof/>
        </w:rPr>
      </w:pPr>
      <w:r>
        <w:rPr>
          <w:rFonts w:ascii="Times New Roman" w:hAnsi="Times New Roman"/>
          <w:noProof/>
        </w:rPr>
        <w:t xml:space="preserve">Komisija arī turpinās novērot </w:t>
      </w:r>
      <w:r>
        <w:rPr>
          <w:rFonts w:ascii="Times New Roman" w:hAnsi="Times New Roman"/>
          <w:b/>
          <w:noProof/>
        </w:rPr>
        <w:t>nodokļu shēmas un stimulus</w:t>
      </w:r>
      <w:r>
        <w:rPr>
          <w:rFonts w:ascii="Times New Roman" w:hAnsi="Times New Roman"/>
          <w:noProof/>
        </w:rPr>
        <w:t xml:space="preserve"> ieguldījumiem jaunuzņēmumos un augošos uzņēmumos un, balstoties uz dalībvalstu īstenotām sekmīgām pieejām un noritošo pētījumu par nodokļu stimulu ietekmi uz riska kapitāla un komerceņģeļu mērķtiecīgu kapitāla ieguldījumu piesaisti, domās par turpmākiem veidiem, kādos atbalstīt dalībvalstu politikas plānošanu. </w:t>
      </w:r>
    </w:p>
    <w:p>
      <w:pPr>
        <w:spacing w:after="120" w:line="240" w:lineRule="auto"/>
        <w:jc w:val="both"/>
        <w:rPr>
          <w:rFonts w:ascii="Times New Roman" w:hAnsi="Times New Roman"/>
          <w:noProof/>
        </w:rPr>
      </w:pPr>
      <w:r>
        <w:rPr>
          <w:rFonts w:ascii="Times New Roman" w:hAnsi="Times New Roman"/>
          <w:noProof/>
        </w:rPr>
        <w:t>Lai stiprinātu agrīnā posma ieguldītāju izejas stratēģijas jaunuzņēmumos un augošos uzņēmumos un papildinātu gaidāmo Eiropas partneru meklēšanas platformas izmēģinājuma projektu un Jaunuzņēmumu Eiropas iniciatīvas, 2017.–2018. gadā Komisija novēros MVU izaugsmes tirgu radīšanu, kas ir jauna veida daudzpusējas tirdzniecības sistēma, kuras juridisko formu apstiprinās Finanšu instrumentu tirgu direktīva II (</w:t>
      </w:r>
      <w:r>
        <w:rPr>
          <w:rFonts w:ascii="Times New Roman" w:hAnsi="Times New Roman"/>
          <w:i/>
          <w:noProof/>
        </w:rPr>
        <w:t>MiFID II</w:t>
      </w:r>
      <w:r>
        <w:rPr>
          <w:rFonts w:ascii="Times New Roman" w:hAnsi="Times New Roman"/>
          <w:noProof/>
        </w:rPr>
        <w:t>)</w:t>
      </w:r>
      <w:r>
        <w:rPr>
          <w:rStyle w:val="FootnoteReference"/>
          <w:rFonts w:ascii="Times New Roman" w:hAnsi="Times New Roman"/>
          <w:noProof/>
        </w:rPr>
        <w:footnoteReference w:id="59"/>
      </w:r>
      <w:r>
        <w:rPr>
          <w:rFonts w:ascii="Times New Roman" w:hAnsi="Times New Roman"/>
          <w:noProof/>
        </w:rPr>
        <w:t>. Tas padarīs vieglāku kapitāla palielināšanu vidējiem uzņēmumiem un dalīšanos labākajā praksē. Komisija noteiks, kuras tirgus virzītās un publiskā sektora iniciatīvas sekmē MVU akciju pieņemšanu tirdzniecībā, un pētīs rezultatīvus risinājumus regulējuma problēmām un tirgus nepilnībām.</w:t>
      </w:r>
    </w:p>
    <w:p>
      <w:pPr>
        <w:pBdr>
          <w:top w:val="single" w:sz="4" w:space="1" w:color="auto"/>
          <w:left w:val="single" w:sz="4" w:space="4" w:color="auto"/>
          <w:bottom w:val="single" w:sz="4" w:space="0" w:color="auto"/>
          <w:right w:val="single" w:sz="4" w:space="4" w:color="auto"/>
        </w:pBdr>
        <w:shd w:val="pct10" w:color="auto" w:fill="auto"/>
        <w:spacing w:after="120" w:line="240" w:lineRule="auto"/>
        <w:jc w:val="both"/>
        <w:rPr>
          <w:rFonts w:ascii="Times New Roman" w:hAnsi="Times New Roman" w:cs="Times New Roman"/>
          <w:b/>
          <w:i/>
          <w:noProof/>
        </w:rPr>
      </w:pPr>
      <w:r>
        <w:rPr>
          <w:rFonts w:ascii="Times New Roman" w:hAnsi="Times New Roman"/>
          <w:b/>
          <w:i/>
          <w:noProof/>
        </w:rPr>
        <w:t>Turpmāki pasākumi</w:t>
      </w:r>
    </w:p>
    <w:p>
      <w:pPr>
        <w:pBdr>
          <w:top w:val="single" w:sz="4" w:space="1" w:color="auto"/>
          <w:left w:val="single" w:sz="4" w:space="4" w:color="auto"/>
          <w:bottom w:val="single" w:sz="4" w:space="0" w:color="auto"/>
          <w:right w:val="single" w:sz="4" w:space="4" w:color="auto"/>
        </w:pBdr>
        <w:shd w:val="pct10" w:color="auto" w:fill="auto"/>
        <w:spacing w:after="120" w:line="240" w:lineRule="auto"/>
        <w:ind w:left="720" w:hanging="720"/>
        <w:jc w:val="both"/>
        <w:rPr>
          <w:rFonts w:ascii="Times New Roman" w:hAnsi="Times New Roman" w:cs="Times New Roman"/>
          <w:i/>
          <w:noProof/>
        </w:rPr>
      </w:pPr>
      <w:r>
        <w:rPr>
          <w:rFonts w:ascii="Times New Roman" w:hAnsi="Times New Roman"/>
          <w:i/>
          <w:noProof/>
        </w:rPr>
        <w:t>-</w:t>
      </w:r>
      <w:r>
        <w:rPr>
          <w:noProof/>
        </w:rPr>
        <w:tab/>
      </w:r>
      <w:r>
        <w:rPr>
          <w:rFonts w:ascii="Times New Roman" w:hAnsi="Times New Roman"/>
          <w:i/>
          <w:noProof/>
        </w:rPr>
        <w:t xml:space="preserve">Komisija un Eiropas Investīciju fonds 2017. gadā </w:t>
      </w:r>
      <w:r>
        <w:rPr>
          <w:rFonts w:ascii="Times New Roman" w:hAnsi="Times New Roman"/>
          <w:b/>
          <w:i/>
          <w:noProof/>
        </w:rPr>
        <w:t xml:space="preserve">ieguldīs pamatakmeni </w:t>
      </w:r>
      <w:r>
        <w:rPr>
          <w:rFonts w:ascii="Times New Roman" w:hAnsi="Times New Roman"/>
          <w:i/>
          <w:noProof/>
        </w:rPr>
        <w:t xml:space="preserve">jaunajā neatkarīgi pārvaldītajā </w:t>
      </w:r>
      <w:r>
        <w:rPr>
          <w:rFonts w:ascii="Times New Roman" w:hAnsi="Times New Roman"/>
          <w:b/>
          <w:i/>
          <w:noProof/>
        </w:rPr>
        <w:t>visas Eiropas riska kapitāla fondu fonā</w:t>
      </w:r>
      <w:r>
        <w:rPr>
          <w:rFonts w:ascii="Times New Roman" w:hAnsi="Times New Roman"/>
          <w:i/>
          <w:noProof/>
        </w:rPr>
        <w:t xml:space="preserve"> līdztekus lielākajiem privātajiem ieguldītājiem, lai palielinātu riska kapitāla fondu apmērus Eiropā un novērstu pašreizējo neviendabību. ES pamatakmens ieguldījumu līdz 400 milj. euro maksimums būs 25 % no kopējā kapitāla fondu fondā, un tie radīs potenciālu vismaz 1,6 mljrd. euro papildu ieguldījumu riska kapitālā Eiropā. </w:t>
      </w:r>
    </w:p>
    <w:p>
      <w:pPr>
        <w:pBdr>
          <w:top w:val="single" w:sz="4" w:space="1" w:color="auto"/>
          <w:left w:val="single" w:sz="4" w:space="4" w:color="auto"/>
          <w:bottom w:val="single" w:sz="4" w:space="0" w:color="auto"/>
          <w:right w:val="single" w:sz="4" w:space="4" w:color="auto"/>
        </w:pBdr>
        <w:shd w:val="pct10" w:color="auto" w:fill="auto"/>
        <w:spacing w:after="120" w:line="240" w:lineRule="auto"/>
        <w:ind w:left="720" w:hanging="720"/>
        <w:jc w:val="both"/>
        <w:rPr>
          <w:rFonts w:ascii="Times New Roman" w:hAnsi="Times New Roman" w:cs="Times New Roman"/>
          <w:i/>
          <w:noProof/>
        </w:rPr>
      </w:pPr>
      <w:r>
        <w:rPr>
          <w:rFonts w:ascii="Times New Roman" w:hAnsi="Times New Roman"/>
          <w:i/>
          <w:noProof/>
        </w:rPr>
        <w:t>-</w:t>
      </w:r>
      <w:r>
        <w:rPr>
          <w:noProof/>
        </w:rPr>
        <w:tab/>
      </w:r>
      <w:r>
        <w:rPr>
          <w:rFonts w:ascii="Times New Roman" w:hAnsi="Times New Roman"/>
          <w:i/>
          <w:noProof/>
        </w:rPr>
        <w:t xml:space="preserve">2017. gadā Komisija koordinēs Eiropas mēroga platformu, kurā dalīties dalībvalstu kolektīvās finansēšanas labākās prakses piemēros, un arī izvērtēs finansējuma robus </w:t>
      </w:r>
      <w:r>
        <w:rPr>
          <w:rFonts w:ascii="Times New Roman" w:hAnsi="Times New Roman"/>
          <w:b/>
          <w:i/>
          <w:noProof/>
        </w:rPr>
        <w:t>alternatīva finansējuma avotos</w:t>
      </w:r>
      <w:r>
        <w:rPr>
          <w:rFonts w:ascii="Times New Roman" w:hAnsi="Times New Roman"/>
          <w:i/>
          <w:noProof/>
        </w:rPr>
        <w:t xml:space="preserve">, lai izprastu, vai ir vajadzīgi tālāki publiskā finansējuma vai citādi pasākumi. </w:t>
      </w:r>
    </w:p>
    <w:p>
      <w:pPr>
        <w:pStyle w:val="Heading2"/>
        <w:rPr>
          <w:smallCaps/>
          <w:noProof/>
        </w:rPr>
      </w:pPr>
    </w:p>
    <w:p>
      <w:pPr>
        <w:pStyle w:val="Heading2"/>
        <w:rPr>
          <w:smallCaps/>
          <w:noProof/>
        </w:rPr>
      </w:pPr>
      <w:r>
        <w:rPr>
          <w:noProof/>
        </w:rPr>
        <w:t xml:space="preserve">5. </w:t>
      </w:r>
      <w:r>
        <w:rPr>
          <w:smallCaps/>
          <w:noProof/>
        </w:rPr>
        <w:t>Noslēgums</w:t>
      </w:r>
    </w:p>
    <w:p>
      <w:pPr>
        <w:spacing w:after="120" w:line="240" w:lineRule="auto"/>
        <w:jc w:val="both"/>
        <w:rPr>
          <w:rFonts w:ascii="Times New Roman" w:hAnsi="Times New Roman"/>
          <w:noProof/>
        </w:rPr>
      </w:pPr>
      <w:r>
        <w:rPr>
          <w:rFonts w:ascii="Times New Roman" w:hAnsi="Times New Roman"/>
          <w:noProof/>
        </w:rPr>
        <w:t xml:space="preserve">Lai gan Eiropā ir daudz jaunu un novatorisku uzņēmēju, tā vēl nepilnīgi atraisa savu uzņēmējdarbības jaudu un talantu potenciālu. </w:t>
      </w:r>
    </w:p>
    <w:p>
      <w:pPr>
        <w:spacing w:after="120" w:line="240" w:lineRule="auto"/>
        <w:jc w:val="both"/>
        <w:rPr>
          <w:rFonts w:ascii="Times New Roman" w:hAnsi="Times New Roman"/>
          <w:noProof/>
        </w:rPr>
      </w:pPr>
      <w:r>
        <w:rPr>
          <w:rFonts w:ascii="Times New Roman" w:hAnsi="Times New Roman"/>
          <w:noProof/>
        </w:rPr>
        <w:t xml:space="preserve">Lai cik būtu pieņemts lēmumu kā valsts, tā ES līmenī, vēl daudz jādara, mudinot radīt jaunuzņēmumus. </w:t>
      </w:r>
    </w:p>
    <w:p>
      <w:pPr>
        <w:spacing w:after="120" w:line="240" w:lineRule="auto"/>
        <w:jc w:val="both"/>
        <w:rPr>
          <w:rFonts w:ascii="Times New Roman" w:hAnsi="Times New Roman"/>
          <w:noProof/>
        </w:rPr>
      </w:pPr>
      <w:r>
        <w:rPr>
          <w:rFonts w:ascii="Times New Roman" w:hAnsi="Times New Roman"/>
          <w:noProof/>
        </w:rPr>
        <w:t>Tagad Eiropā ir kļuvis vieglāk sākt un paplašināt uzņēmumu. Eiropas mērķis ir kļūt par labāko izvēli pretencioziem uzņēmējiem, kur institucionalizēt un audzēt savas revolucionārās komerciālās idejas, lai pārvērstos sekmīgos uzņēmumos, kas darbojas labi funkcionējošās ekosistēmās. Tie savukārt radīs jaunas darba vietas un sekmēs sociālo atbildību, un daži kļūs par pasaules līderiem.</w:t>
      </w:r>
    </w:p>
    <w:p>
      <w:pPr>
        <w:spacing w:after="120" w:line="240" w:lineRule="auto"/>
        <w:jc w:val="both"/>
        <w:rPr>
          <w:rFonts w:ascii="Times New Roman" w:hAnsi="Times New Roman"/>
          <w:noProof/>
        </w:rPr>
      </w:pPr>
      <w:r>
        <w:rPr>
          <w:rFonts w:ascii="Times New Roman" w:hAnsi="Times New Roman"/>
          <w:noProof/>
        </w:rPr>
        <w:t xml:space="preserve">Šajā paziņojumā ierosināta koordinēta pieeja dažādās ES politikas jomās, kas īstenojama ar pragmatisku pasākumu kopumu. Tā efektīvai un sekmīgai īstenošanai būs nepieciešama arī partneriska sadarbība ar visu līmeņu pārvaldes iestādēm dalībvalstīs, reģionos un pilsētās un visām ieinteresētajām personām, ieskaitot pašus jaunuzņēmumus un augošos uzņēmumus. </w:t>
      </w:r>
    </w:p>
    <w:p>
      <w:pPr>
        <w:spacing w:after="120" w:line="240" w:lineRule="auto"/>
        <w:jc w:val="both"/>
        <w:rPr>
          <w:rFonts w:ascii="Times New Roman" w:hAnsi="Times New Roman"/>
          <w:noProof/>
        </w:rPr>
      </w:pPr>
      <w:r>
        <w:rPr>
          <w:rFonts w:ascii="Times New Roman" w:hAnsi="Times New Roman"/>
          <w:noProof/>
        </w:rPr>
        <w:t>Komisija aicina Eiropas Parlamentu un Padomi apstiprināt šo paziņojumu un ciešā sadarbībā ar visām ieinteresētajām personām aktīvi iesaistīties tā īstenošanā.</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F3B41" w15:done="0"/>
  <w15:commentEx w15:paraId="0D810EC6" w15:done="0"/>
  <w15:commentEx w15:paraId="2B2073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1327612"/>
      <w:docPartObj>
        <w:docPartGallery w:val="Page Numbers (Bottom of Page)"/>
        <w:docPartUnique/>
      </w:docPartObj>
    </w:sdtPr>
    <w:sdtContent>
      <w:p>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pPr>
      <w:pStyle w:val="FooterCoverPage"/>
      <w:rPr>
        <w:b/>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Pētījumā (</w:t>
      </w:r>
      <w:r>
        <w:rPr>
          <w:rFonts w:ascii="Times New Roman" w:hAnsi="Times New Roman"/>
          <w:i/>
          <w:sz w:val="16"/>
        </w:rPr>
        <w:t>Henrekson and Johansson</w:t>
      </w:r>
      <w:r>
        <w:rPr>
          <w:rFonts w:ascii="Times New Roman" w:hAnsi="Times New Roman"/>
          <w:sz w:val="16"/>
        </w:rPr>
        <w:t xml:space="preserve">, 2010) atklāts, ka 4 % uzņēmumu rada 70 % jaunu darba vietu. Sk. arī </w:t>
      </w:r>
      <w:hyperlink r:id="rId1">
        <w:r>
          <w:rPr>
            <w:rStyle w:val="Hyperlink"/>
            <w:rFonts w:ascii="Times New Roman" w:hAnsi="Times New Roman"/>
            <w:sz w:val="16"/>
          </w:rPr>
          <w:t>http://www.kauffman.org/blogs/policy-dialogue/2015/august/deconstructing-job-creation-from-startups</w:t>
        </w:r>
      </w:hyperlink>
    </w:p>
  </w:footnote>
  <w:footnote w:id="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Savienojamība, 5G un platjosla utt.</w:t>
      </w:r>
    </w:p>
  </w:footnote>
  <w:footnote w:id="4">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Atšķirības gan ir ES dalībvalstu starpā. </w:t>
      </w:r>
      <w:r>
        <w:rPr>
          <w:rFonts w:ascii="Times New Roman" w:hAnsi="Times New Roman"/>
          <w:i/>
          <w:sz w:val="16"/>
        </w:rPr>
        <w:t>OECD</w:t>
      </w:r>
      <w:r>
        <w:rPr>
          <w:rFonts w:ascii="Times New Roman" w:hAnsi="Times New Roman"/>
          <w:sz w:val="16"/>
        </w:rPr>
        <w:t xml:space="preserve"> (2015), </w:t>
      </w:r>
      <w:r>
        <w:rPr>
          <w:rFonts w:ascii="Times New Roman" w:hAnsi="Times New Roman"/>
          <w:i/>
          <w:sz w:val="16"/>
        </w:rPr>
        <w:t>Entrepreneurship at a glance.</w:t>
      </w:r>
    </w:p>
  </w:footnote>
  <w:footnote w:id="5">
    <w:p>
      <w:pPr>
        <w:pStyle w:val="FootnoteText"/>
        <w:rPr>
          <w:rFonts w:ascii="Times New Roman" w:hAnsi="Times New Roman" w:cs="Times New Roman"/>
          <w:sz w:val="16"/>
          <w:szCs w:val="16"/>
          <w:highlight w:val="yellow"/>
        </w:rPr>
      </w:pPr>
      <w:r>
        <w:rPr>
          <w:rStyle w:val="FootnoteReference"/>
          <w:rFonts w:ascii="Times New Roman" w:hAnsi="Times New Roman"/>
          <w:sz w:val="16"/>
        </w:rPr>
        <w:footnoteRef/>
      </w:r>
      <w:r>
        <w:rPr>
          <w:rStyle w:val="Hyperlink"/>
          <w:rFonts w:ascii="Times New Roman" w:hAnsi="Times New Roman"/>
          <w:sz w:val="16"/>
        </w:rPr>
        <w:t>https://ec.europa.eu/growth/industry/innovation/funding/efsi_en</w:t>
      </w:r>
    </w:p>
  </w:footnote>
  <w:footnote w:id="6">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Style w:val="Hyperlink"/>
          <w:rFonts w:ascii="Times New Roman" w:hAnsi="Times New Roman"/>
          <w:sz w:val="16"/>
        </w:rPr>
        <w:t>http://eur-lex.europa.eu/legal-content/EN/TXT/PDF/?uri=CELEX:52015DC0550&amp;from=EN</w:t>
      </w:r>
    </w:p>
  </w:footnote>
  <w:footnote w:id="7">
    <w:p>
      <w:pPr>
        <w:pStyle w:val="FootnoteText"/>
        <w:rPr>
          <w:rFonts w:ascii="Times New Roman" w:hAnsi="Times New Roman" w:cs="Times New Roman"/>
          <w:sz w:val="16"/>
          <w:szCs w:val="16"/>
        </w:rPr>
      </w:pPr>
      <w:r>
        <w:rPr>
          <w:rStyle w:val="FootnoteReference"/>
          <w:rFonts w:ascii="Times New Roman" w:hAnsi="Times New Roman"/>
          <w:sz w:val="16"/>
        </w:rPr>
        <w:footnoteRef/>
      </w:r>
      <w:r>
        <w:rPr>
          <w:rStyle w:val="Hyperlink"/>
          <w:rFonts w:ascii="Times New Roman" w:hAnsi="Times New Roman"/>
          <w:sz w:val="16"/>
        </w:rPr>
        <w:t>http://eur-lex.europa.eu/legal-content/EN/TXT/?qid=1447773803386&amp;uri=CELEX:52015DC0192</w:t>
      </w:r>
    </w:p>
  </w:footnote>
  <w:footnote w:id="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Style w:val="Hyperlink"/>
          <w:rFonts w:ascii="Times New Roman" w:hAnsi="Times New Roman"/>
          <w:sz w:val="16"/>
        </w:rPr>
        <w:t>http://eur-lex.europa.eu/legal-content/EN/TXT/?uri=CELEX%3A52015DC0468</w:t>
      </w:r>
    </w:p>
  </w:footnote>
  <w:footnote w:id="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Sk. </w:t>
      </w:r>
      <w:hyperlink r:id="rId2">
        <w:r>
          <w:rPr>
            <w:rStyle w:val="Hyperlink"/>
            <w:rFonts w:ascii="Times New Roman" w:hAnsi="Times New Roman"/>
            <w:sz w:val="16"/>
          </w:rPr>
          <w:t>https://cohesiondata.ec.europa.eu/themes/3</w:t>
        </w:r>
      </w:hyperlink>
      <w:r>
        <w:t>.</w:t>
      </w:r>
    </w:p>
  </w:footnote>
  <w:footnote w:id="10">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To uzņēmumu procents, kuri izaug par mazāk nekā 5 % vai neaug vispār, Eiropā ir vairāk nekā 45 %, salīdzinot ar 37 % ASV (</w:t>
      </w:r>
      <w:r>
        <w:rPr>
          <w:rFonts w:ascii="Times New Roman" w:hAnsi="Times New Roman"/>
          <w:i/>
          <w:sz w:val="16"/>
        </w:rPr>
        <w:t>Bravo-Biosca</w:t>
      </w:r>
      <w:r>
        <w:rPr>
          <w:rFonts w:ascii="Times New Roman" w:hAnsi="Times New Roman"/>
          <w:sz w:val="16"/>
        </w:rPr>
        <w:t xml:space="preserve">, 2011, </w:t>
      </w:r>
      <w:r>
        <w:rPr>
          <w:rFonts w:ascii="Times New Roman" w:hAnsi="Times New Roman"/>
          <w:i/>
          <w:sz w:val="16"/>
        </w:rPr>
        <w:t>A look at business growth and contraction in Europe</w:t>
      </w:r>
      <w:r>
        <w:rPr>
          <w:rFonts w:ascii="Times New Roman" w:hAnsi="Times New Roman"/>
          <w:sz w:val="16"/>
        </w:rPr>
        <w:t xml:space="preserve">). </w:t>
      </w:r>
    </w:p>
  </w:footnote>
  <w:footnote w:id="11">
    <w:p>
      <w:pPr>
        <w:spacing w:after="120" w:line="240" w:lineRule="auto"/>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Dāņu MVU sūtņa 2016. gada ziņojums </w:t>
      </w:r>
      <w:r>
        <w:rPr>
          <w:rFonts w:ascii="Times New Roman" w:hAnsi="Times New Roman"/>
          <w:i/>
          <w:sz w:val="16"/>
        </w:rPr>
        <w:t>Scale-up Companies– is a new policy agenda needed?</w:t>
      </w:r>
      <w:r>
        <w:rPr>
          <w:rFonts w:ascii="Times New Roman" w:hAnsi="Times New Roman"/>
          <w:sz w:val="16"/>
        </w:rPr>
        <w:t xml:space="preserve"> </w:t>
      </w:r>
      <w:hyperlink r:id="rId3">
        <w:r>
          <w:rPr>
            <w:rStyle w:val="Hyperlink"/>
            <w:rFonts w:ascii="Times New Roman" w:hAnsi="Times New Roman"/>
            <w:sz w:val="16"/>
          </w:rPr>
          <w:t>http://ec.europa.eu/transparency/regexpert/index.cfm?do=groupDetail.groupDetailDoc&amp;id=26381&amp;no=1</w:t>
        </w:r>
      </w:hyperlink>
    </w:p>
  </w:footnote>
  <w:footnote w:id="12">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Sk. Eirostata datus (2016. g. marts) </w:t>
      </w:r>
      <w:r>
        <w:rPr>
          <w:rFonts w:ascii="Times New Roman" w:hAnsi="Times New Roman"/>
          <w:i/>
          <w:sz w:val="16"/>
        </w:rPr>
        <w:t>Statistics Explained: Entrepreneurship — Statistical indicators</w:t>
      </w:r>
      <w:r>
        <w:rPr>
          <w:rFonts w:ascii="Times New Roman" w:hAnsi="Times New Roman"/>
          <w:sz w:val="16"/>
        </w:rPr>
        <w:t xml:space="preserve">: </w:t>
      </w:r>
      <w:hyperlink r:id="rId4" w:anchor="Small.2C_medium_and_large_enterprises">
        <w:r>
          <w:rPr>
            <w:rStyle w:val="Hyperlink"/>
            <w:rFonts w:ascii="Times New Roman" w:hAnsi="Times New Roman"/>
            <w:sz w:val="16"/>
          </w:rPr>
          <w:t>http://ec.europa.eu/eurostat/statistics-explained/index.php/Entrepreneurship_-_statistical_indicators#Small.2C_medium_and_large_enterprises</w:t>
        </w:r>
      </w:hyperlink>
      <w:r>
        <w:rPr>
          <w:rStyle w:val="Hyperlink"/>
          <w:rFonts w:ascii="Times New Roman" w:hAnsi="Times New Roman"/>
          <w:sz w:val="16"/>
        </w:rPr>
        <w:t>.</w:t>
      </w:r>
    </w:p>
  </w:footnote>
  <w:footnote w:id="1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Ražīgums uzņēmumos ar vairāk nekā 1000 darbinieku ir daudz augstāks nekā citos. Dānijas uzņēmējdarbības pārvalde.</w:t>
      </w:r>
    </w:p>
    <w:p>
      <w:pPr>
        <w:pStyle w:val="FootnoteText"/>
        <w:rPr>
          <w:rFonts w:ascii="Times New Roman" w:hAnsi="Times New Roman" w:cs="Times New Roman"/>
          <w:sz w:val="16"/>
          <w:szCs w:val="16"/>
        </w:rPr>
      </w:pPr>
    </w:p>
  </w:footnote>
  <w:footnote w:id="1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5">
        <w:r>
          <w:rPr>
            <w:rStyle w:val="Hyperlink"/>
            <w:rFonts w:ascii="Times New Roman" w:hAnsi="Times New Roman"/>
            <w:sz w:val="16"/>
          </w:rPr>
          <w:t>http://ec.europa.eu/growth/tools-databases/newsroom/cf/itemdetail.cfm?item_id=8723</w:t>
        </w:r>
      </w:hyperlink>
    </w:p>
  </w:footnote>
  <w:footnote w:id="1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Ieskaitot digitālo vienoto tirgu.</w:t>
      </w:r>
    </w:p>
  </w:footnote>
  <w:footnote w:id="16">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Scale Up Europe: A Manifesto for change and empowerment in the digital age, 2016.</w:t>
      </w:r>
    </w:p>
  </w:footnote>
  <w:footnote w:id="1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6">
        <w:r>
          <w:rPr>
            <w:rStyle w:val="Hyperlink"/>
            <w:rFonts w:ascii="Times New Roman" w:hAnsi="Times New Roman"/>
            <w:sz w:val="16"/>
          </w:rPr>
          <w:t>http://ec.europa.eu/growth/single-market/strategy/collaborative-economy_en</w:t>
        </w:r>
      </w:hyperlink>
    </w:p>
  </w:footnote>
  <w:footnote w:id="18">
    <w:p>
      <w:pPr>
        <w:pStyle w:val="FootnoteText"/>
      </w:pPr>
      <w:r>
        <w:rPr>
          <w:rStyle w:val="FootnoteReference"/>
          <w:rFonts w:ascii="Times New Roman" w:hAnsi="Times New Roman"/>
          <w:sz w:val="16"/>
        </w:rPr>
        <w:footnoteRef/>
      </w:r>
      <w:r>
        <w:rPr>
          <w:rFonts w:ascii="Times New Roman" w:hAnsi="Times New Roman"/>
          <w:sz w:val="16"/>
        </w:rPr>
        <w:t xml:space="preserve"> </w:t>
      </w:r>
      <w:hyperlink r:id="rId7">
        <w:r>
          <w:rPr>
            <w:rStyle w:val="Hyperlink"/>
            <w:rFonts w:ascii="Times New Roman" w:hAnsi="Times New Roman"/>
            <w:sz w:val="16"/>
          </w:rPr>
          <w:t>http://ec.europa.eu/growth/tools-databases/newsroom/cf/itemdetail.cfm?item_id=8852</w:t>
        </w:r>
      </w:hyperlink>
    </w:p>
  </w:footnote>
  <w:footnote w:id="1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Eiropas Komisija nemitīgi pārrauga Eiropas tiesību aktu kopumu Normatīvās atbilstības un izpildes programmā (</w:t>
      </w:r>
      <w:r>
        <w:rPr>
          <w:rFonts w:ascii="Times New Roman" w:hAnsi="Times New Roman"/>
          <w:i/>
          <w:sz w:val="16"/>
        </w:rPr>
        <w:t>REFIT</w:t>
      </w:r>
      <w:r>
        <w:rPr>
          <w:rFonts w:ascii="Times New Roman" w:hAnsi="Times New Roman"/>
          <w:sz w:val="16"/>
        </w:rPr>
        <w:t>), kuras mērķis ir nodrošināt, lai ES tiesību akti atbilstu to mērķiem un dotu politikas veidotāju iecerēto rezultātu pašā lietderīgākajā un efektīvākajā veidā. Tai ir mērķis likvidēt birokrātiju un pazemināt izmaksas, neapdraudot politiskos mērķus un nepazeminot augstos ES standartus.</w:t>
      </w:r>
    </w:p>
  </w:footnote>
  <w:footnote w:id="2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Uzņēmumu reģistrēšanās tiešsaistē tiks skatīta kā viens no jautājumiem plānotajā Komisijas priekšlikumā par ciparu tehnoloģiju izmantošanu visā uzņēmuma dzīves ciklā (sk. Komisijas paziņojumu "Vienotā tirgus pilnīgošana — plašākas iespējas cilvēkiem un uzņēmējdarbībai", (COM(2015) 550, 5. lpp.), Komisijas paziņojumu "ES e-pārvaldes rīcības plāns 2016.–2020. gadam" (COM(2016) 179, 8. lpp.), Komisijas 2017. gada darba programmu (COM(2016) 710, 8. lpp.)).</w:t>
      </w:r>
    </w:p>
  </w:footnote>
  <w:footnote w:id="2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Konsultējoties ar tādām platformām kā Eiropas jaunuzņēmumu tīkls un globālais uzņēmējdarbības tīkls.</w:t>
      </w:r>
    </w:p>
  </w:footnote>
  <w:footnote w:id="2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Sk. Komisijas paziņojumu "Taisnīgas, konkurētspējīgas un stabilas uzņēmumu ienākuma nodokļu sistēmas izveide Eiropas Savienībā".</w:t>
      </w:r>
    </w:p>
  </w:footnote>
  <w:footnote w:id="2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8">
        <w:r>
          <w:rPr>
            <w:rStyle w:val="Hyperlink"/>
            <w:rFonts w:ascii="Times New Roman" w:hAnsi="Times New Roman"/>
            <w:sz w:val="16"/>
          </w:rPr>
          <w:t>https://ec.europa.eu/taxation_customs/sites/taxation/files/com_2016_148_en.pdf</w:t>
        </w:r>
      </w:hyperlink>
      <w:r>
        <w:rPr>
          <w:rFonts w:ascii="Times New Roman" w:hAnsi="Times New Roman"/>
          <w:sz w:val="16"/>
        </w:rPr>
        <w:t xml:space="preserve"> </w:t>
      </w:r>
    </w:p>
  </w:footnote>
  <w:footnote w:id="2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CCCTB</w:t>
      </w:r>
      <w:r>
        <w:rPr>
          <w:rFonts w:ascii="Times New Roman" w:hAnsi="Times New Roman"/>
          <w:sz w:val="16"/>
        </w:rPr>
        <w:t xml:space="preserve"> motivētu jaunuzņēmumus un augošos uzņēmumus ieguldīt un izplesties vienotajā tirgū. Tā atlīdzinātu tiem par tādām izaugsmes veicināšanas darbībām kā ieguldīšana pētniecībā un izstrādē un pašu kapitāla finansēšanā. Atbalstot mazo un novatorisko uzņēmējdarbību, jaunuzņēmumiem tiks piešķirts palielināts nodokļa atskaitījums par ieguldījumiem pētniecībā un izstrādē. </w:t>
      </w:r>
      <w:r>
        <w:rPr>
          <w:rFonts w:ascii="Times New Roman" w:hAnsi="Times New Roman"/>
          <w:i/>
          <w:sz w:val="16"/>
        </w:rPr>
        <w:t>CCCTB</w:t>
      </w:r>
      <w:r>
        <w:rPr>
          <w:rFonts w:ascii="Times New Roman" w:hAnsi="Times New Roman"/>
          <w:sz w:val="16"/>
        </w:rPr>
        <w:t xml:space="preserve"> risinās jautājumu par nodokļu režīma priekšroku parādsaistībām, nevis pašu kapitālam, tā dodot labumu pašu kapitāla finansētiem novatoriskiem uzņēmumiem, pirmām kārtām jaunuzņēmumiem.</w:t>
      </w:r>
    </w:p>
  </w:footnote>
  <w:footnote w:id="2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Sk. "ES e-pārvaldes rīcības plānu 2016.–2020. gadam" (COM(2016) 179), </w:t>
      </w:r>
      <w:hyperlink r:id="rId9">
        <w:r>
          <w:rPr>
            <w:rFonts w:ascii="Times New Roman" w:hAnsi="Times New Roman"/>
            <w:sz w:val="16"/>
          </w:rPr>
          <w:t>http://eur-lex.europa.eu/legal-content/EN/TXT/?uri=CELEX:52016DC0179</w:t>
        </w:r>
      </w:hyperlink>
      <w:r>
        <w:t>.</w:t>
      </w:r>
    </w:p>
    <w:p>
      <w:pPr>
        <w:pStyle w:val="FootnoteText"/>
        <w:rPr>
          <w:rFonts w:ascii="Times New Roman" w:hAnsi="Times New Roman" w:cs="Times New Roman"/>
          <w:sz w:val="16"/>
          <w:szCs w:val="16"/>
        </w:rPr>
      </w:pPr>
    </w:p>
    <w:p>
      <w:pPr>
        <w:pStyle w:val="FootnoteText"/>
      </w:pPr>
    </w:p>
  </w:footnote>
  <w:footnote w:id="26">
    <w:p>
      <w:pPr>
        <w:pStyle w:val="FootnoteText"/>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"Uzņēmējdarbības ekosistēmiskā pieeja" izskaidro, kādēļ vienās pilsētās un reģionos ir daudz vairāk jaunuzņēmumu un augošu uzņēmumu nekā citās, kaut gan reglamentējošie noteikumi ir vienādi. Ekosistēmas virza resursus uz pašu ražīgāko izmantojumu. Tās padara iespējamu holistisku politiku, kas nav iespējama ar tradicionālajām pieejām.</w:t>
      </w:r>
    </w:p>
  </w:footnote>
  <w:footnote w:id="2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Piem., Jaunuzņēmumu Eiropas samits, Jaunuzņēmumu Eiropas paātrinātāju asambleja, Jaunuzņēmumu Eiropas augstskolu tīkls, informēšana par pieejamām finansējuma saņemšanas un tīklošanas iespējām, lielu sabiedrību un jaunuzņēmumu saistīšana (Jaunuzņēmumu Eiropas partnerība), un uzņēmējdarbības svinēšana. </w:t>
      </w:r>
    </w:p>
  </w:footnote>
  <w:footnote w:id="2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Līdz šim rūpniecības modernizācija, lauksaimniecība un pārtika, enerģētika.</w:t>
      </w:r>
    </w:p>
  </w:footnote>
  <w:footnote w:id="2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Piem., reģionu un pilsētu pārvēršana par digitālās pārveides un rūpniecības modernizācijas palaišanas platformām.</w:t>
      </w:r>
    </w:p>
  </w:footnote>
  <w:footnote w:id="3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Flash Eurobarometer 417</w:t>
      </w:r>
      <w:r>
        <w:rPr>
          <w:rFonts w:ascii="Times New Roman" w:hAnsi="Times New Roman"/>
          <w:sz w:val="16"/>
        </w:rPr>
        <w:t xml:space="preserve"> par šķēršļiem mazajiem uzņēmumiem iepirkumā.</w:t>
      </w:r>
    </w:p>
  </w:footnote>
  <w:footnote w:id="3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Iepirkums, kura vērtība sasniedz vai pārsniedz ES tiesību aktos noteiktās robežvērtības.</w:t>
      </w:r>
    </w:p>
  </w:footnote>
  <w:footnote w:id="3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Tas īpaši attiecas uz iepirkumu, kura vērtība sasniedz vai pārsniedz ES tiesību aktos noteiktās robežvērtības.</w:t>
      </w:r>
    </w:p>
  </w:footnote>
  <w:footnote w:id="3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0">
        <w:r>
          <w:rPr>
            <w:rStyle w:val="Hyperlink"/>
            <w:rFonts w:ascii="Times New Roman" w:hAnsi="Times New Roman"/>
            <w:sz w:val="16"/>
          </w:rPr>
          <w:t>https://ec.europa.eu/digital-single-market/en/news/updated-results-ongoing-pre-commercial-procurements-pcp-projects</w:t>
        </w:r>
      </w:hyperlink>
    </w:p>
  </w:footnote>
  <w:footnote w:id="3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Šie mākleri apzinātu un apkopotu publiskā sektora pircēju vajadzības, apzinātu varbūtējos piegādātājus, piegādātu idejas un konkrētās nozarēs finansētu cerīgākās no tām.</w:t>
      </w:r>
    </w:p>
  </w:footnote>
  <w:footnote w:id="3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Uz modernizēto publiskā iepirkuma direktīvu pamata.</w:t>
      </w:r>
    </w:p>
  </w:footnote>
  <w:footnote w:id="36">
    <w:p>
      <w:pPr>
        <w:pStyle w:val="FootnoteText"/>
        <w:ind w:left="284" w:hanging="284"/>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Style w:val="Hyperlink"/>
          <w:rFonts w:ascii="Times New Roman" w:hAnsi="Times New Roman"/>
          <w:sz w:val="16"/>
        </w:rPr>
        <w:t>http://www.ecompetences.eu/.</w:t>
      </w:r>
    </w:p>
  </w:footnote>
  <w:footnote w:id="3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2016. gadā tika pieņemtas arī reformētās imigrācijas normas trešo valstu studentiem un zinātniekiem, dodot viņiem tiesības vismaz 9 mēnešus pēc absolvēšanas vai pētījuma pabeigšanas uzturēties ES, lai meklētu darbu vai izveidotu uzņēmumu (Direktīva (ES) 2016/801).</w:t>
      </w:r>
    </w:p>
  </w:footnote>
  <w:footnote w:id="3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Pamatojoties uz inovācijas partnerību un ņemot vērā sociālos un ekoloģiskos aspektus.</w:t>
      </w:r>
    </w:p>
  </w:footnote>
  <w:footnote w:id="3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1" w:anchor="view=fit&amp;amp;pagemode=none">
        <w:r>
          <w:rPr>
            <w:rStyle w:val="Hyperlink"/>
            <w:rFonts w:ascii="Times New Roman" w:hAnsi="Times New Roman"/>
            <w:sz w:val="16"/>
          </w:rPr>
          <w:t>https://ec.europa.eu/research/eic/pdf//eic_call_for_ideas-overview.pdf#view=fit&amp;pagemode=none</w:t>
        </w:r>
      </w:hyperlink>
      <w:r>
        <w:rPr>
          <w:rFonts w:ascii="Times New Roman" w:hAnsi="Times New Roman"/>
          <w:sz w:val="16"/>
        </w:rPr>
        <w:t xml:space="preserve">. </w:t>
      </w:r>
    </w:p>
  </w:footnote>
  <w:footnote w:id="40">
    <w:p>
      <w:pPr>
        <w:pStyle w:val="FootnoteText"/>
      </w:pPr>
      <w:r>
        <w:rPr>
          <w:rStyle w:val="FootnoteReference"/>
          <w:rFonts w:ascii="Times New Roman" w:hAnsi="Times New Roman"/>
          <w:sz w:val="16"/>
        </w:rPr>
        <w:footnoteRef/>
      </w:r>
      <w:r>
        <w:rPr>
          <w:rFonts w:ascii="Times New Roman" w:hAnsi="Times New Roman"/>
          <w:sz w:val="16"/>
        </w:rPr>
        <w:t xml:space="preserve"> Pagaidu nosaukums.</w:t>
      </w:r>
    </w:p>
  </w:footnote>
  <w:footnote w:id="4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 xml:space="preserve">Report on access to finance for the Cultural and Creative Sectors </w:t>
      </w:r>
      <w:r>
        <w:rPr>
          <w:rFonts w:ascii="Times New Roman" w:hAnsi="Times New Roman"/>
          <w:sz w:val="16"/>
        </w:rPr>
        <w:t>(European Commission, 2015).</w:t>
      </w:r>
    </w:p>
  </w:footnote>
  <w:footnote w:id="4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Intellectual property rights and firm performance in Europe:</w:t>
      </w:r>
      <w:r>
        <w:rPr>
          <w:rFonts w:ascii="Times New Roman" w:hAnsi="Times New Roman"/>
          <w:sz w:val="16"/>
        </w:rPr>
        <w:t xml:space="preserve"> </w:t>
      </w:r>
      <w:r>
        <w:rPr>
          <w:rFonts w:ascii="Times New Roman" w:hAnsi="Times New Roman"/>
          <w:i/>
          <w:sz w:val="16"/>
        </w:rPr>
        <w:t>an economic analysis (EUIPO, 2015).</w:t>
      </w:r>
    </w:p>
  </w:footnote>
  <w:footnote w:id="4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Drīzumā pārstrādājot pētniecības un inovācijas rīku atbilstoši Ietekmes novērtēšanas vadlīnijām.</w:t>
      </w:r>
    </w:p>
  </w:footnote>
  <w:footnote w:id="4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Style w:val="Hyperlink"/>
          <w:rFonts w:ascii="Times New Roman" w:hAnsi="Times New Roman"/>
          <w:sz w:val="16"/>
        </w:rPr>
        <w:t>https://ec.europa.eu/epsc/sites/epsc/files/strategic_note_issue_14.pdf</w:t>
      </w:r>
    </w:p>
  </w:footnote>
  <w:footnote w:id="4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Pagaidu nosaukums.</w:t>
      </w:r>
    </w:p>
  </w:footnote>
  <w:footnote w:id="46">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Sīkāk par šiem pasākumiem – pievienotajā Komisijas dienestu darba dokumentā. Pasākumi tiks izstrādāti ciešā sadarbībā ar </w:t>
      </w:r>
      <w:r>
        <w:rPr>
          <w:rFonts w:ascii="Times New Roman" w:hAnsi="Times New Roman"/>
          <w:i/>
          <w:sz w:val="16"/>
        </w:rPr>
        <w:t>EUIPO</w:t>
      </w:r>
      <w:r>
        <w:rPr>
          <w:rFonts w:ascii="Times New Roman" w:hAnsi="Times New Roman"/>
          <w:sz w:val="16"/>
        </w:rPr>
        <w:t xml:space="preserve"> (ES Intelektuālā īpašuma biroju).</w:t>
      </w:r>
    </w:p>
  </w:footnote>
  <w:footnote w:id="4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SWD(2016) 373, 22.11.2016., "Intelektuālā īpašuma nodošana MVU rīcībā inovācijas un izaugsmes veicināšanai".</w:t>
      </w:r>
    </w:p>
  </w:footnote>
  <w:footnote w:id="48">
    <w:p>
      <w:pPr>
        <w:pStyle w:val="FootnoteText"/>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Sociāls jaunuzņēmums ir jaunuzņēmums, kas rada sabiedrisku ietekmi.</w:t>
      </w:r>
    </w:p>
  </w:footnote>
  <w:footnote w:id="4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2">
        <w:r>
          <w:rPr>
            <w:rFonts w:ascii="Times New Roman" w:hAnsi="Times New Roman"/>
            <w:sz w:val="16"/>
          </w:rPr>
          <w:t>http://eureka.sbs.ox.ac.uk/761/1/Social_Innovation.pdf</w:t>
        </w:r>
      </w:hyperlink>
      <w:r>
        <w:rPr>
          <w:rFonts w:ascii="Times New Roman" w:hAnsi="Times New Roman"/>
          <w:sz w:val="16"/>
        </w:rPr>
        <w:t xml:space="preserve">, </w:t>
      </w:r>
      <w:r>
        <w:rPr>
          <w:rFonts w:ascii="Times New Roman" w:hAnsi="Times New Roman"/>
          <w:i/>
          <w:sz w:val="16"/>
        </w:rPr>
        <w:t>Oxford Said Business School, Social Innovation</w:t>
      </w:r>
      <w:r>
        <w:rPr>
          <w:rFonts w:ascii="Times New Roman" w:hAnsi="Times New Roman"/>
          <w:sz w:val="16"/>
        </w:rPr>
        <w:t>.</w:t>
      </w:r>
    </w:p>
  </w:footnote>
  <w:footnote w:id="5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3">
        <w:r>
          <w:rPr>
            <w:rStyle w:val="Hyperlink"/>
            <w:rFonts w:ascii="Times New Roman" w:hAnsi="Times New Roman"/>
            <w:sz w:val="16"/>
          </w:rPr>
          <w:t>http://eur-lex.europa.eu/LexUriServ/LexUriServ.do?uri=OJ:L:2013:347:0238:0252:EN:PDF</w:t>
        </w:r>
      </w:hyperlink>
      <w:r>
        <w:rPr>
          <w:rStyle w:val="Hyperlink"/>
          <w:rFonts w:ascii="Times New Roman" w:hAnsi="Times New Roman"/>
          <w:sz w:val="16"/>
        </w:rPr>
        <w:t xml:space="preserve"> .</w:t>
      </w:r>
      <w:r>
        <w:rPr>
          <w:rFonts w:ascii="Times New Roman" w:hAnsi="Times New Roman"/>
          <w:sz w:val="16"/>
        </w:rPr>
        <w:t>.</w:t>
      </w:r>
    </w:p>
  </w:footnote>
  <w:footnote w:id="5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4">
        <w:r>
          <w:rPr>
            <w:rStyle w:val="Hyperlink"/>
            <w:rFonts w:ascii="Times New Roman" w:hAnsi="Times New Roman"/>
            <w:sz w:val="16"/>
          </w:rPr>
          <w:t>http://europa.eu/rapid/press-release_CES-12-60_en.htm?locale=en</w:t>
        </w:r>
      </w:hyperlink>
      <w:r>
        <w:rPr>
          <w:rFonts w:ascii="Times New Roman" w:hAnsi="Times New Roman"/>
          <w:sz w:val="16"/>
        </w:rPr>
        <w:t xml:space="preserve"> </w:t>
      </w:r>
    </w:p>
  </w:footnote>
  <w:footnote w:id="5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2017. gadā Komisija sāks darbināt Sociālās inovācijas problēmu platformu, lai stimulētu sociālos uzņēmumus sadarboties ar citu veidu uzņēmumiem kopīgā sabiedrības problēmu risinājumu meklēšanā. Tā arī publicēs uzaicinājumu analizēt un vākt labāko praksi digitālās ekonomikas labākai izmantošanai sociālajos uzņēmumos.</w:t>
      </w:r>
    </w:p>
  </w:footnote>
  <w:footnote w:id="5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5">
        <w:r>
          <w:rPr>
            <w:rStyle w:val="Hyperlink"/>
            <w:rFonts w:ascii="Times New Roman" w:hAnsi="Times New Roman"/>
            <w:sz w:val="16"/>
          </w:rPr>
          <w:t>http://www.un.org/sustainabledevelopment/sustainable-development-goals/</w:t>
        </w:r>
      </w:hyperlink>
    </w:p>
  </w:footnote>
  <w:footnote w:id="5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Thomson ONE in BSG Perspectives ‘The State of European Venture Capital’.</w:t>
      </w:r>
    </w:p>
  </w:footnote>
  <w:footnote w:id="5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i/>
          <w:sz w:val="16"/>
        </w:rPr>
        <w:t>NVCA</w:t>
      </w:r>
      <w:r>
        <w:rPr>
          <w:rFonts w:ascii="Times New Roman" w:hAnsi="Times New Roman"/>
          <w:sz w:val="16"/>
        </w:rPr>
        <w:t xml:space="preserve"> ziņojums par skaitļiem ASV, ES datu ziņojums par skaitļiem ES.</w:t>
      </w:r>
    </w:p>
  </w:footnote>
  <w:footnote w:id="56">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Pētījums "Assessing the Potential for EU Investment in Venture Capital and Other Risk Capital Fund of Funds".</w:t>
      </w:r>
    </w:p>
  </w:footnote>
  <w:footnote w:id="5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6">
        <w:r>
          <w:rPr>
            <w:rStyle w:val="Hyperlink"/>
            <w:rFonts w:ascii="Times New Roman" w:hAnsi="Times New Roman"/>
            <w:sz w:val="16"/>
          </w:rPr>
          <w:t>http://eur-lex.europa.eu/legal-content/EN/TXT/PDF/?uri=CELEX:52016DC0581&amp;from=EN</w:t>
        </w:r>
      </w:hyperlink>
      <w:r>
        <w:rPr>
          <w:rFonts w:ascii="Times New Roman" w:hAnsi="Times New Roman"/>
          <w:sz w:val="16"/>
        </w:rPr>
        <w:t xml:space="preserve"> </w:t>
      </w:r>
    </w:p>
  </w:footnote>
  <w:footnote w:id="58">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Lai izraudzītos visas Eiropas fondu fonda veicinātājus, 2016. gada novembrī ir publicēts uzaicinājums izteikt ieinteresētību.</w:t>
      </w:r>
    </w:p>
  </w:footnote>
  <w:footnote w:id="5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Direktīva 2014/65/ES.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702"/>
    <w:multiLevelType w:val="hybridMultilevel"/>
    <w:tmpl w:val="B56EC4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E5A60"/>
    <w:multiLevelType w:val="hybridMultilevel"/>
    <w:tmpl w:val="BC0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4028DC"/>
    <w:multiLevelType w:val="hybridMultilevel"/>
    <w:tmpl w:val="5A724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C3518"/>
    <w:multiLevelType w:val="hybridMultilevel"/>
    <w:tmpl w:val="229A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011D7"/>
    <w:multiLevelType w:val="hybridMultilevel"/>
    <w:tmpl w:val="3266DF4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C40A20"/>
    <w:multiLevelType w:val="hybridMultilevel"/>
    <w:tmpl w:val="A03A5124"/>
    <w:lvl w:ilvl="0" w:tplc="1032B3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BB3EEF"/>
    <w:multiLevelType w:val="hybridMultilevel"/>
    <w:tmpl w:val="0F4AEF94"/>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250B61C4"/>
    <w:multiLevelType w:val="hybridMultilevel"/>
    <w:tmpl w:val="C8E2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EB083D"/>
    <w:multiLevelType w:val="hybridMultilevel"/>
    <w:tmpl w:val="5584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AA0724"/>
    <w:multiLevelType w:val="hybridMultilevel"/>
    <w:tmpl w:val="F93E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F80"/>
    <w:multiLevelType w:val="hybridMultilevel"/>
    <w:tmpl w:val="A10CAFE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9354EC"/>
    <w:multiLevelType w:val="hybridMultilevel"/>
    <w:tmpl w:val="6674E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94B3E"/>
    <w:multiLevelType w:val="hybridMultilevel"/>
    <w:tmpl w:val="A3B0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960B41"/>
    <w:multiLevelType w:val="hybridMultilevel"/>
    <w:tmpl w:val="DAEE86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093677"/>
    <w:multiLevelType w:val="hybridMultilevel"/>
    <w:tmpl w:val="477E3D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DA773A"/>
    <w:multiLevelType w:val="hybridMultilevel"/>
    <w:tmpl w:val="6F2E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C01E09"/>
    <w:multiLevelType w:val="hybridMultilevel"/>
    <w:tmpl w:val="EB5E2A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FC3D0B"/>
    <w:multiLevelType w:val="hybridMultilevel"/>
    <w:tmpl w:val="282C8F0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0A7F44"/>
    <w:multiLevelType w:val="hybridMultilevel"/>
    <w:tmpl w:val="3266DF4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F322C7"/>
    <w:multiLevelType w:val="hybridMultilevel"/>
    <w:tmpl w:val="EDD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EF0143"/>
    <w:multiLevelType w:val="hybridMultilevel"/>
    <w:tmpl w:val="15CEF69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nsid w:val="78D96924"/>
    <w:multiLevelType w:val="hybridMultilevel"/>
    <w:tmpl w:val="6D26C3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D14CD3"/>
    <w:multiLevelType w:val="hybridMultilevel"/>
    <w:tmpl w:val="FB7673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E32ED5"/>
    <w:multiLevelType w:val="hybridMultilevel"/>
    <w:tmpl w:val="59D8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D1569B"/>
    <w:multiLevelType w:val="hybridMultilevel"/>
    <w:tmpl w:val="4D1EDB3A"/>
    <w:lvl w:ilvl="0" w:tplc="E2D48956">
      <w:start w:val="1"/>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2"/>
  </w:num>
  <w:num w:numId="2">
    <w:abstractNumId w:val="18"/>
  </w:num>
  <w:num w:numId="3">
    <w:abstractNumId w:val="10"/>
  </w:num>
  <w:num w:numId="4">
    <w:abstractNumId w:val="8"/>
  </w:num>
  <w:num w:numId="5">
    <w:abstractNumId w:val="16"/>
  </w:num>
  <w:num w:numId="6">
    <w:abstractNumId w:val="11"/>
  </w:num>
  <w:num w:numId="7">
    <w:abstractNumId w:val="17"/>
  </w:num>
  <w:num w:numId="8">
    <w:abstractNumId w:val="6"/>
  </w:num>
  <w:num w:numId="9">
    <w:abstractNumId w:val="22"/>
  </w:num>
  <w:num w:numId="10">
    <w:abstractNumId w:val="14"/>
  </w:num>
  <w:num w:numId="11">
    <w:abstractNumId w:val="0"/>
  </w:num>
  <w:num w:numId="12">
    <w:abstractNumId w:val="5"/>
  </w:num>
  <w:num w:numId="13">
    <w:abstractNumId w:val="4"/>
  </w:num>
  <w:num w:numId="14">
    <w:abstractNumId w:val="3"/>
  </w:num>
  <w:num w:numId="15">
    <w:abstractNumId w:val="15"/>
  </w:num>
  <w:num w:numId="16">
    <w:abstractNumId w:val="9"/>
  </w:num>
  <w:num w:numId="17">
    <w:abstractNumId w:val="12"/>
  </w:num>
  <w:num w:numId="18">
    <w:abstractNumId w:val="7"/>
  </w:num>
  <w:num w:numId="19">
    <w:abstractNumId w:val="23"/>
  </w:num>
  <w:num w:numId="20">
    <w:abstractNumId w:val="21"/>
  </w:num>
  <w:num w:numId="21">
    <w:abstractNumId w:val="1"/>
  </w:num>
  <w:num w:numId="22">
    <w:abstractNumId w:val="13"/>
  </w:num>
  <w:num w:numId="23">
    <w:abstractNumId w:val="19"/>
  </w:num>
  <w:num w:numId="24">
    <w:abstractNumId w:val="24"/>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64AEDA9D9F04AB194709F7A80FDAAC0"/>
    <w:docVar w:name="LW_CROSSREFERENCE" w:val="{SWD(2016) 373 final}"/>
    <w:docVar w:name="LW_DocType" w:val="NORMAL"/>
    <w:docVar w:name="LW_EMISSION" w:val="22.11.2016"/>
    <w:docVar w:name="LW_EMISSION_ISODATE" w:val="2016-11-22"/>
    <w:docVar w:name="LW_EMISSION_LOCATION" w:val="STR"/>
    <w:docVar w:name="LW_EMISSION_PREFIX" w:val="Strasbūrā, "/>
    <w:docVar w:name="LW_EMISSION_SUFFIX" w:val="."/>
    <w:docVar w:name="LW_ID_DOCTYPE_NONLW" w:val="CP-014"/>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6) 733"/>
    <w:docVar w:name="LW_REF.INTERNE" w:val="&lt;UNUSED&gt;"/>
    <w:docVar w:name="LW_SOUS.TITRE.OBJ.CP" w:val="&lt;UNUSED&gt;"/>
    <w:docVar w:name="LW_SUPERTITRE" w:val="&lt;UNUSED&gt;"/>
    <w:docVar w:name="LW_TITRE.OBJ.CP" w:val="Eiropas topo\u353?ie l\u299?deri... jaunuz\u326?\u275?mumu un augo\u353?o uz\u326?\u275?mumu atbalsta iniciat\u299?va "/>
    <w:docVar w:name="LW_TYPE.DOC.CP" w:val="KOMISIJAS PAZI\u325?OJUMS EIROPAS PARLAMENTAM, PADOMEI, EIROPAS EKONOMIKAS UN SOCI\u256?LO LIETU KOMITEJAI UN RE\u290?IONU KOMITEJAI"/>
    <w:docVar w:name="LW_TYPE.DOC.CP.USERTEXT" w:val="&lt;EMPTY&gt;"/>
    <w:docVar w:name="Stamp" w:val="\\dossiers.dgt.cec.eu.int\dossiers\GROW\GROW-2016-01732\GROW-2016-01732-00-00-EN-REV-00.201610261617264068681.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2">
    <w:name w:val="heading 2"/>
    <w:basedOn w:val="H2"/>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spacing w:after="120" w:line="240" w:lineRule="auto"/>
      <w:jc w:val="both"/>
      <w:outlineLvl w:val="2"/>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pPr>
      <w:ind w:left="720"/>
      <w:contextualSpacing/>
    </w:p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lv-LV"/>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Pr>
      <w:rFonts w:eastAsiaTheme="minorEastAsia"/>
      <w:lang w:eastAsia="lv-LV"/>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lv-LV"/>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uiPriority w:val="99"/>
    <w:unhideWhenUsed/>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eastAsiaTheme="minorEastAsia"/>
      <w:sz w:val="20"/>
      <w:szCs w:val="20"/>
      <w:lang w:eastAsia="lv-LV"/>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lv-LV"/>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lv-LV"/>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rPr>
  </w:style>
  <w:style w:type="character" w:styleId="Hyperlink">
    <w:name w:val="Hyperlink"/>
    <w:uiPriority w:val="99"/>
    <w:unhideWhenUsed/>
    <w:rPr>
      <w:color w:val="000099"/>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lv-LV"/>
    </w:rPr>
  </w:style>
  <w:style w:type="paragraph" w:styleId="Revision">
    <w:name w:val="Revision"/>
    <w:hidden/>
    <w:uiPriority w:val="99"/>
    <w:semiHidden/>
    <w:pPr>
      <w:spacing w:after="0" w:line="240" w:lineRule="auto"/>
    </w:pPr>
    <w:rPr>
      <w:rFonts w:eastAsiaTheme="minorEastAsi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rPr>
  </w:style>
  <w:style w:type="paragraph" w:customStyle="1" w:styleId="H2">
    <w:name w:val="_H2"/>
    <w:basedOn w:val="Normal"/>
    <w:next w:val="Normal"/>
    <w:link w:val="H2Char"/>
    <w:qFormat/>
    <w:pPr>
      <w:spacing w:after="120" w:line="240" w:lineRule="auto"/>
      <w:jc w:val="both"/>
    </w:pPr>
    <w:rPr>
      <w:rFonts w:ascii="Times New Roman" w:eastAsiaTheme="minorHAnsi" w:hAnsi="Times New Roman" w:cs="Times New Roman"/>
      <w:b/>
    </w:rPr>
  </w:style>
  <w:style w:type="character" w:customStyle="1" w:styleId="Heading2Char">
    <w:name w:val="Heading 2 Char"/>
    <w:basedOn w:val="DefaultParagraphFont"/>
    <w:link w:val="Heading2"/>
    <w:uiPriority w:val="9"/>
    <w:rPr>
      <w:rFonts w:ascii="Times New Roman" w:hAnsi="Times New Roman" w:cs="Times New Roman"/>
      <w:b/>
    </w:rPr>
  </w:style>
  <w:style w:type="character" w:customStyle="1" w:styleId="H2Char">
    <w:name w:val="_H2 Char"/>
    <w:basedOn w:val="DefaultParagraphFont"/>
    <w:link w:val="H2"/>
    <w:rPr>
      <w:rFonts w:ascii="Times New Roman" w:hAnsi="Times New Roman" w:cs="Times New Roman"/>
      <w:b/>
    </w:rPr>
  </w:style>
  <w:style w:type="character" w:customStyle="1" w:styleId="Heading3Char">
    <w:name w:val="Heading 3 Char"/>
    <w:basedOn w:val="DefaultParagraphFont"/>
    <w:link w:val="Heading3"/>
    <w:uiPriority w:val="9"/>
    <w:rPr>
      <w:rFonts w:ascii="Times New Roman" w:eastAsiaTheme="minorEastAsia" w:hAnsi="Times New Roman" w:cs="Times New Roman"/>
      <w:b/>
      <w:lang w:eastAsia="lv-LV"/>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2">
    <w:name w:val="heading 2"/>
    <w:basedOn w:val="H2"/>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spacing w:after="120" w:line="240" w:lineRule="auto"/>
      <w:jc w:val="both"/>
      <w:outlineLvl w:val="2"/>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pPr>
      <w:ind w:left="720"/>
      <w:contextualSpacing/>
    </w:p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lv-LV"/>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Pr>
      <w:rFonts w:eastAsiaTheme="minorEastAsia"/>
      <w:lang w:eastAsia="lv-LV"/>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lv-LV"/>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uiPriority w:val="99"/>
    <w:unhideWhenUsed/>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eastAsiaTheme="minorEastAsia"/>
      <w:sz w:val="20"/>
      <w:szCs w:val="20"/>
      <w:lang w:eastAsia="lv-LV"/>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lv-LV"/>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lv-LV"/>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rPr>
  </w:style>
  <w:style w:type="character" w:styleId="Hyperlink">
    <w:name w:val="Hyperlink"/>
    <w:uiPriority w:val="99"/>
    <w:unhideWhenUsed/>
    <w:rPr>
      <w:color w:val="000099"/>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lv-LV"/>
    </w:rPr>
  </w:style>
  <w:style w:type="paragraph" w:styleId="Revision">
    <w:name w:val="Revision"/>
    <w:hidden/>
    <w:uiPriority w:val="99"/>
    <w:semiHidden/>
    <w:pPr>
      <w:spacing w:after="0" w:line="240" w:lineRule="auto"/>
    </w:pPr>
    <w:rPr>
      <w:rFonts w:eastAsiaTheme="minorEastAsi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rPr>
  </w:style>
  <w:style w:type="paragraph" w:customStyle="1" w:styleId="H2">
    <w:name w:val="_H2"/>
    <w:basedOn w:val="Normal"/>
    <w:next w:val="Normal"/>
    <w:link w:val="H2Char"/>
    <w:qFormat/>
    <w:pPr>
      <w:spacing w:after="120" w:line="240" w:lineRule="auto"/>
      <w:jc w:val="both"/>
    </w:pPr>
    <w:rPr>
      <w:rFonts w:ascii="Times New Roman" w:eastAsiaTheme="minorHAnsi" w:hAnsi="Times New Roman" w:cs="Times New Roman"/>
      <w:b/>
    </w:rPr>
  </w:style>
  <w:style w:type="character" w:customStyle="1" w:styleId="Heading2Char">
    <w:name w:val="Heading 2 Char"/>
    <w:basedOn w:val="DefaultParagraphFont"/>
    <w:link w:val="Heading2"/>
    <w:uiPriority w:val="9"/>
    <w:rPr>
      <w:rFonts w:ascii="Times New Roman" w:hAnsi="Times New Roman" w:cs="Times New Roman"/>
      <w:b/>
    </w:rPr>
  </w:style>
  <w:style w:type="character" w:customStyle="1" w:styleId="H2Char">
    <w:name w:val="_H2 Char"/>
    <w:basedOn w:val="DefaultParagraphFont"/>
    <w:link w:val="H2"/>
    <w:rPr>
      <w:rFonts w:ascii="Times New Roman" w:hAnsi="Times New Roman" w:cs="Times New Roman"/>
      <w:b/>
    </w:rPr>
  </w:style>
  <w:style w:type="character" w:customStyle="1" w:styleId="Heading3Char">
    <w:name w:val="Heading 3 Char"/>
    <w:basedOn w:val="DefaultParagraphFont"/>
    <w:link w:val="Heading3"/>
    <w:uiPriority w:val="9"/>
    <w:rPr>
      <w:rFonts w:ascii="Times New Roman" w:eastAsiaTheme="minorEastAsia" w:hAnsi="Times New Roman" w:cs="Times New Roman"/>
      <w:b/>
      <w:lang w:eastAsia="lv-LV"/>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01828">
      <w:bodyDiv w:val="1"/>
      <w:marLeft w:val="0"/>
      <w:marRight w:val="0"/>
      <w:marTop w:val="0"/>
      <w:marBottom w:val="0"/>
      <w:divBdr>
        <w:top w:val="none" w:sz="0" w:space="0" w:color="auto"/>
        <w:left w:val="none" w:sz="0" w:space="0" w:color="auto"/>
        <w:bottom w:val="none" w:sz="0" w:space="0" w:color="auto"/>
        <w:right w:val="none" w:sz="0" w:space="0" w:color="auto"/>
      </w:divBdr>
    </w:div>
    <w:div w:id="1047295340">
      <w:bodyDiv w:val="1"/>
      <w:marLeft w:val="0"/>
      <w:marRight w:val="0"/>
      <w:marTop w:val="0"/>
      <w:marBottom w:val="0"/>
      <w:divBdr>
        <w:top w:val="none" w:sz="0" w:space="0" w:color="auto"/>
        <w:left w:val="none" w:sz="0" w:space="0" w:color="auto"/>
        <w:bottom w:val="none" w:sz="0" w:space="0" w:color="auto"/>
        <w:right w:val="none" w:sz="0" w:space="0" w:color="auto"/>
      </w:divBdr>
    </w:div>
    <w:div w:id="14487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sites/taxation/files/com_2016_148_en.pdf" TargetMode="External"/><Relationship Id="rId13" Type="http://schemas.openxmlformats.org/officeDocument/2006/relationships/hyperlink" Target="http://eur-lex.europa.eu/LexUriServ/LexUriServ.do?uri=OJ:L:2013:347:0238:0252:EN:PDF" TargetMode="External"/><Relationship Id="rId3" Type="http://schemas.openxmlformats.org/officeDocument/2006/relationships/hyperlink" Target="http://ec.europa.eu/transparency/regexpert/index.cfm?do=groupDetail.groupDetailDoc&amp;id=26381&amp;no=1" TargetMode="External"/><Relationship Id="rId7" Type="http://schemas.openxmlformats.org/officeDocument/2006/relationships/hyperlink" Target="http://ec.europa.eu/growth/tools-databases/newsroom/cf/itemdetail.cfm?item_id=8852" TargetMode="External"/><Relationship Id="rId12" Type="http://schemas.openxmlformats.org/officeDocument/2006/relationships/hyperlink" Target="http://eureka.sbs.ox.ac.uk/761/1/Social_Innovation.pdf" TargetMode="External"/><Relationship Id="rId2" Type="http://schemas.openxmlformats.org/officeDocument/2006/relationships/hyperlink" Target="https://cohesiondata.ec.europa.eu/themes/3" TargetMode="External"/><Relationship Id="rId16" Type="http://schemas.openxmlformats.org/officeDocument/2006/relationships/hyperlink" Target="http://eur-lex.europa.eu/legal-content/EN/TXT/PDF/?uri=CELEX:52016DC0581&amp;from=EN" TargetMode="External"/><Relationship Id="rId1" Type="http://schemas.openxmlformats.org/officeDocument/2006/relationships/hyperlink" Target="http://www.kauffman.org/blogs/policy-dialogue/2015/august/deconstructing-job-creation-from-startups" TargetMode="External"/><Relationship Id="rId6" Type="http://schemas.openxmlformats.org/officeDocument/2006/relationships/hyperlink" Target="http://ec.europa.eu/growth/single-market/strategy/collaborative-economy_en" TargetMode="External"/><Relationship Id="rId11" Type="http://schemas.openxmlformats.org/officeDocument/2006/relationships/hyperlink" Target="https://ec.europa.eu/research/eic/pdf//eic_call_for_ideas-overview.pdf" TargetMode="External"/><Relationship Id="rId5" Type="http://schemas.openxmlformats.org/officeDocument/2006/relationships/hyperlink" Target="http://ec.europa.eu/growth/tools-databases/newsroom/cf/itemdetail.cfm?item_id=8723" TargetMode="External"/><Relationship Id="rId15" Type="http://schemas.openxmlformats.org/officeDocument/2006/relationships/hyperlink" Target="http://www.un.org/sustainabledevelopment/sustainable-development-goals/" TargetMode="External"/><Relationship Id="rId10" Type="http://schemas.openxmlformats.org/officeDocument/2006/relationships/hyperlink" Target="https://ec.europa.eu/digital-single-market/en/news/updated-results-ongoing-pre-commercial-procurements-pcp-projects" TargetMode="External"/><Relationship Id="rId4" Type="http://schemas.openxmlformats.org/officeDocument/2006/relationships/hyperlink" Target="http://ec.europa.eu/eurostat/statistics-explained/index.php/Entrepreneurship_-_statistical_indicators" TargetMode="External"/><Relationship Id="rId9" Type="http://schemas.openxmlformats.org/officeDocument/2006/relationships/hyperlink" Target="http://eur-lex.europa.eu/legal-content/EN/TXT/?uri=CELEX:52016DC0179" TargetMode="External"/><Relationship Id="rId14" Type="http://schemas.openxmlformats.org/officeDocument/2006/relationships/hyperlink" Target="http://europa.eu/rapid/press-release_CES-12-60_en.htm?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6b963b55-664c-4df9-9384-48ffbb749435">Not Started</EC_Collab_Status>
    <see_x0020_also xmlns="6b963b55-664c-4df9-9384-48ffbb749435">
      <Url xsi:nil="true"/>
      <Description xsi:nil="true"/>
    </see_x0020_also>
    <_Status xmlns="http://schemas.microsoft.com/sharepoint/v3/fields">Not Started</_Status>
    <EC_Collab_Reference xmlns="6b963b55-664c-4df9-9384-48ffbb749435" xsi:nil="true"/>
    <EC_Collab_DocumentLanguage xmlns="6b963b55-664c-4df9-9384-48ffbb749435">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9252DB641C1814EA88C2BA66C078CD9" ma:contentTypeVersion="2" ma:contentTypeDescription="Create a new document in this library." ma:contentTypeScope="" ma:versionID="bd151f7aadca48ccb229207852faebc7">
  <xsd:schema xmlns:xsd="http://www.w3.org/2001/XMLSchema" xmlns:xs="http://www.w3.org/2001/XMLSchema" xmlns:p="http://schemas.microsoft.com/office/2006/metadata/properties" xmlns:ns2="http://schemas.microsoft.com/sharepoint/v3/fields" xmlns:ns3="6b963b55-664c-4df9-9384-48ffbb749435" targetNamespace="http://schemas.microsoft.com/office/2006/metadata/properties" ma:root="true" ma:fieldsID="7d2ddf95bd19223e14f3ec53b45951c6" ns2:_="" ns3:_="">
    <xsd:import namespace="http://schemas.microsoft.com/sharepoint/v3/fields"/>
    <xsd:import namespace="6b963b55-664c-4df9-9384-48ffbb749435"/>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ee_x0020_al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b963b55-664c-4df9-9384-48ffbb7494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ee_x0020_also" ma:index="16" nillable="true" ma:displayName="see also" ma:format="Hyperlink" ma:internalName="see_x0020_als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4D27-8A23-4822-933B-57B2C7947D1A}">
  <ds:schemaRefs>
    <ds:schemaRef ds:uri="http://schemas.microsoft.com/office/2006/metadata/properties"/>
    <ds:schemaRef ds:uri="http://schemas.microsoft.com/office/infopath/2007/PartnerControls"/>
    <ds:schemaRef ds:uri="6b963b55-664c-4df9-9384-48ffbb749435"/>
    <ds:schemaRef ds:uri="http://schemas.microsoft.com/sharepoint/v3/fields"/>
  </ds:schemaRefs>
</ds:datastoreItem>
</file>

<file path=customXml/itemProps2.xml><?xml version="1.0" encoding="utf-8"?>
<ds:datastoreItem xmlns:ds="http://schemas.openxmlformats.org/officeDocument/2006/customXml" ds:itemID="{C20D3388-3D88-4C81-A382-302F78F86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b963b55-664c-4df9-9384-48ffbb749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162E7-555A-4AAC-9A3F-17384972D818}">
  <ds:schemaRefs>
    <ds:schemaRef ds:uri="http://schemas.microsoft.com/sharepoint/v3/contenttype/forms"/>
  </ds:schemaRefs>
</ds:datastoreItem>
</file>

<file path=customXml/itemProps4.xml><?xml version="1.0" encoding="utf-8"?>
<ds:datastoreItem xmlns:ds="http://schemas.openxmlformats.org/officeDocument/2006/customXml" ds:itemID="{383D7FB1-AB45-4FCE-AD24-8634A076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4191</Words>
  <Characters>28798</Characters>
  <Application>Microsoft Office Word</Application>
  <DocSecurity>0</DocSecurity>
  <Lines>423</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CHAPTERS: (1-) (2-) (3-) (4-)</dc:description>
  <cp:lastModifiedBy>DIGIT/A3</cp:lastModifiedBy>
  <cp:revision>24</cp:revision>
  <cp:lastPrinted>2016-11-18T15:19:00Z</cp:lastPrinted>
  <dcterms:created xsi:type="dcterms:W3CDTF">2016-11-29T16:50:00Z</dcterms:created>
  <dcterms:modified xsi:type="dcterms:W3CDTF">2016-11-30T12:42:00Z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0x010100258AA79CEB83498886A3A086811232500049252DB641C1814EA88C2BA66C078CD9</vt:lpwstr>
  </property>
  <property fmtid="{D5CDD505-2E9C-101B-9397-08002B2CF9AE}" pid="6" name="DocStatus">
    <vt:lpwstr>Green</vt:lpwstr>
  </property>
</Properties>
</file>