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41" w:rsidRDefault="0043290C" w:rsidP="0043290C">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AF7B9500FD740718A27D71EB3E20A11" style="width:450.25pt;height:377.2pt">
            <v:imagedata r:id="rId9" o:title=""/>
          </v:shape>
        </w:pict>
      </w:r>
    </w:p>
    <w:bookmarkEnd w:id="0"/>
    <w:p w:rsidR="00A5268D" w:rsidRDefault="00A5268D" w:rsidP="00A5268D">
      <w:pPr>
        <w:sectPr w:rsidR="00A5268D" w:rsidSect="0043290C">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tbl>
      <w:tblPr>
        <w:tblStyle w:val="TableGrid"/>
        <w:tblW w:w="10506" w:type="dxa"/>
        <w:jc w:val="center"/>
        <w:tblInd w:w="-318" w:type="dxa"/>
        <w:tblLook w:val="01E0" w:firstRow="1" w:lastRow="1" w:firstColumn="1" w:lastColumn="1" w:noHBand="0" w:noVBand="0"/>
      </w:tblPr>
      <w:tblGrid>
        <w:gridCol w:w="318"/>
        <w:gridCol w:w="9747"/>
        <w:gridCol w:w="441"/>
      </w:tblGrid>
      <w:tr w:rsidR="003331EA" w:rsidTr="00A65239">
        <w:trPr>
          <w:gridBefore w:val="1"/>
          <w:wBefore w:w="318" w:type="dxa"/>
          <w:jc w:val="center"/>
        </w:trPr>
        <w:tc>
          <w:tcPr>
            <w:tcW w:w="10188" w:type="dxa"/>
            <w:gridSpan w:val="2"/>
            <w:tcBorders>
              <w:bottom w:val="single" w:sz="4" w:space="0" w:color="auto"/>
            </w:tcBorders>
            <w:shd w:val="clear" w:color="auto" w:fill="CCCCCC"/>
          </w:tcPr>
          <w:p w:rsidR="003331EA" w:rsidRPr="00C22EC4" w:rsidRDefault="003331EA" w:rsidP="00D04C04">
            <w:pPr>
              <w:spacing w:before="60" w:after="60"/>
              <w:jc w:val="center"/>
              <w:rPr>
                <w:rFonts w:ascii="Tahoma" w:hAnsi="Tahoma" w:cs="Tahoma"/>
                <w:b/>
                <w:sz w:val="22"/>
                <w:szCs w:val="22"/>
              </w:rPr>
            </w:pPr>
            <w:r>
              <w:rPr>
                <w:rFonts w:ascii="Tahoma" w:hAnsi="Tahoma"/>
                <w:b/>
                <w:sz w:val="22"/>
              </w:rPr>
              <w:lastRenderedPageBreak/>
              <w:t>Kopsavilkuma lapa</w:t>
            </w:r>
          </w:p>
        </w:tc>
      </w:tr>
      <w:tr w:rsidR="003331EA" w:rsidRPr="001B2DAE" w:rsidTr="00A65239">
        <w:trPr>
          <w:gridBefore w:val="1"/>
          <w:wBefore w:w="318" w:type="dxa"/>
          <w:jc w:val="center"/>
        </w:trPr>
        <w:tc>
          <w:tcPr>
            <w:tcW w:w="10188" w:type="dxa"/>
            <w:gridSpan w:val="2"/>
            <w:tcBorders>
              <w:top w:val="single" w:sz="4" w:space="0" w:color="auto"/>
              <w:left w:val="single" w:sz="4" w:space="0" w:color="auto"/>
              <w:bottom w:val="single" w:sz="4" w:space="0" w:color="auto"/>
              <w:right w:val="single" w:sz="4" w:space="0" w:color="auto"/>
            </w:tcBorders>
            <w:shd w:val="clear" w:color="auto" w:fill="4F81BD" w:themeFill="accent1"/>
          </w:tcPr>
          <w:p w:rsidR="003331EA" w:rsidRPr="00C22EC4" w:rsidRDefault="003331EA" w:rsidP="00857467">
            <w:pPr>
              <w:spacing w:before="120" w:after="120"/>
              <w:jc w:val="both"/>
              <w:rPr>
                <w:rFonts w:ascii="Tahoma" w:hAnsi="Tahoma" w:cs="Tahoma"/>
                <w:sz w:val="20"/>
                <w:szCs w:val="20"/>
              </w:rPr>
            </w:pPr>
            <w:r>
              <w:rPr>
                <w:rFonts w:ascii="Tahoma" w:hAnsi="Tahoma"/>
                <w:color w:val="FFFFFF" w:themeColor="background1"/>
                <w:sz w:val="20"/>
              </w:rPr>
              <w:t xml:space="preserve">Ietekmes novērtējums attiecībā uz Eiropas Parlamenta un Padomes direktīvas, ar ko groza Direktīvu 2012/27/ES par energoefektivitāti, priekšlikumu </w:t>
            </w:r>
          </w:p>
        </w:tc>
      </w:tr>
      <w:tr w:rsidR="003331EA" w:rsidRPr="001239CB" w:rsidTr="00A65239">
        <w:trPr>
          <w:gridBefore w:val="1"/>
          <w:wBefore w:w="318" w:type="dxa"/>
          <w:jc w:val="center"/>
        </w:trPr>
        <w:tc>
          <w:tcPr>
            <w:tcW w:w="10188" w:type="dxa"/>
            <w:gridSpan w:val="2"/>
            <w:tcBorders>
              <w:bottom w:val="single" w:sz="4" w:space="0" w:color="auto"/>
            </w:tcBorders>
            <w:shd w:val="clear" w:color="auto" w:fill="CCCCCC"/>
          </w:tcPr>
          <w:p w:rsidR="003331EA" w:rsidRPr="00B72557" w:rsidRDefault="003331EA" w:rsidP="00D04C04">
            <w:pPr>
              <w:spacing w:before="60" w:after="60"/>
              <w:jc w:val="center"/>
              <w:rPr>
                <w:rFonts w:ascii="Tahoma" w:hAnsi="Tahoma" w:cs="Tahoma"/>
                <w:b/>
                <w:sz w:val="22"/>
                <w:szCs w:val="22"/>
              </w:rPr>
            </w:pPr>
            <w:r>
              <w:rPr>
                <w:rFonts w:ascii="Tahoma" w:hAnsi="Tahoma"/>
                <w:b/>
                <w:sz w:val="22"/>
              </w:rPr>
              <w:t>A. Rīcības nepieciešamība</w:t>
            </w:r>
          </w:p>
        </w:tc>
      </w:tr>
      <w:tr w:rsidR="003331EA" w:rsidRPr="00501394" w:rsidTr="00A65239">
        <w:trPr>
          <w:gridBefore w:val="1"/>
          <w:wBefore w:w="318" w:type="dxa"/>
          <w:jc w:val="center"/>
        </w:trPr>
        <w:tc>
          <w:tcPr>
            <w:tcW w:w="10188" w:type="dxa"/>
            <w:gridSpan w:val="2"/>
            <w:tcBorders>
              <w:bottom w:val="single" w:sz="4" w:space="0" w:color="auto"/>
            </w:tcBorders>
            <w:shd w:val="clear" w:color="auto" w:fill="E0E0E0"/>
          </w:tcPr>
          <w:p w:rsidR="003331EA" w:rsidRPr="00CD4871" w:rsidRDefault="003331EA" w:rsidP="00CC2027">
            <w:pPr>
              <w:spacing w:before="60" w:after="60"/>
              <w:jc w:val="both"/>
              <w:rPr>
                <w:rFonts w:ascii="Tahoma" w:hAnsi="Tahoma" w:cs="Tahoma"/>
                <w:sz w:val="20"/>
                <w:szCs w:val="20"/>
              </w:rPr>
            </w:pPr>
            <w:r>
              <w:rPr>
                <w:rFonts w:ascii="Tahoma" w:hAnsi="Tahoma"/>
                <w:b/>
                <w:sz w:val="20"/>
              </w:rPr>
              <w:t xml:space="preserve">Kādēļ? Kāda problēma tiek risināta? </w:t>
            </w:r>
          </w:p>
        </w:tc>
      </w:tr>
      <w:tr w:rsidR="003331EA" w:rsidRPr="00555298" w:rsidTr="00A65239">
        <w:trPr>
          <w:gridBefore w:val="1"/>
          <w:wBefore w:w="318" w:type="dxa"/>
          <w:trHeight w:val="4093"/>
          <w:jc w:val="center"/>
        </w:trPr>
        <w:tc>
          <w:tcPr>
            <w:tcW w:w="10188" w:type="dxa"/>
            <w:gridSpan w:val="2"/>
            <w:tcBorders>
              <w:bottom w:val="single" w:sz="4" w:space="0" w:color="auto"/>
            </w:tcBorders>
            <w:shd w:val="clear" w:color="auto" w:fill="auto"/>
          </w:tcPr>
          <w:p w:rsidR="00B01D5F" w:rsidRDefault="00B01D5F" w:rsidP="00B8219C">
            <w:pPr>
              <w:jc w:val="both"/>
            </w:pPr>
            <w:r>
              <w:t>ES tiesiskais regulējums energoefektivitātes jomā ir jāpielāgo 2030. gada perspektīvai politiskās nostājas dēļ (kuru 2014. gada oktobrī pauda Eiropas Padome, bet 2015. gada decembrī — Eiropas Parlaments) un lai sasniegtu nepieciešamos ietaupījumus energoefektivitātes jomā atbilstoši ES 2020. un 2030. gadam izvirzītajiem mērķrādītājiem.</w:t>
            </w:r>
          </w:p>
          <w:p w:rsidR="003331EA" w:rsidRDefault="003331EA" w:rsidP="00B8219C">
            <w:pPr>
              <w:jc w:val="both"/>
              <w:rPr>
                <w:rFonts w:ascii="Arial" w:hAnsi="Arial" w:cs="Arial"/>
                <w:sz w:val="20"/>
                <w:szCs w:val="20"/>
              </w:rPr>
            </w:pPr>
          </w:p>
          <w:p w:rsidR="003331EA" w:rsidRPr="000525B2" w:rsidRDefault="00B8219C" w:rsidP="00B8219C">
            <w:pPr>
              <w:jc w:val="both"/>
            </w:pPr>
            <w:r>
              <w:t>Galvenās problēmas, kas ir iztirzātas šajā ietekmes novērtējumā, ir vērienīga energoefektivitātes mērķa 2030. gadam trūkums Direktīvā 2012/27/ES par energoefektivitāti („EED”), šīs direktīvas būtība (saistoša vai indikatīva) un fakts, ka saskaņā ar pašreizējiem 7. panta (pienākumi attiecībā uz enerģijas ietaupījumiem)</w:t>
            </w:r>
            <w:r>
              <w:rPr>
                <w:b/>
              </w:rPr>
              <w:t xml:space="preserve"> </w:t>
            </w:r>
            <w:r>
              <w:t>un 9.–11. panta (mērījumi un rēķini)</w:t>
            </w:r>
            <w:r>
              <w:rPr>
                <w:b/>
              </w:rPr>
              <w:t xml:space="preserve"> </w:t>
            </w:r>
            <w:r>
              <w:t>noteikumiem ievērojams daudzums ekonomiski vērtīgas enerģijas ietaupījumu netiks izmantots. Tas kaitē visiem ES pilsoņiem, kam būs mazāk priekšrocību attiecībā uz piegādes drošību, apkārtējo vidi, zemākām enerģijas izmaksām gan mājsaimniecībām, gan uzņēmumiem, lielāku darbvietu skaitu, straujāku izaugsmi, vairāk inovāciju un labāku veselību. Turklāt ilgtermiņa mērķa trūkums mazina investoru pārliecību par ieguldījumiem energoefektivitātes projektos.</w:t>
            </w:r>
          </w:p>
          <w:p w:rsidR="003331EA" w:rsidRDefault="003331EA" w:rsidP="00B8219C">
            <w:pPr>
              <w:jc w:val="both"/>
              <w:rPr>
                <w:rFonts w:ascii="Arial" w:hAnsi="Arial" w:cs="Arial"/>
                <w:sz w:val="20"/>
                <w:szCs w:val="20"/>
              </w:rPr>
            </w:pPr>
          </w:p>
          <w:p w:rsidR="003331EA" w:rsidRDefault="003331EA" w:rsidP="00DD2E67">
            <w:pPr>
              <w:jc w:val="both"/>
              <w:rPr>
                <w:rFonts w:ascii="Arial" w:hAnsi="Arial" w:cs="Arial"/>
                <w:sz w:val="20"/>
                <w:szCs w:val="20"/>
              </w:rPr>
            </w:pPr>
            <w:r>
              <w:t xml:space="preserve">Galvenie identificētie dzinējspēki ir īstermiņa iespējas (7. pants pēc 2020. gada zaudē spēku) un nepieciešamība atspoguļot tehnisko progresu mērījumu un rēķinu jomā, no kā enerģijas patērētāji gūtu labumu. </w:t>
            </w:r>
          </w:p>
        </w:tc>
      </w:tr>
      <w:tr w:rsidR="003331EA" w:rsidRPr="00501394" w:rsidTr="00A65239">
        <w:trPr>
          <w:gridBefore w:val="1"/>
          <w:wBefore w:w="318" w:type="dxa"/>
          <w:jc w:val="center"/>
        </w:trPr>
        <w:tc>
          <w:tcPr>
            <w:tcW w:w="10188" w:type="dxa"/>
            <w:gridSpan w:val="2"/>
            <w:tcBorders>
              <w:bottom w:val="single" w:sz="4" w:space="0" w:color="auto"/>
            </w:tcBorders>
            <w:shd w:val="clear" w:color="auto" w:fill="E6E6E6"/>
          </w:tcPr>
          <w:p w:rsidR="003331EA" w:rsidRPr="00CD4871" w:rsidRDefault="003331EA" w:rsidP="00CC2027">
            <w:pPr>
              <w:spacing w:before="60" w:after="60"/>
              <w:jc w:val="both"/>
              <w:rPr>
                <w:rFonts w:ascii="Tahoma" w:hAnsi="Tahoma" w:cs="Tahoma"/>
                <w:sz w:val="20"/>
                <w:szCs w:val="20"/>
              </w:rPr>
            </w:pPr>
            <w:r>
              <w:rPr>
                <w:rFonts w:ascii="Tahoma" w:hAnsi="Tahoma"/>
                <w:b/>
                <w:sz w:val="20"/>
              </w:rPr>
              <w:t xml:space="preserve">Ko paredzēts panākt ar šo iniciatīvu? </w:t>
            </w:r>
          </w:p>
        </w:tc>
      </w:tr>
      <w:tr w:rsidR="003331EA" w:rsidRPr="00555298" w:rsidTr="00A65239">
        <w:trPr>
          <w:gridBefore w:val="1"/>
          <w:wBefore w:w="318" w:type="dxa"/>
          <w:jc w:val="center"/>
        </w:trPr>
        <w:tc>
          <w:tcPr>
            <w:tcW w:w="10188" w:type="dxa"/>
            <w:gridSpan w:val="2"/>
            <w:tcBorders>
              <w:bottom w:val="single" w:sz="4" w:space="0" w:color="auto"/>
            </w:tcBorders>
            <w:shd w:val="clear" w:color="auto" w:fill="auto"/>
          </w:tcPr>
          <w:p w:rsidR="00B8219C" w:rsidRDefault="00B8219C" w:rsidP="00F43B5D">
            <w:pPr>
              <w:pStyle w:val="Default"/>
              <w:spacing w:before="60" w:after="60"/>
              <w:jc w:val="both"/>
              <w:rPr>
                <w:rFonts w:ascii="Times New Roman" w:hAnsi="Times New Roman" w:cs="Times New Roman"/>
              </w:rPr>
            </w:pPr>
            <w:r>
              <w:rPr>
                <w:rFonts w:ascii="Times New Roman" w:hAnsi="Times New Roman"/>
              </w:rPr>
              <w:t xml:space="preserve">Šajā iniciatīvā tiks definēts optimālais energoefektivitātes līmenis 2030. gadam, pamatojoties uz vairākdimensiju analīzi, kas parādīs ietekmi uz rēķiniem par enerģiju, paļaušanos uz ārējiem naftas un gāzes piegādātājiem, nodarbinātību un IKP pieaugumu, apkārtējo vidi, veselību, gaisa piesārņojumu u.c. </w:t>
            </w:r>
          </w:p>
          <w:p w:rsidR="003331EA" w:rsidRPr="00FF230A" w:rsidRDefault="00373BE4" w:rsidP="00F43B5D">
            <w:pPr>
              <w:pStyle w:val="Default"/>
              <w:spacing w:before="60" w:after="60"/>
              <w:jc w:val="both"/>
              <w:rPr>
                <w:rFonts w:ascii="Times New Roman" w:hAnsi="Times New Roman" w:cs="Times New Roman"/>
              </w:rPr>
            </w:pPr>
            <w:r>
              <w:rPr>
                <w:rFonts w:ascii="Times New Roman" w:hAnsi="Times New Roman"/>
              </w:rPr>
              <w:t xml:space="preserve">Ar to tiks nodrošināts arī tas, ka EED veicinās optimāla energoefektivitātes līmeņa sasniegšanu līdz 2030. gadam: </w:t>
            </w:r>
          </w:p>
          <w:p w:rsidR="003331EA" w:rsidRPr="0037317C" w:rsidRDefault="003331EA" w:rsidP="00F43B5D">
            <w:pPr>
              <w:pStyle w:val="ListParagraph"/>
              <w:numPr>
                <w:ilvl w:val="0"/>
                <w:numId w:val="2"/>
              </w:numPr>
              <w:autoSpaceDE w:val="0"/>
              <w:autoSpaceDN w:val="0"/>
              <w:spacing w:before="60" w:after="60"/>
              <w:ind w:left="318" w:hanging="284"/>
              <w:contextualSpacing w:val="0"/>
              <w:jc w:val="both"/>
            </w:pPr>
            <w:r>
              <w:t>pagarinot 7. panta darbības termiņu pēc 2020. gada un tādējādi veicinot energoefektivitātes mērķrādītāja sasniegšanu arī 2030. gadā, kā arī pēc nepieciešamības precizējot un vienkāršojot direktīvas noteikumus;</w:t>
            </w:r>
          </w:p>
          <w:p w:rsidR="003331EA" w:rsidRDefault="003331EA" w:rsidP="00F43B5D">
            <w:pPr>
              <w:pStyle w:val="ListParagraph"/>
              <w:numPr>
                <w:ilvl w:val="0"/>
                <w:numId w:val="2"/>
              </w:numPr>
              <w:autoSpaceDE w:val="0"/>
              <w:autoSpaceDN w:val="0"/>
              <w:spacing w:before="60" w:after="60"/>
              <w:ind w:left="318" w:hanging="284"/>
              <w:contextualSpacing w:val="0"/>
              <w:jc w:val="both"/>
              <w:rPr>
                <w:rFonts w:ascii="Arial" w:hAnsi="Arial" w:cs="Arial"/>
                <w:sz w:val="20"/>
                <w:szCs w:val="20"/>
              </w:rPr>
            </w:pPr>
            <w:r>
              <w:t>vienkāršojot ar mērījumiem un rēķiniem saistītos noteikumus un palīdzot patērētājiem izmantot iespējas, ko piedāvā tehnoloģiju progress.</w:t>
            </w:r>
          </w:p>
        </w:tc>
      </w:tr>
      <w:tr w:rsidR="003331EA" w:rsidRPr="00501394" w:rsidTr="00A65239">
        <w:trPr>
          <w:gridBefore w:val="1"/>
          <w:wBefore w:w="318" w:type="dxa"/>
          <w:jc w:val="center"/>
        </w:trPr>
        <w:tc>
          <w:tcPr>
            <w:tcW w:w="10188" w:type="dxa"/>
            <w:gridSpan w:val="2"/>
            <w:tcBorders>
              <w:bottom w:val="single" w:sz="4" w:space="0" w:color="auto"/>
            </w:tcBorders>
            <w:shd w:val="clear" w:color="auto" w:fill="E6E6E6"/>
          </w:tcPr>
          <w:p w:rsidR="003331EA" w:rsidRPr="00501394" w:rsidRDefault="003331EA" w:rsidP="00CC2027">
            <w:pPr>
              <w:spacing w:before="60" w:after="60"/>
              <w:jc w:val="both"/>
              <w:rPr>
                <w:rFonts w:ascii="Tahoma" w:hAnsi="Tahoma" w:cs="Tahoma"/>
                <w:sz w:val="20"/>
                <w:szCs w:val="20"/>
              </w:rPr>
            </w:pPr>
            <w:r>
              <w:rPr>
                <w:rFonts w:ascii="Tahoma" w:hAnsi="Tahoma"/>
                <w:b/>
                <w:sz w:val="20"/>
              </w:rPr>
              <w:t>Kāda ir ES līmeņa rīcības pievienotā vērtība?</w:t>
            </w:r>
            <w:r>
              <w:rPr>
                <w:rFonts w:ascii="Tahoma" w:hAnsi="Tahoma"/>
                <w:sz w:val="20"/>
              </w:rPr>
              <w:t xml:space="preserve"> </w:t>
            </w:r>
          </w:p>
        </w:tc>
      </w:tr>
      <w:tr w:rsidR="003331EA" w:rsidRPr="00555298" w:rsidTr="00A65239">
        <w:trPr>
          <w:gridBefore w:val="1"/>
          <w:wBefore w:w="318" w:type="dxa"/>
          <w:jc w:val="center"/>
        </w:trPr>
        <w:tc>
          <w:tcPr>
            <w:tcW w:w="10188" w:type="dxa"/>
            <w:gridSpan w:val="2"/>
            <w:tcBorders>
              <w:bottom w:val="single" w:sz="4" w:space="0" w:color="auto"/>
            </w:tcBorders>
            <w:shd w:val="clear" w:color="auto" w:fill="auto"/>
          </w:tcPr>
          <w:p w:rsidR="00F43B5D" w:rsidRDefault="00F43B5D" w:rsidP="00BA39D1">
            <w:pPr>
              <w:spacing w:before="100" w:beforeAutospacing="1" w:after="100" w:afterAutospacing="1"/>
              <w:jc w:val="both"/>
            </w:pPr>
            <w:r>
              <w:t>Dalībvalstis spēj labāk orientēt valstu politiku, ja ES mēroga pamatmērķi ir saskaņoti un atbilst citiem enerģētikas un klimata jomas mērķiem, piemēram, saistībā ar emisijas kvotu tirdzniecības sistēmu („ETS”), Kopīgo centienu lēmumu un ES atjaunojamo energoresursu enerģijas mērķi 2030. gadam.</w:t>
            </w:r>
          </w:p>
          <w:p w:rsidR="00FB4535" w:rsidRDefault="00BA39D1" w:rsidP="00FB4535">
            <w:pPr>
              <w:spacing w:before="100" w:beforeAutospacing="1" w:after="100" w:afterAutospacing="1"/>
              <w:jc w:val="both"/>
            </w:pPr>
            <w:r>
              <w:t xml:space="preserve">Precizējot 7. pantā noteiktās prasības attiecībā uz enerģijas ietaupījumiem, pilnībā tiek ievērots subsidiaritātes princips, ļaujot dalībvalstīm nolemt, kādu politiku un pasākumus izmantot, lai panāktu šos ietaupījumus. Turklāt, tā kā 7. pants pieprasa panākt fiksētu enerģijas ietaupījumu apjomu, tiek paātrināta arī citu energoefektivitātes prasību piemērošana, piemēram, attiecībā uz ēku renovāciju, enerģijas patēriņa marķēšanu un ekodizainu, un to efektivitātes paaugstināšanu. </w:t>
            </w:r>
          </w:p>
          <w:p w:rsidR="003331EA" w:rsidRDefault="00883428" w:rsidP="00883428">
            <w:pPr>
              <w:spacing w:before="100" w:beforeAutospacing="1" w:after="100" w:afterAutospacing="1"/>
              <w:jc w:val="both"/>
              <w:rPr>
                <w:rFonts w:ascii="Arial" w:hAnsi="Arial" w:cs="Arial"/>
                <w:sz w:val="20"/>
                <w:szCs w:val="20"/>
              </w:rPr>
            </w:pPr>
            <w:r>
              <w:t xml:space="preserve">Vienotā enerģētikas tirgū pastāv liela iespēja piegādātājiem piemērot līdzīgus vai pat identiskus </w:t>
            </w:r>
            <w:r>
              <w:lastRenderedPageBreak/>
              <w:t>pienākumus un noteikumus, bet patērētājiem – izmantot tās pašas pamattiesības un saņemt salīdzināmu un atpazīstamu informāciju.</w:t>
            </w:r>
          </w:p>
        </w:tc>
      </w:tr>
      <w:tr w:rsidR="003331EA" w:rsidRPr="00486AF3" w:rsidTr="00A65239">
        <w:trPr>
          <w:gridBefore w:val="1"/>
          <w:wBefore w:w="318" w:type="dxa"/>
          <w:jc w:val="center"/>
        </w:trPr>
        <w:tc>
          <w:tcPr>
            <w:tcW w:w="10188" w:type="dxa"/>
            <w:gridSpan w:val="2"/>
            <w:tcBorders>
              <w:bottom w:val="single" w:sz="4" w:space="0" w:color="auto"/>
            </w:tcBorders>
            <w:shd w:val="clear" w:color="auto" w:fill="CCCCCC"/>
          </w:tcPr>
          <w:p w:rsidR="003331EA" w:rsidRPr="0040097D" w:rsidRDefault="003331EA" w:rsidP="00D04C04">
            <w:pPr>
              <w:spacing w:before="60" w:after="60"/>
              <w:jc w:val="center"/>
              <w:rPr>
                <w:rFonts w:ascii="Tahoma" w:hAnsi="Tahoma" w:cs="Tahoma"/>
                <w:b/>
                <w:sz w:val="22"/>
                <w:szCs w:val="22"/>
              </w:rPr>
            </w:pPr>
            <w:bookmarkStart w:id="1" w:name="_GoBack"/>
            <w:bookmarkEnd w:id="1"/>
            <w:r>
              <w:rPr>
                <w:rFonts w:ascii="Tahoma" w:hAnsi="Tahoma"/>
                <w:b/>
                <w:sz w:val="22"/>
              </w:rPr>
              <w:lastRenderedPageBreak/>
              <w:t>B. Risinājumi</w:t>
            </w:r>
          </w:p>
        </w:tc>
      </w:tr>
      <w:tr w:rsidR="003331EA" w:rsidRPr="00501394" w:rsidTr="00A65239">
        <w:trPr>
          <w:gridBefore w:val="1"/>
          <w:wBefore w:w="318" w:type="dxa"/>
          <w:jc w:val="center"/>
        </w:trPr>
        <w:tc>
          <w:tcPr>
            <w:tcW w:w="10188" w:type="dxa"/>
            <w:gridSpan w:val="2"/>
            <w:tcBorders>
              <w:bottom w:val="single" w:sz="4" w:space="0" w:color="auto"/>
            </w:tcBorders>
            <w:shd w:val="clear" w:color="auto" w:fill="E6E6E6"/>
          </w:tcPr>
          <w:p w:rsidR="003331EA" w:rsidRPr="00501394" w:rsidRDefault="003331EA" w:rsidP="00CC2027">
            <w:pPr>
              <w:spacing w:before="60"/>
              <w:jc w:val="both"/>
              <w:rPr>
                <w:rFonts w:ascii="Tahoma" w:hAnsi="Tahoma" w:cs="Tahoma"/>
                <w:sz w:val="20"/>
                <w:szCs w:val="20"/>
              </w:rPr>
            </w:pPr>
            <w:r>
              <w:rPr>
                <w:rFonts w:ascii="Tahoma" w:hAnsi="Tahoma"/>
                <w:b/>
                <w:sz w:val="20"/>
              </w:rPr>
              <w:t>Kādi normatīvi un nenormatīvi politiski risinājumi ir apsvērti?</w:t>
            </w:r>
            <w:r>
              <w:rPr>
                <w:rFonts w:ascii="Tahoma" w:hAnsi="Tahoma"/>
                <w:sz w:val="20"/>
              </w:rPr>
              <w:t xml:space="preserve"> </w:t>
            </w:r>
            <w:r>
              <w:rPr>
                <w:rFonts w:ascii="Tahoma" w:hAnsi="Tahoma"/>
                <w:b/>
                <w:sz w:val="20"/>
              </w:rPr>
              <w:t xml:space="preserve">Vai kādam variantam tiek dota priekšroka? Kādēļ? </w:t>
            </w:r>
          </w:p>
        </w:tc>
      </w:tr>
      <w:tr w:rsidR="003331EA" w:rsidRPr="00B230F2" w:rsidTr="00A65239">
        <w:trPr>
          <w:gridBefore w:val="1"/>
          <w:wBefore w:w="318" w:type="dxa"/>
          <w:jc w:val="center"/>
        </w:trPr>
        <w:tc>
          <w:tcPr>
            <w:tcW w:w="10188" w:type="dxa"/>
            <w:gridSpan w:val="2"/>
            <w:tcBorders>
              <w:bottom w:val="single" w:sz="4" w:space="0" w:color="auto"/>
            </w:tcBorders>
            <w:shd w:val="clear" w:color="auto" w:fill="auto"/>
          </w:tcPr>
          <w:p w:rsidR="00C80E76" w:rsidRPr="00D90847" w:rsidRDefault="00C80E76" w:rsidP="00C80E76">
            <w:pPr>
              <w:pBdr>
                <w:top w:val="nil"/>
                <w:left w:val="nil"/>
                <w:bottom w:val="nil"/>
                <w:right w:val="nil"/>
                <w:between w:val="nil"/>
                <w:bar w:val="nil"/>
              </w:pBdr>
              <w:rPr>
                <w:rFonts w:eastAsia="Arial Unicode MS"/>
              </w:rPr>
            </w:pPr>
            <w:r>
              <w:t>Runājot par mērķrādītāja vērienīgumu, tika izvērtēts, kādus būtu primārās enerģijas patēriņa samazinājums salīdzinot ar 2007. bāzes gadu, ja mērķrādītājs būtu attiecīgi 27 %, 30 %, 33 %, 35 % un 40 %. Tika analizēts, kā mērķrādītāju formulēt: kā primārās enerģijas patēriņu un/vai kā enerģijas galapatēriņu, kā enerģijas ietaupījumu vai kā energointensitāti. Kas attiecas uz mērķrādītāja būtību, tika izvērtēti šādi risinājumi:</w:t>
            </w:r>
          </w:p>
          <w:p w:rsidR="00C80E76" w:rsidRPr="00D90847" w:rsidRDefault="00C80E76" w:rsidP="00C80E76">
            <w:pPr>
              <w:pStyle w:val="Default"/>
              <w:numPr>
                <w:ilvl w:val="0"/>
                <w:numId w:val="7"/>
              </w:numPr>
              <w:jc w:val="both"/>
              <w:rPr>
                <w:rFonts w:ascii="Times New Roman" w:hAnsi="Times New Roman" w:cs="Times New Roman"/>
                <w:bCs/>
                <w:color w:val="auto"/>
              </w:rPr>
            </w:pPr>
            <w:r>
              <w:rPr>
                <w:rFonts w:ascii="Times New Roman" w:hAnsi="Times New Roman"/>
                <w:color w:val="auto"/>
              </w:rPr>
              <w:t>1. risinājums: indikatīvi ES un nacionālie mērķrādītāji;</w:t>
            </w:r>
          </w:p>
          <w:p w:rsidR="00C80E76" w:rsidRPr="00D90847" w:rsidRDefault="00C80E76" w:rsidP="00C80E76">
            <w:pPr>
              <w:pStyle w:val="Default"/>
              <w:numPr>
                <w:ilvl w:val="0"/>
                <w:numId w:val="7"/>
              </w:numPr>
              <w:jc w:val="both"/>
              <w:rPr>
                <w:rFonts w:ascii="Times New Roman" w:hAnsi="Times New Roman" w:cs="Times New Roman"/>
                <w:bCs/>
                <w:color w:val="auto"/>
              </w:rPr>
            </w:pPr>
            <w:r>
              <w:rPr>
                <w:rFonts w:ascii="Times New Roman" w:hAnsi="Times New Roman"/>
                <w:color w:val="auto"/>
              </w:rPr>
              <w:t>2. risinājums: saistošs ES mērķrādītājs;</w:t>
            </w:r>
          </w:p>
          <w:p w:rsidR="00C80E76" w:rsidRPr="00D90847" w:rsidRDefault="00C80E76" w:rsidP="00C80E76">
            <w:pPr>
              <w:pStyle w:val="Default"/>
              <w:numPr>
                <w:ilvl w:val="0"/>
                <w:numId w:val="7"/>
              </w:numPr>
              <w:jc w:val="both"/>
              <w:rPr>
                <w:rFonts w:ascii="Times New Roman" w:hAnsi="Times New Roman" w:cs="Times New Roman"/>
                <w:bCs/>
                <w:color w:val="auto"/>
              </w:rPr>
            </w:pPr>
            <w:r>
              <w:rPr>
                <w:rFonts w:ascii="Times New Roman" w:hAnsi="Times New Roman"/>
                <w:color w:val="auto"/>
              </w:rPr>
              <w:t>3. risinājums: saistoši dalībvalstu mērķrādītāji.</w:t>
            </w:r>
          </w:p>
          <w:p w:rsidR="00883428" w:rsidRDefault="00883428" w:rsidP="00883428">
            <w:pPr>
              <w:pStyle w:val="Default"/>
              <w:jc w:val="both"/>
              <w:rPr>
                <w:rFonts w:ascii="Times New Roman" w:hAnsi="Times New Roman" w:cs="Times New Roman"/>
                <w:bCs/>
              </w:rPr>
            </w:pPr>
            <w:r>
              <w:rPr>
                <w:rFonts w:ascii="Times New Roman" w:hAnsi="Times New Roman"/>
              </w:rPr>
              <w:t>Vēlamais risinājums netika izraudzīts.</w:t>
            </w:r>
          </w:p>
          <w:p w:rsidR="00883428" w:rsidRDefault="00883428" w:rsidP="00883428">
            <w:pPr>
              <w:pStyle w:val="Default"/>
              <w:tabs>
                <w:tab w:val="left" w:pos="1380"/>
              </w:tabs>
              <w:jc w:val="both"/>
              <w:rPr>
                <w:rFonts w:ascii="Times New Roman" w:hAnsi="Times New Roman" w:cs="Times New Roman"/>
                <w:bCs/>
              </w:rPr>
            </w:pPr>
          </w:p>
          <w:p w:rsidR="004B566A" w:rsidRDefault="003331EA" w:rsidP="003331EA">
            <w:pPr>
              <w:pStyle w:val="Default"/>
              <w:jc w:val="both"/>
              <w:rPr>
                <w:rFonts w:ascii="Times New Roman" w:hAnsi="Times New Roman" w:cs="Times New Roman"/>
                <w:b/>
                <w:bCs/>
              </w:rPr>
            </w:pPr>
            <w:r>
              <w:rPr>
                <w:rFonts w:ascii="Times New Roman" w:hAnsi="Times New Roman"/>
              </w:rPr>
              <w:t>Attiecībā uz 7. pantu tika izvērtēti šādi risinājumi:</w:t>
            </w:r>
            <w:r>
              <w:rPr>
                <w:rFonts w:ascii="Times New Roman" w:hAnsi="Times New Roman"/>
                <w:b/>
              </w:rPr>
              <w:t xml:space="preserve"> </w:t>
            </w:r>
          </w:p>
          <w:p w:rsidR="00680A98" w:rsidRPr="00624B04" w:rsidRDefault="00680A98" w:rsidP="00DE563C">
            <w:pPr>
              <w:pStyle w:val="Default"/>
              <w:numPr>
                <w:ilvl w:val="0"/>
                <w:numId w:val="7"/>
              </w:numPr>
              <w:jc w:val="both"/>
              <w:rPr>
                <w:rFonts w:ascii="Times New Roman" w:hAnsi="Times New Roman" w:cs="Times New Roman"/>
                <w:bCs/>
              </w:rPr>
            </w:pPr>
            <w:r>
              <w:rPr>
                <w:rFonts w:ascii="Times New Roman" w:hAnsi="Times New Roman"/>
              </w:rPr>
              <w:t>1. risinājums: nav paredzēti regulatīvi pasākumi ES līmenī; turpinās norāžu sniegšana attiecībā uz tiesisko regulējumu un tā īstenošanu.</w:t>
            </w:r>
          </w:p>
          <w:p w:rsidR="0082074D" w:rsidRPr="0082074D" w:rsidRDefault="004B566A" w:rsidP="00DE563C">
            <w:pPr>
              <w:pStyle w:val="Default"/>
              <w:numPr>
                <w:ilvl w:val="0"/>
                <w:numId w:val="7"/>
              </w:numPr>
              <w:jc w:val="both"/>
              <w:rPr>
                <w:rFonts w:ascii="Times New Roman" w:hAnsi="Times New Roman" w:cs="Times New Roman"/>
                <w:bCs/>
              </w:rPr>
            </w:pPr>
            <w:r>
              <w:rPr>
                <w:rFonts w:ascii="Times New Roman" w:hAnsi="Times New Roman"/>
              </w:rPr>
              <w:t>2. risinājums: pagarināt 7. panta darbības laiku līdz 2030. gadam.</w:t>
            </w:r>
          </w:p>
          <w:p w:rsidR="00DE563C" w:rsidRDefault="004B566A" w:rsidP="0082074D">
            <w:pPr>
              <w:pStyle w:val="Default"/>
              <w:numPr>
                <w:ilvl w:val="0"/>
                <w:numId w:val="7"/>
              </w:numPr>
              <w:jc w:val="both"/>
              <w:rPr>
                <w:rFonts w:ascii="Times New Roman" w:hAnsi="Times New Roman" w:cs="Times New Roman"/>
                <w:bCs/>
              </w:rPr>
            </w:pPr>
            <w:r>
              <w:rPr>
                <w:rFonts w:ascii="Times New Roman" w:hAnsi="Times New Roman"/>
              </w:rPr>
              <w:t>3. risinājums:</w:t>
            </w:r>
            <w:r>
              <w:t xml:space="preserve"> </w:t>
            </w:r>
            <w:r>
              <w:rPr>
                <w:rFonts w:ascii="Times New Roman" w:hAnsi="Times New Roman"/>
              </w:rPr>
              <w:t>pagarināt 7. panta darbības laiku līdz 2030. gadam; vienkāršot un atjaunināt (piemēram, kādus ietaupījumus var uzskaitīt, un noteikumus par ēku atjaunojamo energoresursu enerģijas ražošanu).</w:t>
            </w:r>
          </w:p>
          <w:p w:rsidR="0082074D" w:rsidRDefault="004B566A" w:rsidP="0082074D">
            <w:pPr>
              <w:pStyle w:val="Default"/>
              <w:numPr>
                <w:ilvl w:val="0"/>
                <w:numId w:val="7"/>
              </w:numPr>
              <w:jc w:val="both"/>
              <w:rPr>
                <w:rFonts w:ascii="Times New Roman" w:hAnsi="Times New Roman" w:cs="Times New Roman"/>
                <w:bCs/>
              </w:rPr>
            </w:pPr>
            <w:r>
              <w:rPr>
                <w:rFonts w:ascii="Times New Roman" w:hAnsi="Times New Roman"/>
              </w:rPr>
              <w:t>4. risinājums: pagarināt 7. panta darbības laiku līdz 2030. gadam, atjaunināt un vienkāršot to, lai paātrinātu ietaupījumu tempu.</w:t>
            </w:r>
          </w:p>
          <w:p w:rsidR="00DE563C" w:rsidRPr="00DE563C" w:rsidRDefault="00DE563C" w:rsidP="00DE563C">
            <w:pPr>
              <w:pStyle w:val="Default"/>
              <w:ind w:left="720"/>
              <w:jc w:val="both"/>
              <w:rPr>
                <w:rFonts w:ascii="Times New Roman" w:hAnsi="Times New Roman" w:cs="Times New Roman"/>
                <w:bCs/>
              </w:rPr>
            </w:pPr>
          </w:p>
          <w:p w:rsidR="004B566A" w:rsidRDefault="004B566A" w:rsidP="00915A32">
            <w:pPr>
              <w:pStyle w:val="Default"/>
              <w:jc w:val="both"/>
              <w:rPr>
                <w:rFonts w:ascii="Times New Roman" w:hAnsi="Times New Roman" w:cs="Times New Roman"/>
              </w:rPr>
            </w:pPr>
            <w:r>
              <w:rPr>
                <w:rFonts w:ascii="Times New Roman" w:hAnsi="Times New Roman"/>
              </w:rPr>
              <w:t>Attiecībā uz 9.–11. pantu</w:t>
            </w:r>
            <w:r>
              <w:t xml:space="preserve"> </w:t>
            </w:r>
            <w:r>
              <w:rPr>
                <w:rFonts w:ascii="Times New Roman" w:hAnsi="Times New Roman"/>
              </w:rPr>
              <w:t>tika izvērtēti šādi risinājumi:</w:t>
            </w:r>
          </w:p>
          <w:p w:rsidR="004B566A" w:rsidRDefault="00420C25" w:rsidP="00DE563C">
            <w:pPr>
              <w:pStyle w:val="Default"/>
              <w:numPr>
                <w:ilvl w:val="0"/>
                <w:numId w:val="5"/>
              </w:numPr>
              <w:jc w:val="both"/>
              <w:rPr>
                <w:rFonts w:ascii="Times New Roman" w:hAnsi="Times New Roman" w:cs="Times New Roman"/>
              </w:rPr>
            </w:pPr>
            <w:r>
              <w:rPr>
                <w:rFonts w:ascii="Times New Roman" w:hAnsi="Times New Roman"/>
              </w:rPr>
              <w:t>1. risinājums: uzlabota īstenošana un turpmākā vadība (bez regulatīviem pasākumiem).</w:t>
            </w:r>
          </w:p>
          <w:p w:rsidR="004B566A" w:rsidRDefault="00420C25" w:rsidP="0082074D">
            <w:pPr>
              <w:pStyle w:val="Default"/>
              <w:numPr>
                <w:ilvl w:val="0"/>
                <w:numId w:val="5"/>
              </w:numPr>
              <w:jc w:val="both"/>
              <w:rPr>
                <w:rFonts w:ascii="Times New Roman" w:hAnsi="Times New Roman" w:cs="Times New Roman"/>
              </w:rPr>
            </w:pPr>
            <w:r>
              <w:rPr>
                <w:rFonts w:ascii="Times New Roman" w:hAnsi="Times New Roman"/>
              </w:rPr>
              <w:t>2. risinājums: noteikumu precizēšana un atjaunināšana, tostarp noteikumu par gāzi un enerģiju konsolidēšana ar iekšējā enerģijas tirgus tiesību aktiem, lai nodrošinātu saskaņotību.</w:t>
            </w:r>
          </w:p>
          <w:p w:rsidR="00072EF3" w:rsidRDefault="00072EF3" w:rsidP="0082074D">
            <w:pPr>
              <w:pStyle w:val="Default"/>
              <w:ind w:left="720"/>
              <w:jc w:val="both"/>
              <w:rPr>
                <w:rFonts w:ascii="Times New Roman" w:hAnsi="Times New Roman" w:cs="Times New Roman"/>
              </w:rPr>
            </w:pPr>
          </w:p>
          <w:p w:rsidR="0082074D" w:rsidRDefault="004B566A" w:rsidP="00576F55">
            <w:pPr>
              <w:pStyle w:val="Default"/>
              <w:jc w:val="both"/>
              <w:rPr>
                <w:sz w:val="20"/>
                <w:szCs w:val="20"/>
              </w:rPr>
            </w:pPr>
            <w:r>
              <w:rPr>
                <w:rFonts w:ascii="Times New Roman" w:hAnsi="Times New Roman"/>
              </w:rPr>
              <w:t>Ietekmes novērtējumā ir vērtēti visi risinājumi, kas ir salīdzināti ar pamata scenāriju un savā starpā. Šīs analīzes rezultātā secināts, ka vēlamie risinājumi ir 3. risinājums 7. pantam un 2. risinājums 9–11. pantam, jo tie ir visefektīvākie, lai sasniegtu vēlamos mērķus, iedarbīgi, kā arī tie saskan ar citām ES enerģētikas un klimata politikas jomām.</w:t>
            </w:r>
          </w:p>
        </w:tc>
      </w:tr>
      <w:tr w:rsidR="003331EA" w:rsidRPr="00B230F2" w:rsidTr="00A65239">
        <w:trPr>
          <w:gridBefore w:val="1"/>
          <w:wBefore w:w="318" w:type="dxa"/>
          <w:jc w:val="center"/>
        </w:trPr>
        <w:tc>
          <w:tcPr>
            <w:tcW w:w="10188" w:type="dxa"/>
            <w:gridSpan w:val="2"/>
            <w:shd w:val="clear" w:color="auto" w:fill="CCCCCC"/>
          </w:tcPr>
          <w:p w:rsidR="003331EA" w:rsidRPr="00501394" w:rsidRDefault="003331EA" w:rsidP="00CC2027">
            <w:pPr>
              <w:spacing w:before="60"/>
              <w:jc w:val="both"/>
              <w:rPr>
                <w:rFonts w:ascii="Tahoma" w:hAnsi="Tahoma" w:cs="Tahoma"/>
                <w:sz w:val="20"/>
                <w:szCs w:val="20"/>
              </w:rPr>
            </w:pPr>
            <w:r>
              <w:rPr>
                <w:rFonts w:ascii="Tahoma" w:hAnsi="Tahoma"/>
                <w:b/>
                <w:sz w:val="20"/>
              </w:rPr>
              <w:t xml:space="preserve">Kuru risinājumu atbalsta katra grupa? </w:t>
            </w:r>
          </w:p>
        </w:tc>
      </w:tr>
      <w:tr w:rsidR="003331EA" w:rsidRPr="00B230F2" w:rsidTr="00A65239">
        <w:trPr>
          <w:gridBefore w:val="1"/>
          <w:wBefore w:w="318" w:type="dxa"/>
          <w:jc w:val="center"/>
        </w:trPr>
        <w:tc>
          <w:tcPr>
            <w:tcW w:w="10188" w:type="dxa"/>
            <w:gridSpan w:val="2"/>
            <w:shd w:val="clear" w:color="auto" w:fill="auto"/>
          </w:tcPr>
          <w:p w:rsidR="00F43B5D" w:rsidRDefault="00F43B5D" w:rsidP="007B7079">
            <w:pPr>
              <w:pStyle w:val="Default"/>
              <w:jc w:val="both"/>
              <w:rPr>
                <w:rFonts w:ascii="Times New Roman" w:hAnsi="Times New Roman" w:cs="Times New Roman"/>
              </w:rPr>
            </w:pPr>
            <w:r>
              <w:rPr>
                <w:rFonts w:ascii="Times New Roman" w:hAnsi="Times New Roman"/>
              </w:rPr>
              <w:t>Apspriešanā ar ieinteresētajām personām saņemtajās atbildēs nebija pausta konkrēta nostāja par mērķrādītāja līmeni vai būtību. Ieinteresēto personu tikšanās laikā, kurā piedalījās 282 dalībnieki – Eiropas rūpniecības, pilsoniskās sabiedrības organizāciju un dalībvalstu pārstāvji – , lielākā ieinteresēto personu daļa, kas izteica savu viedokli, atbalstīja ierosmi noteikt 40 % mērķrādītāju 2030. gadam, taču nebija konkrēta redzējuma par to, vai tam jābūt saistošam vai kāda cita veida mērķrādītājam.</w:t>
            </w:r>
          </w:p>
          <w:p w:rsidR="00F43B5D" w:rsidRDefault="00F43B5D" w:rsidP="007B7079">
            <w:pPr>
              <w:pStyle w:val="Default"/>
              <w:jc w:val="both"/>
              <w:rPr>
                <w:rFonts w:ascii="Times New Roman" w:hAnsi="Times New Roman" w:cs="Times New Roman"/>
              </w:rPr>
            </w:pPr>
          </w:p>
          <w:p w:rsidR="003331EA" w:rsidRDefault="00146B26" w:rsidP="007B7079">
            <w:pPr>
              <w:pStyle w:val="Default"/>
              <w:jc w:val="both"/>
              <w:rPr>
                <w:rFonts w:ascii="Times New Roman" w:hAnsi="Times New Roman" w:cs="Times New Roman"/>
              </w:rPr>
            </w:pPr>
            <w:r>
              <w:rPr>
                <w:rFonts w:ascii="Times New Roman" w:hAnsi="Times New Roman"/>
              </w:rPr>
              <w:t>Lielākā ieinteresēto personu daļa, kuras piedalījās sabiedriskajā apspriešanā, īpaši nevalstiskās organizācijas un komunālo pakalpojumu uzņēmumi,</w:t>
            </w:r>
            <w:r>
              <w:t xml:space="preserve"> </w:t>
            </w:r>
            <w:r>
              <w:rPr>
                <w:rFonts w:ascii="Times New Roman" w:hAnsi="Times New Roman"/>
              </w:rPr>
              <w:t>atbalstīja</w:t>
            </w:r>
            <w:r>
              <w:t xml:space="preserve"> </w:t>
            </w:r>
            <w:r>
              <w:rPr>
                <w:rFonts w:ascii="Times New Roman" w:hAnsi="Times New Roman"/>
              </w:rPr>
              <w:t>7. panta darbības termiņa pagarināšanu pēc 2020. gada. Tomēr 7 no 15 dalībvalstīm, kas piedalījās apspriešanā, neatbalstīja 7. panta darbības termiņa pagarināšanu.</w:t>
            </w:r>
          </w:p>
          <w:p w:rsidR="00A6324D" w:rsidRDefault="00A6324D" w:rsidP="007B7079">
            <w:pPr>
              <w:pStyle w:val="Default"/>
              <w:jc w:val="both"/>
              <w:rPr>
                <w:sz w:val="20"/>
                <w:szCs w:val="20"/>
              </w:rPr>
            </w:pPr>
          </w:p>
          <w:p w:rsidR="00576F55" w:rsidRDefault="002E06E3" w:rsidP="00576F55">
            <w:pPr>
              <w:jc w:val="both"/>
              <w:rPr>
                <w:rFonts w:ascii="Arial" w:hAnsi="Arial" w:cs="Arial"/>
                <w:sz w:val="20"/>
                <w:szCs w:val="20"/>
              </w:rPr>
            </w:pPr>
            <w:r>
              <w:rPr>
                <w:rFonts w:eastAsiaTheme="minorHAnsi"/>
                <w:color w:val="000000"/>
              </w:rPr>
              <w:t xml:space="preserve">Aptuveni 3 no 5 </w:t>
            </w:r>
            <w:r>
              <w:t xml:space="preserve">ieinteresētajām pusēm atzina noteikumus par mērījumiem un rēķiniem par piemērotiem, un šāds viedoklis bija 92 % no visiem komunālo pakalpojumu uzņēmumu respondentiem. Arī dalībvalstis kopumā bija apmierinātas ar </w:t>
            </w:r>
            <w:r>
              <w:rPr>
                <w:i/>
              </w:rPr>
              <w:t>status quo</w:t>
            </w:r>
            <w:r>
              <w:t>. Savukārt 2 no 3 nevalstiskajām organizācijām (tostarp patērētāju organizācijas) uzskatīja noteikumus par nepiemērotiem un tādiem, kas negarantē patērētājiem pietiekami biežu, detalizētu un saprotamu informāciju par to, kā viņi patērē enerģiju.</w:t>
            </w:r>
          </w:p>
        </w:tc>
      </w:tr>
      <w:tr w:rsidR="003331EA" w:rsidRPr="00486AF3" w:rsidTr="00A65239">
        <w:tblPrEx>
          <w:jc w:val="left"/>
        </w:tblPrEx>
        <w:trPr>
          <w:gridAfter w:val="1"/>
          <w:wAfter w:w="441" w:type="dxa"/>
        </w:trPr>
        <w:tc>
          <w:tcPr>
            <w:tcW w:w="10065" w:type="dxa"/>
            <w:gridSpan w:val="2"/>
            <w:tcBorders>
              <w:bottom w:val="single" w:sz="4" w:space="0" w:color="auto"/>
            </w:tcBorders>
            <w:shd w:val="clear" w:color="auto" w:fill="CCCCCC"/>
          </w:tcPr>
          <w:p w:rsidR="003331EA" w:rsidRPr="0040097D" w:rsidRDefault="00D90847" w:rsidP="00D04C04">
            <w:pPr>
              <w:spacing w:before="60" w:after="60"/>
              <w:jc w:val="center"/>
              <w:rPr>
                <w:rFonts w:ascii="Tahoma" w:hAnsi="Tahoma" w:cs="Tahoma"/>
                <w:b/>
                <w:sz w:val="22"/>
                <w:szCs w:val="22"/>
              </w:rPr>
            </w:pPr>
            <w:r>
              <w:br w:type="page"/>
            </w:r>
            <w:r w:rsidR="003331EA">
              <w:rPr>
                <w:rFonts w:ascii="Tahoma" w:hAnsi="Tahoma"/>
                <w:b/>
                <w:sz w:val="22"/>
              </w:rPr>
              <w:t>C. Vēlamākā risinājuma ietekme</w:t>
            </w:r>
          </w:p>
        </w:tc>
      </w:tr>
      <w:tr w:rsidR="003331EA" w:rsidRPr="00501394" w:rsidTr="00A65239">
        <w:tblPrEx>
          <w:jc w:val="left"/>
        </w:tblPrEx>
        <w:trPr>
          <w:gridAfter w:val="1"/>
          <w:wAfter w:w="441" w:type="dxa"/>
        </w:trPr>
        <w:tc>
          <w:tcPr>
            <w:tcW w:w="10065" w:type="dxa"/>
            <w:gridSpan w:val="2"/>
            <w:tcBorders>
              <w:bottom w:val="single" w:sz="4" w:space="0" w:color="auto"/>
            </w:tcBorders>
            <w:shd w:val="clear" w:color="auto" w:fill="E6E6E6"/>
          </w:tcPr>
          <w:p w:rsidR="003331EA" w:rsidRPr="005A1A34" w:rsidRDefault="003331EA" w:rsidP="00CC2027">
            <w:pPr>
              <w:spacing w:before="60" w:after="60"/>
              <w:jc w:val="both"/>
              <w:rPr>
                <w:rFonts w:ascii="Tahoma" w:hAnsi="Tahoma" w:cs="Tahoma"/>
                <w:sz w:val="20"/>
                <w:szCs w:val="20"/>
              </w:rPr>
            </w:pPr>
            <w:r>
              <w:rPr>
                <w:rFonts w:ascii="Tahoma" w:hAnsi="Tahoma"/>
                <w:b/>
                <w:sz w:val="20"/>
              </w:rPr>
              <w:t>Kādus ieguvumus</w:t>
            </w:r>
            <w:r>
              <w:rPr>
                <w:rFonts w:ascii="Tahoma" w:hAnsi="Tahoma"/>
                <w:sz w:val="20"/>
              </w:rPr>
              <w:t xml:space="preserve"> </w:t>
            </w:r>
            <w:r>
              <w:rPr>
                <w:rFonts w:ascii="Tahoma" w:hAnsi="Tahoma"/>
                <w:b/>
                <w:sz w:val="20"/>
              </w:rPr>
              <w:t>nodrošinās vēlamais risinājums (ja tādi ir, pretējā gadījumā – galvenie risinājumi)?</w:t>
            </w:r>
            <w:r>
              <w:rPr>
                <w:rFonts w:ascii="Tahoma" w:hAnsi="Tahoma"/>
                <w:sz w:val="20"/>
              </w:rPr>
              <w:t xml:space="preserve"> </w:t>
            </w:r>
          </w:p>
        </w:tc>
      </w:tr>
      <w:tr w:rsidR="003331EA" w:rsidRPr="00B230F2" w:rsidTr="00A65239">
        <w:tblPrEx>
          <w:jc w:val="left"/>
        </w:tblPrEx>
        <w:trPr>
          <w:gridAfter w:val="1"/>
          <w:wAfter w:w="441" w:type="dxa"/>
        </w:trPr>
        <w:tc>
          <w:tcPr>
            <w:tcW w:w="10065" w:type="dxa"/>
            <w:gridSpan w:val="2"/>
            <w:tcBorders>
              <w:bottom w:val="single" w:sz="4" w:space="0" w:color="auto"/>
            </w:tcBorders>
            <w:shd w:val="clear" w:color="auto" w:fill="auto"/>
          </w:tcPr>
          <w:p w:rsidR="00F43B5D" w:rsidRDefault="00AC0895" w:rsidP="00D04C04">
            <w:pPr>
              <w:jc w:val="both"/>
            </w:pPr>
            <w:r>
              <w:t>Analīzes rezultāti liecina, ka augstāks energoefektivitātes līmenis 2030. gadā pozitīvi iespaidos ekonomikas izaugsmi, nodarbinātību, konkurētspēju, kā arī ievērojami ietekmēs piegādes drošību un — jo īpaši — gāzes importa līmeni. Ja izvirzītu 30 % energoefektivitātes mērķrādītāju, tad 2021.-2030. gada periodā izmaksas par fosilā kurināmā importu būtu par EUR 69,6 miljardus mazākas nekā tad, ka mērķrādītājs ir tikai 27 % (tad izmaksas sasniegtu par EUR 4274 miljardus); šāda mērķrādītāja izvirzīšana līdz 2030. gadam radītu  395 000 līdz 435 000 neto darbvietas un palielinātu IKP par 0,25 % līdz 0,4 %  pie centrālajiem scenārijiem.</w:t>
            </w:r>
          </w:p>
          <w:p w:rsidR="00AC0895" w:rsidRDefault="00AC0895" w:rsidP="00D04C04">
            <w:pPr>
              <w:jc w:val="both"/>
            </w:pPr>
          </w:p>
          <w:p w:rsidR="007B7079" w:rsidRDefault="00F43B5D" w:rsidP="00D04C04">
            <w:pPr>
              <w:jc w:val="both"/>
            </w:pPr>
            <w:r>
              <w:t>Attiecībā uz 7. pantu vēlams ir 3. risinājums, jo ar to prasība panākt enerģijas ietaupījumus tiek attiecināta arī uz periodu pēc 2020. gada, un vienkāršošanas aspekts sekmēs nepieciešamo ietaupījumu sasniegšanu dalībvalstīs, īpaši tādu ietaupījumu, kas izriet no ēku renovācijas. Šis risinājums arī nodrošina energoefektivitātes pienākuma shēmām un alternatīvajiem pasākumiem piemērojamās prasības ir skaidrākas.</w:t>
            </w:r>
          </w:p>
          <w:p w:rsidR="007B7079" w:rsidRDefault="007B7079" w:rsidP="00D04C04">
            <w:pPr>
              <w:jc w:val="both"/>
            </w:pPr>
          </w:p>
          <w:p w:rsidR="003331EA" w:rsidRPr="00A9203B" w:rsidRDefault="007B7079" w:rsidP="00A36B92">
            <w:pPr>
              <w:jc w:val="both"/>
              <w:rPr>
                <w:rFonts w:ascii="Arial" w:hAnsi="Arial" w:cs="Arial"/>
                <w:i/>
                <w:sz w:val="20"/>
                <w:szCs w:val="20"/>
              </w:rPr>
            </w:pPr>
            <w:r>
              <w:t>Attiecībā uz 9.–11. pantu vēlamais 2. risinājums novērš tiesisko nenoteiktību, kas pašlaik kavē pareizu īstenošanu attiecībā uz siltumapgādi daudzdzīvokļu vai daudzfunkcionālās ēkās, un tas konsolidētu un paātrinātu pāreju uz viedu (attālinātu nolasāmu) siltuma uzskaiti, kas ļautu labāk un biežāk nodrošināt patērētājiem informāciju par patēriņu.</w:t>
            </w:r>
            <w:r>
              <w:rPr>
                <w:rFonts w:ascii="Arial" w:hAnsi="Arial"/>
                <w:i/>
                <w:sz w:val="20"/>
              </w:rPr>
              <w:t xml:space="preserve"> </w:t>
            </w:r>
          </w:p>
        </w:tc>
      </w:tr>
      <w:tr w:rsidR="003331EA" w:rsidRPr="00501394" w:rsidTr="00A65239">
        <w:tblPrEx>
          <w:jc w:val="left"/>
        </w:tblPrEx>
        <w:trPr>
          <w:gridAfter w:val="1"/>
          <w:wAfter w:w="441" w:type="dxa"/>
        </w:trPr>
        <w:tc>
          <w:tcPr>
            <w:tcW w:w="10065" w:type="dxa"/>
            <w:gridSpan w:val="2"/>
            <w:tcBorders>
              <w:bottom w:val="single" w:sz="4" w:space="0" w:color="auto"/>
            </w:tcBorders>
            <w:shd w:val="clear" w:color="auto" w:fill="E6E6E6"/>
          </w:tcPr>
          <w:p w:rsidR="003331EA" w:rsidRPr="005A1A34" w:rsidRDefault="003331EA" w:rsidP="00CC2027">
            <w:pPr>
              <w:spacing w:before="60" w:after="60"/>
              <w:jc w:val="both"/>
              <w:rPr>
                <w:rFonts w:ascii="Tahoma" w:hAnsi="Tahoma" w:cs="Tahoma"/>
                <w:sz w:val="20"/>
                <w:szCs w:val="20"/>
              </w:rPr>
            </w:pPr>
            <w:r>
              <w:rPr>
                <w:rFonts w:ascii="Tahoma" w:hAnsi="Tahoma"/>
                <w:b/>
                <w:sz w:val="20"/>
              </w:rPr>
              <w:t>Kādas ir vēlamā risinājuma izmaksas (ja tāds ir, pretējā gadījumā — galveno risinājumu izmaksas)?</w:t>
            </w:r>
            <w:r>
              <w:rPr>
                <w:rFonts w:ascii="Tahoma" w:hAnsi="Tahoma"/>
                <w:sz w:val="20"/>
              </w:rPr>
              <w:t xml:space="preserve"> </w:t>
            </w:r>
          </w:p>
        </w:tc>
      </w:tr>
      <w:tr w:rsidR="003331EA" w:rsidRPr="00B230F2" w:rsidTr="00A65239">
        <w:tblPrEx>
          <w:jc w:val="left"/>
        </w:tblPrEx>
        <w:trPr>
          <w:gridAfter w:val="1"/>
          <w:wAfter w:w="441" w:type="dxa"/>
        </w:trPr>
        <w:tc>
          <w:tcPr>
            <w:tcW w:w="10065" w:type="dxa"/>
            <w:gridSpan w:val="2"/>
            <w:tcBorders>
              <w:bottom w:val="single" w:sz="4" w:space="0" w:color="auto"/>
            </w:tcBorders>
            <w:shd w:val="clear" w:color="auto" w:fill="auto"/>
          </w:tcPr>
          <w:p w:rsidR="00B96FCE" w:rsidRPr="00B96FCE" w:rsidRDefault="00B96FCE" w:rsidP="00B96FCE">
            <w:pPr>
              <w:jc w:val="both"/>
            </w:pPr>
            <w:r>
              <w:t>Kopumā periodā no 2021. gada līdz 2030. gadam (ja izmanto diskonta likmes) 30 % mērķrādītāja dēļ energosistēmas izmaksas būtu par 0,46 % (EUR 9 miljardiem) augstākas nekā tād, ja izvirzītais mērķrādītājs būtu 27 %. Tomēr 2030. gadam izvirzītais 30 % energoefektivitātes mērķrādītājs ilgtermiņā nozīmētu, ka 2021.-2050. gada periodā energosistēmas izmaksas ir par EUR 9 miljardiem zemākas nekā tad, ja būtu izvirzīts 27 % mērķrādītājs.</w:t>
            </w:r>
          </w:p>
          <w:p w:rsidR="00B96FCE" w:rsidRDefault="00B96FCE" w:rsidP="00B96FCE">
            <w:pPr>
              <w:jc w:val="both"/>
            </w:pPr>
          </w:p>
          <w:p w:rsidR="0072309B" w:rsidRDefault="0072309B" w:rsidP="00B96FCE">
            <w:pPr>
              <w:jc w:val="both"/>
            </w:pPr>
            <w:r>
              <w:t>Maz ticams, ka vēlamais risinājums attiecībā uz 7. pantu radītu dalībvalstīm un atbildīgajām pusēm (komunālo pakalpojumu uzņēmumiem) papildu izmaksas, jo tiktu saglabāts pašreizējais ietaupījumu līmenis — 1,5 %. Nav paredzamas papildu administratīvās izmaksas, un tās pat varētu būt mazākas, jo prasības dalībvalstīm jau ir zināmas, un tiks vienkāršota to ietaupījumu aprēķināšana, kuri iegūti, veicot ar ēkām saistītus pasākumus.</w:t>
            </w:r>
          </w:p>
          <w:p w:rsidR="0072309B" w:rsidRDefault="0072309B" w:rsidP="00B96FCE">
            <w:pPr>
              <w:jc w:val="both"/>
            </w:pPr>
          </w:p>
          <w:p w:rsidR="003331EA" w:rsidRPr="00A9203B" w:rsidRDefault="005221A0" w:rsidP="00AC0895">
            <w:pPr>
              <w:jc w:val="both"/>
              <w:rPr>
                <w:rFonts w:ascii="Arial" w:hAnsi="Arial" w:cs="Arial"/>
                <w:i/>
                <w:sz w:val="20"/>
                <w:szCs w:val="20"/>
              </w:rPr>
            </w:pPr>
            <w:r>
              <w:t>Maz ticams, ka vēlamais risinājums attiecībā uz 9.–11.pantu radīs ievērojamas izmaksas kādai no iesaistītajām pusēm, pirmkārt, tāpēc, ka tas precizē juridiskās prasības un atbalsta tirgū jau novēroto jaunu tehnoloģiju ieviešanas tendenci, un, otrkārt, tāpēc, ka uz jaunu ierīču uzstādīšanas prasībām tāpat attiektos izmaksu lietderības kritērijs, kā tas ir šodien.</w:t>
            </w:r>
            <w:r>
              <w:rPr>
                <w:rFonts w:ascii="Arial" w:hAnsi="Arial"/>
                <w:i/>
                <w:sz w:val="20"/>
              </w:rPr>
              <w:t xml:space="preserve"> </w:t>
            </w:r>
          </w:p>
        </w:tc>
      </w:tr>
      <w:tr w:rsidR="003331EA" w:rsidRPr="00501394" w:rsidTr="00A65239">
        <w:tblPrEx>
          <w:jc w:val="left"/>
        </w:tblPrEx>
        <w:trPr>
          <w:gridAfter w:val="1"/>
          <w:wAfter w:w="441" w:type="dxa"/>
        </w:trPr>
        <w:tc>
          <w:tcPr>
            <w:tcW w:w="10065" w:type="dxa"/>
            <w:gridSpan w:val="2"/>
            <w:tcBorders>
              <w:bottom w:val="single" w:sz="4" w:space="0" w:color="auto"/>
            </w:tcBorders>
            <w:shd w:val="clear" w:color="auto" w:fill="E6E6E6"/>
          </w:tcPr>
          <w:p w:rsidR="003331EA" w:rsidRPr="005A1A34" w:rsidRDefault="003331EA" w:rsidP="00CC2027">
            <w:pPr>
              <w:spacing w:before="60" w:after="60"/>
              <w:jc w:val="both"/>
              <w:rPr>
                <w:rFonts w:ascii="Tahoma" w:hAnsi="Tahoma" w:cs="Tahoma"/>
                <w:sz w:val="20"/>
                <w:szCs w:val="20"/>
              </w:rPr>
            </w:pPr>
            <w:r>
              <w:rPr>
                <w:rFonts w:ascii="Tahoma" w:hAnsi="Tahoma"/>
                <w:b/>
                <w:sz w:val="20"/>
              </w:rPr>
              <w:t xml:space="preserve">Kā tas ietekmēs uzņēmumus, MVU un mikrouzņēmumus? </w:t>
            </w:r>
          </w:p>
        </w:tc>
      </w:tr>
      <w:tr w:rsidR="003331EA" w:rsidRPr="00B230F2" w:rsidTr="00A65239">
        <w:tblPrEx>
          <w:jc w:val="left"/>
        </w:tblPrEx>
        <w:trPr>
          <w:gridAfter w:val="1"/>
          <w:wAfter w:w="441" w:type="dxa"/>
        </w:trPr>
        <w:tc>
          <w:tcPr>
            <w:tcW w:w="10065" w:type="dxa"/>
            <w:gridSpan w:val="2"/>
            <w:tcBorders>
              <w:bottom w:val="single" w:sz="4" w:space="0" w:color="auto"/>
            </w:tcBorders>
            <w:shd w:val="clear" w:color="auto" w:fill="auto"/>
          </w:tcPr>
          <w:p w:rsidR="000B2E4B" w:rsidRDefault="000B2E4B" w:rsidP="000E00FA">
            <w:pPr>
              <w:spacing w:before="240"/>
              <w:contextualSpacing/>
              <w:jc w:val="both"/>
            </w:pPr>
            <w:r>
              <w:t>MVU ir noteicošā loma energoefektivitātes uzlabošanā, īpaši mājsaimniecībās (70 % energoefektivitātes pasākumu veic MVU), un tiem pavērsies plašākas uzņēmējdarbības iespējas, kā arī patēriņa samazinājuma dēļ tie maksās mazāk par enerģiju.</w:t>
            </w:r>
          </w:p>
          <w:p w:rsidR="00D90847" w:rsidRDefault="00D90847" w:rsidP="000E00FA">
            <w:pPr>
              <w:spacing w:before="240"/>
              <w:contextualSpacing/>
              <w:jc w:val="both"/>
            </w:pPr>
          </w:p>
          <w:p w:rsidR="003331EA" w:rsidRPr="00A9203B" w:rsidRDefault="00FD18A3" w:rsidP="00576F55">
            <w:pPr>
              <w:spacing w:before="240"/>
              <w:contextualSpacing/>
              <w:jc w:val="both"/>
              <w:rPr>
                <w:rFonts w:ascii="Arial" w:hAnsi="Arial" w:cs="Arial"/>
                <w:i/>
                <w:sz w:val="20"/>
                <w:szCs w:val="20"/>
              </w:rPr>
            </w:pPr>
            <w:r>
              <w:t>7. panta darbības termiņa pagarināšana pēc 2020. gada pozitīvi ietekmēs MVU, kuriem pavērsies plašākas uzņēmējdarbības iespējas, pateicoties pastāvīgai nepieciešamībai energoefektivitāti realizēt dzīvē, jo īpaši ēku renovācijas aspektā.</w:t>
            </w:r>
          </w:p>
        </w:tc>
      </w:tr>
      <w:tr w:rsidR="003331EA" w:rsidRPr="00501394" w:rsidTr="00A65239">
        <w:tblPrEx>
          <w:jc w:val="left"/>
        </w:tblPrEx>
        <w:trPr>
          <w:gridAfter w:val="1"/>
          <w:wAfter w:w="441" w:type="dxa"/>
        </w:trPr>
        <w:tc>
          <w:tcPr>
            <w:tcW w:w="10065" w:type="dxa"/>
            <w:gridSpan w:val="2"/>
            <w:tcBorders>
              <w:bottom w:val="single" w:sz="4" w:space="0" w:color="auto"/>
            </w:tcBorders>
            <w:shd w:val="clear" w:color="auto" w:fill="E6E6E6"/>
          </w:tcPr>
          <w:p w:rsidR="003331EA" w:rsidRPr="003D39F6" w:rsidRDefault="003331EA" w:rsidP="00CC2027">
            <w:pPr>
              <w:spacing w:before="60"/>
              <w:jc w:val="both"/>
              <w:rPr>
                <w:rFonts w:ascii="Tahoma" w:hAnsi="Tahoma" w:cs="Tahoma"/>
                <w:b/>
                <w:i/>
                <w:sz w:val="20"/>
                <w:szCs w:val="20"/>
              </w:rPr>
            </w:pPr>
            <w:r>
              <w:rPr>
                <w:rFonts w:ascii="Tahoma" w:hAnsi="Tahoma"/>
                <w:b/>
                <w:sz w:val="20"/>
              </w:rPr>
              <w:t>Vai tiks būtiski ietekmēts</w:t>
            </w:r>
            <w:r>
              <w:rPr>
                <w:rFonts w:ascii="Tahoma" w:hAnsi="Tahoma"/>
                <w:sz w:val="20"/>
              </w:rPr>
              <w:t xml:space="preserve"> </w:t>
            </w:r>
            <w:r>
              <w:rPr>
                <w:rFonts w:ascii="Tahoma" w:hAnsi="Tahoma"/>
                <w:b/>
                <w:sz w:val="20"/>
              </w:rPr>
              <w:t>dalībvalstu budžets un pārvaldes iestādes?</w:t>
            </w:r>
            <w:r>
              <w:rPr>
                <w:rFonts w:ascii="Tahoma" w:hAnsi="Tahoma"/>
                <w:sz w:val="20"/>
              </w:rPr>
              <w:t xml:space="preserve"> </w:t>
            </w:r>
          </w:p>
        </w:tc>
      </w:tr>
      <w:tr w:rsidR="003331EA" w:rsidRPr="00B230F2" w:rsidTr="00A65239">
        <w:tblPrEx>
          <w:jc w:val="left"/>
        </w:tblPrEx>
        <w:trPr>
          <w:gridAfter w:val="1"/>
          <w:wAfter w:w="441" w:type="dxa"/>
        </w:trPr>
        <w:tc>
          <w:tcPr>
            <w:tcW w:w="10065" w:type="dxa"/>
            <w:gridSpan w:val="2"/>
            <w:shd w:val="clear" w:color="auto" w:fill="auto"/>
          </w:tcPr>
          <w:p w:rsidR="00066CF8" w:rsidRDefault="00066CF8" w:rsidP="00BA39D1">
            <w:pPr>
              <w:jc w:val="both"/>
            </w:pPr>
            <w:r>
              <w:t xml:space="preserve">Lai gan dalībvalstīm var nākties palielināt izdevumus īstermiņā, lai finansētu sākuma investīcijas energoefektivitātē, ilgtermiņā tās būs ieguvējas, jo samazināsies izmaksas par kurināmā importu un energopatēriņu (piem., publiskajās ēkās), turklāt budžetam par labu nāks augstāks nodarbinātības līmenis un ekonomiskā izaugsme. </w:t>
            </w:r>
          </w:p>
          <w:p w:rsidR="00066CF8" w:rsidRDefault="00066CF8" w:rsidP="00BA39D1">
            <w:pPr>
              <w:jc w:val="both"/>
            </w:pPr>
          </w:p>
          <w:p w:rsidR="003331EA" w:rsidRPr="002A637F" w:rsidRDefault="00BA39D1" w:rsidP="00576F55">
            <w:pPr>
              <w:jc w:val="both"/>
            </w:pPr>
            <w:r>
              <w:t>Tā kā visas dalībvalstis pasākumus jau ir ieviesušas, ir maz ticams, ka 7. panta pagarināšana līdz 2030. gadam radīs dalībvalstīm un atbildīgajām pusēm (komunālo pakalpojumu uzņēmumiem) papildu budžeta vai administratīvās izmaksas, jo jaunajā periodā (2021. –2030. g.) ietaupījuma līmenis paliek tas pats — 1,5 % gadā. Drīzāk administratīvās izmaksas samazināsies, jo tiks vienkāršota ēku sektorā panākto ietaupījumu aprēķināšana, jo varēs izmantot Ēku energoefektivitātes direktīvā noteikto aprēķināšanas metodiku.</w:t>
            </w:r>
          </w:p>
        </w:tc>
      </w:tr>
      <w:tr w:rsidR="003331EA" w:rsidRPr="00501394" w:rsidTr="00A65239">
        <w:tblPrEx>
          <w:jc w:val="left"/>
        </w:tblPrEx>
        <w:trPr>
          <w:gridAfter w:val="1"/>
          <w:wAfter w:w="441" w:type="dxa"/>
        </w:trPr>
        <w:tc>
          <w:tcPr>
            <w:tcW w:w="10065" w:type="dxa"/>
            <w:gridSpan w:val="2"/>
            <w:tcBorders>
              <w:bottom w:val="single" w:sz="4" w:space="0" w:color="auto"/>
            </w:tcBorders>
            <w:shd w:val="clear" w:color="auto" w:fill="E6E6E6"/>
          </w:tcPr>
          <w:p w:rsidR="003331EA" w:rsidRPr="00501394" w:rsidRDefault="003331EA" w:rsidP="00CC2027">
            <w:pPr>
              <w:spacing w:before="60"/>
              <w:jc w:val="both"/>
              <w:rPr>
                <w:rFonts w:ascii="Tahoma" w:hAnsi="Tahoma" w:cs="Tahoma"/>
                <w:sz w:val="20"/>
                <w:szCs w:val="20"/>
              </w:rPr>
            </w:pPr>
            <w:r>
              <w:rPr>
                <w:rFonts w:ascii="Tahoma" w:hAnsi="Tahoma"/>
                <w:b/>
                <w:sz w:val="20"/>
              </w:rPr>
              <w:t>Vai būs vēl kāda cita būtiska ietekme?</w:t>
            </w:r>
            <w:r>
              <w:rPr>
                <w:rFonts w:ascii="Tahoma" w:hAnsi="Tahoma"/>
                <w:sz w:val="20"/>
              </w:rPr>
              <w:t xml:space="preserve"> </w:t>
            </w:r>
          </w:p>
        </w:tc>
      </w:tr>
      <w:tr w:rsidR="003331EA" w:rsidRPr="00B230F2" w:rsidTr="00A65239">
        <w:tblPrEx>
          <w:jc w:val="left"/>
        </w:tblPrEx>
        <w:trPr>
          <w:gridAfter w:val="1"/>
          <w:wAfter w:w="441" w:type="dxa"/>
        </w:trPr>
        <w:tc>
          <w:tcPr>
            <w:tcW w:w="10065" w:type="dxa"/>
            <w:gridSpan w:val="2"/>
            <w:tcBorders>
              <w:bottom w:val="single" w:sz="4" w:space="0" w:color="auto"/>
            </w:tcBorders>
            <w:shd w:val="clear" w:color="auto" w:fill="auto"/>
          </w:tcPr>
          <w:p w:rsidR="003331EA" w:rsidRPr="002A637F" w:rsidRDefault="002A637F" w:rsidP="00E5144B">
            <w:pPr>
              <w:jc w:val="both"/>
            </w:pPr>
            <w:r>
              <w:t>7. panta darbības termiņa pagarināšana pēc 2020. gada nozīmē, ka turpināsies samazināties enerģijas galapatēriņš (2030. gadā gaidāmais ietaupījums būs 81 Mtoe) un patērētāju enerģijas rēķini; bez tam energoefektivitātes uzlabošana pozitīvi iespaidos citas jomas: ekonomiku (piem., turpmāka energopakalpojumu tirgus attīstība), vides aizsardzību, sociālo jomu (tostarp enerģētikas nabadzības novēršana) un veselības aizsardzību.</w:t>
            </w:r>
          </w:p>
          <w:p w:rsidR="007F0EA3" w:rsidRPr="00E5144B" w:rsidRDefault="007F0EA3" w:rsidP="00D04C04">
            <w:pPr>
              <w:jc w:val="both"/>
            </w:pPr>
          </w:p>
          <w:p w:rsidR="003331EA" w:rsidRDefault="005221A0" w:rsidP="00624AEB">
            <w:pPr>
              <w:jc w:val="both"/>
              <w:rPr>
                <w:rFonts w:ascii="Arial" w:hAnsi="Arial" w:cs="Arial"/>
                <w:sz w:val="20"/>
                <w:szCs w:val="20"/>
              </w:rPr>
            </w:pPr>
            <w:r>
              <w:t>Attiecībā uz 9.–11. pantu novērtējumā tiek prognozēts: labāka EED prasību ievērošana attiecībā uz daudzdzīvokļu ēku apsildi nozīmē dos enerģijas papildu ietaupījumus aptuveni 7 Mtoe apmērā, un tas ir par 50 % vairāk nekā paredzamie ietaupījumi neregulatīva scenārija gadījumā.</w:t>
            </w:r>
          </w:p>
        </w:tc>
      </w:tr>
      <w:tr w:rsidR="003331EA" w:rsidRPr="00501394" w:rsidTr="00A65239">
        <w:tblPrEx>
          <w:jc w:val="left"/>
        </w:tblPrEx>
        <w:trPr>
          <w:gridAfter w:val="1"/>
          <w:wAfter w:w="441" w:type="dxa"/>
        </w:trPr>
        <w:tc>
          <w:tcPr>
            <w:tcW w:w="10065" w:type="dxa"/>
            <w:gridSpan w:val="2"/>
            <w:tcBorders>
              <w:bottom w:val="single" w:sz="4" w:space="0" w:color="auto"/>
            </w:tcBorders>
            <w:shd w:val="clear" w:color="auto" w:fill="C0C0C0"/>
          </w:tcPr>
          <w:p w:rsidR="003331EA" w:rsidRPr="0040097D" w:rsidRDefault="003331EA" w:rsidP="00D04C04">
            <w:pPr>
              <w:spacing w:before="60" w:after="60"/>
              <w:jc w:val="center"/>
              <w:rPr>
                <w:rFonts w:ascii="Tahoma" w:hAnsi="Tahoma" w:cs="Tahoma"/>
                <w:b/>
                <w:sz w:val="22"/>
                <w:szCs w:val="22"/>
              </w:rPr>
            </w:pPr>
            <w:r>
              <w:rPr>
                <w:rFonts w:ascii="Tahoma" w:hAnsi="Tahoma"/>
                <w:b/>
                <w:sz w:val="22"/>
              </w:rPr>
              <w:t>D. Turpmākā rīcība</w:t>
            </w:r>
          </w:p>
        </w:tc>
      </w:tr>
      <w:tr w:rsidR="003331EA" w:rsidRPr="00501394" w:rsidTr="00A65239">
        <w:tblPrEx>
          <w:jc w:val="left"/>
        </w:tblPrEx>
        <w:trPr>
          <w:gridAfter w:val="1"/>
          <w:wAfter w:w="441" w:type="dxa"/>
        </w:trPr>
        <w:tc>
          <w:tcPr>
            <w:tcW w:w="10065" w:type="dxa"/>
            <w:gridSpan w:val="2"/>
            <w:tcBorders>
              <w:bottom w:val="single" w:sz="4" w:space="0" w:color="auto"/>
            </w:tcBorders>
            <w:shd w:val="clear" w:color="auto" w:fill="E6E6E6"/>
          </w:tcPr>
          <w:p w:rsidR="003331EA" w:rsidRPr="00501394" w:rsidRDefault="003331EA" w:rsidP="00CC2027">
            <w:pPr>
              <w:spacing w:before="60"/>
              <w:jc w:val="both"/>
              <w:rPr>
                <w:rFonts w:ascii="Tahoma" w:hAnsi="Tahoma" w:cs="Tahoma"/>
                <w:sz w:val="20"/>
                <w:szCs w:val="20"/>
              </w:rPr>
            </w:pPr>
            <w:r>
              <w:rPr>
                <w:rFonts w:ascii="Tahoma" w:hAnsi="Tahoma"/>
                <w:b/>
                <w:sz w:val="20"/>
              </w:rPr>
              <w:t xml:space="preserve">Kad šī politika tiks pārskatīta? </w:t>
            </w:r>
          </w:p>
        </w:tc>
      </w:tr>
      <w:tr w:rsidR="003331EA" w:rsidRPr="00501394" w:rsidTr="00A65239">
        <w:tblPrEx>
          <w:jc w:val="left"/>
        </w:tblPrEx>
        <w:trPr>
          <w:gridAfter w:val="1"/>
          <w:wAfter w:w="441" w:type="dxa"/>
        </w:trPr>
        <w:tc>
          <w:tcPr>
            <w:tcW w:w="10065" w:type="dxa"/>
            <w:gridSpan w:val="2"/>
            <w:tcBorders>
              <w:bottom w:val="single" w:sz="4" w:space="0" w:color="auto"/>
            </w:tcBorders>
            <w:shd w:val="clear" w:color="auto" w:fill="auto"/>
          </w:tcPr>
          <w:p w:rsidR="00D54C5C" w:rsidRDefault="00C80E76" w:rsidP="00943190">
            <w:pPr>
              <w:jc w:val="both"/>
            </w:pPr>
            <w:r>
              <w:t xml:space="preserve">Ar šo priekšlikumu netiek mainītas pašreizējās ziņošanas saistības, bet Enerģētikas savienības pārvaldības iniciatīva nodrošinās, ka tiek ieviesta pārredzama un droša plānošanas, ziņošanas un uzraudzības sistēma, kas pamatojas uz valstu integrētajiem enerģētikas un klimata plāniem un pilnveidotiem dalībvalstu progresa ziņojumiem, regulāri novērtējot nacionālo plānu īstenošanu saskaņā ar Enerģētikas savienības piecām dimensijām. </w:t>
            </w:r>
          </w:p>
          <w:p w:rsidR="00D54C5C" w:rsidRDefault="00D54C5C" w:rsidP="00943190">
            <w:pPr>
              <w:jc w:val="both"/>
            </w:pPr>
          </w:p>
          <w:p w:rsidR="00066CF8" w:rsidRPr="00066CF8" w:rsidRDefault="00576F55" w:rsidP="005B252D">
            <w:pPr>
              <w:jc w:val="both"/>
            </w:pPr>
            <w:r>
              <w:t xml:space="preserve">EED īstenošanas rezultāti tiks vērtēti piecus gadus pēc pārskatītās direktīvas stāšanās spēkā, ieviešot jaunu prasību Komisijai uzņemties vispārēju direktīvas pārskatīšanu. </w:t>
            </w:r>
          </w:p>
        </w:tc>
      </w:tr>
    </w:tbl>
    <w:p w:rsidR="005452AD" w:rsidRPr="0043290C" w:rsidRDefault="005452AD" w:rsidP="00050FF0">
      <w:pPr>
        <w:autoSpaceDE w:val="0"/>
        <w:autoSpaceDN w:val="0"/>
        <w:adjustRightInd w:val="0"/>
        <w:rPr>
          <w:rFonts w:ascii="Tahoma" w:eastAsiaTheme="minorHAnsi" w:hAnsi="Tahoma" w:cs="Tahoma"/>
          <w:color w:val="000000"/>
          <w:sz w:val="20"/>
          <w:szCs w:val="20"/>
        </w:rPr>
      </w:pPr>
    </w:p>
    <w:sectPr w:rsidR="005452AD" w:rsidRPr="0043290C" w:rsidSect="00C80E76">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ECB" w:rsidRDefault="00C63ECB" w:rsidP="007416A1">
      <w:r>
        <w:separator/>
      </w:r>
    </w:p>
  </w:endnote>
  <w:endnote w:type="continuationSeparator" w:id="0">
    <w:p w:rsidR="00C63ECB" w:rsidRDefault="00C63ECB" w:rsidP="0074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9" w:rsidRDefault="00A65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0C" w:rsidRPr="0043290C" w:rsidRDefault="0043290C" w:rsidP="0043290C">
    <w:pPr>
      <w:pStyle w:val="FooterCoverPage"/>
      <w:rPr>
        <w:rFonts w:ascii="Arial" w:hAnsi="Arial" w:cs="Arial"/>
        <w:b/>
        <w:sz w:val="48"/>
      </w:rPr>
    </w:pPr>
    <w:r w:rsidRPr="0043290C">
      <w:rPr>
        <w:rFonts w:ascii="Arial" w:hAnsi="Arial" w:cs="Arial"/>
        <w:b/>
        <w:sz w:val="48"/>
      </w:rPr>
      <w:t>LV</w:t>
    </w:r>
    <w:r w:rsidRPr="0043290C">
      <w:rPr>
        <w:rFonts w:ascii="Arial" w:hAnsi="Arial" w:cs="Arial"/>
        <w:b/>
        <w:sz w:val="48"/>
      </w:rPr>
      <w:tab/>
    </w:r>
    <w:r w:rsidRPr="0043290C">
      <w:rPr>
        <w:rFonts w:ascii="Arial" w:hAnsi="Arial" w:cs="Arial"/>
        <w:b/>
        <w:sz w:val="48"/>
      </w:rPr>
      <w:tab/>
    </w:r>
    <w:fldSimple w:instr=" DOCVARIABLE &quot;LW_Confidence&quot; \* MERGEFORMAT ">
      <w:r>
        <w:t xml:space="preserve"> </w:t>
      </w:r>
    </w:fldSimple>
    <w:r w:rsidRPr="0043290C">
      <w:tab/>
    </w:r>
    <w:r w:rsidRPr="0043290C">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9" w:rsidRDefault="00A652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8D" w:rsidRDefault="00A5268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118404"/>
      <w:docPartObj>
        <w:docPartGallery w:val="Page Numbers (Bottom of Page)"/>
        <w:docPartUnique/>
      </w:docPartObj>
    </w:sdtPr>
    <w:sdtEndPr>
      <w:rPr>
        <w:noProof/>
      </w:rPr>
    </w:sdtEndPr>
    <w:sdtContent>
      <w:p w:rsidR="00A5268D" w:rsidRDefault="00C80E76" w:rsidP="00C80E76">
        <w:pPr>
          <w:pStyle w:val="Footer"/>
          <w:jc w:val="center"/>
        </w:pPr>
        <w:r>
          <w:fldChar w:fldCharType="begin"/>
        </w:r>
        <w:r>
          <w:instrText xml:space="preserve"> PAGE   \* MERGEFORMAT </w:instrText>
        </w:r>
        <w:r>
          <w:fldChar w:fldCharType="separate"/>
        </w:r>
        <w:r w:rsidR="00A65239">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8D" w:rsidRDefault="00A52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ECB" w:rsidRDefault="00C63ECB" w:rsidP="007416A1">
      <w:r>
        <w:separator/>
      </w:r>
    </w:p>
  </w:footnote>
  <w:footnote w:type="continuationSeparator" w:id="0">
    <w:p w:rsidR="00C63ECB" w:rsidRDefault="00C63ECB" w:rsidP="00741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9" w:rsidRDefault="00A65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9" w:rsidRDefault="00A65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239" w:rsidRDefault="00A6523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8D" w:rsidRDefault="00A526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8D" w:rsidRDefault="00A5268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8D" w:rsidRDefault="00A52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E9B"/>
    <w:multiLevelType w:val="hybridMultilevel"/>
    <w:tmpl w:val="20EECE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A2CBC"/>
    <w:multiLevelType w:val="hybridMultilevel"/>
    <w:tmpl w:val="0648684A"/>
    <w:lvl w:ilvl="0" w:tplc="08090001">
      <w:start w:val="1"/>
      <w:numFmt w:val="bullet"/>
      <w:lvlText w:val=""/>
      <w:lvlJc w:val="left"/>
      <w:pPr>
        <w:ind w:left="360" w:hanging="360"/>
      </w:pPr>
      <w:rPr>
        <w:rFonts w:ascii="Symbol" w:hAnsi="Symbol" w:hint="default"/>
      </w:rPr>
    </w:lvl>
    <w:lvl w:ilvl="1" w:tplc="34E0D7C0">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1A85275"/>
    <w:multiLevelType w:val="hybridMultilevel"/>
    <w:tmpl w:val="E93A1540"/>
    <w:lvl w:ilvl="0" w:tplc="08090001">
      <w:start w:val="1"/>
      <w:numFmt w:val="bullet"/>
      <w:lvlText w:val=""/>
      <w:lvlJc w:val="left"/>
      <w:pPr>
        <w:ind w:left="304" w:hanging="360"/>
      </w:pPr>
      <w:rPr>
        <w:rFonts w:ascii="Symbol" w:hAnsi="Symbol" w:hint="default"/>
      </w:rPr>
    </w:lvl>
    <w:lvl w:ilvl="1" w:tplc="08090003" w:tentative="1">
      <w:start w:val="1"/>
      <w:numFmt w:val="bullet"/>
      <w:lvlText w:val="o"/>
      <w:lvlJc w:val="left"/>
      <w:pPr>
        <w:ind w:left="1024" w:hanging="360"/>
      </w:pPr>
      <w:rPr>
        <w:rFonts w:ascii="Courier New" w:hAnsi="Courier New" w:hint="default"/>
      </w:rPr>
    </w:lvl>
    <w:lvl w:ilvl="2" w:tplc="08090005" w:tentative="1">
      <w:start w:val="1"/>
      <w:numFmt w:val="bullet"/>
      <w:lvlText w:val=""/>
      <w:lvlJc w:val="left"/>
      <w:pPr>
        <w:ind w:left="1744" w:hanging="360"/>
      </w:pPr>
      <w:rPr>
        <w:rFonts w:ascii="Wingdings" w:hAnsi="Wingdings" w:hint="default"/>
      </w:rPr>
    </w:lvl>
    <w:lvl w:ilvl="3" w:tplc="08090001" w:tentative="1">
      <w:start w:val="1"/>
      <w:numFmt w:val="bullet"/>
      <w:lvlText w:val=""/>
      <w:lvlJc w:val="left"/>
      <w:pPr>
        <w:ind w:left="2464" w:hanging="360"/>
      </w:pPr>
      <w:rPr>
        <w:rFonts w:ascii="Symbol" w:hAnsi="Symbol" w:hint="default"/>
      </w:rPr>
    </w:lvl>
    <w:lvl w:ilvl="4" w:tplc="08090003" w:tentative="1">
      <w:start w:val="1"/>
      <w:numFmt w:val="bullet"/>
      <w:lvlText w:val="o"/>
      <w:lvlJc w:val="left"/>
      <w:pPr>
        <w:ind w:left="3184" w:hanging="360"/>
      </w:pPr>
      <w:rPr>
        <w:rFonts w:ascii="Courier New" w:hAnsi="Courier New" w:hint="default"/>
      </w:rPr>
    </w:lvl>
    <w:lvl w:ilvl="5" w:tplc="08090005" w:tentative="1">
      <w:start w:val="1"/>
      <w:numFmt w:val="bullet"/>
      <w:lvlText w:val=""/>
      <w:lvlJc w:val="left"/>
      <w:pPr>
        <w:ind w:left="3904" w:hanging="360"/>
      </w:pPr>
      <w:rPr>
        <w:rFonts w:ascii="Wingdings" w:hAnsi="Wingdings" w:hint="default"/>
      </w:rPr>
    </w:lvl>
    <w:lvl w:ilvl="6" w:tplc="08090001" w:tentative="1">
      <w:start w:val="1"/>
      <w:numFmt w:val="bullet"/>
      <w:lvlText w:val=""/>
      <w:lvlJc w:val="left"/>
      <w:pPr>
        <w:ind w:left="4624" w:hanging="360"/>
      </w:pPr>
      <w:rPr>
        <w:rFonts w:ascii="Symbol" w:hAnsi="Symbol" w:hint="default"/>
      </w:rPr>
    </w:lvl>
    <w:lvl w:ilvl="7" w:tplc="08090003" w:tentative="1">
      <w:start w:val="1"/>
      <w:numFmt w:val="bullet"/>
      <w:lvlText w:val="o"/>
      <w:lvlJc w:val="left"/>
      <w:pPr>
        <w:ind w:left="5344" w:hanging="360"/>
      </w:pPr>
      <w:rPr>
        <w:rFonts w:ascii="Courier New" w:hAnsi="Courier New" w:hint="default"/>
      </w:rPr>
    </w:lvl>
    <w:lvl w:ilvl="8" w:tplc="08090005" w:tentative="1">
      <w:start w:val="1"/>
      <w:numFmt w:val="bullet"/>
      <w:lvlText w:val=""/>
      <w:lvlJc w:val="left"/>
      <w:pPr>
        <w:ind w:left="6064" w:hanging="360"/>
      </w:pPr>
      <w:rPr>
        <w:rFonts w:ascii="Wingdings" w:hAnsi="Wingdings" w:hint="default"/>
      </w:rPr>
    </w:lvl>
  </w:abstractNum>
  <w:abstractNum w:abstractNumId="3">
    <w:nsid w:val="28AC1B69"/>
    <w:multiLevelType w:val="hybridMultilevel"/>
    <w:tmpl w:val="9794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EF2D2E"/>
    <w:multiLevelType w:val="hybridMultilevel"/>
    <w:tmpl w:val="E88E2C3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3DA5359D"/>
    <w:multiLevelType w:val="hybridMultilevel"/>
    <w:tmpl w:val="0F18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
    <w:nsid w:val="71BF0FA3"/>
    <w:multiLevelType w:val="hybridMultilevel"/>
    <w:tmpl w:val="38A6A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Pavaddokuments dokumentam"/>
    <w:docVar w:name="LW_CONFIDENCE" w:val=" "/>
    <w:docVar w:name="LW_CONST_RESTREINT_UE" w:val="RESTREINT UE/EU RESTRICTED"/>
    <w:docVar w:name="LW_CORRIGENDUM" w:val="&lt;UNUSED&gt;"/>
    <w:docVar w:name="LW_COVERPAGE_GUID" w:val="2AF7B9500FD740718A27D71EB3E20A11"/>
    <w:docVar w:name="LW_CROSSREFERENCE" w:val="{COM(2016) 761 final}_x000a_{SWD(2016) 405 final}"/>
    <w:docVar w:name="LW_DocType" w:val="NORMAL"/>
    <w:docVar w:name="LW_EMISSION" w:val="30.11.2016"/>
    <w:docVar w:name="LW_EMISSION_ISODATE" w:val="2016-11-30"/>
    <w:docVar w:name="LW_EMISSION_LOCATION" w:val="BRX"/>
    <w:docVar w:name="LW_EMISSION_PREFIX" w:val="Briselē, "/>
    <w:docVar w:name="LW_EMISSION_SUFFIX" w:val="."/>
    <w:docVar w:name="LW_ID_DOCTYPE_NONLW" w:val="CP-027"/>
    <w:docVar w:name="LW_LANGUE" w:val="LV"/>
    <w:docVar w:name="LW_MARKING" w:val="&lt;UNUSED&gt;"/>
    <w:docVar w:name="LW_NOM.INST" w:val="EIROPAS KOMISIJA"/>
    <w:docVar w:name="LW_NOM.INST_JOINTDOC" w:val="&lt;EMPTY&gt;"/>
    <w:docVar w:name="LW_OBJETACTEPRINCIPAL.CP" w:val="&lt;UNUSED&gt;"/>
    <w:docVar w:name="LW_PART_NBR" w:val="1"/>
    <w:docVar w:name="LW_PART_NBR_TOTAL" w:val="1"/>
    <w:docVar w:name="LW_REF.INST.NEW" w:val="SWD"/>
    <w:docVar w:name="LW_REF.INST.NEW_ADOPTED" w:val="final"/>
    <w:docVar w:name="LW_REF.INST.NEW_TEXT" w:val="(2016) 406"/>
    <w:docVar w:name="LW_REF.INTERNE" w:val="&lt;UNUSED&gt;"/>
    <w:docVar w:name="LW_SUPERTITRE" w:val="&lt;UNUSED&gt;"/>
    <w:docVar w:name="LW_TITRE.OBJ.CP" w:val="&lt;UNUSED&gt;"/>
    <w:docVar w:name="LW_TYPE.DOC.CP" w:val="KOMISIJAS DIENESTU DARBA DOKUMENTS_x000b__x000b_IETEKMES NOV\u274?RT\u274?JUMA KOPSAVILKUMS_x000b_"/>
    <w:docVar w:name="LW_TYPEACTEPRINCIPAL.CP" w:val="Priek\u353?likums Eiropas Parlamenta un Padomes Direkt\u299?vai, ar ko groza Direkt\u299?vu 2012/27/ES par energoefektivit\u257?ti "/>
  </w:docVars>
  <w:rsids>
    <w:rsidRoot w:val="00E63E91"/>
    <w:rsid w:val="00007D92"/>
    <w:rsid w:val="00050FF0"/>
    <w:rsid w:val="000525B2"/>
    <w:rsid w:val="00053CA8"/>
    <w:rsid w:val="000559CB"/>
    <w:rsid w:val="0005651C"/>
    <w:rsid w:val="00066CF8"/>
    <w:rsid w:val="00072EF3"/>
    <w:rsid w:val="00091901"/>
    <w:rsid w:val="000B2E4B"/>
    <w:rsid w:val="000C50F9"/>
    <w:rsid w:val="000E00FA"/>
    <w:rsid w:val="00120161"/>
    <w:rsid w:val="00135D63"/>
    <w:rsid w:val="00146B26"/>
    <w:rsid w:val="00146DAE"/>
    <w:rsid w:val="00197E04"/>
    <w:rsid w:val="001A6810"/>
    <w:rsid w:val="001A749F"/>
    <w:rsid w:val="001E3F73"/>
    <w:rsid w:val="0022170A"/>
    <w:rsid w:val="00222146"/>
    <w:rsid w:val="00246606"/>
    <w:rsid w:val="002774B4"/>
    <w:rsid w:val="002835B0"/>
    <w:rsid w:val="002A5C80"/>
    <w:rsid w:val="002A637F"/>
    <w:rsid w:val="002D7928"/>
    <w:rsid w:val="002E06E3"/>
    <w:rsid w:val="002F2A9A"/>
    <w:rsid w:val="003207B8"/>
    <w:rsid w:val="00332A97"/>
    <w:rsid w:val="003331EA"/>
    <w:rsid w:val="003724B9"/>
    <w:rsid w:val="0037317C"/>
    <w:rsid w:val="00373BE4"/>
    <w:rsid w:val="00381E5D"/>
    <w:rsid w:val="003A0C64"/>
    <w:rsid w:val="003D63FF"/>
    <w:rsid w:val="003F24A5"/>
    <w:rsid w:val="00420C25"/>
    <w:rsid w:val="0043290C"/>
    <w:rsid w:val="00444C10"/>
    <w:rsid w:val="0049499D"/>
    <w:rsid w:val="004B566A"/>
    <w:rsid w:val="00503622"/>
    <w:rsid w:val="005221A0"/>
    <w:rsid w:val="005322E2"/>
    <w:rsid w:val="005452AD"/>
    <w:rsid w:val="00576F55"/>
    <w:rsid w:val="005A73B4"/>
    <w:rsid w:val="005B16A5"/>
    <w:rsid w:val="005B1BCC"/>
    <w:rsid w:val="005B252D"/>
    <w:rsid w:val="005B27FB"/>
    <w:rsid w:val="005C1619"/>
    <w:rsid w:val="005E7A81"/>
    <w:rsid w:val="00624AEB"/>
    <w:rsid w:val="00624B04"/>
    <w:rsid w:val="006729D4"/>
    <w:rsid w:val="00680A98"/>
    <w:rsid w:val="00691C96"/>
    <w:rsid w:val="006B307E"/>
    <w:rsid w:val="006D14C2"/>
    <w:rsid w:val="006D29F7"/>
    <w:rsid w:val="006D4042"/>
    <w:rsid w:val="006D5796"/>
    <w:rsid w:val="0070497E"/>
    <w:rsid w:val="0072309B"/>
    <w:rsid w:val="007274E6"/>
    <w:rsid w:val="007416A1"/>
    <w:rsid w:val="00752094"/>
    <w:rsid w:val="00782841"/>
    <w:rsid w:val="007B7079"/>
    <w:rsid w:val="007E7959"/>
    <w:rsid w:val="007F0EA3"/>
    <w:rsid w:val="0082074D"/>
    <w:rsid w:val="00840E7B"/>
    <w:rsid w:val="00857467"/>
    <w:rsid w:val="00883428"/>
    <w:rsid w:val="00894FA4"/>
    <w:rsid w:val="008A23C3"/>
    <w:rsid w:val="008C5FB2"/>
    <w:rsid w:val="008E2546"/>
    <w:rsid w:val="009105F5"/>
    <w:rsid w:val="00915A32"/>
    <w:rsid w:val="00943190"/>
    <w:rsid w:val="009A07BA"/>
    <w:rsid w:val="009B5884"/>
    <w:rsid w:val="00A23F06"/>
    <w:rsid w:val="00A36B92"/>
    <w:rsid w:val="00A424AB"/>
    <w:rsid w:val="00A5268D"/>
    <w:rsid w:val="00A6324D"/>
    <w:rsid w:val="00A65239"/>
    <w:rsid w:val="00A72927"/>
    <w:rsid w:val="00AC0895"/>
    <w:rsid w:val="00AC5FFB"/>
    <w:rsid w:val="00B01D5F"/>
    <w:rsid w:val="00B0750E"/>
    <w:rsid w:val="00B601B1"/>
    <w:rsid w:val="00B8219C"/>
    <w:rsid w:val="00B96FCE"/>
    <w:rsid w:val="00BA39D1"/>
    <w:rsid w:val="00BE2A06"/>
    <w:rsid w:val="00BE7406"/>
    <w:rsid w:val="00C25FAE"/>
    <w:rsid w:val="00C35E8E"/>
    <w:rsid w:val="00C61DE0"/>
    <w:rsid w:val="00C63ECB"/>
    <w:rsid w:val="00C80E76"/>
    <w:rsid w:val="00C97083"/>
    <w:rsid w:val="00CA4162"/>
    <w:rsid w:val="00CC0826"/>
    <w:rsid w:val="00CC2027"/>
    <w:rsid w:val="00D119AD"/>
    <w:rsid w:val="00D25FA3"/>
    <w:rsid w:val="00D30375"/>
    <w:rsid w:val="00D54C5C"/>
    <w:rsid w:val="00D90847"/>
    <w:rsid w:val="00D90871"/>
    <w:rsid w:val="00DD2E67"/>
    <w:rsid w:val="00DE563C"/>
    <w:rsid w:val="00E42610"/>
    <w:rsid w:val="00E5144B"/>
    <w:rsid w:val="00E5580A"/>
    <w:rsid w:val="00E63E91"/>
    <w:rsid w:val="00E7233D"/>
    <w:rsid w:val="00E966BB"/>
    <w:rsid w:val="00EB2BC6"/>
    <w:rsid w:val="00EF2451"/>
    <w:rsid w:val="00F405E6"/>
    <w:rsid w:val="00F43B5D"/>
    <w:rsid w:val="00FB1653"/>
    <w:rsid w:val="00FB4535"/>
    <w:rsid w:val="00FD18A3"/>
    <w:rsid w:val="00FF0B04"/>
    <w:rsid w:val="00FF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84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53C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7828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34"/>
    <w:qFormat/>
    <w:rsid w:val="00053CA8"/>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qFormat/>
    <w:locked/>
    <w:rsid w:val="00053CA8"/>
    <w:rPr>
      <w:rFonts w:ascii="Times New Roman" w:eastAsia="Times New Roman" w:hAnsi="Times New Roman" w:cs="Times New Roman"/>
      <w:sz w:val="24"/>
      <w:szCs w:val="24"/>
      <w:lang w:val="lv-LV" w:eastAsia="lv-LV"/>
    </w:rPr>
  </w:style>
  <w:style w:type="paragraph" w:customStyle="1" w:styleId="Style2Heading2">
    <w:name w:val="Style2_Heading 2"/>
    <w:basedOn w:val="Heading3"/>
    <w:link w:val="Style2Heading2Char"/>
    <w:uiPriority w:val="99"/>
    <w:qFormat/>
    <w:rsid w:val="00053CA8"/>
    <w:pPr>
      <w:keepLines w:val="0"/>
      <w:spacing w:before="0" w:after="240"/>
      <w:ind w:left="862" w:hanging="720"/>
    </w:pPr>
    <w:rPr>
      <w:rFonts w:ascii="Times New Roman" w:eastAsia="Times New Roman" w:hAnsi="Times New Roman" w:cs="Times New Roman"/>
      <w:sz w:val="26"/>
      <w:szCs w:val="26"/>
    </w:rPr>
  </w:style>
  <w:style w:type="character" w:customStyle="1" w:styleId="Style2Heading2Char">
    <w:name w:val="Style2_Heading 2 Char"/>
    <w:basedOn w:val="Heading3Char"/>
    <w:link w:val="Style2Heading2"/>
    <w:uiPriority w:val="99"/>
    <w:locked/>
    <w:rsid w:val="00053CA8"/>
    <w:rPr>
      <w:rFonts w:ascii="Times New Roman" w:eastAsia="Times New Roman" w:hAnsi="Times New Roman" w:cs="Times New Roman"/>
      <w:b/>
      <w:bCs/>
      <w:color w:val="4F81BD" w:themeColor="accent1"/>
      <w:sz w:val="26"/>
      <w:szCs w:val="26"/>
      <w:lang w:val="lv-LV" w:eastAsia="lv-LV"/>
    </w:rPr>
  </w:style>
  <w:style w:type="character" w:customStyle="1" w:styleId="Heading3Char">
    <w:name w:val="Heading 3 Char"/>
    <w:basedOn w:val="DefaultParagraphFont"/>
    <w:link w:val="Heading3"/>
    <w:uiPriority w:val="9"/>
    <w:semiHidden/>
    <w:rsid w:val="00053CA8"/>
    <w:rPr>
      <w:rFonts w:asciiTheme="majorHAnsi" w:eastAsiaTheme="majorEastAsia" w:hAnsiTheme="majorHAnsi" w:cstheme="majorBidi"/>
      <w:b/>
      <w:bCs/>
      <w:color w:val="4F81BD" w:themeColor="accent1"/>
      <w:sz w:val="24"/>
      <w:szCs w:val="24"/>
      <w:lang w:eastAsia="lv-LV"/>
    </w:r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ootnote Text Char1,fn Char Char,f"/>
    <w:basedOn w:val="Normal"/>
    <w:link w:val="FootnoteTextChar2"/>
    <w:uiPriority w:val="99"/>
    <w:qFormat/>
    <w:rsid w:val="007416A1"/>
    <w:rPr>
      <w:sz w:val="20"/>
      <w:szCs w:val="20"/>
    </w:rPr>
  </w:style>
  <w:style w:type="character" w:customStyle="1" w:styleId="FootnoteTextChar">
    <w:name w:val="Footnote Text Char"/>
    <w:basedOn w:val="DefaultParagraphFont"/>
    <w:uiPriority w:val="99"/>
    <w:semiHidden/>
    <w:rsid w:val="007416A1"/>
    <w:rPr>
      <w:rFonts w:ascii="Times New Roman" w:eastAsia="Times New Roman" w:hAnsi="Times New Roman" w:cs="Times New Roman"/>
      <w:sz w:val="20"/>
      <w:szCs w:val="20"/>
      <w:lang w:eastAsia="lv-LV"/>
    </w:rPr>
  </w:style>
  <w:style w:type="character" w:customStyle="1" w:styleId="FootnoteTextChar2">
    <w:name w:val="Footnote Text Char2"/>
    <w:aliases w:val="-E Fußnotentext Char,Fußnotentext Ursprung Char,-E Fußnotentext1 Char,-E Fußnotentext2 Char,-E Fußnotentext3 Char,Schriftart: 9 pt Char,Schriftart: 10 pt Char,Schriftart: 8 pt Char,WB-Fußnotentext Char,fn Char,Footnotes Char,f Char"/>
    <w:basedOn w:val="DefaultParagraphFont"/>
    <w:link w:val="FootnoteText"/>
    <w:uiPriority w:val="99"/>
    <w:locked/>
    <w:rsid w:val="007416A1"/>
    <w:rPr>
      <w:rFonts w:ascii="Times New Roman" w:eastAsia="Times New Roman" w:hAnsi="Times New Roman" w:cs="Times New Roman"/>
      <w:sz w:val="20"/>
      <w:szCs w:val="20"/>
      <w:lang w:eastAsia="lv-LV"/>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Nota,R"/>
    <w:basedOn w:val="DefaultParagraphFont"/>
    <w:link w:val="FootnotesymbolCarZchn"/>
    <w:uiPriority w:val="99"/>
    <w:qFormat/>
    <w:rsid w:val="007416A1"/>
    <w:rPr>
      <w:rFonts w:cs="Times New Roman"/>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7416A1"/>
    <w:pPr>
      <w:spacing w:after="160" w:line="240" w:lineRule="exact"/>
      <w:jc w:val="both"/>
    </w:pPr>
    <w:rPr>
      <w:rFonts w:asciiTheme="minorHAnsi" w:eastAsiaTheme="minorHAnsi" w:hAnsiTheme="minorHAnsi"/>
      <w:sz w:val="22"/>
      <w:szCs w:val="22"/>
      <w:vertAlign w:val="superscript"/>
    </w:rPr>
  </w:style>
  <w:style w:type="paragraph" w:styleId="BalloonText">
    <w:name w:val="Balloon Text"/>
    <w:basedOn w:val="Normal"/>
    <w:link w:val="BalloonTextChar"/>
    <w:uiPriority w:val="99"/>
    <w:semiHidden/>
    <w:unhideWhenUsed/>
    <w:rsid w:val="00840E7B"/>
    <w:rPr>
      <w:rFonts w:ascii="Tahoma" w:hAnsi="Tahoma" w:cs="Tahoma"/>
      <w:sz w:val="16"/>
      <w:szCs w:val="16"/>
    </w:rPr>
  </w:style>
  <w:style w:type="character" w:customStyle="1" w:styleId="BalloonTextChar">
    <w:name w:val="Balloon Text Char"/>
    <w:basedOn w:val="DefaultParagraphFont"/>
    <w:link w:val="BalloonText"/>
    <w:uiPriority w:val="99"/>
    <w:semiHidden/>
    <w:rsid w:val="00840E7B"/>
    <w:rPr>
      <w:rFonts w:ascii="Tahoma" w:eastAsia="Times New Roman" w:hAnsi="Tahoma" w:cs="Tahoma"/>
      <w:sz w:val="16"/>
      <w:szCs w:val="16"/>
      <w:lang w:eastAsia="lv-LV"/>
    </w:rPr>
  </w:style>
  <w:style w:type="character" w:customStyle="1" w:styleId="Marker">
    <w:name w:val="Marker"/>
    <w:basedOn w:val="DefaultParagraphFont"/>
    <w:rsid w:val="00A5268D"/>
    <w:rPr>
      <w:color w:val="0000FF"/>
      <w:shd w:val="clear" w:color="auto" w:fill="auto"/>
    </w:rPr>
  </w:style>
  <w:style w:type="paragraph" w:customStyle="1" w:styleId="Pagedecouverture">
    <w:name w:val="Page de couverture"/>
    <w:basedOn w:val="Normal"/>
    <w:next w:val="Normal"/>
    <w:rsid w:val="00A5268D"/>
    <w:pPr>
      <w:jc w:val="both"/>
    </w:pPr>
    <w:rPr>
      <w:rFonts w:eastAsiaTheme="minorHAnsi"/>
      <w:szCs w:val="22"/>
    </w:rPr>
  </w:style>
  <w:style w:type="paragraph" w:styleId="Header">
    <w:name w:val="header"/>
    <w:basedOn w:val="Normal"/>
    <w:link w:val="HeaderChar"/>
    <w:uiPriority w:val="99"/>
    <w:unhideWhenUsed/>
    <w:rsid w:val="00A5268D"/>
    <w:pPr>
      <w:tabs>
        <w:tab w:val="center" w:pos="4536"/>
        <w:tab w:val="right" w:pos="9072"/>
      </w:tabs>
    </w:pPr>
  </w:style>
  <w:style w:type="character" w:customStyle="1" w:styleId="HeaderChar">
    <w:name w:val="Header Char"/>
    <w:basedOn w:val="DefaultParagraphFont"/>
    <w:link w:val="Header"/>
    <w:uiPriority w:val="99"/>
    <w:rsid w:val="00A5268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5268D"/>
    <w:pPr>
      <w:tabs>
        <w:tab w:val="center" w:pos="4536"/>
        <w:tab w:val="right" w:pos="9072"/>
      </w:tabs>
    </w:pPr>
  </w:style>
  <w:style w:type="character" w:customStyle="1" w:styleId="FooterChar">
    <w:name w:val="Footer Char"/>
    <w:basedOn w:val="DefaultParagraphFont"/>
    <w:link w:val="Footer"/>
    <w:uiPriority w:val="99"/>
    <w:rsid w:val="00A5268D"/>
    <w:rPr>
      <w:rFonts w:ascii="Times New Roman" w:eastAsia="Times New Roman" w:hAnsi="Times New Roman" w:cs="Times New Roman"/>
      <w:sz w:val="24"/>
      <w:szCs w:val="24"/>
      <w:lang w:eastAsia="lv-LV"/>
    </w:rPr>
  </w:style>
  <w:style w:type="paragraph" w:customStyle="1" w:styleId="FooterCoverPage">
    <w:name w:val="Footer Cover Page"/>
    <w:basedOn w:val="Normal"/>
    <w:link w:val="FooterCoverPageChar"/>
    <w:rsid w:val="00A5268D"/>
    <w:pPr>
      <w:tabs>
        <w:tab w:val="center" w:pos="4535"/>
        <w:tab w:val="right" w:pos="9071"/>
        <w:tab w:val="right" w:pos="9921"/>
      </w:tabs>
      <w:spacing w:before="360"/>
      <w:ind w:left="-850" w:right="-850"/>
    </w:pPr>
    <w:rPr>
      <w:color w:val="000000"/>
    </w:rPr>
  </w:style>
  <w:style w:type="character" w:customStyle="1" w:styleId="DefaultChar">
    <w:name w:val="Default Char"/>
    <w:basedOn w:val="DefaultParagraphFont"/>
    <w:link w:val="Default"/>
    <w:rsid w:val="00A5268D"/>
    <w:rPr>
      <w:rFonts w:ascii="Arial" w:hAnsi="Arial" w:cs="Arial"/>
      <w:color w:val="000000"/>
      <w:sz w:val="24"/>
      <w:szCs w:val="24"/>
    </w:rPr>
  </w:style>
  <w:style w:type="character" w:customStyle="1" w:styleId="FooterCoverPageChar">
    <w:name w:val="Footer Cover Page Char"/>
    <w:basedOn w:val="DefaultChar"/>
    <w:link w:val="FooterCoverPage"/>
    <w:rsid w:val="00A5268D"/>
    <w:rPr>
      <w:rFonts w:ascii="Times New Roman" w:eastAsia="Times New Roman" w:hAnsi="Times New Roman" w:cs="Times New Roman"/>
      <w:color w:val="000000"/>
      <w:sz w:val="24"/>
      <w:szCs w:val="24"/>
    </w:rPr>
  </w:style>
  <w:style w:type="paragraph" w:customStyle="1" w:styleId="HeaderCoverPage">
    <w:name w:val="Header Cover Page"/>
    <w:basedOn w:val="Normal"/>
    <w:link w:val="HeaderCoverPageChar"/>
    <w:rsid w:val="00A5268D"/>
    <w:pPr>
      <w:tabs>
        <w:tab w:val="center" w:pos="4535"/>
        <w:tab w:val="right" w:pos="9071"/>
      </w:tabs>
      <w:spacing w:after="120"/>
      <w:jc w:val="both"/>
    </w:pPr>
    <w:rPr>
      <w:color w:val="000000"/>
    </w:rPr>
  </w:style>
  <w:style w:type="character" w:customStyle="1" w:styleId="HeaderCoverPageChar">
    <w:name w:val="Header Cover Page Char"/>
    <w:basedOn w:val="DefaultChar"/>
    <w:link w:val="HeaderCoverPage"/>
    <w:rsid w:val="00A5268D"/>
    <w:rPr>
      <w:rFonts w:ascii="Times New Roman" w:eastAsia="Times New Roman" w:hAnsi="Times New Roman" w:cs="Times New Roman"/>
      <w:color w:val="000000"/>
      <w:sz w:val="24"/>
      <w:szCs w:val="24"/>
    </w:rPr>
  </w:style>
  <w:style w:type="table" w:styleId="TableGrid">
    <w:name w:val="Table Grid"/>
    <w:basedOn w:val="TableNormal"/>
    <w:rsid w:val="00333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50E"/>
    <w:rPr>
      <w:sz w:val="16"/>
      <w:szCs w:val="16"/>
    </w:rPr>
  </w:style>
  <w:style w:type="paragraph" w:styleId="CommentText">
    <w:name w:val="annotation text"/>
    <w:basedOn w:val="Normal"/>
    <w:link w:val="CommentTextChar"/>
    <w:uiPriority w:val="99"/>
    <w:semiHidden/>
    <w:unhideWhenUsed/>
    <w:rsid w:val="00B0750E"/>
    <w:rPr>
      <w:sz w:val="20"/>
      <w:szCs w:val="20"/>
    </w:rPr>
  </w:style>
  <w:style w:type="character" w:customStyle="1" w:styleId="CommentTextChar">
    <w:name w:val="Comment Text Char"/>
    <w:basedOn w:val="DefaultParagraphFont"/>
    <w:link w:val="CommentText"/>
    <w:uiPriority w:val="99"/>
    <w:semiHidden/>
    <w:rsid w:val="00B0750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0750E"/>
    <w:rPr>
      <w:b/>
      <w:bCs/>
    </w:rPr>
  </w:style>
  <w:style w:type="character" w:customStyle="1" w:styleId="CommentSubjectChar">
    <w:name w:val="Comment Subject Char"/>
    <w:basedOn w:val="CommentTextChar"/>
    <w:link w:val="CommentSubject"/>
    <w:uiPriority w:val="99"/>
    <w:semiHidden/>
    <w:rsid w:val="00B0750E"/>
    <w:rPr>
      <w:rFonts w:ascii="Times New Roman" w:eastAsia="Times New Roman" w:hAnsi="Times New Roman" w:cs="Times New Roman"/>
      <w:b/>
      <w:bCs/>
      <w:sz w:val="20"/>
      <w:szCs w:val="20"/>
      <w:lang w:eastAsia="lv-LV"/>
    </w:rPr>
  </w:style>
  <w:style w:type="paragraph" w:customStyle="1" w:styleId="Tiret0">
    <w:name w:val="Tiret 0"/>
    <w:basedOn w:val="Normal"/>
    <w:rsid w:val="00FF0B04"/>
    <w:pPr>
      <w:numPr>
        <w:numId w:val="8"/>
      </w:numPr>
      <w:spacing w:before="120" w:after="120"/>
      <w:jc w:val="both"/>
    </w:pPr>
    <w:rPr>
      <w:rFonts w:eastAsia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84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53C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7828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34"/>
    <w:qFormat/>
    <w:rsid w:val="00053CA8"/>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qFormat/>
    <w:locked/>
    <w:rsid w:val="00053CA8"/>
    <w:rPr>
      <w:rFonts w:ascii="Times New Roman" w:eastAsia="Times New Roman" w:hAnsi="Times New Roman" w:cs="Times New Roman"/>
      <w:sz w:val="24"/>
      <w:szCs w:val="24"/>
      <w:lang w:val="lv-LV" w:eastAsia="lv-LV"/>
    </w:rPr>
  </w:style>
  <w:style w:type="paragraph" w:customStyle="1" w:styleId="Style2Heading2">
    <w:name w:val="Style2_Heading 2"/>
    <w:basedOn w:val="Heading3"/>
    <w:link w:val="Style2Heading2Char"/>
    <w:uiPriority w:val="99"/>
    <w:qFormat/>
    <w:rsid w:val="00053CA8"/>
    <w:pPr>
      <w:keepLines w:val="0"/>
      <w:spacing w:before="0" w:after="240"/>
      <w:ind w:left="862" w:hanging="720"/>
    </w:pPr>
    <w:rPr>
      <w:rFonts w:ascii="Times New Roman" w:eastAsia="Times New Roman" w:hAnsi="Times New Roman" w:cs="Times New Roman"/>
      <w:sz w:val="26"/>
      <w:szCs w:val="26"/>
    </w:rPr>
  </w:style>
  <w:style w:type="character" w:customStyle="1" w:styleId="Style2Heading2Char">
    <w:name w:val="Style2_Heading 2 Char"/>
    <w:basedOn w:val="Heading3Char"/>
    <w:link w:val="Style2Heading2"/>
    <w:uiPriority w:val="99"/>
    <w:locked/>
    <w:rsid w:val="00053CA8"/>
    <w:rPr>
      <w:rFonts w:ascii="Times New Roman" w:eastAsia="Times New Roman" w:hAnsi="Times New Roman" w:cs="Times New Roman"/>
      <w:b/>
      <w:bCs/>
      <w:color w:val="4F81BD" w:themeColor="accent1"/>
      <w:sz w:val="26"/>
      <w:szCs w:val="26"/>
      <w:lang w:val="lv-LV" w:eastAsia="lv-LV"/>
    </w:rPr>
  </w:style>
  <w:style w:type="character" w:customStyle="1" w:styleId="Heading3Char">
    <w:name w:val="Heading 3 Char"/>
    <w:basedOn w:val="DefaultParagraphFont"/>
    <w:link w:val="Heading3"/>
    <w:uiPriority w:val="9"/>
    <w:semiHidden/>
    <w:rsid w:val="00053CA8"/>
    <w:rPr>
      <w:rFonts w:asciiTheme="majorHAnsi" w:eastAsiaTheme="majorEastAsia" w:hAnsiTheme="majorHAnsi" w:cstheme="majorBidi"/>
      <w:b/>
      <w:bCs/>
      <w:color w:val="4F81BD" w:themeColor="accent1"/>
      <w:sz w:val="24"/>
      <w:szCs w:val="24"/>
      <w:lang w:eastAsia="lv-LV"/>
    </w:rPr>
  </w:style>
  <w:style w:type="paragraph" w:styleId="FootnoteText">
    <w:name w:val="footnote text"/>
    <w:aliases w:val="-E Fußnotentext,Fußnotentext Ursprung,-E Fußnotentext1,-E Fußnotentext2,-E Fußnotentext3,Schriftart: 9 pt,Schriftart: 10 pt,Schriftart: 8 pt,WB-Fußnotentext,fn,Footnotes,Footnote ak,Char,Fußnote,Carattere,Footnote Text Char1,fn Char Char,f"/>
    <w:basedOn w:val="Normal"/>
    <w:link w:val="FootnoteTextChar2"/>
    <w:uiPriority w:val="99"/>
    <w:qFormat/>
    <w:rsid w:val="007416A1"/>
    <w:rPr>
      <w:sz w:val="20"/>
      <w:szCs w:val="20"/>
    </w:rPr>
  </w:style>
  <w:style w:type="character" w:customStyle="1" w:styleId="FootnoteTextChar">
    <w:name w:val="Footnote Text Char"/>
    <w:basedOn w:val="DefaultParagraphFont"/>
    <w:uiPriority w:val="99"/>
    <w:semiHidden/>
    <w:rsid w:val="007416A1"/>
    <w:rPr>
      <w:rFonts w:ascii="Times New Roman" w:eastAsia="Times New Roman" w:hAnsi="Times New Roman" w:cs="Times New Roman"/>
      <w:sz w:val="20"/>
      <w:szCs w:val="20"/>
      <w:lang w:eastAsia="lv-LV"/>
    </w:rPr>
  </w:style>
  <w:style w:type="character" w:customStyle="1" w:styleId="FootnoteTextChar2">
    <w:name w:val="Footnote Text Char2"/>
    <w:aliases w:val="-E Fußnotentext Char,Fußnotentext Ursprung Char,-E Fußnotentext1 Char,-E Fußnotentext2 Char,-E Fußnotentext3 Char,Schriftart: 9 pt Char,Schriftart: 10 pt Char,Schriftart: 8 pt Char,WB-Fußnotentext Char,fn Char,Footnotes Char,f Char"/>
    <w:basedOn w:val="DefaultParagraphFont"/>
    <w:link w:val="FootnoteText"/>
    <w:uiPriority w:val="99"/>
    <w:locked/>
    <w:rsid w:val="007416A1"/>
    <w:rPr>
      <w:rFonts w:ascii="Times New Roman" w:eastAsia="Times New Roman" w:hAnsi="Times New Roman" w:cs="Times New Roman"/>
      <w:sz w:val="20"/>
      <w:szCs w:val="20"/>
      <w:lang w:eastAsia="lv-LV"/>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Nota,R"/>
    <w:basedOn w:val="DefaultParagraphFont"/>
    <w:link w:val="FootnotesymbolCarZchn"/>
    <w:uiPriority w:val="99"/>
    <w:qFormat/>
    <w:rsid w:val="007416A1"/>
    <w:rPr>
      <w:rFonts w:cs="Times New Roman"/>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7416A1"/>
    <w:pPr>
      <w:spacing w:after="160" w:line="240" w:lineRule="exact"/>
      <w:jc w:val="both"/>
    </w:pPr>
    <w:rPr>
      <w:rFonts w:asciiTheme="minorHAnsi" w:eastAsiaTheme="minorHAnsi" w:hAnsiTheme="minorHAnsi"/>
      <w:sz w:val="22"/>
      <w:szCs w:val="22"/>
      <w:vertAlign w:val="superscript"/>
    </w:rPr>
  </w:style>
  <w:style w:type="paragraph" w:styleId="BalloonText">
    <w:name w:val="Balloon Text"/>
    <w:basedOn w:val="Normal"/>
    <w:link w:val="BalloonTextChar"/>
    <w:uiPriority w:val="99"/>
    <w:semiHidden/>
    <w:unhideWhenUsed/>
    <w:rsid w:val="00840E7B"/>
    <w:rPr>
      <w:rFonts w:ascii="Tahoma" w:hAnsi="Tahoma" w:cs="Tahoma"/>
      <w:sz w:val="16"/>
      <w:szCs w:val="16"/>
    </w:rPr>
  </w:style>
  <w:style w:type="character" w:customStyle="1" w:styleId="BalloonTextChar">
    <w:name w:val="Balloon Text Char"/>
    <w:basedOn w:val="DefaultParagraphFont"/>
    <w:link w:val="BalloonText"/>
    <w:uiPriority w:val="99"/>
    <w:semiHidden/>
    <w:rsid w:val="00840E7B"/>
    <w:rPr>
      <w:rFonts w:ascii="Tahoma" w:eastAsia="Times New Roman" w:hAnsi="Tahoma" w:cs="Tahoma"/>
      <w:sz w:val="16"/>
      <w:szCs w:val="16"/>
      <w:lang w:eastAsia="lv-LV"/>
    </w:rPr>
  </w:style>
  <w:style w:type="character" w:customStyle="1" w:styleId="Marker">
    <w:name w:val="Marker"/>
    <w:basedOn w:val="DefaultParagraphFont"/>
    <w:rsid w:val="00A5268D"/>
    <w:rPr>
      <w:color w:val="0000FF"/>
      <w:shd w:val="clear" w:color="auto" w:fill="auto"/>
    </w:rPr>
  </w:style>
  <w:style w:type="paragraph" w:customStyle="1" w:styleId="Pagedecouverture">
    <w:name w:val="Page de couverture"/>
    <w:basedOn w:val="Normal"/>
    <w:next w:val="Normal"/>
    <w:rsid w:val="00A5268D"/>
    <w:pPr>
      <w:jc w:val="both"/>
    </w:pPr>
    <w:rPr>
      <w:rFonts w:eastAsiaTheme="minorHAnsi"/>
      <w:szCs w:val="22"/>
    </w:rPr>
  </w:style>
  <w:style w:type="paragraph" w:styleId="Header">
    <w:name w:val="header"/>
    <w:basedOn w:val="Normal"/>
    <w:link w:val="HeaderChar"/>
    <w:uiPriority w:val="99"/>
    <w:unhideWhenUsed/>
    <w:rsid w:val="00A5268D"/>
    <w:pPr>
      <w:tabs>
        <w:tab w:val="center" w:pos="4536"/>
        <w:tab w:val="right" w:pos="9072"/>
      </w:tabs>
    </w:pPr>
  </w:style>
  <w:style w:type="character" w:customStyle="1" w:styleId="HeaderChar">
    <w:name w:val="Header Char"/>
    <w:basedOn w:val="DefaultParagraphFont"/>
    <w:link w:val="Header"/>
    <w:uiPriority w:val="99"/>
    <w:rsid w:val="00A5268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5268D"/>
    <w:pPr>
      <w:tabs>
        <w:tab w:val="center" w:pos="4536"/>
        <w:tab w:val="right" w:pos="9072"/>
      </w:tabs>
    </w:pPr>
  </w:style>
  <w:style w:type="character" w:customStyle="1" w:styleId="FooterChar">
    <w:name w:val="Footer Char"/>
    <w:basedOn w:val="DefaultParagraphFont"/>
    <w:link w:val="Footer"/>
    <w:uiPriority w:val="99"/>
    <w:rsid w:val="00A5268D"/>
    <w:rPr>
      <w:rFonts w:ascii="Times New Roman" w:eastAsia="Times New Roman" w:hAnsi="Times New Roman" w:cs="Times New Roman"/>
      <w:sz w:val="24"/>
      <w:szCs w:val="24"/>
      <w:lang w:eastAsia="lv-LV"/>
    </w:rPr>
  </w:style>
  <w:style w:type="paragraph" w:customStyle="1" w:styleId="FooterCoverPage">
    <w:name w:val="Footer Cover Page"/>
    <w:basedOn w:val="Normal"/>
    <w:link w:val="FooterCoverPageChar"/>
    <w:rsid w:val="00A5268D"/>
    <w:pPr>
      <w:tabs>
        <w:tab w:val="center" w:pos="4535"/>
        <w:tab w:val="right" w:pos="9071"/>
        <w:tab w:val="right" w:pos="9921"/>
      </w:tabs>
      <w:spacing w:before="360"/>
      <w:ind w:left="-850" w:right="-850"/>
    </w:pPr>
    <w:rPr>
      <w:color w:val="000000"/>
    </w:rPr>
  </w:style>
  <w:style w:type="character" w:customStyle="1" w:styleId="DefaultChar">
    <w:name w:val="Default Char"/>
    <w:basedOn w:val="DefaultParagraphFont"/>
    <w:link w:val="Default"/>
    <w:rsid w:val="00A5268D"/>
    <w:rPr>
      <w:rFonts w:ascii="Arial" w:hAnsi="Arial" w:cs="Arial"/>
      <w:color w:val="000000"/>
      <w:sz w:val="24"/>
      <w:szCs w:val="24"/>
    </w:rPr>
  </w:style>
  <w:style w:type="character" w:customStyle="1" w:styleId="FooterCoverPageChar">
    <w:name w:val="Footer Cover Page Char"/>
    <w:basedOn w:val="DefaultChar"/>
    <w:link w:val="FooterCoverPage"/>
    <w:rsid w:val="00A5268D"/>
    <w:rPr>
      <w:rFonts w:ascii="Times New Roman" w:eastAsia="Times New Roman" w:hAnsi="Times New Roman" w:cs="Times New Roman"/>
      <w:color w:val="000000"/>
      <w:sz w:val="24"/>
      <w:szCs w:val="24"/>
    </w:rPr>
  </w:style>
  <w:style w:type="paragraph" w:customStyle="1" w:styleId="HeaderCoverPage">
    <w:name w:val="Header Cover Page"/>
    <w:basedOn w:val="Normal"/>
    <w:link w:val="HeaderCoverPageChar"/>
    <w:rsid w:val="00A5268D"/>
    <w:pPr>
      <w:tabs>
        <w:tab w:val="center" w:pos="4535"/>
        <w:tab w:val="right" w:pos="9071"/>
      </w:tabs>
      <w:spacing w:after="120"/>
      <w:jc w:val="both"/>
    </w:pPr>
    <w:rPr>
      <w:color w:val="000000"/>
    </w:rPr>
  </w:style>
  <w:style w:type="character" w:customStyle="1" w:styleId="HeaderCoverPageChar">
    <w:name w:val="Header Cover Page Char"/>
    <w:basedOn w:val="DefaultChar"/>
    <w:link w:val="HeaderCoverPage"/>
    <w:rsid w:val="00A5268D"/>
    <w:rPr>
      <w:rFonts w:ascii="Times New Roman" w:eastAsia="Times New Roman" w:hAnsi="Times New Roman" w:cs="Times New Roman"/>
      <w:color w:val="000000"/>
      <w:sz w:val="24"/>
      <w:szCs w:val="24"/>
    </w:rPr>
  </w:style>
  <w:style w:type="table" w:styleId="TableGrid">
    <w:name w:val="Table Grid"/>
    <w:basedOn w:val="TableNormal"/>
    <w:rsid w:val="00333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50E"/>
    <w:rPr>
      <w:sz w:val="16"/>
      <w:szCs w:val="16"/>
    </w:rPr>
  </w:style>
  <w:style w:type="paragraph" w:styleId="CommentText">
    <w:name w:val="annotation text"/>
    <w:basedOn w:val="Normal"/>
    <w:link w:val="CommentTextChar"/>
    <w:uiPriority w:val="99"/>
    <w:semiHidden/>
    <w:unhideWhenUsed/>
    <w:rsid w:val="00B0750E"/>
    <w:rPr>
      <w:sz w:val="20"/>
      <w:szCs w:val="20"/>
    </w:rPr>
  </w:style>
  <w:style w:type="character" w:customStyle="1" w:styleId="CommentTextChar">
    <w:name w:val="Comment Text Char"/>
    <w:basedOn w:val="DefaultParagraphFont"/>
    <w:link w:val="CommentText"/>
    <w:uiPriority w:val="99"/>
    <w:semiHidden/>
    <w:rsid w:val="00B0750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0750E"/>
    <w:rPr>
      <w:b/>
      <w:bCs/>
    </w:rPr>
  </w:style>
  <w:style w:type="character" w:customStyle="1" w:styleId="CommentSubjectChar">
    <w:name w:val="Comment Subject Char"/>
    <w:basedOn w:val="CommentTextChar"/>
    <w:link w:val="CommentSubject"/>
    <w:uiPriority w:val="99"/>
    <w:semiHidden/>
    <w:rsid w:val="00B0750E"/>
    <w:rPr>
      <w:rFonts w:ascii="Times New Roman" w:eastAsia="Times New Roman" w:hAnsi="Times New Roman" w:cs="Times New Roman"/>
      <w:b/>
      <w:bCs/>
      <w:sz w:val="20"/>
      <w:szCs w:val="20"/>
      <w:lang w:eastAsia="lv-LV"/>
    </w:rPr>
  </w:style>
  <w:style w:type="paragraph" w:customStyle="1" w:styleId="Tiret0">
    <w:name w:val="Tiret 0"/>
    <w:basedOn w:val="Normal"/>
    <w:rsid w:val="00FF0B04"/>
    <w:pPr>
      <w:numPr>
        <w:numId w:val="8"/>
      </w:numPr>
      <w:spacing w:before="120" w:after="120"/>
      <w:jc w:val="both"/>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665410">
      <w:bodyDiv w:val="1"/>
      <w:marLeft w:val="0"/>
      <w:marRight w:val="0"/>
      <w:marTop w:val="0"/>
      <w:marBottom w:val="0"/>
      <w:divBdr>
        <w:top w:val="none" w:sz="0" w:space="0" w:color="auto"/>
        <w:left w:val="none" w:sz="0" w:space="0" w:color="auto"/>
        <w:bottom w:val="none" w:sz="0" w:space="0" w:color="auto"/>
        <w:right w:val="none" w:sz="0" w:space="0" w:color="auto"/>
      </w:divBdr>
    </w:div>
    <w:div w:id="198674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D606C-7C4F-4AD0-8CDC-C9E96061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1737</Words>
  <Characters>10828</Characters>
  <Application>Microsoft Office Word</Application>
  <DocSecurity>0</DocSecurity>
  <Lines>180</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11</cp:revision>
  <cp:lastPrinted>2016-10-26T14:15:00Z</cp:lastPrinted>
  <dcterms:created xsi:type="dcterms:W3CDTF">2016-10-26T14:12:00Z</dcterms:created>
  <dcterms:modified xsi:type="dcterms:W3CDTF">2016-11-29T17:23:00Z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