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08" w:rsidRDefault="00860082">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B7441FA160B4E7DBE5062E725760C3B" style="width:450.6pt;height:508.95pt">
            <v:imagedata r:id="rId9" o:title=""/>
          </v:shape>
        </w:pict>
      </w:r>
      <w:bookmarkEnd w:id="0"/>
    </w:p>
    <w:p w:rsidR="00DE1308" w:rsidRDefault="00DE1308">
      <w:pPr>
        <w:rPr>
          <w:noProof/>
        </w:rPr>
        <w:sectPr w:rsidR="00DE1308">
          <w:footerReference w:type="default" r:id="rId10"/>
          <w:pgSz w:w="11907" w:h="16839"/>
          <w:pgMar w:top="1134" w:right="1417" w:bottom="1134" w:left="1417" w:header="709" w:footer="709" w:gutter="0"/>
          <w:pgNumType w:start="1"/>
          <w:cols w:space="720"/>
          <w:docGrid w:linePitch="360"/>
        </w:sectPr>
      </w:pPr>
    </w:p>
    <w:p w:rsidR="00DE1308" w:rsidRDefault="00860082">
      <w:pPr>
        <w:jc w:val="center"/>
        <w:rPr>
          <w:b/>
          <w:noProof/>
        </w:rPr>
      </w:pPr>
      <w:r>
        <w:rPr>
          <w:b/>
          <w:noProof/>
        </w:rPr>
        <w:lastRenderedPageBreak/>
        <w:t>ANHANG</w:t>
      </w:r>
      <w:r>
        <w:rPr>
          <w:b/>
          <w:noProof/>
        </w:rPr>
        <w:br/>
      </w:r>
    </w:p>
    <w:p w:rsidR="00DE1308" w:rsidRDefault="00860082">
      <w:pPr>
        <w:pStyle w:val="NumPar1"/>
        <w:numPr>
          <w:ilvl w:val="0"/>
          <w:numId w:val="1"/>
        </w:numPr>
        <w:rPr>
          <w:noProof/>
        </w:rPr>
      </w:pPr>
      <w:r>
        <w:rPr>
          <w:noProof/>
        </w:rPr>
        <w:t>Die Anhänge IV und V werden wie folgt geändert:</w:t>
      </w:r>
    </w:p>
    <w:p w:rsidR="00DE1308" w:rsidRDefault="00860082">
      <w:pPr>
        <w:pStyle w:val="Point1"/>
        <w:rPr>
          <w:noProof/>
        </w:rPr>
      </w:pPr>
      <w:r>
        <w:rPr>
          <w:noProof/>
        </w:rPr>
        <w:t>a)</w:t>
      </w:r>
      <w:r>
        <w:rPr>
          <w:noProof/>
        </w:rPr>
        <w:tab/>
        <w:t xml:space="preserve">In Anhang IV erhält Fußnote 3 folgende </w:t>
      </w:r>
      <w:r>
        <w:rPr>
          <w:noProof/>
        </w:rPr>
        <w:t>Fassung: „(3) Sofern Energieeinsparungen in Form von Primärenergieeinsparungen unter Verwendung eines Bottom-up-Ansatzes auf der Grundlage des Endenergieverbrauchs berechnet werden. Für Einsparungen von elektrischer Energie in kWh können die Mitgliedstaate</w:t>
      </w:r>
      <w:r>
        <w:rPr>
          <w:noProof/>
        </w:rPr>
        <w:t>n standardmäßig einen Koeffizienten von 2,0 anwenden. Die Mitgliedstaaten können andere Koeffizienten anwenden, wenn sie dies rechtfertigen können.“</w:t>
      </w:r>
    </w:p>
    <w:p w:rsidR="00DE1308" w:rsidRDefault="00860082">
      <w:pPr>
        <w:pStyle w:val="Point1"/>
        <w:rPr>
          <w:noProof/>
        </w:rPr>
      </w:pPr>
      <w:r>
        <w:rPr>
          <w:noProof/>
        </w:rPr>
        <w:t>b)</w:t>
      </w:r>
      <w:r>
        <w:rPr>
          <w:noProof/>
        </w:rPr>
        <w:tab/>
        <w:t>Anhang V erhält folgende Fassung:</w:t>
      </w:r>
    </w:p>
    <w:p w:rsidR="00DE1308" w:rsidRDefault="00860082">
      <w:pPr>
        <w:pStyle w:val="Text1"/>
        <w:jc w:val="center"/>
        <w:rPr>
          <w:i/>
          <w:noProof/>
        </w:rPr>
      </w:pPr>
      <w:r>
        <w:rPr>
          <w:noProof/>
        </w:rPr>
        <w:t>„</w:t>
      </w:r>
      <w:r>
        <w:rPr>
          <w:i/>
          <w:noProof/>
        </w:rPr>
        <w:t>Anhang V</w:t>
      </w:r>
    </w:p>
    <w:p w:rsidR="00DE1308" w:rsidRDefault="00860082">
      <w:pPr>
        <w:pStyle w:val="Text1"/>
        <w:ind w:left="960"/>
        <w:jc w:val="center"/>
        <w:rPr>
          <w:b/>
          <w:noProof/>
        </w:rPr>
      </w:pPr>
      <w:r>
        <w:rPr>
          <w:b/>
          <w:noProof/>
        </w:rPr>
        <w:t>Einheitliche Methoden und Grundsätze zur Berechnung der Ausw</w:t>
      </w:r>
      <w:r>
        <w:rPr>
          <w:b/>
          <w:noProof/>
        </w:rPr>
        <w:t>irkungen der Energieeffizienzverpflichtungssysteme oder anderer strategischer Maßnahmen nach Artikel 7 Absätze 1 und 2, nach den Artikeln 7a und 7b und nach Artikel 20 Absatz 6:</w:t>
      </w:r>
    </w:p>
    <w:p w:rsidR="00DE1308" w:rsidRDefault="00860082">
      <w:pPr>
        <w:pStyle w:val="ManualNumPar1"/>
        <w:ind w:left="1440" w:hanging="480"/>
        <w:rPr>
          <w:noProof/>
        </w:rPr>
      </w:pPr>
      <w:r>
        <w:rPr>
          <w:noProof/>
        </w:rPr>
        <w:t>1.</w:t>
      </w:r>
      <w:r>
        <w:rPr>
          <w:noProof/>
        </w:rPr>
        <w:tab/>
        <w:t>Methoden zur Berechnung von nicht auf steuerliche Maßnahmen zurückzuführend</w:t>
      </w:r>
      <w:r>
        <w:rPr>
          <w:noProof/>
        </w:rPr>
        <w:t>e Energieeinsparungen für die Zwecke des Artikels 7 Absätze 1 und 2, der Artikel 7a und 7b und des Artikels 20 Absatz 6</w:t>
      </w:r>
    </w:p>
    <w:p w:rsidR="00DE1308" w:rsidRDefault="00860082">
      <w:pPr>
        <w:pStyle w:val="Text2"/>
        <w:rPr>
          <w:noProof/>
        </w:rPr>
      </w:pPr>
      <w:r>
        <w:rPr>
          <w:noProof/>
        </w:rPr>
        <w:t xml:space="preserve">Verpflichtete, teilnehmende oder beauftragte Parteien oder durchführende öffentliche Stellen können zur Berechnung der </w:t>
      </w:r>
      <w:r>
        <w:rPr>
          <w:noProof/>
        </w:rPr>
        <w:t>Energieeinsparungen eine oder mehrere der folgenden Methoden anwenden:</w:t>
      </w:r>
    </w:p>
    <w:p w:rsidR="00DE1308" w:rsidRDefault="00860082">
      <w:pPr>
        <w:pStyle w:val="Point2"/>
        <w:rPr>
          <w:noProof/>
        </w:rPr>
      </w:pPr>
      <w:r>
        <w:rPr>
          <w:noProof/>
        </w:rPr>
        <w:t>a)</w:t>
      </w:r>
      <w:r>
        <w:rPr>
          <w:noProof/>
        </w:rPr>
        <w:tab/>
        <w:t>Angenommene Einsparungen, unter Bezugnahme auf die Ergebnisse früherer unabhängig kontrollierter Energieeffizienzverbesserungen in ähnlichen Anlagen. Der allgemeine Ansatz ist „ex an</w:t>
      </w:r>
      <w:r>
        <w:rPr>
          <w:noProof/>
        </w:rPr>
        <w:t>te“.</w:t>
      </w:r>
    </w:p>
    <w:p w:rsidR="00DE1308" w:rsidRDefault="00860082">
      <w:pPr>
        <w:pStyle w:val="Point2"/>
        <w:rPr>
          <w:noProof/>
        </w:rPr>
      </w:pPr>
      <w:r>
        <w:rPr>
          <w:noProof/>
        </w:rPr>
        <w:t>b)</w:t>
      </w:r>
      <w:r>
        <w:rPr>
          <w:noProof/>
        </w:rPr>
        <w:tab/>
        <w:t xml:space="preserve">Gemessene Einsparungen, wobei die Einsparungen aus der Umsetzung einer Maßnahme oder eines Maßnahmenpakets mittels Erfassung der tatsächlichen Verringerung der Energienutzung unter gebührender Beachtung von Faktoren, die den Verbrauch beeinflussen </w:t>
      </w:r>
      <w:r>
        <w:rPr>
          <w:noProof/>
        </w:rPr>
        <w:t>können, wie Zusätzlichkeit, Nutzung, Produktionsniveaus und Wetter, festgestellt werden. Der allgemeine Ansatz ist „ex post“.</w:t>
      </w:r>
    </w:p>
    <w:p w:rsidR="00DE1308" w:rsidRDefault="00860082">
      <w:pPr>
        <w:pStyle w:val="Point2"/>
        <w:rPr>
          <w:noProof/>
        </w:rPr>
      </w:pPr>
      <w:r>
        <w:rPr>
          <w:noProof/>
        </w:rPr>
        <w:t>c)</w:t>
      </w:r>
      <w:r>
        <w:rPr>
          <w:noProof/>
        </w:rPr>
        <w:tab/>
        <w:t>Geschätzte Einsparungen, wobei technische Abschätzungen der Einsparungen verwendet werden. Dieser Ansatz darf nur dann verwende</w:t>
      </w:r>
      <w:r>
        <w:rPr>
          <w:noProof/>
        </w:rPr>
        <w:t>t werden, wenn die Ermittlung belastbarer gemessener Daten für eine bestimmte Anlage schwierig oder unverhältnismäßig teuer ist, wie z. B. Ersatz eines Kompressors oder eines Elektromotors mit anderer kWh-Nennleistung als jener, für die unabhängige Angaben</w:t>
      </w:r>
      <w:r>
        <w:rPr>
          <w:noProof/>
        </w:rPr>
        <w:t xml:space="preserve"> zu gemessenen Einsparungen vorliegen, oder wenn diese Schätzungen anhand national festgelegter Methoden und Referenzwerte von qualifizierten oder akkreditierten Experten durchgeführt werden, die unabhängig von den verpflichteten, teilnehmenden oder beauft</w:t>
      </w:r>
      <w:r>
        <w:rPr>
          <w:noProof/>
        </w:rPr>
        <w:t>ragten Parteien sind.</w:t>
      </w:r>
    </w:p>
    <w:p w:rsidR="00DE1308" w:rsidRDefault="00860082">
      <w:pPr>
        <w:pStyle w:val="Point2"/>
        <w:rPr>
          <w:noProof/>
        </w:rPr>
      </w:pPr>
      <w:r>
        <w:rPr>
          <w:noProof/>
        </w:rPr>
        <w:t>d)</w:t>
      </w:r>
      <w:r>
        <w:rPr>
          <w:noProof/>
        </w:rPr>
        <w:tab/>
        <w:t>Mittels Erhebung bestimmte Einsparungen, bei denen die Reaktion der Verbraucher auf Beratung und Informationskampagnen, auf Kennzeichnungs- oder Zertifizierungssysteme oder auf den Einsatz intelligenter Zähler festgestellt wird. Di</w:t>
      </w:r>
      <w:r>
        <w:rPr>
          <w:noProof/>
        </w:rPr>
        <w:t xml:space="preserve">eser Ansatz kann nur für Einsparungen verwendet werden, die sich aus einem veränderten </w:t>
      </w:r>
      <w:r>
        <w:rPr>
          <w:noProof/>
        </w:rPr>
        <w:lastRenderedPageBreak/>
        <w:t>Verbraucherverhalten ergeben. Er darf nicht für Einsparungen verwendet werden, die sich aus dem Einbau physischer Vorrichtungen ergeben.</w:t>
      </w:r>
    </w:p>
    <w:p w:rsidR="00DE1308" w:rsidRDefault="00860082">
      <w:pPr>
        <w:pStyle w:val="ManualNumPar1"/>
        <w:tabs>
          <w:tab w:val="left" w:pos="1440"/>
        </w:tabs>
        <w:ind w:left="1440" w:hanging="600"/>
        <w:rPr>
          <w:noProof/>
        </w:rPr>
      </w:pPr>
      <w:r>
        <w:rPr>
          <w:noProof/>
        </w:rPr>
        <w:t>2.</w:t>
      </w:r>
      <w:r>
        <w:rPr>
          <w:noProof/>
        </w:rPr>
        <w:tab/>
        <w:t>Für die Feststellung der Ener</w:t>
      </w:r>
      <w:r>
        <w:rPr>
          <w:noProof/>
        </w:rPr>
        <w:t>gieeinsparungen durch eine Energieeffizienzmaßnahme für die Zwecke des Artikels 7 Absätze 1 und 2, der Artikel 7a und 7b und des Artikels 20 Absatz 6 gelten folgende Grundsätze:</w:t>
      </w:r>
    </w:p>
    <w:p w:rsidR="00DE1308" w:rsidRDefault="00860082">
      <w:pPr>
        <w:pStyle w:val="Point2"/>
        <w:rPr>
          <w:noProof/>
        </w:rPr>
      </w:pPr>
      <w:r>
        <w:rPr>
          <w:noProof/>
        </w:rPr>
        <w:t>a)</w:t>
      </w:r>
      <w:r>
        <w:rPr>
          <w:noProof/>
        </w:rPr>
        <w:tab/>
        <w:t>Es muss nachgewiesen werden, dass es sich um zusätzliche Einsparungen hande</w:t>
      </w:r>
      <w:r>
        <w:rPr>
          <w:noProof/>
        </w:rPr>
        <w:t>lt, die über die Einsparungen hinausgehen, die auch ohne die Tätigkeit der verpflichteten, teilnehmenden oder beauftragten Parteien und/oder durchführenden öffentlichen Stellen in jedem Fall zu verzeichnen gewesen wären. Um festzustellen, welche Einsparung</w:t>
      </w:r>
      <w:r>
        <w:rPr>
          <w:noProof/>
        </w:rPr>
        <w:t xml:space="preserve">en als zusätzlich geltend gemacht werden können, legen die Mitgliedstaaten ein Ausgangsszenario fest, das beschreibt, wie sich der Energieverbrauch ohne die vorgesehene strategische Maßnahme entwickeln würde. Das Ausgangsszenario berücksichtigt mindestens </w:t>
      </w:r>
      <w:r>
        <w:rPr>
          <w:noProof/>
        </w:rPr>
        <w:t>die folgenden Faktoren: Entwicklungen beim Energieverbrauch, Veränderungen des Verbraucherverhaltens, technischer Fortschritt und Veränderungen aufgrund anderer Maßnahmen, die auf nationaler oder EU-Ebene umgesetzt werden;</w:t>
      </w:r>
    </w:p>
    <w:p w:rsidR="00DE1308" w:rsidRDefault="00860082">
      <w:pPr>
        <w:pStyle w:val="Point2"/>
        <w:rPr>
          <w:noProof/>
        </w:rPr>
      </w:pPr>
      <w:r>
        <w:rPr>
          <w:noProof/>
        </w:rPr>
        <w:t>b)</w:t>
      </w:r>
      <w:r>
        <w:rPr>
          <w:noProof/>
        </w:rPr>
        <w:tab/>
        <w:t>aus der Durchführung verbindli</w:t>
      </w:r>
      <w:r>
        <w:rPr>
          <w:noProof/>
        </w:rPr>
        <w:t>cher Unionsvorschriften resultierende Einsparungen gelten als Einsparungen, die in jedem Fall auch ohne Maßnahmen der verpflichteten, teilnehmenden oder beauftragten Parteien und/oder durchführenden Behörden erzielt worden wären, und können daher nicht gem</w:t>
      </w:r>
      <w:r>
        <w:rPr>
          <w:noProof/>
        </w:rPr>
        <w:t>äß Artikel 7 Absatz 1 geltend gemacht werden, mit Ausnahme von Einsparungen im Zusammenhang mit der Renovierung bestehender Gebäude, bei denen das Kriterium der Wesentlichkeit gemäß Teil 3 Buchstabe h erfüllt ist;</w:t>
      </w:r>
    </w:p>
    <w:p w:rsidR="00DE1308" w:rsidRDefault="00860082">
      <w:pPr>
        <w:pStyle w:val="Point2"/>
        <w:ind w:hanging="544"/>
        <w:rPr>
          <w:noProof/>
        </w:rPr>
      </w:pPr>
      <w:r>
        <w:rPr>
          <w:noProof/>
        </w:rPr>
        <w:t>c)</w:t>
      </w:r>
      <w:r>
        <w:rPr>
          <w:noProof/>
        </w:rPr>
        <w:tab/>
        <w:t xml:space="preserve">es dürfen nur Einsparungen angerechnet </w:t>
      </w:r>
      <w:r>
        <w:rPr>
          <w:noProof/>
        </w:rPr>
        <w:t>werden, die über folgende Schwellen hinausgehen:</w:t>
      </w:r>
    </w:p>
    <w:p w:rsidR="00DE1308" w:rsidRDefault="00860082">
      <w:pPr>
        <w:pStyle w:val="Point3"/>
        <w:rPr>
          <w:noProof/>
        </w:rPr>
      </w:pPr>
      <w:r>
        <w:rPr>
          <w:noProof/>
        </w:rPr>
        <w:t>i)</w:t>
      </w:r>
      <w:r>
        <w:rPr>
          <w:noProof/>
        </w:rPr>
        <w:tab/>
        <w:t>Emissionsvorgaben der Union für neue Personenkraftwagen und neue leichte Nutzfahrzeuge aufgrund der Durchführung der Verordnung (EG) Nr. 443/2009 des Europäischen Parlaments und des Rates</w:t>
      </w:r>
      <w:r>
        <w:rPr>
          <w:rStyle w:val="FootnoteReference"/>
          <w:noProof/>
        </w:rPr>
        <w:footnoteReference w:id="2"/>
      </w:r>
      <w:r>
        <w:rPr>
          <w:noProof/>
        </w:rPr>
        <w:t xml:space="preserve"> und der Verordn</w:t>
      </w:r>
      <w:r>
        <w:rPr>
          <w:noProof/>
        </w:rPr>
        <w:t>ung (EU) Nr. 510/2011 des Europäischen Parlaments und des Rates</w:t>
      </w:r>
      <w:r>
        <w:rPr>
          <w:rStyle w:val="FootnoteReference"/>
          <w:noProof/>
        </w:rPr>
        <w:footnoteReference w:id="3"/>
      </w:r>
      <w:r>
        <w:rPr>
          <w:noProof/>
        </w:rPr>
        <w:t>;</w:t>
      </w:r>
    </w:p>
    <w:p w:rsidR="00DE1308" w:rsidRDefault="00860082">
      <w:pPr>
        <w:pStyle w:val="Point3"/>
        <w:rPr>
          <w:noProof/>
        </w:rPr>
      </w:pPr>
      <w:r>
        <w:rPr>
          <w:noProof/>
        </w:rPr>
        <w:t>ii)</w:t>
      </w:r>
      <w:r>
        <w:rPr>
          <w:noProof/>
        </w:rPr>
        <w:tab/>
        <w:t xml:space="preserve">Anforderungen der Union für energieverbrauchsrelevante Produkte, die aufgrund der Umsetzung von Durchführungsmaßnahmen nach der Richtlinie 2009/125/EG vom Markt zu nehmen sind. </w:t>
      </w:r>
    </w:p>
    <w:p w:rsidR="00DE1308" w:rsidRDefault="00860082">
      <w:pPr>
        <w:pStyle w:val="Point2"/>
        <w:rPr>
          <w:noProof/>
        </w:rPr>
      </w:pPr>
      <w:r>
        <w:rPr>
          <w:noProof/>
        </w:rPr>
        <w:t>d)</w:t>
      </w:r>
      <w:r>
        <w:rPr>
          <w:noProof/>
        </w:rPr>
        <w:tab/>
        <w:t>Strat</w:t>
      </w:r>
      <w:r>
        <w:rPr>
          <w:noProof/>
        </w:rPr>
        <w:t xml:space="preserve">egien, mit denen eine höhere Energieeffizienz von Produkten, Ausrüstung, Gebäuden und Gebäudekomponenten, Verfahren oder Märkten unterstützt werden soll, sind zulässig; </w:t>
      </w:r>
    </w:p>
    <w:p w:rsidR="00DE1308" w:rsidRDefault="00860082">
      <w:pPr>
        <w:pStyle w:val="Point2"/>
        <w:rPr>
          <w:noProof/>
        </w:rPr>
      </w:pPr>
      <w:r>
        <w:rPr>
          <w:noProof/>
        </w:rPr>
        <w:lastRenderedPageBreak/>
        <w:t>e)</w:t>
      </w:r>
      <w:r>
        <w:rPr>
          <w:noProof/>
        </w:rPr>
        <w:tab/>
        <w:t>bei Strategien, die den Einsatz effizienterer Produkte und Fahrzeuge beschleunigen,</w:t>
      </w:r>
      <w:r>
        <w:rPr>
          <w:noProof/>
        </w:rPr>
        <w:t xml:space="preserve"> ist eine vollständige Anrechnung möglich, wenn nachgewiesen wird, dass der Einsatz vor Ende der durchschnittlich zu erwartenden Produkt- oder Fahrzeuglebensdauer oder früher als zum üblichen Austauschzeitpunkt erfolgt, und wenn die Einsparungen nur für de</w:t>
      </w:r>
      <w:r>
        <w:rPr>
          <w:noProof/>
        </w:rPr>
        <w:t>n Zeitraum bis zum Ende der voraussichtlichen durchschnittlichen Lebensdauer des zu ersetzenden Produkts oder Fahrzeugs geltend gemacht werden;</w:t>
      </w:r>
    </w:p>
    <w:p w:rsidR="00DE1308" w:rsidRDefault="00860082">
      <w:pPr>
        <w:pStyle w:val="Point2"/>
        <w:rPr>
          <w:noProof/>
        </w:rPr>
      </w:pPr>
      <w:r>
        <w:rPr>
          <w:noProof/>
        </w:rPr>
        <w:t>f)</w:t>
      </w:r>
      <w:r>
        <w:rPr>
          <w:noProof/>
        </w:rPr>
        <w:tab/>
        <w:t>zur Förderung der Verbreitung von Energieeffizienzmaßnahmen stellen die Mitgliedstaaten sicher, dass Qualität</w:t>
      </w:r>
      <w:r>
        <w:rPr>
          <w:noProof/>
        </w:rPr>
        <w:t>sstandards für Produkte, Dienstleistungen und die Durchführung von Maßnahmen beibehalten bzw., wenn es solche Standards noch nicht gibt, eingeführt werden;</w:t>
      </w:r>
    </w:p>
    <w:p w:rsidR="00DE1308" w:rsidRDefault="00860082">
      <w:pPr>
        <w:pStyle w:val="Point2"/>
        <w:rPr>
          <w:noProof/>
        </w:rPr>
      </w:pPr>
      <w:r>
        <w:rPr>
          <w:noProof/>
        </w:rPr>
        <w:t>g)</w:t>
      </w:r>
      <w:r>
        <w:rPr>
          <w:noProof/>
        </w:rPr>
        <w:tab/>
        <w:t>um den klimatischen Unterschieden zwischen den Regionen Rechnung zu tragen, können die Mitgliedst</w:t>
      </w:r>
      <w:r>
        <w:rPr>
          <w:noProof/>
        </w:rPr>
        <w:t>aaten beschließen, die Einsparungen an einen Standardwert anzupassen oder unterschiedliche Energieeinsparungen entsprechend den Temperaturschwankungen zwischen den Regionen anzugeben;</w:t>
      </w:r>
    </w:p>
    <w:p w:rsidR="00DE1308" w:rsidRDefault="00860082">
      <w:pPr>
        <w:pStyle w:val="Point2"/>
        <w:rPr>
          <w:noProof/>
        </w:rPr>
      </w:pPr>
      <w:r>
        <w:rPr>
          <w:noProof/>
        </w:rPr>
        <w:t>h)</w:t>
      </w:r>
      <w:r>
        <w:rPr>
          <w:noProof/>
        </w:rPr>
        <w:tab/>
      </w:r>
      <w:r>
        <w:rPr>
          <w:noProof/>
        </w:rPr>
        <w:t>bei der Berechnung der Energieeinsparungen ist die Lebensdauer von Maßnahmen zu berücksichtigen. Dazu können die Einsparungen, die sich aus den Einzelmaßnahmen zwischen dem Datum ihrer Einführung und dem 31. Dezember 2020 bzw. dem 31. Dezember 2030 ergeben</w:t>
      </w:r>
      <w:r>
        <w:rPr>
          <w:noProof/>
        </w:rPr>
        <w:t>, angerechnet werden. Ersatzweise können sich die Mitgliedstaaten für eine andere Methode entscheiden, bei der davon ausgegangen wird, dass damit Gesamteinsparungen in mindestens gleicher Höhe erreicht werden. Wenden die Mitgliedstaaten andere Methoden an,</w:t>
      </w:r>
      <w:r>
        <w:rPr>
          <w:noProof/>
        </w:rPr>
        <w:t xml:space="preserve"> so stellen sie sicher, dass die nach diesen anderen Methoden berechnete Gesamthöhe der Energieeinsparungen nicht die Höhe der Energieeinsparungen übersteigt, die eine Berechnung ergäbe, bei der die Einsparungen, die sich aus den Einzelmaßnahmen zwischen d</w:t>
      </w:r>
      <w:r>
        <w:rPr>
          <w:noProof/>
        </w:rPr>
        <w:t>em Datum ihrer Einführung und dem 31. Dezember 2020 bzw. dem 31. Dezember 2030 ergeben, angerechnet werden. Die Mitgliedstaaten erläutern ausführlich in ihren integrierten nationalen Energie- und Klimaplänen im Rahmen des Governance-Systems der Energieunio</w:t>
      </w:r>
      <w:r>
        <w:rPr>
          <w:noProof/>
        </w:rPr>
        <w:t xml:space="preserve">n, welche anderen Methoden sie angewandt haben und welche Regelungen getroffen worden sind, um die Einhaltung dieses verbindlichen Grundsatzes bei der Berechnung zu gewährleisten. </w:t>
      </w:r>
    </w:p>
    <w:p w:rsidR="00DE1308" w:rsidRDefault="00860082">
      <w:pPr>
        <w:pStyle w:val="ManualNumPar1"/>
        <w:ind w:left="1440" w:hanging="600"/>
        <w:rPr>
          <w:noProof/>
        </w:rPr>
      </w:pPr>
      <w:r>
        <w:rPr>
          <w:noProof/>
        </w:rPr>
        <w:t>3.</w:t>
      </w:r>
      <w:r>
        <w:rPr>
          <w:noProof/>
        </w:rPr>
        <w:tab/>
        <w:t>Die Mitgliedstaaten stellen sicher, dass strategische Maßnahmen oder Ein</w:t>
      </w:r>
      <w:r>
        <w:rPr>
          <w:noProof/>
        </w:rPr>
        <w:t>zelmaßnahmen nach Artikel 7b und Artikel 20 Absatz 6 die folgenden Anforderungen erfüllen:</w:t>
      </w:r>
    </w:p>
    <w:p w:rsidR="00DE1308" w:rsidRDefault="00860082">
      <w:pPr>
        <w:pStyle w:val="Point2"/>
        <w:rPr>
          <w:noProof/>
        </w:rPr>
      </w:pPr>
      <w:r>
        <w:rPr>
          <w:noProof/>
        </w:rPr>
        <w:t>a)</w:t>
      </w:r>
      <w:r>
        <w:rPr>
          <w:noProof/>
        </w:rPr>
        <w:tab/>
        <w:t xml:space="preserve">Die strategischen Maßnahmen oder Einzelmaßnahmen bewirken nachprüfbare Endenergieeinsparungen. </w:t>
      </w:r>
    </w:p>
    <w:p w:rsidR="00DE1308" w:rsidRDefault="00860082">
      <w:pPr>
        <w:pStyle w:val="Point2"/>
        <w:rPr>
          <w:noProof/>
        </w:rPr>
      </w:pPr>
      <w:r>
        <w:rPr>
          <w:noProof/>
        </w:rPr>
        <w:t>b)</w:t>
      </w:r>
      <w:r>
        <w:rPr>
          <w:noProof/>
        </w:rPr>
        <w:tab/>
        <w:t xml:space="preserve">Die Verantwortung jeder beauftragten oder teilnehmenden Partei </w:t>
      </w:r>
      <w:r>
        <w:rPr>
          <w:noProof/>
        </w:rPr>
        <w:t>bzw. durchführenden Behörde wird klar festgelegt.</w:t>
      </w:r>
    </w:p>
    <w:p w:rsidR="00DE1308" w:rsidRDefault="00860082">
      <w:pPr>
        <w:pStyle w:val="Point2"/>
        <w:rPr>
          <w:noProof/>
        </w:rPr>
      </w:pPr>
      <w:r>
        <w:rPr>
          <w:noProof/>
        </w:rPr>
        <w:t>c)</w:t>
      </w:r>
      <w:r>
        <w:rPr>
          <w:noProof/>
        </w:rPr>
        <w:tab/>
        <w:t>Die erzielten bzw. zu erzielenden Energieeinsparungen werden auf transparente Art und Weise festgelegt.</w:t>
      </w:r>
    </w:p>
    <w:p w:rsidR="00DE1308" w:rsidRDefault="00860082">
      <w:pPr>
        <w:pStyle w:val="Point2"/>
        <w:rPr>
          <w:noProof/>
        </w:rPr>
      </w:pPr>
      <w:r>
        <w:rPr>
          <w:noProof/>
        </w:rPr>
        <w:t>d)</w:t>
      </w:r>
      <w:r>
        <w:rPr>
          <w:noProof/>
        </w:rPr>
        <w:tab/>
        <w:t xml:space="preserve">Der Umfang der Energieeinsparungen, der mit der strategischen Maßnahme vorgeschrieben wird oder </w:t>
      </w:r>
      <w:r>
        <w:rPr>
          <w:noProof/>
        </w:rPr>
        <w:t xml:space="preserve">erzielt werden soll, wird unter </w:t>
      </w:r>
      <w:r>
        <w:rPr>
          <w:noProof/>
        </w:rPr>
        <w:lastRenderedPageBreak/>
        <w:t>Verwendung der Umrechnungsfaktoren gemäß Anhang IV entweder als Primärenergie- oder Endenergieverbrauch ausgedrückt.</w:t>
      </w:r>
    </w:p>
    <w:p w:rsidR="00DE1308" w:rsidRDefault="00860082">
      <w:pPr>
        <w:pStyle w:val="Point2"/>
        <w:rPr>
          <w:noProof/>
        </w:rPr>
      </w:pPr>
      <w:r>
        <w:rPr>
          <w:noProof/>
        </w:rPr>
        <w:t>e)</w:t>
      </w:r>
      <w:r>
        <w:rPr>
          <w:noProof/>
        </w:rPr>
        <w:tab/>
        <w:t xml:space="preserve">Von den teilnehmenden oder beauftragten Parteien und durchführenden öffentlichen Stellen werden Angaben </w:t>
      </w:r>
      <w:r>
        <w:rPr>
          <w:noProof/>
        </w:rPr>
        <w:t>zum Jahrestrend bei den Energieeinsparungen sowie ein Jahresbericht über die erzielten Energieeinsparungen vorgelegt und öffentlich zugänglich gemacht.</w:t>
      </w:r>
    </w:p>
    <w:p w:rsidR="00DE1308" w:rsidRDefault="00860082">
      <w:pPr>
        <w:pStyle w:val="Point2"/>
        <w:rPr>
          <w:noProof/>
        </w:rPr>
      </w:pPr>
      <w:r>
        <w:rPr>
          <w:noProof/>
        </w:rPr>
        <w:t>f)</w:t>
      </w:r>
      <w:r>
        <w:rPr>
          <w:noProof/>
        </w:rPr>
        <w:tab/>
        <w:t>Die Ergebnisse werden überwacht, und falls keine zufriedenstellenden Fortschritte erzielt werden, wer</w:t>
      </w:r>
      <w:r>
        <w:rPr>
          <w:noProof/>
        </w:rPr>
        <w:t>den geeignete Maßnahmen ergriffen.</w:t>
      </w:r>
    </w:p>
    <w:p w:rsidR="00DE1308" w:rsidRDefault="00860082">
      <w:pPr>
        <w:pStyle w:val="Point2"/>
        <w:rPr>
          <w:noProof/>
        </w:rPr>
      </w:pPr>
      <w:r>
        <w:rPr>
          <w:noProof/>
        </w:rPr>
        <w:t>g)</w:t>
      </w:r>
      <w:r>
        <w:rPr>
          <w:noProof/>
        </w:rPr>
        <w:tab/>
        <w:t>Einsparungen, die sich aus einer Einzelmaßnahme ergeben, können von höchstens einer Partei für sich beansprucht werden.</w:t>
      </w:r>
    </w:p>
    <w:p w:rsidR="00DE1308" w:rsidRDefault="00860082">
      <w:pPr>
        <w:pStyle w:val="Point2"/>
        <w:rPr>
          <w:noProof/>
        </w:rPr>
      </w:pPr>
      <w:r>
        <w:rPr>
          <w:noProof/>
        </w:rPr>
        <w:t>h)</w:t>
      </w:r>
      <w:r>
        <w:rPr>
          <w:noProof/>
        </w:rPr>
        <w:tab/>
        <w:t xml:space="preserve">Die geltend gemachten Einsparungen wurden nachweislich durch die Tätigkeiten der teilnehmenden </w:t>
      </w:r>
      <w:r>
        <w:rPr>
          <w:noProof/>
        </w:rPr>
        <w:t>oder beauftragten Partei bzw. durchführenden öffentlichen Stelle bewirkt.</w:t>
      </w:r>
    </w:p>
    <w:p w:rsidR="00DE1308" w:rsidRDefault="00860082">
      <w:pPr>
        <w:pStyle w:val="Text2"/>
        <w:rPr>
          <w:noProof/>
        </w:rPr>
      </w:pPr>
      <w:r>
        <w:rPr>
          <w:noProof/>
        </w:rPr>
        <w:t xml:space="preserve">Bei strategischen Maßnahmen nach Artikel 7 Absatz 2 Buchstabe e können die Mitgliedstaaten die gemäß der Richtlinie 2010/31/EU festgelegten Berechnungsmethoden anwenden, sofern dies mit den Anforderungen des Artikels 7 und diesem Anhang im Einklang steht. </w:t>
      </w:r>
    </w:p>
    <w:p w:rsidR="00DE1308" w:rsidRDefault="00860082">
      <w:pPr>
        <w:pStyle w:val="ManualNumPar1"/>
        <w:ind w:left="1440" w:hanging="610"/>
        <w:rPr>
          <w:noProof/>
        </w:rPr>
      </w:pPr>
      <w:r>
        <w:rPr>
          <w:noProof/>
        </w:rPr>
        <w:t>4.</w:t>
      </w:r>
      <w:r>
        <w:rPr>
          <w:noProof/>
        </w:rPr>
        <w:tab/>
        <w:t>Bei der Feststellung der Energieeinsparungen durch steuerliche Maßnahmen, die gemäß Artikel 7b eingeführt wurden, gelten die folgenden Grundsätze:</w:t>
      </w:r>
    </w:p>
    <w:p w:rsidR="00DE1308" w:rsidRDefault="00860082">
      <w:pPr>
        <w:pStyle w:val="Point2"/>
        <w:rPr>
          <w:noProof/>
        </w:rPr>
      </w:pPr>
      <w:r>
        <w:rPr>
          <w:noProof/>
        </w:rPr>
        <w:t>a)</w:t>
      </w:r>
      <w:r>
        <w:rPr>
          <w:noProof/>
        </w:rPr>
        <w:tab/>
        <w:t>Angerechnet werden nur Energieeinsparungen aus steuerlichen Maßnahmen, die die in der Richtlinie 2003/</w:t>
      </w:r>
      <w:r>
        <w:rPr>
          <w:noProof/>
        </w:rPr>
        <w:t>96/EG des Rates</w:t>
      </w:r>
      <w:r>
        <w:rPr>
          <w:rStyle w:val="FootnoteReference"/>
          <w:noProof/>
        </w:rPr>
        <w:footnoteReference w:id="4"/>
      </w:r>
      <w:r>
        <w:rPr>
          <w:noProof/>
        </w:rPr>
        <w:t xml:space="preserve"> oder in der Richtlinie 2006/112/EG des Rates</w:t>
      </w:r>
      <w:r>
        <w:rPr>
          <w:rStyle w:val="FootnoteReference"/>
          <w:noProof/>
        </w:rPr>
        <w:footnoteReference w:id="5"/>
      </w:r>
      <w:r>
        <w:rPr>
          <w:noProof/>
        </w:rPr>
        <w:t xml:space="preserve"> vorgegebenen Mindeststeuersätze für Kraftstoffe überschreiten. </w:t>
      </w:r>
    </w:p>
    <w:p w:rsidR="00DE1308" w:rsidRDefault="00860082">
      <w:pPr>
        <w:pStyle w:val="Point2"/>
        <w:rPr>
          <w:noProof/>
        </w:rPr>
      </w:pPr>
      <w:r>
        <w:rPr>
          <w:noProof/>
        </w:rPr>
        <w:t>b)</w:t>
      </w:r>
      <w:r>
        <w:rPr>
          <w:noProof/>
        </w:rPr>
        <w:tab/>
        <w:t>Die für die Berechnung der Auswirkungen der (Energie-) Besteuerungsmaßnahmen verwendeten Preiselastizitäten müssen die Anpassu</w:t>
      </w:r>
      <w:r>
        <w:rPr>
          <w:noProof/>
        </w:rPr>
        <w:t>ng der Energienachfrage an Preisänderungen abbilden und werden auf der Grundlage aktueller und repräsentativer amtlicher Datenquellen geschätzt.</w:t>
      </w:r>
    </w:p>
    <w:p w:rsidR="00DE1308" w:rsidRDefault="00860082">
      <w:pPr>
        <w:pStyle w:val="Point2"/>
        <w:rPr>
          <w:noProof/>
        </w:rPr>
      </w:pPr>
      <w:r>
        <w:rPr>
          <w:noProof/>
        </w:rPr>
        <w:t>c)</w:t>
      </w:r>
      <w:r>
        <w:rPr>
          <w:noProof/>
        </w:rPr>
        <w:tab/>
        <w:t>Die Energieeinsparungen aus flankierenden steuerpolitischen Instrumenten, einschließlich Steueranreizen oder</w:t>
      </w:r>
      <w:r>
        <w:rPr>
          <w:noProof/>
        </w:rPr>
        <w:t xml:space="preserve"> Zahlungen in einen Fonds, werden getrennt verbucht.</w:t>
      </w:r>
    </w:p>
    <w:p w:rsidR="00DE1308" w:rsidRDefault="00860082">
      <w:pPr>
        <w:pStyle w:val="ManualNumPar1"/>
        <w:ind w:left="1440" w:hanging="490"/>
        <w:rPr>
          <w:noProof/>
        </w:rPr>
      </w:pPr>
      <w:r>
        <w:rPr>
          <w:noProof/>
        </w:rPr>
        <w:t>5.</w:t>
      </w:r>
      <w:r>
        <w:rPr>
          <w:noProof/>
        </w:rPr>
        <w:tab/>
        <w:t>Mitteilung der Verfahren</w:t>
      </w:r>
    </w:p>
    <w:p w:rsidR="00DE1308" w:rsidRDefault="00860082">
      <w:pPr>
        <w:pStyle w:val="Text2"/>
        <w:rPr>
          <w:noProof/>
        </w:rPr>
      </w:pPr>
      <w:r>
        <w:rPr>
          <w:noProof/>
        </w:rPr>
        <w:t>Die Mitgliedstaaten melden der Kommission gemäß dem künftigen Legislativvorschlag zum Governance-System der Energieunion ihre geplanten detaillierten Verfahren für die Energie</w:t>
      </w:r>
      <w:r>
        <w:rPr>
          <w:noProof/>
        </w:rPr>
        <w:t>effizienzverpflichtungssysteme und alternativen Maßnahmen nach den Artikeln 7a und 7b sowie nach Artikel 20 Absatz 6. Außer bei Steuern umfasst diese Meldung spezifische Angaben zu folgenden Aspekten:</w:t>
      </w:r>
    </w:p>
    <w:p w:rsidR="00DE1308" w:rsidRDefault="00860082">
      <w:pPr>
        <w:pStyle w:val="Point2"/>
        <w:rPr>
          <w:noProof/>
        </w:rPr>
      </w:pPr>
      <w:r>
        <w:rPr>
          <w:noProof/>
        </w:rPr>
        <w:lastRenderedPageBreak/>
        <w:t>a)</w:t>
      </w:r>
      <w:r>
        <w:rPr>
          <w:noProof/>
        </w:rPr>
        <w:tab/>
        <w:t>Höhe der Energieeinsparverpflichtungen oder der zu e</w:t>
      </w:r>
      <w:r>
        <w:rPr>
          <w:noProof/>
        </w:rPr>
        <w:t>rwartenden Einsparungen, die über den gesamten Zeitraum vom 1. Januar 2021 bis zum 31. Dezember 2030 hinweg angestrebt werden;</w:t>
      </w:r>
    </w:p>
    <w:p w:rsidR="00DE1308" w:rsidRDefault="00860082">
      <w:pPr>
        <w:pStyle w:val="Point2"/>
        <w:rPr>
          <w:noProof/>
        </w:rPr>
      </w:pPr>
      <w:r>
        <w:rPr>
          <w:noProof/>
        </w:rPr>
        <w:t>b)</w:t>
      </w:r>
      <w:r>
        <w:rPr>
          <w:noProof/>
        </w:rPr>
        <w:tab/>
        <w:t>verpflichtete, teilnehmende oder beauftragte Parteien oder durchführende Behörden;</w:t>
      </w:r>
    </w:p>
    <w:p w:rsidR="00DE1308" w:rsidRDefault="00860082">
      <w:pPr>
        <w:pStyle w:val="Point2"/>
        <w:rPr>
          <w:noProof/>
        </w:rPr>
      </w:pPr>
      <w:r>
        <w:rPr>
          <w:noProof/>
        </w:rPr>
        <w:t>c)</w:t>
      </w:r>
      <w:r>
        <w:rPr>
          <w:noProof/>
        </w:rPr>
        <w:tab/>
        <w:t>Zielsektoren;</w:t>
      </w:r>
    </w:p>
    <w:p w:rsidR="00DE1308" w:rsidRDefault="00860082">
      <w:pPr>
        <w:pStyle w:val="Point2"/>
        <w:rPr>
          <w:noProof/>
        </w:rPr>
      </w:pPr>
      <w:r>
        <w:rPr>
          <w:noProof/>
        </w:rPr>
        <w:t>d)</w:t>
      </w:r>
      <w:r>
        <w:rPr>
          <w:noProof/>
        </w:rPr>
        <w:tab/>
        <w:t xml:space="preserve">strategische Maßnahmen </w:t>
      </w:r>
      <w:r>
        <w:rPr>
          <w:noProof/>
        </w:rPr>
        <w:t xml:space="preserve">und im Rahmen der strategischen Maßnahme vorgesehene Einzelmaßnahmen, einschließlich der erwarteten kumulierten Gesamthöhe der Einsparungen pro Maßnahme; </w:t>
      </w:r>
    </w:p>
    <w:p w:rsidR="00DE1308" w:rsidRDefault="00860082">
      <w:pPr>
        <w:pStyle w:val="Point2"/>
        <w:rPr>
          <w:noProof/>
        </w:rPr>
      </w:pPr>
      <w:r>
        <w:rPr>
          <w:noProof/>
        </w:rPr>
        <w:t>e)</w:t>
      </w:r>
      <w:r>
        <w:rPr>
          <w:noProof/>
        </w:rPr>
        <w:tab/>
        <w:t>Dauer des Verpflichtungszeitraums im Rahmen des Energieeffizienzverpflichtungssystems;</w:t>
      </w:r>
    </w:p>
    <w:p w:rsidR="00DE1308" w:rsidRDefault="00860082">
      <w:pPr>
        <w:pStyle w:val="Point2"/>
        <w:rPr>
          <w:noProof/>
        </w:rPr>
      </w:pPr>
      <w:r>
        <w:rPr>
          <w:noProof/>
        </w:rPr>
        <w:t>f)</w:t>
      </w:r>
      <w:r>
        <w:rPr>
          <w:noProof/>
        </w:rPr>
        <w:tab/>
        <w:t>im Rahme</w:t>
      </w:r>
      <w:r>
        <w:rPr>
          <w:noProof/>
        </w:rPr>
        <w:t>n der strategischen Maßnahmen vorgesehene Tätigkeiten;</w:t>
      </w:r>
    </w:p>
    <w:p w:rsidR="00DE1308" w:rsidRDefault="00860082">
      <w:pPr>
        <w:pStyle w:val="Point2"/>
        <w:rPr>
          <w:noProof/>
        </w:rPr>
      </w:pPr>
      <w:r>
        <w:rPr>
          <w:noProof/>
        </w:rPr>
        <w:t>g)</w:t>
      </w:r>
      <w:r>
        <w:rPr>
          <w:noProof/>
        </w:rPr>
        <w:tab/>
        <w:t>Berechnungsmethode einschließlich der Angabe, wie die Zusätzlichkeit und die Ursächlichkeit festgestellt wurden und welche Methoden und Referenzwerte für die angenommenen und die geschätzten Einspar</w:t>
      </w:r>
      <w:r>
        <w:rPr>
          <w:noProof/>
        </w:rPr>
        <w:t>ungen verwendet werden;</w:t>
      </w:r>
    </w:p>
    <w:p w:rsidR="00DE1308" w:rsidRDefault="00860082">
      <w:pPr>
        <w:pStyle w:val="Point2"/>
        <w:rPr>
          <w:noProof/>
        </w:rPr>
      </w:pPr>
      <w:r>
        <w:rPr>
          <w:noProof/>
        </w:rPr>
        <w:t>h)</w:t>
      </w:r>
      <w:r>
        <w:rPr>
          <w:noProof/>
        </w:rPr>
        <w:tab/>
        <w:t xml:space="preserve">Lebensdauer der Maßnahmen und Angaben, wie diese berechnet werden bzw. worauf diese beruhen; </w:t>
      </w:r>
    </w:p>
    <w:p w:rsidR="00DE1308" w:rsidRDefault="00860082">
      <w:pPr>
        <w:pStyle w:val="Point2"/>
        <w:rPr>
          <w:noProof/>
        </w:rPr>
      </w:pPr>
      <w:r>
        <w:rPr>
          <w:noProof/>
        </w:rPr>
        <w:t>i)</w:t>
      </w:r>
      <w:r>
        <w:rPr>
          <w:noProof/>
        </w:rPr>
        <w:tab/>
        <w:t>Grundsätze für die Berücksichtigung unterschiedlicher Klimabedingungen innerhalb des Mitgliedstaates;</w:t>
      </w:r>
    </w:p>
    <w:p w:rsidR="00DE1308" w:rsidRDefault="00860082">
      <w:pPr>
        <w:pStyle w:val="Point2"/>
        <w:rPr>
          <w:noProof/>
        </w:rPr>
      </w:pPr>
      <w:r>
        <w:rPr>
          <w:noProof/>
        </w:rPr>
        <w:t>j)</w:t>
      </w:r>
      <w:r>
        <w:rPr>
          <w:noProof/>
        </w:rPr>
        <w:tab/>
        <w:t>Überwachungs- und Prüfsyste</w:t>
      </w:r>
      <w:r>
        <w:rPr>
          <w:noProof/>
        </w:rPr>
        <w:t>me für Maßnahmen nach den Artikeln 7a und 7b sowie Methoden zur Gewährleistung der Unabhängigkeit dieser Systeme von den verpflichteten, teilnehmenden oder beauftragten Parteien;</w:t>
      </w:r>
    </w:p>
    <w:p w:rsidR="00DE1308" w:rsidRDefault="00860082">
      <w:pPr>
        <w:pStyle w:val="Point2"/>
        <w:rPr>
          <w:noProof/>
        </w:rPr>
      </w:pPr>
      <w:r>
        <w:rPr>
          <w:noProof/>
        </w:rPr>
        <w:t>k)</w:t>
      </w:r>
      <w:r>
        <w:rPr>
          <w:noProof/>
        </w:rPr>
        <w:tab/>
        <w:t>Bei Steuern umfasst diese Meldung detaillierte Angaben zu folgenden Aspekt</w:t>
      </w:r>
      <w:r>
        <w:rPr>
          <w:noProof/>
        </w:rPr>
        <w:t>en:</w:t>
      </w:r>
    </w:p>
    <w:p w:rsidR="00DE1308" w:rsidRDefault="00860082">
      <w:pPr>
        <w:pStyle w:val="Point3"/>
        <w:rPr>
          <w:noProof/>
        </w:rPr>
      </w:pPr>
      <w:r>
        <w:rPr>
          <w:noProof/>
        </w:rPr>
        <w:t>i)</w:t>
      </w:r>
      <w:r>
        <w:rPr>
          <w:noProof/>
        </w:rPr>
        <w:tab/>
        <w:t>Zielsektoren und Steuerzahler-Segment;</w:t>
      </w:r>
    </w:p>
    <w:p w:rsidR="00DE1308" w:rsidRDefault="00860082">
      <w:pPr>
        <w:pStyle w:val="Point3"/>
        <w:rPr>
          <w:noProof/>
        </w:rPr>
      </w:pPr>
      <w:r>
        <w:rPr>
          <w:noProof/>
        </w:rPr>
        <w:t>ii)</w:t>
      </w:r>
      <w:r>
        <w:rPr>
          <w:noProof/>
        </w:rPr>
        <w:tab/>
        <w:t>durchführende Behörde;</w:t>
      </w:r>
    </w:p>
    <w:p w:rsidR="00DE1308" w:rsidRDefault="00860082">
      <w:pPr>
        <w:pStyle w:val="Point3"/>
        <w:rPr>
          <w:noProof/>
        </w:rPr>
      </w:pPr>
      <w:r>
        <w:rPr>
          <w:noProof/>
        </w:rPr>
        <w:t>iii)</w:t>
      </w:r>
      <w:r>
        <w:rPr>
          <w:noProof/>
        </w:rPr>
        <w:tab/>
        <w:t>erwartete Einsparungen, die angestrebt werden;</w:t>
      </w:r>
    </w:p>
    <w:p w:rsidR="00DE1308" w:rsidRDefault="00860082">
      <w:pPr>
        <w:pStyle w:val="Point3"/>
        <w:rPr>
          <w:noProof/>
        </w:rPr>
      </w:pPr>
      <w:r>
        <w:rPr>
          <w:noProof/>
        </w:rPr>
        <w:t>iv)</w:t>
      </w:r>
      <w:r>
        <w:rPr>
          <w:noProof/>
        </w:rPr>
        <w:tab/>
        <w:t>Dauer der steuerlichen Maßnahme, und</w:t>
      </w:r>
    </w:p>
    <w:p w:rsidR="00DE1308" w:rsidRDefault="00860082">
      <w:pPr>
        <w:pStyle w:val="Point3"/>
        <w:rPr>
          <w:noProof/>
        </w:rPr>
      </w:pPr>
      <w:r>
        <w:rPr>
          <w:noProof/>
        </w:rPr>
        <w:t>v)</w:t>
      </w:r>
      <w:r>
        <w:rPr>
          <w:noProof/>
        </w:rPr>
        <w:tab/>
        <w:t>Berechnungsmethode, einschließlich der verwendeten Preiselastizitäten und der Angabe, w</w:t>
      </w:r>
      <w:r>
        <w:rPr>
          <w:noProof/>
        </w:rPr>
        <w:t>ie diese festgelegt wurden.“</w:t>
      </w:r>
    </w:p>
    <w:p w:rsidR="00DE1308" w:rsidRDefault="00860082">
      <w:pPr>
        <w:pStyle w:val="ManualNumPar1"/>
        <w:rPr>
          <w:noProof/>
        </w:rPr>
      </w:pPr>
      <w:r>
        <w:rPr>
          <w:noProof/>
        </w:rPr>
        <w:t>2.</w:t>
      </w:r>
      <w:r>
        <w:rPr>
          <w:noProof/>
        </w:rPr>
        <w:tab/>
        <w:t>Anhang VII wird wie folgt geändert:</w:t>
      </w:r>
    </w:p>
    <w:p w:rsidR="00DE1308" w:rsidRDefault="00860082">
      <w:pPr>
        <w:pStyle w:val="Point1"/>
        <w:rPr>
          <w:noProof/>
        </w:rPr>
      </w:pPr>
      <w:r>
        <w:rPr>
          <w:noProof/>
        </w:rPr>
        <w:t>a)</w:t>
      </w:r>
      <w:r>
        <w:rPr>
          <w:noProof/>
        </w:rPr>
        <w:tab/>
        <w:t>Der Titel erhält folgende Fassung:</w:t>
      </w:r>
    </w:p>
    <w:p w:rsidR="00DE1308" w:rsidRDefault="00860082">
      <w:pPr>
        <w:pStyle w:val="Point1"/>
        <w:ind w:left="960" w:hanging="110"/>
        <w:rPr>
          <w:noProof/>
        </w:rPr>
      </w:pPr>
      <w:r>
        <w:rPr>
          <w:noProof/>
        </w:rPr>
        <w:t>„Mindestanforderungen an die Abrechnung und die Abrechnungsinformationen auf der Grundlage des tatsächlichen Gasverbrauchs“</w:t>
      </w:r>
    </w:p>
    <w:p w:rsidR="00DE1308" w:rsidRDefault="00860082">
      <w:pPr>
        <w:pStyle w:val="Point1"/>
        <w:rPr>
          <w:noProof/>
        </w:rPr>
      </w:pPr>
      <w:r>
        <w:rPr>
          <w:noProof/>
        </w:rPr>
        <w:t>b)</w:t>
      </w:r>
      <w:r>
        <w:rPr>
          <w:noProof/>
        </w:rPr>
        <w:tab/>
        <w:t xml:space="preserve">folgender Anhang VIIa </w:t>
      </w:r>
      <w:r>
        <w:rPr>
          <w:noProof/>
        </w:rPr>
        <w:t>wird eingefügt:</w:t>
      </w:r>
    </w:p>
    <w:p w:rsidR="00DE1308" w:rsidRDefault="00860082">
      <w:pPr>
        <w:pStyle w:val="Text1"/>
        <w:jc w:val="center"/>
        <w:rPr>
          <w:i/>
          <w:noProof/>
        </w:rPr>
      </w:pPr>
      <w:r>
        <w:rPr>
          <w:noProof/>
        </w:rPr>
        <w:t>„</w:t>
      </w:r>
      <w:r>
        <w:rPr>
          <w:i/>
          <w:noProof/>
        </w:rPr>
        <w:t>Anhang VIIa</w:t>
      </w:r>
    </w:p>
    <w:p w:rsidR="00DE1308" w:rsidRDefault="00860082">
      <w:pPr>
        <w:pStyle w:val="Text1"/>
        <w:jc w:val="center"/>
        <w:rPr>
          <w:b/>
          <w:noProof/>
        </w:rPr>
      </w:pPr>
      <w:r>
        <w:rPr>
          <w:b/>
          <w:noProof/>
        </w:rPr>
        <w:t>Mindestanforderungen für Abrechnungs- und Verbrauchsinformationen auf der Grundlage des tatsächlichen Wärme-, Kälte- und Warmwasserverbrauchs</w:t>
      </w:r>
    </w:p>
    <w:p w:rsidR="00DE1308" w:rsidRDefault="00860082">
      <w:pPr>
        <w:pStyle w:val="ManualNumPar1"/>
        <w:ind w:left="1440" w:hanging="610"/>
        <w:rPr>
          <w:noProof/>
        </w:rPr>
      </w:pPr>
      <w:r>
        <w:rPr>
          <w:noProof/>
        </w:rPr>
        <w:t>1.</w:t>
      </w:r>
      <w:r>
        <w:rPr>
          <w:noProof/>
        </w:rPr>
        <w:tab/>
        <w:t>Abrechnung auf der Grundlage des tatsächlichen Verbrauchs</w:t>
      </w:r>
    </w:p>
    <w:p w:rsidR="00DE1308" w:rsidRDefault="00860082">
      <w:pPr>
        <w:pStyle w:val="Text2"/>
        <w:rPr>
          <w:noProof/>
        </w:rPr>
      </w:pPr>
      <w:r>
        <w:rPr>
          <w:noProof/>
        </w:rPr>
        <w:lastRenderedPageBreak/>
        <w:t xml:space="preserve">Um die Endkunden in die </w:t>
      </w:r>
      <w:r>
        <w:rPr>
          <w:noProof/>
        </w:rPr>
        <w:t>Lage zu versetzen, ihren eigenen Energieverbrauch zu steuern, erfolgt die Abrechnung auf der Grundlage des tatsächlichen Verbrauchs mindestens einmal jährlich.</w:t>
      </w:r>
    </w:p>
    <w:p w:rsidR="00DE1308" w:rsidRDefault="00860082">
      <w:pPr>
        <w:pStyle w:val="ManualNumPar1"/>
        <w:ind w:left="1440" w:hanging="610"/>
        <w:rPr>
          <w:noProof/>
        </w:rPr>
      </w:pPr>
      <w:r>
        <w:rPr>
          <w:noProof/>
        </w:rPr>
        <w:t>2.</w:t>
      </w:r>
      <w:r>
        <w:rPr>
          <w:noProof/>
        </w:rPr>
        <w:tab/>
        <w:t xml:space="preserve">Mindesthäufigkeit der Abrechnungs- und Verbrauchsinformationen </w:t>
      </w:r>
    </w:p>
    <w:p w:rsidR="00DE1308" w:rsidRDefault="00860082">
      <w:pPr>
        <w:pStyle w:val="Text2"/>
        <w:rPr>
          <w:noProof/>
        </w:rPr>
      </w:pPr>
      <w:r>
        <w:rPr>
          <w:noProof/>
        </w:rPr>
        <w:t>Wenn fernablesbare Zähler ode</w:t>
      </w:r>
      <w:r>
        <w:rPr>
          <w:noProof/>
        </w:rPr>
        <w:t>r Kostenverteiler installiert wurden, werden ab dem [</w:t>
      </w:r>
      <w:r>
        <w:rPr>
          <w:noProof/>
          <w:color w:val="FF0000"/>
        </w:rPr>
        <w:t>Hier bitte das Datum …. des Inkrafttretens einfügen</w:t>
      </w:r>
      <w:r>
        <w:rPr>
          <w:noProof/>
        </w:rPr>
        <w:t xml:space="preserve">] Abrechnungs- und Verbrauchsinformationen auf der Grundlage des tatsächlichen Verbrauchs auf Verlangen oder wenn die Endkunden sich für die Zustellung </w:t>
      </w:r>
      <w:r>
        <w:rPr>
          <w:noProof/>
        </w:rPr>
        <w:t>der Abrechnung auf elektronischem Wege entschieden haben, mindestens vierteljährlich und ansonsten halbjährlich zur Verfügung gestellt.</w:t>
      </w:r>
    </w:p>
    <w:p w:rsidR="00DE1308" w:rsidRDefault="00860082">
      <w:pPr>
        <w:pStyle w:val="Text2"/>
        <w:rPr>
          <w:noProof/>
        </w:rPr>
      </w:pPr>
      <w:r>
        <w:rPr>
          <w:noProof/>
        </w:rPr>
        <w:t>Wenn fernablesbare Zähler oder Kostenverteiler installiert wurden, werden ab dem 1. Januar 2022 mindestens monatlich Abr</w:t>
      </w:r>
      <w:r>
        <w:rPr>
          <w:noProof/>
        </w:rPr>
        <w:t>echnungs- und Verbrauchsinformationen zur Verfügung gestellt. Wärme- und Kälteversorgung können außerhalb der Heiz-/Kühlperioden davon ausgenommen werden.</w:t>
      </w:r>
    </w:p>
    <w:p w:rsidR="00DE1308" w:rsidRDefault="00860082">
      <w:pPr>
        <w:pStyle w:val="ManualNumPar1"/>
        <w:ind w:left="1440" w:hanging="610"/>
        <w:rPr>
          <w:noProof/>
        </w:rPr>
      </w:pPr>
      <w:r>
        <w:rPr>
          <w:noProof/>
        </w:rPr>
        <w:t>3.</w:t>
      </w:r>
      <w:r>
        <w:rPr>
          <w:noProof/>
        </w:rPr>
        <w:tab/>
        <w:t>Mindestinformationen in der Abrechnung auf der Grundlage des tatsächlichen Verbrauchs</w:t>
      </w:r>
    </w:p>
    <w:p w:rsidR="00DE1308" w:rsidRDefault="00860082">
      <w:pPr>
        <w:pStyle w:val="Text2"/>
        <w:rPr>
          <w:noProof/>
        </w:rPr>
      </w:pPr>
      <w:r>
        <w:rPr>
          <w:noProof/>
        </w:rPr>
        <w:t>Die Mitglied</w:t>
      </w:r>
      <w:r>
        <w:rPr>
          <w:noProof/>
        </w:rPr>
        <w:t>staaten stellen sicher, dass den Endnutzern in oder zusammen mit den Abrechnungen folgende Informationen auf klare und verständliche Weise zur Verfügung gestellt werden:</w:t>
      </w:r>
    </w:p>
    <w:p w:rsidR="00DE1308" w:rsidRDefault="00860082">
      <w:pPr>
        <w:pStyle w:val="Point2"/>
        <w:rPr>
          <w:noProof/>
        </w:rPr>
      </w:pPr>
      <w:r>
        <w:rPr>
          <w:noProof/>
        </w:rPr>
        <w:t>a)</w:t>
      </w:r>
      <w:r>
        <w:rPr>
          <w:noProof/>
        </w:rPr>
        <w:tab/>
        <w:t>geltende tatsächliche Preise und tatsächlicher Energieverbrauch;</w:t>
      </w:r>
    </w:p>
    <w:p w:rsidR="00DE1308" w:rsidRDefault="00860082">
      <w:pPr>
        <w:pStyle w:val="Point2"/>
        <w:rPr>
          <w:noProof/>
        </w:rPr>
      </w:pPr>
      <w:r>
        <w:rPr>
          <w:noProof/>
        </w:rPr>
        <w:t>b)</w:t>
      </w:r>
      <w:r>
        <w:rPr>
          <w:noProof/>
        </w:rPr>
        <w:tab/>
        <w:t>Informationen ü</w:t>
      </w:r>
      <w:r>
        <w:rPr>
          <w:noProof/>
        </w:rPr>
        <w:t>ber den Brennstoffmix, einschließlich für Endnutzer, die über ein Fernwärme- bzw. Fernkältenetz versorgt werden;</w:t>
      </w:r>
    </w:p>
    <w:p w:rsidR="00DE1308" w:rsidRDefault="00860082">
      <w:pPr>
        <w:pStyle w:val="Point2"/>
        <w:rPr>
          <w:noProof/>
        </w:rPr>
      </w:pPr>
      <w:r>
        <w:rPr>
          <w:noProof/>
        </w:rPr>
        <w:t>c)</w:t>
      </w:r>
      <w:r>
        <w:rPr>
          <w:noProof/>
        </w:rPr>
        <w:tab/>
        <w:t>Vergleich des gegenwärtigen Energieverbrauchs des Endnutzers mit dem Energieverbrauch im gleichen Zeitraum des Vorjahres, vorzugsweise in gr</w:t>
      </w:r>
      <w:r>
        <w:rPr>
          <w:noProof/>
        </w:rPr>
        <w:t>afischer Form, mit klimabezogener Korrektur für die Wärme- und Kälteversorgung;</w:t>
      </w:r>
    </w:p>
    <w:p w:rsidR="00DE1308" w:rsidRDefault="00860082">
      <w:pPr>
        <w:pStyle w:val="Point2"/>
        <w:rPr>
          <w:noProof/>
        </w:rPr>
      </w:pPr>
      <w:r>
        <w:rPr>
          <w:noProof/>
        </w:rPr>
        <w:t>d)</w:t>
      </w:r>
      <w:r>
        <w:rPr>
          <w:noProof/>
        </w:rPr>
        <w:tab/>
        <w:t>Kontaktinformationen, darunter Internetadressen, von Verbraucherorganisationen, Energieagenturen oder ähnlichen Einrichtungen, von denen Informationen über angebotene Maßnah</w:t>
      </w:r>
      <w:r>
        <w:rPr>
          <w:noProof/>
        </w:rPr>
        <w:t>men zur Verbesserung der Energieeffizienz, Endnutzer-Vergleichsprofile und objektive technische Spezifikationen für energiebetriebene Geräte erhalten werden können.</w:t>
      </w:r>
    </w:p>
    <w:p w:rsidR="00DE1308" w:rsidRDefault="00860082">
      <w:pPr>
        <w:pStyle w:val="Text2"/>
        <w:rPr>
          <w:noProof/>
        </w:rPr>
      </w:pPr>
      <w:r>
        <w:rPr>
          <w:noProof/>
        </w:rPr>
        <w:t>Außerdem stellen die Mitgliedstaaten sicher, dass den Endnutzern Vergleiche mit dem normier</w:t>
      </w:r>
      <w:r>
        <w:rPr>
          <w:noProof/>
        </w:rPr>
        <w:t>ten oder durch Vergleichstests ermittelten Durchschnittsendnutzer derselben Nutzerkategorie in oder zusammen mit den Abrechnungen auf klare und verständliche Weise zur Verfügung gestellt werden bzw. dass in den Abrechnungen darauf verwiesen wird.“</w:t>
      </w:r>
    </w:p>
    <w:sectPr w:rsidR="00DE1308" w:rsidSect="00860082">
      <w:footerReference w:type="default" r:id="rId11"/>
      <w:footerReference w:type="first" r:id="rId12"/>
      <w:pgSz w:w="11907" w:h="16839"/>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08" w:rsidRDefault="00860082">
      <w:pPr>
        <w:spacing w:before="0" w:after="0"/>
      </w:pPr>
      <w:r>
        <w:separator/>
      </w:r>
    </w:p>
  </w:endnote>
  <w:endnote w:type="continuationSeparator" w:id="0">
    <w:p w:rsidR="00DE1308" w:rsidRDefault="00860082">
      <w:pPr>
        <w:spacing w:before="0" w:after="0"/>
      </w:pPr>
      <w:r>
        <w:continuationSeparator/>
      </w:r>
    </w:p>
  </w:endnote>
  <w:endnote w:type="continuationNotice" w:id="1">
    <w:p w:rsidR="00DE1308" w:rsidRDefault="00DE13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08" w:rsidRDefault="00860082">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08" w:rsidRDefault="00860082">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w:instrText>
    </w:r>
    <w:r>
      <w:instrText xml:space="preserv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08" w:rsidRDefault="00DE1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08" w:rsidRDefault="00860082">
      <w:pPr>
        <w:spacing w:before="0" w:after="0"/>
      </w:pPr>
      <w:r>
        <w:separator/>
      </w:r>
    </w:p>
  </w:footnote>
  <w:footnote w:type="continuationSeparator" w:id="0">
    <w:p w:rsidR="00DE1308" w:rsidRDefault="00860082">
      <w:pPr>
        <w:spacing w:before="0" w:after="0"/>
      </w:pPr>
      <w:r>
        <w:continuationSeparator/>
      </w:r>
    </w:p>
  </w:footnote>
  <w:footnote w:type="continuationNotice" w:id="1">
    <w:p w:rsidR="00DE1308" w:rsidRDefault="00DE1308">
      <w:pPr>
        <w:spacing w:before="0" w:after="0"/>
      </w:pPr>
    </w:p>
  </w:footnote>
  <w:footnote w:id="2">
    <w:p w:rsidR="00DE1308" w:rsidRDefault="00860082">
      <w:pPr>
        <w:pStyle w:val="FootnoteText"/>
      </w:pPr>
      <w:r>
        <w:rPr>
          <w:rStyle w:val="FootnoteReference"/>
        </w:rPr>
        <w:footnoteRef/>
      </w:r>
      <w:r>
        <w:tab/>
        <w:t>Verordnung (EG) Nr. 443/2009 des Europäischen Parlaments und des Rates vom 23. April 2009 zur Festsetzung von Emissionsnormen für neue Personenkraftwagen im Rahmen des Gesam</w:t>
      </w:r>
      <w:r>
        <w:t>tkonzepts der Gemeinschaft zur Verringerung der CO2-Emissionen von Personenkraftwagen und leichten Nutzfahrzeugen (ABl. L 140 vom 5.6.2009, S. 1).</w:t>
      </w:r>
    </w:p>
  </w:footnote>
  <w:footnote w:id="3">
    <w:p w:rsidR="00DE1308" w:rsidRDefault="00860082">
      <w:pPr>
        <w:pStyle w:val="FootnoteText"/>
      </w:pPr>
      <w:r>
        <w:rPr>
          <w:rStyle w:val="FootnoteReference"/>
        </w:rPr>
        <w:footnoteRef/>
      </w:r>
      <w:r>
        <w:tab/>
        <w:t>Verordnung (EU) Nr. 510/2011 des Europäischen Parlaments und des Rates vom 11. Mai 2011 zur Festsetzung von</w:t>
      </w:r>
      <w:r>
        <w:t xml:space="preserve"> Emissionsnormen für neue leichte Nutzfahrzeuge im Rahmen des Gesamtkonzepts der Union zur Verringerung der CO2-Emissionen von Personenkraftwagen und leichten Nutzfahrzeugen (ABl. L 145 vom 31.5.2011, S. 1).</w:t>
      </w:r>
    </w:p>
  </w:footnote>
  <w:footnote w:id="4">
    <w:p w:rsidR="00DE1308" w:rsidRDefault="00860082">
      <w:pPr>
        <w:pStyle w:val="FootnoteText"/>
      </w:pPr>
      <w:r>
        <w:rPr>
          <w:rStyle w:val="FootnoteReference"/>
        </w:rPr>
        <w:footnoteRef/>
      </w:r>
      <w:r>
        <w:tab/>
        <w:t xml:space="preserve">Richtlinie 2003/96/EG des Rates vom 27. </w:t>
      </w:r>
      <w:r>
        <w:t>Oktober 2003 zur Restrukturierung der gemeinschaftlichen Rahmenvorschriften zur Besteuerung von Energieerzeugnissen und elektrischem Strom (ABl. L 283 vom 31.10.2003, S. 51).</w:t>
      </w:r>
    </w:p>
  </w:footnote>
  <w:footnote w:id="5">
    <w:p w:rsidR="00DE1308" w:rsidRDefault="00860082">
      <w:pPr>
        <w:pStyle w:val="FootnoteText"/>
      </w:pPr>
      <w:r>
        <w:rPr>
          <w:rStyle w:val="FootnoteReference"/>
        </w:rPr>
        <w:footnoteRef/>
      </w:r>
      <w:r>
        <w:tab/>
        <w:t>Richtlinie 2006/112/EG des Rates vom 28. November 2006 über das gemeinsame Mehr</w:t>
      </w:r>
      <w:r>
        <w:t>wertsteuersystem (ABl. L 347 vom 11.12.2006,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ADC1FA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4BE214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A94BE82"/>
    <w:lvl w:ilvl="0">
      <w:start w:val="1"/>
      <w:numFmt w:val="decimal"/>
      <w:pStyle w:val="ListNumber2"/>
      <w:lvlText w:val="%1."/>
      <w:lvlJc w:val="left"/>
      <w:pPr>
        <w:tabs>
          <w:tab w:val="num" w:pos="643"/>
        </w:tabs>
        <w:ind w:left="643" w:hanging="360"/>
      </w:pPr>
    </w:lvl>
  </w:abstractNum>
  <w:abstractNum w:abstractNumId="3">
    <w:nsid w:val="FFFFFF81"/>
    <w:multiLevelType w:val="singleLevel"/>
    <w:tmpl w:val="A35C7A1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C28962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F76DF4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544B550"/>
    <w:lvl w:ilvl="0">
      <w:start w:val="1"/>
      <w:numFmt w:val="decimal"/>
      <w:pStyle w:val="ListNumber"/>
      <w:lvlText w:val="%1."/>
      <w:lvlJc w:val="left"/>
      <w:pPr>
        <w:tabs>
          <w:tab w:val="num" w:pos="360"/>
        </w:tabs>
        <w:ind w:left="360" w:hanging="360"/>
      </w:pPr>
    </w:lvl>
  </w:abstractNum>
  <w:abstractNum w:abstractNumId="7">
    <w:nsid w:val="FFFFFF89"/>
    <w:multiLevelType w:val="singleLevel"/>
    <w:tmpl w:val="3600F1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1A47F21"/>
    <w:multiLevelType w:val="singleLevel"/>
    <w:tmpl w:val="E632BF7E"/>
    <w:lvl w:ilvl="0">
      <w:start w:val="1"/>
      <w:numFmt w:val="bullet"/>
      <w:pStyle w:val="ListBulletlast"/>
      <w:lvlText w:val=""/>
      <w:lvlJc w:val="left"/>
      <w:pPr>
        <w:ind w:left="360" w:hanging="360"/>
      </w:pPr>
      <w:rPr>
        <w:rFonts w:ascii="Symbol" w:hAnsi="Symbol" w:hint="default"/>
        <w:color w:val="002060"/>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num>
  <w:num w:numId="11">
    <w:abstractNumId w:val="19"/>
  </w:num>
  <w:num w:numId="12">
    <w:abstractNumId w:val="13"/>
  </w:num>
  <w:num w:numId="13">
    <w:abstractNumId w:val="21"/>
  </w:num>
  <w:num w:numId="14">
    <w:abstractNumId w:val="12"/>
  </w:num>
  <w:num w:numId="15">
    <w:abstractNumId w:val="14"/>
  </w:num>
  <w:num w:numId="16">
    <w:abstractNumId w:val="10"/>
  </w:num>
  <w:num w:numId="17">
    <w:abstractNumId w:val="20"/>
  </w:num>
  <w:num w:numId="18">
    <w:abstractNumId w:val="9"/>
  </w:num>
  <w:num w:numId="19">
    <w:abstractNumId w:val="15"/>
  </w:num>
  <w:num w:numId="20">
    <w:abstractNumId w:val="17"/>
  </w:num>
  <w:num w:numId="21">
    <w:abstractNumId w:val="18"/>
  </w:num>
  <w:num w:numId="22">
    <w:abstractNumId w:val="11"/>
  </w:num>
  <w:num w:numId="23">
    <w:abstractNumId w:val="16"/>
  </w:num>
  <w:num w:numId="24">
    <w:abstractNumId w:val="22"/>
  </w:num>
  <w:num w:numId="25">
    <w:abstractNumId w:val="19"/>
  </w:num>
  <w:num w:numId="26">
    <w:abstractNumId w:val="13"/>
  </w:num>
  <w:num w:numId="27">
    <w:abstractNumId w:val="21"/>
  </w:num>
  <w:num w:numId="28">
    <w:abstractNumId w:val="12"/>
  </w:num>
  <w:num w:numId="29">
    <w:abstractNumId w:val="14"/>
  </w:num>
  <w:num w:numId="30">
    <w:abstractNumId w:val="10"/>
  </w:num>
  <w:num w:numId="31">
    <w:abstractNumId w:val="20"/>
  </w:num>
  <w:num w:numId="32">
    <w:abstractNumId w:val="9"/>
  </w:num>
  <w:num w:numId="33">
    <w:abstractNumId w:val="15"/>
  </w:num>
  <w:num w:numId="34">
    <w:abstractNumId w:val="17"/>
  </w:num>
  <w:num w:numId="35">
    <w:abstractNumId w:val="18"/>
  </w:num>
  <w:num w:numId="36">
    <w:abstractNumId w:val="11"/>
  </w:num>
  <w:num w:numId="37">
    <w:abstractNumId w:val="16"/>
  </w:num>
  <w:num w:numId="3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attachedTemplate r:id="rId1"/>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29 16:21:0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ACCOMPAGNANT.CP" w:val="des"/>
    <w:docVar w:name="LW_ANNEX_NBR_FIRST" w:val="1"/>
    <w:docVar w:name="LW_ANNEX_NBR_LAST" w:val="1"/>
    <w:docVar w:name="LW_CONFIDENCE" w:val=" "/>
    <w:docVar w:name="LW_CONST_RESTREINT_UE" w:val="RESTREINT UE"/>
    <w:docVar w:name="LW_CORRIGENDUM" w:val="&lt;UNUSED&gt;"/>
    <w:docVar w:name="LW_COVERPAGE_GUID" w:val="7B7441FA160B4E7DBE5062E725760C3B"/>
    <w:docVar w:name="LW_CROSSREFERENCE" w:val="{SWD(2016) 399 final}_x000b_{SWD(2016) 401 final}_x000b_{SWD(2016) 402 final}_x000b_{SWD(2016) 403 final}_x000b_{SWD(2016) 404 final}_x000b_{SWD(2016) 405 final}_x000b_{SWD(2016) 406 final}"/>
    <w:docVar w:name="LW_DocType" w:val="ANNEX"/>
    <w:docVar w:name="LW_EMISSION" w:val="30.11.2016"/>
    <w:docVar w:name="LW_EMISSION_ISODATE" w:val="2016-11-30"/>
    <w:docVar w:name="LW_EMISSION_LOCATION" w:val="BRX"/>
    <w:docVar w:name="LW_EMISSION_PREFIX" w:val="Brüssel, den "/>
    <w:docVar w:name="LW_EMISSION_SUFFIX" w:val=" "/>
    <w:docVar w:name="LW_ID_DOCSTRUCTURE" w:val="COM/ANNEX"/>
    <w:docVar w:name="LW_ID_DOCTYPE" w:val="SG-017"/>
    <w:docVar w:name="LW_LANGUE" w:val="DE"/>
    <w:docVar w:name="LW_MARKING" w:val="&lt;UNUSED&gt;"/>
    <w:docVar w:name="LW_NOM.INST" w:val="EUROPÄISCHE KOMMISSION"/>
    <w:docVar w:name="LW_NOM.INST_JOINTDOC" w:val="&lt;EMPTY&gt;"/>
    <w:docVar w:name="LW_OBJETACTEPRINCIPAL.CP" w:val="Vorschlags für eine_x000b__x000b_RICHTLINIE DES EUROPÄISCHEN PARLAMENTS UND DES RATES_x000b__x000b_zur Änderung der Richtlinie 2012/27/EU zur Energieeffizienz_x000b_"/>
    <w:docVar w:name="LW_PART_NBR" w:val="1"/>
    <w:docVar w:name="LW_PART_NBR_TOTAL" w:val="1"/>
    <w:docVar w:name="LW_REF.INST.NEW" w:val="COM"/>
    <w:docVar w:name="LW_REF.INST.NEW_ADOPTED" w:val="final"/>
    <w:docVar w:name="LW_REF.INST.NEW_TEXT" w:val="(2016) 761"/>
    <w:docVar w:name="LW_REF.INTERNE" w:val="&lt;UNUSED&gt;"/>
    <w:docVar w:name="LW_SUPERTITRE" w:val="&lt;UNUSED&gt;"/>
    <w:docVar w:name="LW_TITRE.OBJ.CP" w:val="&lt;UNUSED&gt;"/>
    <w:docVar w:name="LW_TYPE.DOC.CP" w:val="ANHANG"/>
    <w:docVar w:name="LW_TYPEACTEPRINCIPAL.CP" w:val="&lt;UNUSED&gt;"/>
  </w:docVars>
  <w:rsids>
    <w:rsidRoot w:val="00DE1308"/>
    <w:rsid w:val="00860082"/>
    <w:rsid w:val="00DE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pPr>
      <w:spacing w:before="240" w:after="60"/>
      <w:outlineLvl w:val="6"/>
    </w:pPr>
    <w:rPr>
      <w:rFonts w:ascii="Arial" w:hAnsi="Arial"/>
      <w:sz w:val="20"/>
      <w:szCs w:val="20"/>
    </w:rPr>
  </w:style>
  <w:style w:type="paragraph" w:styleId="Heading8">
    <w:name w:val="heading 8"/>
    <w:basedOn w:val="Normal"/>
    <w:next w:val="Normal"/>
    <w:link w:val="Heading8Char"/>
    <w:qFormat/>
    <w:pPr>
      <w:spacing w:before="240" w:after="60"/>
      <w:outlineLvl w:val="7"/>
    </w:pPr>
    <w:rPr>
      <w:rFonts w:ascii="Arial" w:hAnsi="Arial"/>
      <w:i/>
      <w:sz w:val="20"/>
      <w:szCs w:val="20"/>
    </w:rPr>
  </w:style>
  <w:style w:type="paragraph" w:styleId="Heading9">
    <w:name w:val="heading 9"/>
    <w:basedOn w:val="Normal"/>
    <w:next w:val="Normal"/>
    <w:link w:val="Heading9Char"/>
    <w:qFormat/>
    <w:pPr>
      <w:spacing w:before="240" w:after="60"/>
      <w:outlineLvl w:val="8"/>
    </w:pPr>
    <w:rPr>
      <w:rFonts w:ascii="Arial" w:hAnsi="Arial" w:cs="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Text1Char">
    <w:name w:val="Text 1 Char"/>
    <w:basedOn w:val="DefaultParagraphFont"/>
    <w:rPr>
      <w:rFonts w:ascii="Times New Roman" w:hAnsi="Times New Roman" w:cs="Times New Roman"/>
      <w:sz w:val="24"/>
      <w:lang w:val="en-GB"/>
    </w:rPr>
  </w:style>
  <w:style w:type="paragraph" w:styleId="Caption">
    <w:name w:val="caption"/>
    <w:aliases w:val="caption for tables,figures,Beschriftung Char1 Cha...,Beschriftung Char2,Beschriftung Char1 Char1,Beschriftung Char Char Char1,Beschriftung Char1 Char Char,Beschriftung Char Char Char Char,Beschriftung Char Char1 Char,Tasks"/>
    <w:basedOn w:val="Normal"/>
    <w:next w:val="Normal"/>
    <w:link w:val="CaptionChar"/>
    <w:uiPriority w:val="99"/>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sz w:val="24"/>
      <w:lang w:val="en-GB"/>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sz w:val="24"/>
      <w:lang w:val="en-GB"/>
    </w:rPr>
  </w:style>
  <w:style w:type="character" w:customStyle="1" w:styleId="Heading7Char">
    <w:name w:val="Heading 7 Char"/>
    <w:basedOn w:val="DefaultParagraphFont"/>
    <w:link w:val="Heading7"/>
    <w:rPr>
      <w:rFonts w:ascii="Arial" w:hAnsi="Arial" w:cs="Times New Roman"/>
      <w:sz w:val="20"/>
      <w:szCs w:val="20"/>
      <w:lang w:val="en-GB"/>
    </w:rPr>
  </w:style>
  <w:style w:type="character" w:customStyle="1" w:styleId="Heading8Char">
    <w:name w:val="Heading 8 Char"/>
    <w:basedOn w:val="DefaultParagraphFont"/>
    <w:link w:val="Heading8"/>
    <w:rPr>
      <w:rFonts w:ascii="Arial" w:hAnsi="Arial" w:cs="Times New Roman"/>
      <w:i/>
      <w:sz w:val="20"/>
      <w:szCs w:val="20"/>
      <w:lang w:val="en-GB"/>
    </w:rPr>
  </w:style>
  <w:style w:type="character" w:customStyle="1" w:styleId="Heading9Char">
    <w:name w:val="Heading 9 Char"/>
    <w:basedOn w:val="DefaultParagraphFont"/>
    <w:link w:val="Heading9"/>
    <w:rPr>
      <w:rFonts w:ascii="Arial" w:hAnsi="Arial" w:cs="Arial"/>
      <w:i/>
      <w:sz w:val="18"/>
      <w:szCs w:val="20"/>
      <w:lang w:val="en-GB"/>
    </w:rPr>
  </w:style>
  <w:style w:type="paragraph" w:customStyle="1" w:styleId="HeadingIIIA">
    <w:name w:val="Heading II IA"/>
    <w:basedOn w:val="Normal"/>
    <w:link w:val="HeadingIIIAChar"/>
    <w:autoRedefine/>
    <w:pPr>
      <w:autoSpaceDE w:val="0"/>
      <w:autoSpaceDN w:val="0"/>
      <w:adjustRightInd w:val="0"/>
      <w:ind w:left="720" w:hanging="360"/>
    </w:pPr>
    <w:rPr>
      <w:b/>
      <w:bCs/>
      <w:color w:val="000000"/>
    </w:rPr>
  </w:style>
  <w:style w:type="character" w:customStyle="1" w:styleId="HeadingIIIAChar">
    <w:name w:val="Heading II IA Char"/>
    <w:basedOn w:val="DefaultParagraphFont"/>
    <w:link w:val="HeadingIIIA"/>
    <w:rPr>
      <w:rFonts w:ascii="Times New Roman" w:hAnsi="Times New Roman" w:cs="Times New Roman"/>
      <w:b/>
      <w:bCs/>
      <w:color w:val="000000"/>
      <w:sz w:val="24"/>
      <w:lang w:val="en-GB"/>
    </w:rPr>
  </w:style>
  <w:style w:type="paragraph" w:customStyle="1" w:styleId="Style1">
    <w:name w:val="Style1"/>
    <w:basedOn w:val="Heading1"/>
    <w:link w:val="Style1Char"/>
    <w:pPr>
      <w:numPr>
        <w:numId w:val="0"/>
      </w:numPr>
      <w:autoSpaceDE w:val="0"/>
      <w:autoSpaceDN w:val="0"/>
      <w:adjustRightInd w:val="0"/>
      <w:spacing w:before="120"/>
      <w:ind w:left="1080" w:hanging="360"/>
    </w:pPr>
    <w:rPr>
      <w:rFonts w:ascii="Cambria" w:eastAsia="Times New Roman" w:hAnsi="Cambria"/>
      <w:b w:val="0"/>
      <w:bCs w:val="0"/>
      <w:smallCaps w:val="0"/>
      <w:kern w:val="32"/>
      <w:sz w:val="28"/>
      <w:szCs w:val="23"/>
    </w:rPr>
  </w:style>
  <w:style w:type="character" w:customStyle="1" w:styleId="Style1Char">
    <w:name w:val="Style1 Char"/>
    <w:basedOn w:val="ListParagraphChar"/>
    <w:link w:val="Style1"/>
    <w:rPr>
      <w:rFonts w:ascii="Cambria" w:eastAsia="Times New Roman" w:hAnsi="Cambria" w:cs="Times New Roman"/>
      <w:kern w:val="32"/>
      <w:sz w:val="28"/>
      <w:szCs w:val="23"/>
      <w:lang w:val="en-GB"/>
    </w:rPr>
  </w:style>
  <w:style w:type="character" w:customStyle="1" w:styleId="CaptionChar">
    <w:name w:val="Caption Char"/>
    <w:aliases w:val="caption for tables Char,figures Char,Beschriftung Char1 Cha... Char,Beschriftung Char2 Char,Beschriftung Char1 Char1 Char,Beschriftung Char Char Char1 Char,Beschriftung Char1 Char Char Char,Beschriftung Char Char Char Char Char,Tasks Char"/>
    <w:link w:val="Caption"/>
    <w:uiPriority w:val="99"/>
    <w:locked/>
    <w:rPr>
      <w:rFonts w:ascii="Times New Roman" w:hAnsi="Times New Roman" w:cs="Times New Roman"/>
      <w:b/>
      <w:bCs/>
      <w:color w:val="4F81BD" w:themeColor="accent1"/>
      <w:sz w:val="18"/>
      <w:szCs w:val="18"/>
      <w:lang w:val="en-GB"/>
    </w:rPr>
  </w:style>
  <w:style w:type="character" w:styleId="Emphasis">
    <w:name w:val="Emphasis"/>
    <w:qFormat/>
    <w:rPr>
      <w:i/>
      <w:iCs/>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99"/>
    <w:qFormat/>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99"/>
    <w:qFormat/>
    <w:locked/>
    <w:rPr>
      <w:rFonts w:ascii="Times New Roman" w:hAnsi="Times New Roman" w:cs="Times New Roman"/>
      <w:sz w:val="24"/>
      <w:lang w:val="en-GB"/>
    </w:rPr>
  </w:style>
  <w:style w:type="paragraph" w:customStyle="1" w:styleId="Style3heading3">
    <w:name w:val="Style3_heading 3"/>
    <w:basedOn w:val="Heading3"/>
    <w:link w:val="Style3heading3Char"/>
    <w:qFormat/>
    <w:pPr>
      <w:numPr>
        <w:ilvl w:val="0"/>
        <w:numId w:val="0"/>
      </w:numPr>
      <w:spacing w:before="240" w:after="480"/>
      <w:ind w:left="720" w:hanging="720"/>
      <w:jc w:val="left"/>
    </w:pPr>
    <w:rPr>
      <w:rFonts w:eastAsiaTheme="minorHAnsi"/>
    </w:rPr>
  </w:style>
  <w:style w:type="character" w:customStyle="1" w:styleId="Style3heading3Char">
    <w:name w:val="Style3_heading 3 Char"/>
    <w:basedOn w:val="DefaultParagraphFont"/>
    <w:link w:val="Style3heading3"/>
    <w:locked/>
    <w:rPr>
      <w:rFonts w:ascii="Times New Roman" w:hAnsi="Times New Roman" w:cs="Times New Roman"/>
      <w:bCs/>
      <w:i/>
      <w:sz w:val="24"/>
      <w:lang w:val="en-GB"/>
    </w:rPr>
  </w:style>
  <w:style w:type="paragraph" w:customStyle="1" w:styleId="Style2Heading2">
    <w:name w:val="Style2_Heading 2"/>
    <w:basedOn w:val="Heading3"/>
    <w:link w:val="Style2Heading2Char"/>
    <w:qFormat/>
    <w:pPr>
      <w:numPr>
        <w:ilvl w:val="0"/>
        <w:numId w:val="0"/>
      </w:numPr>
      <w:spacing w:before="240" w:after="480"/>
      <w:ind w:left="720" w:hanging="720"/>
      <w:jc w:val="left"/>
    </w:pPr>
    <w:rPr>
      <w:b/>
      <w:i w:val="0"/>
    </w:rPr>
  </w:style>
  <w:style w:type="character" w:customStyle="1" w:styleId="Style2Heading2Char">
    <w:name w:val="Style2_Heading 2 Char"/>
    <w:basedOn w:val="Heading3Char"/>
    <w:link w:val="Style2Heading2"/>
    <w:rPr>
      <w:rFonts w:ascii="Times New Roman" w:eastAsiaTheme="majorEastAsia" w:hAnsi="Times New Roman" w:cs="Times New Roman"/>
      <w:b/>
      <w:bCs/>
      <w:i w:val="0"/>
      <w:sz w:val="24"/>
      <w:shd w:val="clear" w:color="auto" w:fill="auto"/>
      <w:lang w:val="en-GB"/>
    </w:rPr>
  </w:style>
  <w:style w:type="paragraph" w:customStyle="1" w:styleId="Releasable">
    <w:name w:val="Releasable"/>
    <w:basedOn w:val="Normal"/>
    <w:qFormat/>
    <w:pPr>
      <w:spacing w:after="0"/>
      <w:jc w:val="center"/>
    </w:pPr>
    <w:rPr>
      <w:b/>
      <w:caps/>
      <w:sz w:val="32"/>
      <w:szCs w:val="20"/>
    </w:rPr>
  </w:style>
  <w:style w:type="paragraph" w:customStyle="1" w:styleId="Normaldense">
    <w:name w:val="Normal dense"/>
    <w:basedOn w:val="Normal"/>
    <w:link w:val="NormaldenseChar"/>
    <w:qFormat/>
    <w:pPr>
      <w:spacing w:after="180"/>
    </w:pPr>
    <w:rPr>
      <w:rFonts w:asciiTheme="minorHAnsi" w:hAnsiTheme="minorHAnsi" w:cstheme="minorBidi"/>
      <w:sz w:val="20"/>
      <w:szCs w:val="20"/>
      <w:lang w:eastAsia="ja-JP"/>
    </w:rPr>
  </w:style>
  <w:style w:type="character" w:customStyle="1" w:styleId="NormaldenseChar">
    <w:name w:val="Normal dense Char"/>
    <w:basedOn w:val="DefaultParagraphFont"/>
    <w:link w:val="Normaldense"/>
    <w:rPr>
      <w:sz w:val="20"/>
      <w:szCs w:val="20"/>
      <w:lang w:val="en-GB" w:eastAsia="ja-JP"/>
    </w:rPr>
  </w:style>
  <w:style w:type="paragraph" w:customStyle="1" w:styleId="ListBulletlast">
    <w:name w:val="List Bullet last"/>
    <w:basedOn w:val="ListBullet"/>
    <w:next w:val="BodyText"/>
    <w:qFormat/>
    <w:pPr>
      <w:numPr>
        <w:numId w:val="10"/>
      </w:numPr>
      <w:tabs>
        <w:tab w:val="left" w:pos="6840"/>
      </w:tabs>
      <w:spacing w:after="240" w:line="280" w:lineRule="exact"/>
      <w:contextualSpacing w:val="0"/>
      <w:jc w:val="left"/>
    </w:pPr>
    <w:rPr>
      <w:rFonts w:ascii="Arial" w:hAnsi="Arial"/>
      <w:snapToGrid w:val="0"/>
      <w:sz w:val="22"/>
      <w:szCs w:val="20"/>
    </w:rPr>
  </w:style>
  <w:style w:type="paragraph" w:styleId="BodyText">
    <w:name w:val="Body Text"/>
    <w:basedOn w:val="Normal"/>
    <w:link w:val="BodyTextChar"/>
    <w:uiPriority w:val="1"/>
    <w:qFormat/>
    <w:pPr>
      <w:widowControl w:val="0"/>
      <w:spacing w:after="0"/>
      <w:jc w:val="left"/>
    </w:pPr>
    <w:rPr>
      <w:sz w:val="22"/>
      <w:lang w:val="en-US"/>
    </w:rPr>
  </w:style>
  <w:style w:type="character" w:customStyle="1" w:styleId="BodyTextChar">
    <w:name w:val="Body Text Char"/>
    <w:basedOn w:val="DefaultParagraphFont"/>
    <w:link w:val="BodyText"/>
    <w:uiPriority w:val="1"/>
    <w:rPr>
      <w:rFonts w:ascii="Times New Roman" w:hAnsi="Times New Roman" w:cs="Times New Roman"/>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qFormat/>
    <w:pPr>
      <w:numPr>
        <w:ilvl w:val="1"/>
      </w:numPr>
    </w:pPr>
    <w:rPr>
      <w:rFonts w:eastAsiaTheme="majorEastAsia" w:cstheme="majorBidi"/>
      <w:iCs/>
      <w:spacing w:val="15"/>
      <w:sz w:val="20"/>
    </w:rPr>
  </w:style>
  <w:style w:type="character" w:customStyle="1" w:styleId="SubtitleChar">
    <w:name w:val="Subtitle Char"/>
    <w:basedOn w:val="DefaultParagraphFont"/>
    <w:link w:val="Subtitle"/>
    <w:rPr>
      <w:rFonts w:ascii="Times New Roman" w:eastAsiaTheme="majorEastAsia" w:hAnsi="Times New Roman" w:cstheme="majorBidi"/>
      <w:iCs/>
      <w:spacing w:val="15"/>
      <w:sz w:val="20"/>
      <w:lang w:val="en-GB"/>
    </w:rPr>
  </w:style>
  <w:style w:type="character" w:styleId="Strong">
    <w:name w:val="Strong"/>
    <w:basedOn w:val="DefaultParagraphFont"/>
    <w:uiPriority w:val="22"/>
    <w:qFormat/>
    <w:rPr>
      <w:b/>
      <w:bCs/>
    </w:rPr>
  </w:style>
  <w:style w:type="character" w:styleId="BookTitle">
    <w:name w:val="Book Title"/>
    <w:basedOn w:val="DefaultParagraphFont"/>
    <w:uiPriority w:val="99"/>
    <w:qFormat/>
    <w:rPr>
      <w:rFonts w:ascii="Times New Roman" w:hAnsi="Times New Roman" w:cs="Times New Roman" w:hint="default"/>
      <w:b/>
      <w:bCs/>
      <w:smallCaps/>
      <w:spacing w:val="5"/>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ext1Char"/>
    <w:link w:val="FooterCoverPage"/>
    <w:rPr>
      <w:rFonts w:ascii="Times New Roman" w:hAnsi="Times New Roman" w:cs="Times New Roman"/>
      <w:sz w:val="24"/>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ext1Char"/>
    <w:link w:val="HeaderCoverPage"/>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pPr>
      <w:spacing w:before="240" w:after="60"/>
      <w:outlineLvl w:val="6"/>
    </w:pPr>
    <w:rPr>
      <w:rFonts w:ascii="Arial" w:hAnsi="Arial"/>
      <w:sz w:val="20"/>
      <w:szCs w:val="20"/>
    </w:rPr>
  </w:style>
  <w:style w:type="paragraph" w:styleId="Heading8">
    <w:name w:val="heading 8"/>
    <w:basedOn w:val="Normal"/>
    <w:next w:val="Normal"/>
    <w:link w:val="Heading8Char"/>
    <w:qFormat/>
    <w:pPr>
      <w:spacing w:before="240" w:after="60"/>
      <w:outlineLvl w:val="7"/>
    </w:pPr>
    <w:rPr>
      <w:rFonts w:ascii="Arial" w:hAnsi="Arial"/>
      <w:i/>
      <w:sz w:val="20"/>
      <w:szCs w:val="20"/>
    </w:rPr>
  </w:style>
  <w:style w:type="paragraph" w:styleId="Heading9">
    <w:name w:val="heading 9"/>
    <w:basedOn w:val="Normal"/>
    <w:next w:val="Normal"/>
    <w:link w:val="Heading9Char"/>
    <w:qFormat/>
    <w:pPr>
      <w:spacing w:before="240" w:after="60"/>
      <w:outlineLvl w:val="8"/>
    </w:pPr>
    <w:rPr>
      <w:rFonts w:ascii="Arial" w:hAnsi="Arial" w:cs="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Text1Char">
    <w:name w:val="Text 1 Char"/>
    <w:basedOn w:val="DefaultParagraphFont"/>
    <w:rPr>
      <w:rFonts w:ascii="Times New Roman" w:hAnsi="Times New Roman" w:cs="Times New Roman"/>
      <w:sz w:val="24"/>
      <w:lang w:val="en-GB"/>
    </w:rPr>
  </w:style>
  <w:style w:type="paragraph" w:styleId="Caption">
    <w:name w:val="caption"/>
    <w:aliases w:val="caption for tables,figures,Beschriftung Char1 Cha...,Beschriftung Char2,Beschriftung Char1 Char1,Beschriftung Char Char Char1,Beschriftung Char1 Char Char,Beschriftung Char Char Char Char,Beschriftung Char Char1 Char,Tasks"/>
    <w:basedOn w:val="Normal"/>
    <w:next w:val="Normal"/>
    <w:link w:val="CaptionChar"/>
    <w:uiPriority w:val="99"/>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sz w:val="24"/>
      <w:lang w:val="en-GB"/>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sz w:val="24"/>
      <w:lang w:val="en-GB"/>
    </w:rPr>
  </w:style>
  <w:style w:type="character" w:customStyle="1" w:styleId="Heading7Char">
    <w:name w:val="Heading 7 Char"/>
    <w:basedOn w:val="DefaultParagraphFont"/>
    <w:link w:val="Heading7"/>
    <w:rPr>
      <w:rFonts w:ascii="Arial" w:hAnsi="Arial" w:cs="Times New Roman"/>
      <w:sz w:val="20"/>
      <w:szCs w:val="20"/>
      <w:lang w:val="en-GB"/>
    </w:rPr>
  </w:style>
  <w:style w:type="character" w:customStyle="1" w:styleId="Heading8Char">
    <w:name w:val="Heading 8 Char"/>
    <w:basedOn w:val="DefaultParagraphFont"/>
    <w:link w:val="Heading8"/>
    <w:rPr>
      <w:rFonts w:ascii="Arial" w:hAnsi="Arial" w:cs="Times New Roman"/>
      <w:i/>
      <w:sz w:val="20"/>
      <w:szCs w:val="20"/>
      <w:lang w:val="en-GB"/>
    </w:rPr>
  </w:style>
  <w:style w:type="character" w:customStyle="1" w:styleId="Heading9Char">
    <w:name w:val="Heading 9 Char"/>
    <w:basedOn w:val="DefaultParagraphFont"/>
    <w:link w:val="Heading9"/>
    <w:rPr>
      <w:rFonts w:ascii="Arial" w:hAnsi="Arial" w:cs="Arial"/>
      <w:i/>
      <w:sz w:val="18"/>
      <w:szCs w:val="20"/>
      <w:lang w:val="en-GB"/>
    </w:rPr>
  </w:style>
  <w:style w:type="paragraph" w:customStyle="1" w:styleId="HeadingIIIA">
    <w:name w:val="Heading II IA"/>
    <w:basedOn w:val="Normal"/>
    <w:link w:val="HeadingIIIAChar"/>
    <w:autoRedefine/>
    <w:pPr>
      <w:autoSpaceDE w:val="0"/>
      <w:autoSpaceDN w:val="0"/>
      <w:adjustRightInd w:val="0"/>
      <w:ind w:left="720" w:hanging="360"/>
    </w:pPr>
    <w:rPr>
      <w:b/>
      <w:bCs/>
      <w:color w:val="000000"/>
    </w:rPr>
  </w:style>
  <w:style w:type="character" w:customStyle="1" w:styleId="HeadingIIIAChar">
    <w:name w:val="Heading II IA Char"/>
    <w:basedOn w:val="DefaultParagraphFont"/>
    <w:link w:val="HeadingIIIA"/>
    <w:rPr>
      <w:rFonts w:ascii="Times New Roman" w:hAnsi="Times New Roman" w:cs="Times New Roman"/>
      <w:b/>
      <w:bCs/>
      <w:color w:val="000000"/>
      <w:sz w:val="24"/>
      <w:lang w:val="en-GB"/>
    </w:rPr>
  </w:style>
  <w:style w:type="paragraph" w:customStyle="1" w:styleId="Style1">
    <w:name w:val="Style1"/>
    <w:basedOn w:val="Heading1"/>
    <w:link w:val="Style1Char"/>
    <w:pPr>
      <w:numPr>
        <w:numId w:val="0"/>
      </w:numPr>
      <w:autoSpaceDE w:val="0"/>
      <w:autoSpaceDN w:val="0"/>
      <w:adjustRightInd w:val="0"/>
      <w:spacing w:before="120"/>
      <w:ind w:left="1080" w:hanging="360"/>
    </w:pPr>
    <w:rPr>
      <w:rFonts w:ascii="Cambria" w:eastAsia="Times New Roman" w:hAnsi="Cambria"/>
      <w:b w:val="0"/>
      <w:bCs w:val="0"/>
      <w:smallCaps w:val="0"/>
      <w:kern w:val="32"/>
      <w:sz w:val="28"/>
      <w:szCs w:val="23"/>
    </w:rPr>
  </w:style>
  <w:style w:type="character" w:customStyle="1" w:styleId="Style1Char">
    <w:name w:val="Style1 Char"/>
    <w:basedOn w:val="ListParagraphChar"/>
    <w:link w:val="Style1"/>
    <w:rPr>
      <w:rFonts w:ascii="Cambria" w:eastAsia="Times New Roman" w:hAnsi="Cambria" w:cs="Times New Roman"/>
      <w:kern w:val="32"/>
      <w:sz w:val="28"/>
      <w:szCs w:val="23"/>
      <w:lang w:val="en-GB"/>
    </w:rPr>
  </w:style>
  <w:style w:type="character" w:customStyle="1" w:styleId="CaptionChar">
    <w:name w:val="Caption Char"/>
    <w:aliases w:val="caption for tables Char,figures Char,Beschriftung Char1 Cha... Char,Beschriftung Char2 Char,Beschriftung Char1 Char1 Char,Beschriftung Char Char Char1 Char,Beschriftung Char1 Char Char Char,Beschriftung Char Char Char Char Char,Tasks Char"/>
    <w:link w:val="Caption"/>
    <w:uiPriority w:val="99"/>
    <w:locked/>
    <w:rPr>
      <w:rFonts w:ascii="Times New Roman" w:hAnsi="Times New Roman" w:cs="Times New Roman"/>
      <w:b/>
      <w:bCs/>
      <w:color w:val="4F81BD" w:themeColor="accent1"/>
      <w:sz w:val="18"/>
      <w:szCs w:val="18"/>
      <w:lang w:val="en-GB"/>
    </w:rPr>
  </w:style>
  <w:style w:type="character" w:styleId="Emphasis">
    <w:name w:val="Emphasis"/>
    <w:qFormat/>
    <w:rPr>
      <w:i/>
      <w:iCs/>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99"/>
    <w:qFormat/>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99"/>
    <w:qFormat/>
    <w:locked/>
    <w:rPr>
      <w:rFonts w:ascii="Times New Roman" w:hAnsi="Times New Roman" w:cs="Times New Roman"/>
      <w:sz w:val="24"/>
      <w:lang w:val="en-GB"/>
    </w:rPr>
  </w:style>
  <w:style w:type="paragraph" w:customStyle="1" w:styleId="Style3heading3">
    <w:name w:val="Style3_heading 3"/>
    <w:basedOn w:val="Heading3"/>
    <w:link w:val="Style3heading3Char"/>
    <w:qFormat/>
    <w:pPr>
      <w:numPr>
        <w:ilvl w:val="0"/>
        <w:numId w:val="0"/>
      </w:numPr>
      <w:spacing w:before="240" w:after="480"/>
      <w:ind w:left="720" w:hanging="720"/>
      <w:jc w:val="left"/>
    </w:pPr>
    <w:rPr>
      <w:rFonts w:eastAsiaTheme="minorHAnsi"/>
    </w:rPr>
  </w:style>
  <w:style w:type="character" w:customStyle="1" w:styleId="Style3heading3Char">
    <w:name w:val="Style3_heading 3 Char"/>
    <w:basedOn w:val="DefaultParagraphFont"/>
    <w:link w:val="Style3heading3"/>
    <w:locked/>
    <w:rPr>
      <w:rFonts w:ascii="Times New Roman" w:hAnsi="Times New Roman" w:cs="Times New Roman"/>
      <w:bCs/>
      <w:i/>
      <w:sz w:val="24"/>
      <w:lang w:val="en-GB"/>
    </w:rPr>
  </w:style>
  <w:style w:type="paragraph" w:customStyle="1" w:styleId="Style2Heading2">
    <w:name w:val="Style2_Heading 2"/>
    <w:basedOn w:val="Heading3"/>
    <w:link w:val="Style2Heading2Char"/>
    <w:qFormat/>
    <w:pPr>
      <w:numPr>
        <w:ilvl w:val="0"/>
        <w:numId w:val="0"/>
      </w:numPr>
      <w:spacing w:before="240" w:after="480"/>
      <w:ind w:left="720" w:hanging="720"/>
      <w:jc w:val="left"/>
    </w:pPr>
    <w:rPr>
      <w:b/>
      <w:i w:val="0"/>
    </w:rPr>
  </w:style>
  <w:style w:type="character" w:customStyle="1" w:styleId="Style2Heading2Char">
    <w:name w:val="Style2_Heading 2 Char"/>
    <w:basedOn w:val="Heading3Char"/>
    <w:link w:val="Style2Heading2"/>
    <w:rPr>
      <w:rFonts w:ascii="Times New Roman" w:eastAsiaTheme="majorEastAsia" w:hAnsi="Times New Roman" w:cs="Times New Roman"/>
      <w:b/>
      <w:bCs/>
      <w:i w:val="0"/>
      <w:sz w:val="24"/>
      <w:shd w:val="clear" w:color="auto" w:fill="auto"/>
      <w:lang w:val="en-GB"/>
    </w:rPr>
  </w:style>
  <w:style w:type="paragraph" w:customStyle="1" w:styleId="Releasable">
    <w:name w:val="Releasable"/>
    <w:basedOn w:val="Normal"/>
    <w:qFormat/>
    <w:pPr>
      <w:spacing w:after="0"/>
      <w:jc w:val="center"/>
    </w:pPr>
    <w:rPr>
      <w:b/>
      <w:caps/>
      <w:sz w:val="32"/>
      <w:szCs w:val="20"/>
    </w:rPr>
  </w:style>
  <w:style w:type="paragraph" w:customStyle="1" w:styleId="Normaldense">
    <w:name w:val="Normal dense"/>
    <w:basedOn w:val="Normal"/>
    <w:link w:val="NormaldenseChar"/>
    <w:qFormat/>
    <w:pPr>
      <w:spacing w:after="180"/>
    </w:pPr>
    <w:rPr>
      <w:rFonts w:asciiTheme="minorHAnsi" w:hAnsiTheme="minorHAnsi" w:cstheme="minorBidi"/>
      <w:sz w:val="20"/>
      <w:szCs w:val="20"/>
      <w:lang w:eastAsia="ja-JP"/>
    </w:rPr>
  </w:style>
  <w:style w:type="character" w:customStyle="1" w:styleId="NormaldenseChar">
    <w:name w:val="Normal dense Char"/>
    <w:basedOn w:val="DefaultParagraphFont"/>
    <w:link w:val="Normaldense"/>
    <w:rPr>
      <w:sz w:val="20"/>
      <w:szCs w:val="20"/>
      <w:lang w:val="en-GB" w:eastAsia="ja-JP"/>
    </w:rPr>
  </w:style>
  <w:style w:type="paragraph" w:customStyle="1" w:styleId="ListBulletlast">
    <w:name w:val="List Bullet last"/>
    <w:basedOn w:val="ListBullet"/>
    <w:next w:val="BodyText"/>
    <w:qFormat/>
    <w:pPr>
      <w:numPr>
        <w:numId w:val="10"/>
      </w:numPr>
      <w:tabs>
        <w:tab w:val="left" w:pos="6840"/>
      </w:tabs>
      <w:spacing w:after="240" w:line="280" w:lineRule="exact"/>
      <w:contextualSpacing w:val="0"/>
      <w:jc w:val="left"/>
    </w:pPr>
    <w:rPr>
      <w:rFonts w:ascii="Arial" w:hAnsi="Arial"/>
      <w:snapToGrid w:val="0"/>
      <w:sz w:val="22"/>
      <w:szCs w:val="20"/>
    </w:rPr>
  </w:style>
  <w:style w:type="paragraph" w:styleId="BodyText">
    <w:name w:val="Body Text"/>
    <w:basedOn w:val="Normal"/>
    <w:link w:val="BodyTextChar"/>
    <w:uiPriority w:val="1"/>
    <w:qFormat/>
    <w:pPr>
      <w:widowControl w:val="0"/>
      <w:spacing w:after="0"/>
      <w:jc w:val="left"/>
    </w:pPr>
    <w:rPr>
      <w:sz w:val="22"/>
      <w:lang w:val="en-US"/>
    </w:rPr>
  </w:style>
  <w:style w:type="character" w:customStyle="1" w:styleId="BodyTextChar">
    <w:name w:val="Body Text Char"/>
    <w:basedOn w:val="DefaultParagraphFont"/>
    <w:link w:val="BodyText"/>
    <w:uiPriority w:val="1"/>
    <w:rPr>
      <w:rFonts w:ascii="Times New Roman" w:hAnsi="Times New Roman" w:cs="Times New Roman"/>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qFormat/>
    <w:pPr>
      <w:numPr>
        <w:ilvl w:val="1"/>
      </w:numPr>
    </w:pPr>
    <w:rPr>
      <w:rFonts w:eastAsiaTheme="majorEastAsia" w:cstheme="majorBidi"/>
      <w:iCs/>
      <w:spacing w:val="15"/>
      <w:sz w:val="20"/>
    </w:rPr>
  </w:style>
  <w:style w:type="character" w:customStyle="1" w:styleId="SubtitleChar">
    <w:name w:val="Subtitle Char"/>
    <w:basedOn w:val="DefaultParagraphFont"/>
    <w:link w:val="Subtitle"/>
    <w:rPr>
      <w:rFonts w:ascii="Times New Roman" w:eastAsiaTheme="majorEastAsia" w:hAnsi="Times New Roman" w:cstheme="majorBidi"/>
      <w:iCs/>
      <w:spacing w:val="15"/>
      <w:sz w:val="20"/>
      <w:lang w:val="en-GB"/>
    </w:rPr>
  </w:style>
  <w:style w:type="character" w:styleId="Strong">
    <w:name w:val="Strong"/>
    <w:basedOn w:val="DefaultParagraphFont"/>
    <w:uiPriority w:val="22"/>
    <w:qFormat/>
    <w:rPr>
      <w:b/>
      <w:bCs/>
    </w:rPr>
  </w:style>
  <w:style w:type="character" w:styleId="BookTitle">
    <w:name w:val="Book Title"/>
    <w:basedOn w:val="DefaultParagraphFont"/>
    <w:uiPriority w:val="99"/>
    <w:qFormat/>
    <w:rPr>
      <w:rFonts w:ascii="Times New Roman" w:hAnsi="Times New Roman" w:cs="Times New Roman" w:hint="default"/>
      <w:b/>
      <w:bCs/>
      <w:smallCaps/>
      <w:spacing w:val="5"/>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ext1Char"/>
    <w:link w:val="FooterCoverPage"/>
    <w:rPr>
      <w:rFonts w:ascii="Times New Roman" w:hAnsi="Times New Roman" w:cs="Times New Roman"/>
      <w:sz w:val="24"/>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ext1Char"/>
    <w:link w:val="HeaderCoverPage"/>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7C90-1C59-46F0-9434-1B2652FB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7</Pages>
  <Words>2257</Words>
  <Characters>12415</Characters>
  <Application>Microsoft Office Word</Application>
  <DocSecurity>0</DocSecurity>
  <Lines>238</Lines>
  <Paragraphs>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 Isabelle (ENER)</dc:creator>
  <cp:lastModifiedBy>Stefanie Heilemann</cp:lastModifiedBy>
  <cp:revision>2</cp:revision>
  <cp:lastPrinted>2016-11-18T12:26:00Z</cp:lastPrinted>
  <dcterms:created xsi:type="dcterms:W3CDTF">2016-11-29T15:46:00Z</dcterms:created>
  <dcterms:modified xsi:type="dcterms:W3CDTF">2016-11-29T15:46:00Z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ocStatus">
    <vt:lpwstr>Green</vt:lpwstr>
  </property>
  <property fmtid="{D5CDD505-2E9C-101B-9397-08002B2CF9AE}" pid="13" name="DQCStatus">
    <vt:lpwstr>Yellow (DQC version 03)</vt:lpwstr>
  </property>
</Properties>
</file>