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804B720CAE4816B4781F6E309CEF40"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Bdr>
          <w:top w:val="nil"/>
          <w:left w:val="nil"/>
          <w:bottom w:val="nil"/>
          <w:right w:val="nil"/>
          <w:between w:val="nil"/>
          <w:bar w:val="nil"/>
        </w:pBdr>
        <w:spacing w:before="0" w:after="240"/>
        <w:rPr>
          <w:noProof/>
        </w:rPr>
      </w:pPr>
      <w:r>
        <w:rPr>
          <w:noProof/>
        </w:rPr>
        <w:t xml:space="preserve">I Europeiska unionens råds slutsatser om ekologiskt jordbruk från det 3237:e mötet i rådet (jordbruk och fiske) uppmanades kommissionen att förbättra de befintliga mekanismerna för att underlätta den internationella handeln med ekologiska produkter och kräva ömsesidighet och öppenhet i alla handelsavtal. </w:t>
      </w:r>
    </w:p>
    <w:p>
      <w:pPr>
        <w:pBdr>
          <w:top w:val="nil"/>
          <w:left w:val="nil"/>
          <w:bottom w:val="nil"/>
          <w:right w:val="nil"/>
          <w:between w:val="nil"/>
          <w:bar w:val="nil"/>
        </w:pBdr>
        <w:spacing w:before="0" w:after="240"/>
        <w:rPr>
          <w:noProof/>
        </w:rPr>
      </w:pPr>
      <w:r>
        <w:rPr>
          <w:noProof/>
        </w:rPr>
        <w:t xml:space="preserve">Den 16 juni 2014 bemyndigade rådet kommissionen att förhandla om avtal mellan EU och tredjeländer om handel med ekologiska produkter. </w:t>
      </w:r>
    </w:p>
    <w:p>
      <w:pPr>
        <w:pBdr>
          <w:top w:val="nil"/>
          <w:left w:val="nil"/>
          <w:bottom w:val="nil"/>
          <w:right w:val="nil"/>
          <w:between w:val="nil"/>
          <w:bar w:val="nil"/>
        </w:pBdr>
        <w:spacing w:before="0" w:after="240"/>
        <w:rPr>
          <w:noProof/>
        </w:rPr>
      </w:pPr>
      <w:r>
        <w:rPr>
          <w:noProof/>
        </w:rPr>
        <w:t xml:space="preserve">På grundval av rådets förhandlingsdirektiv har kommissionen förhandlat fram ett avtal med Chile om ömsesidigt erkännande av likvärdighet mellan parternas respektive regler för ekologisk produktion och kontrollsystem vad gäller vissa produkter. </w:t>
      </w:r>
    </w:p>
    <w:p>
      <w:pPr>
        <w:pBdr>
          <w:top w:val="nil"/>
          <w:left w:val="nil"/>
          <w:bottom w:val="nil"/>
          <w:right w:val="nil"/>
          <w:between w:val="nil"/>
          <w:bar w:val="nil"/>
        </w:pBdr>
        <w:spacing w:before="0" w:after="240"/>
        <w:rPr>
          <w:noProof/>
        </w:rPr>
      </w:pPr>
      <w:r>
        <w:rPr>
          <w:noProof/>
        </w:rPr>
        <w:t xml:space="preserve">Avtalet med Chile om handel med ekologiska produkter syftar till att främja handeln med ekologiska produkter mellan EU och Chile, uppnå en hög grad av respekt för principerna bakom reglerna för ekologisk produktion samt ömsesidigt skydd av de ekologiska logotyperna. </w:t>
      </w:r>
    </w:p>
    <w:p>
      <w:pPr>
        <w:pBdr>
          <w:top w:val="nil"/>
          <w:left w:val="nil"/>
          <w:bottom w:val="nil"/>
          <w:right w:val="nil"/>
          <w:between w:val="nil"/>
          <w:bar w:val="nil"/>
        </w:pBdr>
        <w:spacing w:before="0" w:after="240"/>
        <w:rPr>
          <w:noProof/>
        </w:rPr>
      </w:pPr>
      <w:r>
        <w:rPr>
          <w:noProof/>
        </w:rPr>
        <w:t>Avtalet kommer att möjliggöra att produkter som har framställts och kontrollerats enligt EU:s regler släpps ut direkt på den chilenska marknaden, och tvärtom. Det innehåller även bestämmelser om ett system för samarbete, informationsutbyte och tvistlösning vad gäller ekologisk handel.</w:t>
      </w:r>
    </w:p>
    <w:p>
      <w:pPr>
        <w:pBdr>
          <w:top w:val="nil"/>
          <w:left w:val="nil"/>
          <w:bottom w:val="nil"/>
          <w:right w:val="nil"/>
          <w:between w:val="nil"/>
          <w:bar w:val="nil"/>
        </w:pBdr>
        <w:spacing w:before="0" w:after="240"/>
        <w:rPr>
          <w:noProof/>
        </w:rPr>
      </w:pPr>
      <w:r>
        <w:rPr>
          <w:noProof/>
        </w:rPr>
        <w:t>Chile kommer att erkänna som likvärdiga alla de ekologiska produkter från unionen som omfattas av förordning (EG) nr 834/2007, dvs. obearbetade vegetabiliska produkter, levande djur eller obearbetade animaliska produkter (inklusive honung), vattenbruksprodukter och alger, bearbetade jordbruksprodukter för livsmedelsändamål (inklusive vin), bearbetade jordbruksprodukter för foderändamål, vegetativt förökningsmaterial och utsäde.</w:t>
      </w:r>
    </w:p>
    <w:p>
      <w:pPr>
        <w:pBdr>
          <w:top w:val="nil"/>
          <w:left w:val="nil"/>
          <w:bottom w:val="nil"/>
          <w:right w:val="nil"/>
          <w:between w:val="nil"/>
          <w:bar w:val="nil"/>
        </w:pBdr>
        <w:spacing w:before="0" w:after="240"/>
        <w:rPr>
          <w:noProof/>
        </w:rPr>
      </w:pPr>
      <w:r>
        <w:rPr>
          <w:noProof/>
        </w:rPr>
        <w:t xml:space="preserve">Omvänt kommer unionen att erkänna följande produkter från Chile som likvärdiga: obearbetade vegetabiliska produkter, honung, bearbetade jordbruksprodukter för livsmedelsändamål (inklusive vin), vegetativt förökningsmaterial och utsäde. </w:t>
      </w:r>
    </w:p>
    <w:p>
      <w:pPr>
        <w:pBdr>
          <w:top w:val="nil"/>
          <w:left w:val="nil"/>
          <w:bottom w:val="nil"/>
          <w:right w:val="nil"/>
          <w:between w:val="nil"/>
          <w:bar w:val="nil"/>
        </w:pBdr>
        <w:spacing w:before="0" w:after="240"/>
        <w:rPr>
          <w:noProof/>
        </w:rPr>
      </w:pPr>
      <w:r>
        <w:rPr>
          <w:noProof/>
        </w:rPr>
        <w:t xml:space="preserve">Chilenska regler för produktion av andra animaliska produkter än biodlingsprodukter samt foder ansågs inte vara likvärdiga och kan anses vara likvärdiga endast i ett senare skede, när Chile utvecklat sin lagstiftning om dessa produkter. Även om Chile inte har några regler för ekologiskt vattenbruk, har landet godtagit att erkänna unionens ekologiska vattenbruksprodukter och alger. </w:t>
      </w:r>
    </w:p>
    <w:p>
      <w:pPr>
        <w:pBdr>
          <w:top w:val="nil"/>
          <w:left w:val="nil"/>
          <w:bottom w:val="nil"/>
          <w:right w:val="nil"/>
          <w:between w:val="nil"/>
          <w:bar w:val="nil"/>
        </w:pBdr>
        <w:spacing w:before="0" w:after="240"/>
        <w:rPr>
          <w:noProof/>
        </w:rPr>
      </w:pPr>
      <w:r>
        <w:rPr>
          <w:noProof/>
        </w:rPr>
        <w:t>Medan unionen inte förutser några villkor för importerade ingredienser, måste bearbetade jordbruksprodukter för livsmedelsändamål som har bearbetats i Chile innehålla chilenska ekologiskt odlade ingredienser eller ingredienser som importerats till Chile antingen från unionen eller från ett tredjeland som unionen erkänt som likvärdigt (i enlighet med artikel 33.2 i förordning (EG) nr 834/2007) – men inte från tredjeländer beträffande vilka unionen endast har erkänt kontrollmyndigheter eller kontrollorgan (i enlighet med artikel 33.3 i förordning (EG) nr 834/2007).</w:t>
      </w:r>
    </w:p>
    <w:p>
      <w:pPr>
        <w:pStyle w:val="ManualHeading1"/>
        <w:rPr>
          <w:noProof/>
        </w:rPr>
      </w:pPr>
      <w:r>
        <w:rPr>
          <w:noProof/>
        </w:rPr>
        <w:lastRenderedPageBreak/>
        <w:t>2.</w:t>
      </w:r>
      <w:r>
        <w:rPr>
          <w:noProof/>
        </w:rPr>
        <w:tab/>
        <w:t>RÄTTSLIG GRUND, SUBSIDIARITETSPRINCIPEN OCH PROPORTIONALITETSPRINCIPEN</w:t>
      </w:r>
    </w:p>
    <w:p>
      <w:pPr>
        <w:pBdr>
          <w:top w:val="nil"/>
          <w:left w:val="nil"/>
          <w:bottom w:val="nil"/>
          <w:right w:val="nil"/>
          <w:between w:val="nil"/>
          <w:bar w:val="nil"/>
        </w:pBdr>
        <w:spacing w:before="0" w:after="240"/>
        <w:rPr>
          <w:noProof/>
        </w:rPr>
      </w:pPr>
      <w:r>
        <w:rPr>
          <w:noProof/>
        </w:rPr>
        <w:t xml:space="preserve">Kommissionen har fört förhandlingar om detta avtal i enlighet med rådets beslut av den 16 juni 2014, genom vilket kommissionen bemyndigades att förhandla om avtal mellan unionen och tredjeländer om handel med ekologiska produkter och relevanta förhandlingsdirektiv antogs. </w:t>
      </w:r>
    </w:p>
    <w:p>
      <w:pPr>
        <w:pBdr>
          <w:top w:val="nil"/>
          <w:left w:val="nil"/>
          <w:bottom w:val="nil"/>
          <w:right w:val="nil"/>
          <w:between w:val="nil"/>
          <w:bar w:val="nil"/>
        </w:pBdr>
        <w:spacing w:before="0" w:after="240"/>
        <w:rPr>
          <w:rFonts w:eastAsia="Arial Unicode MS"/>
          <w:noProof/>
        </w:rPr>
      </w:pPr>
      <w:r>
        <w:rPr>
          <w:noProof/>
        </w:rPr>
        <w:t>Handelspolitiken är ett område där unionen har exklusiv befogenhet. Detta avtal har följaktligen förhandlats fram och ingås i enlighet med artiklarna 207 och 218 i EUF-fördraget.</w:t>
      </w:r>
    </w:p>
    <w:p>
      <w:pPr>
        <w:pStyle w:val="ManualHeading1"/>
        <w:rPr>
          <w:noProof/>
        </w:rPr>
      </w:pPr>
      <w:r>
        <w:rPr>
          <w:noProof/>
        </w:rPr>
        <w:t>3.</w:t>
      </w:r>
      <w:r>
        <w:rPr>
          <w:noProof/>
        </w:rPr>
        <w:tab/>
        <w:t>RESULTAT AV EFTERHANDSUTVÄRDERINGAR, SAMRÅD MED BERÖRDA PARTER OCH KONSEKVENSBEDÖMNINGAR</w:t>
      </w:r>
    </w:p>
    <w:p>
      <w:pPr>
        <w:rPr>
          <w:rFonts w:eastAsia="Arial Unicode MS"/>
          <w:noProof/>
        </w:rPr>
      </w:pPr>
      <w:r>
        <w:rPr>
          <w:noProof/>
        </w:rPr>
        <w:t>Ej tillämpligt</w:t>
      </w:r>
      <w:r>
        <w:rPr>
          <w:noProof/>
        </w:rPr>
        <w:tab/>
      </w:r>
    </w:p>
    <w:p>
      <w:pPr>
        <w:pStyle w:val="ManualHeading1"/>
        <w:rPr>
          <w:noProof/>
        </w:rPr>
      </w:pPr>
      <w:r>
        <w:rPr>
          <w:noProof/>
        </w:rPr>
        <w:t>4.</w:t>
      </w:r>
      <w:r>
        <w:rPr>
          <w:noProof/>
        </w:rPr>
        <w:tab/>
        <w:t>BUDGETKONSEKVENSER</w:t>
      </w:r>
    </w:p>
    <w:p>
      <w:pPr>
        <w:pBdr>
          <w:top w:val="nil"/>
          <w:left w:val="nil"/>
          <w:bottom w:val="nil"/>
          <w:right w:val="nil"/>
          <w:between w:val="nil"/>
          <w:bar w:val="nil"/>
        </w:pBdr>
        <w:spacing w:before="0" w:after="240"/>
        <w:rPr>
          <w:rFonts w:eastAsia="Arial Unicode MS"/>
          <w:noProof/>
        </w:rPr>
      </w:pPr>
      <w:r>
        <w:rPr>
          <w:noProof/>
        </w:rPr>
        <w:t xml:space="preserve">Inga budgetkonsekvenser </w:t>
      </w:r>
    </w:p>
    <w:p>
      <w:pPr>
        <w:pStyle w:val="ManualHeading1"/>
        <w:rPr>
          <w:noProof/>
        </w:rPr>
      </w:pPr>
      <w:r>
        <w:rPr>
          <w:noProof/>
        </w:rPr>
        <w:t>5.</w:t>
      </w:r>
      <w:r>
        <w:rPr>
          <w:noProof/>
        </w:rPr>
        <w:tab/>
        <w:t>ÖVRIGA INSLAG</w:t>
      </w:r>
    </w:p>
    <w:p>
      <w:pPr>
        <w:pStyle w:val="ManualHeading2"/>
        <w:rPr>
          <w:noProof/>
        </w:rPr>
      </w:pPr>
      <w:r>
        <w:rPr>
          <w:b w:val="0"/>
          <w:noProof/>
          <w:u w:color="000000"/>
          <w:bdr w:val="nil"/>
        </w:rPr>
        <w:t>Ej tillämpligt</w:t>
      </w:r>
      <w:r>
        <w:rPr>
          <w:noProof/>
        </w:rPr>
        <w:tab/>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2016/0383 (NLE)</w:t>
      </w:r>
    </w:p>
    <w:p>
      <w:pPr>
        <w:pStyle w:val="Statut"/>
        <w:rPr>
          <w:noProof/>
        </w:rPr>
      </w:pPr>
      <w:r>
        <w:rPr>
          <w:noProof/>
        </w:rPr>
        <w:t>Förslag till</w:t>
      </w:r>
    </w:p>
    <w:p>
      <w:pPr>
        <w:pStyle w:val="Typedudocument"/>
        <w:rPr>
          <w:noProof/>
        </w:rPr>
      </w:pPr>
      <w:r>
        <w:rPr>
          <w:noProof/>
        </w:rPr>
        <w:t>RÅDETS BESLUT</w:t>
      </w:r>
    </w:p>
    <w:p>
      <w:pPr>
        <w:pStyle w:val="Titreobjet"/>
        <w:rPr>
          <w:noProof/>
        </w:rPr>
      </w:pPr>
      <w:r>
        <w:rPr>
          <w:noProof/>
        </w:rPr>
        <w:t>om ingående av avtalet mellan Europeiska unionen och Republiken Chile om handel med ekologiska produkter</w:t>
      </w:r>
    </w:p>
    <w:p>
      <w:pPr>
        <w:pStyle w:val="Institutionquiagit"/>
        <w:rPr>
          <w:noProof/>
        </w:rPr>
      </w:pPr>
      <w:r>
        <w:rPr>
          <w:noProof/>
        </w:rPr>
        <w:t>EUROPEISKA UNIONENS RÅD HAR ANTAGIT DETTA BESLUT</w:t>
      </w:r>
    </w:p>
    <w:p>
      <w:pPr>
        <w:rPr>
          <w:noProof/>
        </w:rPr>
      </w:pPr>
      <w:r>
        <w:rPr>
          <w:noProof/>
        </w:rPr>
        <w:t>med beaktande av fördraget om Europeiska unionens funktionssätt, särskilt artikel 207.4 första stycket jämförd med artikel 218.6 a v och artikel 218.7,</w:t>
      </w:r>
    </w:p>
    <w:p>
      <w:pPr>
        <w:rPr>
          <w:noProof/>
        </w:rPr>
      </w:pPr>
      <w:r>
        <w:rPr>
          <w:noProof/>
        </w:rPr>
        <w:t>med beaktande av Europeiska kommissionens förslag,</w:t>
      </w:r>
    </w:p>
    <w:p>
      <w:pPr>
        <w:rPr>
          <w:noProof/>
        </w:rPr>
      </w:pPr>
      <w:r>
        <w:rPr>
          <w:noProof/>
        </w:rPr>
        <w:t>med beaktande av Europaparlamentets godkännande, och</w:t>
      </w:r>
    </w:p>
    <w:p>
      <w:pPr>
        <w:rPr>
          <w:noProof/>
        </w:rPr>
      </w:pPr>
      <w:r>
        <w:rPr>
          <w:noProof/>
        </w:rPr>
        <w:t>av följande skäl:</w:t>
      </w:r>
    </w:p>
    <w:p>
      <w:pPr>
        <w:pStyle w:val="ManualConsidrant"/>
        <w:rPr>
          <w:noProof/>
        </w:rPr>
      </w:pPr>
      <w:r>
        <w:t>(1)</w:t>
      </w:r>
      <w:r>
        <w:tab/>
      </w:r>
      <w:r>
        <w:rPr>
          <w:noProof/>
        </w:rPr>
        <w:t xml:space="preserve">I enlighet med rådets beslut [XXX] av den […] undertecknades avtalet mellan Europeiska unionen och Republiken Chile om handel med ekologiska produkter (nedan kallat </w:t>
      </w:r>
      <w:r>
        <w:rPr>
          <w:i/>
          <w:noProof/>
        </w:rPr>
        <w:t>avtalet</w:t>
      </w:r>
      <w:r>
        <w:rPr>
          <w:noProof/>
        </w:rPr>
        <w:t>) den […], med förbehåll för att det ingås vid en senare tidpunkt.</w:t>
      </w:r>
    </w:p>
    <w:p>
      <w:pPr>
        <w:pStyle w:val="ManualConsidrant"/>
        <w:rPr>
          <w:noProof/>
        </w:rPr>
      </w:pPr>
      <w:r>
        <w:t>(2)</w:t>
      </w:r>
      <w:r>
        <w:tab/>
      </w:r>
      <w:r>
        <w:rPr>
          <w:noProof/>
        </w:rPr>
        <w:t>I avtalet erkänner unionen och Chile likvärdigheten mellan sina respektive regler för ekologisk produktion och kontrollsystem för ekologiska produkter.</w:t>
      </w:r>
    </w:p>
    <w:p>
      <w:pPr>
        <w:pStyle w:val="ManualConsidrant"/>
        <w:rPr>
          <w:noProof/>
        </w:rPr>
      </w:pPr>
      <w:r>
        <w:t>(3)</w:t>
      </w:r>
      <w:r>
        <w:tab/>
      </w:r>
      <w:r>
        <w:rPr>
          <w:noProof/>
        </w:rPr>
        <w:t xml:space="preserve">Avtalet syftar till att främja handeln med ekologiska produkter, bidra till att utveckla och utvidga den ekologiska sektorn i unionen och Chile samt uppnå en hög grad av respekt för principerna bakom reglerna för ekologisk produktion, för kontrollsystemens tillförlitlighet och för ekologiska produkters trovärdighet. Skyddet av respektive ekologiska logotyper bör också förbättras. Avtalet syftar också till att främja regleringssamarbetet mellan parterna i frågor som rör ekologisk produktion. </w:t>
      </w:r>
    </w:p>
    <w:p>
      <w:pPr>
        <w:pStyle w:val="ManualConsidrant"/>
        <w:rPr>
          <w:noProof/>
        </w:rPr>
      </w:pPr>
      <w:r>
        <w:t>(4)</w:t>
      </w:r>
      <w:r>
        <w:tab/>
      </w:r>
      <w:r>
        <w:rPr>
          <w:noProof/>
        </w:rPr>
        <w:t xml:space="preserve">Den gemensamma kommitté för ekologiska produkter (nedan kallad </w:t>
      </w:r>
      <w:r>
        <w:rPr>
          <w:i/>
          <w:noProof/>
        </w:rPr>
        <w:t>gemensamma kommittén</w:t>
      </w:r>
      <w:r>
        <w:rPr>
          <w:noProof/>
        </w:rPr>
        <w:t xml:space="preserve">) som inrättas genom artikel 8 i avtalet kommer att behandla vissa aspekter av dess genomförande. I synnerhet har gemensamma kommittén befogenhet att ändra förteckningen över produkter i bilaga I eller II till avtalet. Kommissionen bör bemyndigas att företräda unionen i gemensamma kommittén. </w:t>
      </w:r>
    </w:p>
    <w:p>
      <w:pPr>
        <w:pStyle w:val="ManualConsidrant"/>
        <w:rPr>
          <w:noProof/>
        </w:rPr>
      </w:pPr>
      <w:r>
        <w:t>(5)</w:t>
      </w:r>
      <w:r>
        <w:tab/>
      </w:r>
      <w:r>
        <w:rPr>
          <w:noProof/>
        </w:rPr>
        <w:t xml:space="preserve">För att underlätta godkännandet av ändringar av förteckningen över produkter i bilaga I eller II bör kommissionen ha rätt att godkänna dem, förutsatt att medlemsstaternas företrädare har underrättats i förväg. Kommissionen bör underrätta medlemsstaternas företrädare om de ändringar av bilaga I eller II som den avser att godkänna i gemensamma kommittén och förse medlemsstaternas företrädare med all relevant information som har lett till att kommissionen anser att likvärdighet kan godtas. </w:t>
      </w:r>
    </w:p>
    <w:p>
      <w:pPr>
        <w:pStyle w:val="ManualConsidrant"/>
        <w:rPr>
          <w:noProof/>
        </w:rPr>
      </w:pPr>
      <w:r>
        <w:t>(6)</w:t>
      </w:r>
      <w:r>
        <w:tab/>
      </w:r>
      <w:r>
        <w:rPr>
          <w:noProof/>
        </w:rPr>
        <w:t xml:space="preserve">För att möjliggöra en snabb reaktion ifall villkoren för likvärdighet inte längre är uppfyllda bör kommissionen dessutom ha rätt att ensidigt avbryta erkännandet av likvärdighet, förutsatt att medlemsstaternas företrädare har informerats i förväg. </w:t>
      </w:r>
    </w:p>
    <w:p>
      <w:pPr>
        <w:pStyle w:val="ManualConsidrant"/>
        <w:rPr>
          <w:noProof/>
        </w:rPr>
      </w:pPr>
      <w:r>
        <w:t>(7)</w:t>
      </w:r>
      <w:r>
        <w:tab/>
      </w:r>
      <w:r>
        <w:rPr>
          <w:noProof/>
        </w:rPr>
        <w:t xml:space="preserve">Om företrädare för medlemsstater som utgör en blockerande minoritet skulle invända mot den ståndpunkt som lagts fram av kommissionen, bör kommissionen inte ha rätt att godkänna ändringar av förteckningen över produkter i bilaga I eller II eller att tillfälligt upphäva erkännandet av likvärdighet. I detta fall bör kommissionen lägga fram ett förslag till rådsbeslut på grundval av artikel 218.9 i fördraget. </w:t>
      </w:r>
    </w:p>
    <w:p>
      <w:pPr>
        <w:pStyle w:val="ManualConsidrant"/>
        <w:rPr>
          <w:noProof/>
        </w:rPr>
      </w:pPr>
      <w:r>
        <w:t>(8)</w:t>
      </w:r>
      <w:r>
        <w:tab/>
      </w:r>
      <w:r>
        <w:rPr>
          <w:noProof/>
        </w:rPr>
        <w:t xml:space="preserve">Avtalet bör godkännas på unionens vägnar. </w:t>
      </w:r>
    </w:p>
    <w:p>
      <w:pPr>
        <w:pStyle w:val="Formuledadoption"/>
        <w:rPr>
          <w:noProof/>
        </w:rPr>
      </w:pPr>
      <w:r>
        <w:rPr>
          <w:noProof/>
        </w:rPr>
        <w:t xml:space="preserve">HÄRIGENOM FÖRESKRIVS FÖLJANDE. </w:t>
      </w:r>
    </w:p>
    <w:p>
      <w:pPr>
        <w:pStyle w:val="Titrearticle"/>
        <w:rPr>
          <w:noProof/>
        </w:rPr>
      </w:pPr>
      <w:r>
        <w:rPr>
          <w:noProof/>
        </w:rPr>
        <w:t>Artikel 1</w:t>
      </w:r>
    </w:p>
    <w:p>
      <w:pPr>
        <w:pStyle w:val="ManualNumPar1"/>
        <w:rPr>
          <w:noProof/>
        </w:rPr>
      </w:pPr>
      <w:r>
        <w:t>1.</w:t>
      </w:r>
      <w:r>
        <w:tab/>
      </w:r>
      <w:r>
        <w:rPr>
          <w:noProof/>
        </w:rPr>
        <w:t xml:space="preserve">Avtalet mellan Europeiska unionen och Republiken Chile om handel med ekologiska produkter (nedan kallat </w:t>
      </w:r>
      <w:r>
        <w:rPr>
          <w:i/>
          <w:noProof/>
        </w:rPr>
        <w:t>avtalet</w:t>
      </w:r>
      <w:r>
        <w:rPr>
          <w:noProof/>
        </w:rPr>
        <w:t>) godkänns härmed på unionens vägnar.</w:t>
      </w:r>
    </w:p>
    <w:p>
      <w:pPr>
        <w:pStyle w:val="ManualNumPar1"/>
        <w:rPr>
          <w:noProof/>
        </w:rPr>
      </w:pPr>
      <w:r>
        <w:t>2.</w:t>
      </w:r>
      <w:r>
        <w:tab/>
      </w:r>
      <w:r>
        <w:rPr>
          <w:noProof/>
        </w:rPr>
        <w:t>Texten till avtalet åtföljer detta beslut.</w:t>
      </w:r>
    </w:p>
    <w:p>
      <w:pPr>
        <w:pStyle w:val="Titrearticle"/>
        <w:keepNext w:val="0"/>
        <w:rPr>
          <w:noProof/>
        </w:rPr>
      </w:pPr>
      <w:r>
        <w:rPr>
          <w:noProof/>
        </w:rPr>
        <w:t>Artikel 2</w:t>
      </w:r>
    </w:p>
    <w:p>
      <w:pPr>
        <w:rPr>
          <w:noProof/>
          <w:highlight w:val="green"/>
        </w:rPr>
      </w:pPr>
      <w:r>
        <w:rPr>
          <w:noProof/>
        </w:rPr>
        <w:t>Rådets ordförande ska utse den person som ska ha rätt att på unionens vägnar göra den anmälan som avses i artikel 15 första stycket i avtalet för att uttrycka Europeiska unionens samtycke till att bli bunden av avtalet.</w:t>
      </w:r>
    </w:p>
    <w:p>
      <w:pPr>
        <w:pStyle w:val="Titrearticle"/>
        <w:keepNext w:val="0"/>
        <w:rPr>
          <w:noProof/>
        </w:rPr>
      </w:pPr>
      <w:r>
        <w:rPr>
          <w:noProof/>
        </w:rPr>
        <w:t>Artikel 3</w:t>
      </w:r>
    </w:p>
    <w:p>
      <w:pPr>
        <w:rPr>
          <w:noProof/>
        </w:rPr>
      </w:pPr>
      <w:r>
        <w:rPr>
          <w:noProof/>
        </w:rPr>
        <w:t>Kommissionen ska företräda unionen i den gemensamma kommitté för ekologiska produkter som inrättas genom artikel 8 i avtalet.</w:t>
      </w:r>
    </w:p>
    <w:p>
      <w:pPr>
        <w:jc w:val="center"/>
        <w:rPr>
          <w:noProof/>
        </w:rPr>
      </w:pPr>
      <w:r>
        <w:rPr>
          <w:i/>
          <w:noProof/>
        </w:rPr>
        <w:t>Artikel 4</w:t>
      </w:r>
    </w:p>
    <w:p>
      <w:pPr>
        <w:rPr>
          <w:noProof/>
        </w:rPr>
      </w:pPr>
      <w:r>
        <w:rPr>
          <w:noProof/>
        </w:rPr>
        <w:t>Ändringar av bilaga I eller II till avtalet i enlighet med artikel 8.3 b i avtalet ska godkännas av kommissionen på unionens vägnar.</w:t>
      </w:r>
    </w:p>
    <w:p>
      <w:pPr>
        <w:rPr>
          <w:noProof/>
        </w:rPr>
      </w:pPr>
      <w:r>
        <w:rPr>
          <w:noProof/>
        </w:rPr>
        <w:t xml:space="preserve">Innan kommissionen godkänner ändringar av bilaga I eller II till avtalet ska den underrätta medlemsstaternas företrädare om unionens förutsedda ståndpunkt genom att tillhandahålla ett informationsdokument om resultatet av den bedömning av likvärdighet som gjorts med avseende på den nya eller uppdaterade förteckningen över produkter i bilaga I eller II till avtalet, vilket ska innehålla </w:t>
      </w:r>
    </w:p>
    <w:p>
      <w:pPr>
        <w:pStyle w:val="Point0letter"/>
        <w:numPr>
          <w:ilvl w:val="1"/>
          <w:numId w:val="11"/>
        </w:numPr>
        <w:rPr>
          <w:noProof/>
        </w:rPr>
      </w:pPr>
      <w:r>
        <w:rPr>
          <w:noProof/>
        </w:rPr>
        <w:t>förteckningen över berörda produkter, tillsammans med uppgifter om de mängder som förväntas exporteras till unionen,</w:t>
      </w:r>
    </w:p>
    <w:p>
      <w:pPr>
        <w:pStyle w:val="Point0letter"/>
        <w:rPr>
          <w:noProof/>
        </w:rPr>
      </w:pPr>
      <w:r>
        <w:rPr>
          <w:noProof/>
        </w:rPr>
        <w:t xml:space="preserve">de produktionsregler som tillämpas på de berörda produkterna i Chile, med uppgifter om hur eventuella väsentliga skillnader jämfört med relevanta unionsbestämmelser har lösts, </w:t>
      </w:r>
    </w:p>
    <w:p>
      <w:pPr>
        <w:pStyle w:val="Point0letter"/>
        <w:rPr>
          <w:noProof/>
        </w:rPr>
      </w:pPr>
      <w:r>
        <w:rPr>
          <w:noProof/>
        </w:rPr>
        <w:t>om så är relevant, de nya eller uppdaterade kontrollsystem som tillämpas på de berörda produkterna, med uppgifter om hur eventuella väsentliga skillnader jämfört med relevanta unionsbestämmelser har lösts,</w:t>
      </w:r>
    </w:p>
    <w:p>
      <w:pPr>
        <w:pStyle w:val="Point0letter"/>
        <w:rPr>
          <w:noProof/>
        </w:rPr>
      </w:pPr>
      <w:r>
        <w:rPr>
          <w:noProof/>
        </w:rPr>
        <w:t>all annan information som kommissionen anser vara relevant.</w:t>
      </w:r>
    </w:p>
    <w:p>
      <w:pPr>
        <w:rPr>
          <w:noProof/>
        </w:rPr>
      </w:pPr>
      <w:r>
        <w:rPr>
          <w:noProof/>
        </w:rPr>
        <w:t>Om ett antal medlemsstater som utgör en blockerande minoritet i enlighet med artikel 238.3 a andra stycket i fördraget invänder mot ståndpunkten, ska kommissionen lägga fram ett förslag i enlighet med artikel 218.9 i fördraget.</w:t>
      </w:r>
    </w:p>
    <w:p>
      <w:pPr>
        <w:rPr>
          <w:noProof/>
        </w:rPr>
      </w:pPr>
    </w:p>
    <w:p>
      <w:pPr>
        <w:pStyle w:val="Titrearticle"/>
        <w:rPr>
          <w:noProof/>
        </w:rPr>
      </w:pPr>
      <w:r>
        <w:rPr>
          <w:noProof/>
        </w:rPr>
        <w:t>Artikel 5</w:t>
      </w:r>
    </w:p>
    <w:p>
      <w:pPr>
        <w:rPr>
          <w:noProof/>
        </w:rPr>
      </w:pPr>
      <w:r>
        <w:rPr>
          <w:noProof/>
        </w:rPr>
        <w:t>Ett beslut av unionen att, i enlighet med artikel 3.4 och 3.5 i avtalet, ensidigt avbryta erkännandet av likvärdighet hos de lagar och andra författningar som anges i bilaga IV, inklusive deras uppdaterade och konsoliderade versioner som det hänvisas till i bilaga V, ska fattas av kommissionen.</w:t>
      </w:r>
    </w:p>
    <w:p>
      <w:pPr>
        <w:rPr>
          <w:noProof/>
        </w:rPr>
      </w:pPr>
      <w:r>
        <w:rPr>
          <w:noProof/>
        </w:rPr>
        <w:t>Innan kommissionen fattar ett sådant beslut ska den underrätta medlemsstaternas företrädare i enlighet med förfarandet i artikel 4.</w:t>
      </w:r>
    </w:p>
    <w:p>
      <w:pPr>
        <w:pStyle w:val="Titrearticle"/>
        <w:rPr>
          <w:noProof/>
        </w:rPr>
      </w:pPr>
      <w:r>
        <w:rPr>
          <w:noProof/>
        </w:rPr>
        <w:t>Artikel 6</w:t>
      </w:r>
    </w:p>
    <w:p>
      <w:pPr>
        <w:keepLines/>
        <w:rPr>
          <w:noProof/>
        </w:rPr>
      </w:pPr>
      <w:r>
        <w:rPr>
          <w:noProof/>
        </w:rPr>
        <w:t>Detta beslut träder i kraft den […].</w:t>
      </w:r>
    </w:p>
    <w:p>
      <w:pPr>
        <w:pStyle w:val="Fait"/>
        <w:rPr>
          <w:noProof/>
        </w:rPr>
      </w:pPr>
      <w:r>
        <w:rPr>
          <w:noProof/>
        </w:rPr>
        <w:t>Utfärdat i Bryssel den</w:t>
      </w:r>
    </w:p>
    <w:p>
      <w:pPr>
        <w:pStyle w:val="Institutionquisigne"/>
        <w:rPr>
          <w:noProof/>
        </w:rPr>
      </w:pPr>
      <w:r>
        <w:rPr>
          <w:noProof/>
        </w:rPr>
        <w:tab/>
        <w:t>På rådets vägnar</w:t>
      </w:r>
    </w:p>
    <w:p>
      <w:pPr>
        <w:pStyle w:val="Personnequisigne"/>
        <w:rPr>
          <w:noProof/>
        </w:rPr>
      </w:pPr>
      <w:r>
        <w:rPr>
          <w:noProof/>
        </w:rPr>
        <w:tab/>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4E5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683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4AFC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4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C9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C1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81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7: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1804B720CAE4816B4781F6E309CEF40"/>
    <w:docVar w:name="LW_CROSSREFERENCE" w:val="&lt;UNUSED&gt;"/>
    <w:docVar w:name="LW_DocType" w:val="COM"/>
    <w:docVar w:name="LW_EMISSION" w:val="5.12.2016"/>
    <w:docVar w:name="LW_EMISSION_ISODATE" w:val="2016-12-05"/>
    <w:docVar w:name="LW_EMISSION_LOCATION" w:val="BRX"/>
    <w:docVar w:name="LW_EMISSION_PREFIX" w:val="Bry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NLE"/>
    <w:docVar w:name="LW_REF.II.NEW.CP_NUMBER" w:val="0383"/>
    <w:docVar w:name="LW_REF.II.NEW.CP_YEAR" w:val="2016"/>
    <w:docVar w:name="LW_REF.INST.NEW" w:val="COM"/>
    <w:docVar w:name="LW_REF.INST.NEW_ADOPTED" w:val="final"/>
    <w:docVar w:name="LW_REF.INST.NEW_TEXT" w:val="(2016) 771"/>
    <w:docVar w:name="LW_REF.INTERNE" w:val="&lt;UNUSED&gt;"/>
    <w:docVar w:name="LW_SOUS.TITRE.OBJ.CP" w:val="&lt;UNUSED&gt;"/>
    <w:docVar w:name="LW_STATUT.CP" w:val="Förslag till"/>
    <w:docVar w:name="LW_SUPERTITRE" w:val="&lt;UNUSED&gt;"/>
    <w:docVar w:name="LW_TITRE.OBJ.CP" w:val="om ingående av avtalet mellan Europeiska unionen och Republiken Chile om handel med ekologiska produkter"/>
    <w:docVar w:name="LW_TYPE.DOC.CP" w:val="RÅDETS BESLU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3420">
      <w:bodyDiv w:val="1"/>
      <w:marLeft w:val="0"/>
      <w:marRight w:val="0"/>
      <w:marTop w:val="0"/>
      <w:marBottom w:val="0"/>
      <w:divBdr>
        <w:top w:val="none" w:sz="0" w:space="0" w:color="auto"/>
        <w:left w:val="none" w:sz="0" w:space="0" w:color="auto"/>
        <w:bottom w:val="none" w:sz="0" w:space="0" w:color="auto"/>
        <w:right w:val="none" w:sz="0" w:space="0" w:color="auto"/>
      </w:divBdr>
    </w:div>
    <w:div w:id="21086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09A-1CC4-4E1F-8461-ACEE8D60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1258</Words>
  <Characters>7793</Characters>
  <Application>Microsoft Office Word</Application>
  <DocSecurity>0</DocSecurity>
  <Lines>144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2016-10-14T13:49:00Z</cp:lastPrinted>
  <dcterms:created xsi:type="dcterms:W3CDTF">2016-11-30T14:33:00Z</dcterms:created>
  <dcterms:modified xsi:type="dcterms:W3CDTF">2016-12-01T08:17:00Z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