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0B4CD8EE91488C85356335A2BCF58E"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600"/>
        <w:rPr>
          <w:noProof/>
        </w:rPr>
      </w:pPr>
      <w:bookmarkStart w:id="0" w:name="_GoBack"/>
      <w:bookmarkEnd w:id="0"/>
      <w:r>
        <w:rPr>
          <w:noProof/>
        </w:rPr>
        <w:lastRenderedPageBreak/>
        <w:t>ПРИТУРКА</w:t>
      </w:r>
    </w:p>
    <w:p>
      <w:pPr>
        <w:jc w:val="center"/>
        <w:rPr>
          <w:b/>
          <w:noProof/>
        </w:rPr>
      </w:pPr>
      <w:r>
        <w:rPr>
          <w:b/>
          <w:noProof/>
        </w:rPr>
        <w:t>ПРЕДЛОЖЕНИЕ</w:t>
      </w:r>
    </w:p>
    <w:p>
      <w:pPr>
        <w:pStyle w:val="ManualHeading1"/>
        <w:rPr>
          <w:i/>
          <w:noProof/>
        </w:rPr>
      </w:pPr>
      <w:r>
        <w:rPr>
          <w:noProof/>
        </w:rPr>
        <w:t>24.</w:t>
      </w:r>
      <w:r>
        <w:rPr>
          <w:noProof/>
        </w:rPr>
        <w:tab/>
        <w:t>МИНИМАЛНИ СТАВКИ НА ПРЕМИИТЕ ЗА КРЕДИТЕН РИСК</w:t>
      </w:r>
    </w:p>
    <w:p>
      <w:pPr>
        <w:numPr>
          <w:ilvl w:val="12"/>
          <w:numId w:val="0"/>
        </w:numPr>
        <w:tabs>
          <w:tab w:val="left" w:pos="850"/>
          <w:tab w:val="left" w:pos="1191"/>
          <w:tab w:val="left" w:pos="1531"/>
        </w:tabs>
        <w:spacing w:before="0" w:after="240"/>
        <w:rPr>
          <w:rFonts w:eastAsia="Batang"/>
          <w:noProof/>
          <w:sz w:val="22"/>
        </w:rPr>
      </w:pPr>
      <w:r>
        <w:rPr>
          <w:noProof/>
          <w:sz w:val="22"/>
        </w:rPr>
        <w:t>Участниците удържат сума, не по-малка от приложимата минимална ставка на премията (МСП) за кредитен риск.</w:t>
      </w:r>
    </w:p>
    <w:p>
      <w:pPr>
        <w:pStyle w:val="Point0"/>
        <w:rPr>
          <w:noProof/>
        </w:rPr>
      </w:pPr>
      <w:r>
        <w:rPr>
          <w:noProof/>
        </w:rPr>
        <w:t>а)</w:t>
      </w:r>
      <w:r>
        <w:rPr>
          <w:noProof/>
        </w:rPr>
        <w:tab/>
        <w:t>Приложимата МСП се определя в съответствие със следните фактори:</w:t>
      </w:r>
    </w:p>
    <w:p>
      <w:pPr>
        <w:pStyle w:val="Tiret1"/>
        <w:numPr>
          <w:ilvl w:val="0"/>
          <w:numId w:val="5"/>
        </w:numPr>
        <w:rPr>
          <w:noProof/>
        </w:rPr>
      </w:pPr>
      <w:r>
        <w:rPr>
          <w:noProof/>
        </w:rPr>
        <w:t>приложимата класификация на държавния риск;</w:t>
      </w:r>
    </w:p>
    <w:p>
      <w:pPr>
        <w:pStyle w:val="Tiret1"/>
        <w:rPr>
          <w:noProof/>
        </w:rPr>
      </w:pPr>
      <w:r>
        <w:rPr>
          <w:noProof/>
        </w:rPr>
        <w:t>продължителността на риска (т.e. хоризонта на риска или ХНР);</w:t>
      </w:r>
    </w:p>
    <w:p>
      <w:pPr>
        <w:pStyle w:val="Tiret1"/>
        <w:rPr>
          <w:noProof/>
        </w:rPr>
      </w:pPr>
      <w:r>
        <w:rPr>
          <w:noProof/>
        </w:rPr>
        <w:t>избраната категория на риска на купувача, която се отнася до длъжника;</w:t>
      </w:r>
    </w:p>
    <w:p>
      <w:pPr>
        <w:pStyle w:val="Tiret1"/>
        <w:rPr>
          <w:noProof/>
        </w:rPr>
      </w:pPr>
      <w:r>
        <w:rPr>
          <w:noProof/>
        </w:rPr>
        <w:t>процентът на покритието на политическия и търговския риск и качеството на официалния експортен кредитен продукт;</w:t>
      </w:r>
    </w:p>
    <w:p>
      <w:pPr>
        <w:pStyle w:val="Tiret1"/>
        <w:rPr>
          <w:noProof/>
        </w:rPr>
      </w:pPr>
      <w:r>
        <w:rPr>
          <w:noProof/>
        </w:rPr>
        <w:t>всички прилагани техники за ограничаване на държавния риск; както и</w:t>
      </w:r>
    </w:p>
    <w:p>
      <w:pPr>
        <w:pStyle w:val="Tiret1"/>
        <w:rPr>
          <w:noProof/>
        </w:rPr>
      </w:pPr>
      <w:r>
        <w:rPr>
          <w:noProof/>
        </w:rPr>
        <w:t>всякакви прилагани кредитни подобрения на риска на купувача.</w:t>
      </w:r>
    </w:p>
    <w:p>
      <w:pPr>
        <w:pStyle w:val="Point0"/>
        <w:rPr>
          <w:noProof/>
        </w:rPr>
      </w:pPr>
      <w:r>
        <w:rPr>
          <w:noProof/>
          <w:sz w:val="22"/>
        </w:rPr>
        <w:t>б)</w:t>
      </w:r>
      <w:r>
        <w:rPr>
          <w:noProof/>
        </w:rPr>
        <w:tab/>
        <w:t>МСП се изразяват като процент от стойността на главницата по кредита, все едно че премията се събира в пълен размер в края на първото теглене по кредита. В приложение IX е представено обяснение на изчислението на МСП, включително математическата формула.</w:t>
      </w:r>
    </w:p>
    <w:p>
      <w:pPr>
        <w:pStyle w:val="Point0"/>
        <w:rPr>
          <w:rFonts w:eastAsia="Batang"/>
          <w:noProof/>
          <w:sz w:val="22"/>
        </w:rPr>
      </w:pPr>
      <w:r>
        <w:rPr>
          <w:noProof/>
        </w:rPr>
        <w:t>в)</w:t>
      </w:r>
      <w:r>
        <w:rPr>
          <w:noProof/>
        </w:rPr>
        <w:tab/>
        <w:t>Независимо от държавата на местоназначение ставките на премиите, начислени от участниците за сделки по пазарен показател, т.е. такива, в които участват длъжници/гаранти (т.е. субекти с кредитен риск) от държави от категория 0, държави от ОИСР с високи доходи и държави от еврозоната с високи доходи</w:t>
      </w:r>
      <w:r>
        <w:rPr>
          <w:rStyle w:val="FootnoteReference"/>
          <w:noProof/>
        </w:rPr>
        <w:footnoteReference w:id="1"/>
      </w:r>
      <w:r>
        <w:rPr>
          <w:noProof/>
        </w:rPr>
        <w:t>, се определят за всеки конкретен случай.</w:t>
      </w:r>
      <w:r>
        <w:rPr>
          <w:noProof/>
          <w:sz w:val="22"/>
        </w:rPr>
        <w:t xml:space="preserve"> За да се гарантира, че ставките на премиите, начислявани в тези държави за сделки, в които участват длъжници и, според случая, гаранти, не подбиват цените на частния пазар, участниците спазват следните процедури, като използват договорени методи за превръщане на съответния ценови показател в премия:</w:t>
      </w:r>
    </w:p>
    <w:p>
      <w:pPr>
        <w:pStyle w:val="Point1"/>
        <w:rPr>
          <w:noProof/>
        </w:rPr>
      </w:pPr>
      <w:r>
        <w:rPr>
          <w:noProof/>
        </w:rPr>
        <w:lastRenderedPageBreak/>
        <w:t>1.</w:t>
      </w:r>
      <w:r>
        <w:rPr>
          <w:noProof/>
        </w:rPr>
        <w:tab/>
        <w:t>Ако даден участник предоставя официална подкрепа като част от пакет от синдикирани заеми, който е структуриран или като обезпечен с активи</w:t>
      </w:r>
      <w:r>
        <w:rPr>
          <w:rStyle w:val="FootnoteReference"/>
          <w:noProof/>
        </w:rPr>
        <w:footnoteReference w:id="2"/>
      </w:r>
      <w:r>
        <w:rPr>
          <w:noProof/>
        </w:rPr>
        <w:t>, или като сделка за финансиране на проекти</w:t>
      </w:r>
      <w:r>
        <w:rPr>
          <w:rStyle w:val="FootnoteReference"/>
          <w:noProof/>
        </w:rPr>
        <w:footnoteReference w:id="3"/>
      </w:r>
      <w:r>
        <w:rPr>
          <w:noProof/>
        </w:rPr>
        <w:t>, съвкупните разходи за официално подкрепяната част не трябва да са по-ниски от съвкупните разходи, начислявани от участника (участниците) на търговския пазар, включени в синдикирания заем, и, съответно, начислената премия трябва да бъде не по-малка от прилаганата от участника (участниците) на търговския пазар. Пакетът от синдикирани заеми трябва да отговаря на следните условия:</w:t>
      </w:r>
    </w:p>
    <w:p>
      <w:pPr>
        <w:pStyle w:val="Tiret2"/>
        <w:numPr>
          <w:ilvl w:val="0"/>
          <w:numId w:val="6"/>
        </w:numPr>
        <w:rPr>
          <w:noProof/>
        </w:rPr>
      </w:pPr>
      <w:r>
        <w:rPr>
          <w:noProof/>
        </w:rPr>
        <w:t>Най-малко 25 %</w:t>
      </w:r>
      <w:r>
        <w:rPr>
          <w:rStyle w:val="FootnoteReference"/>
          <w:noProof/>
        </w:rPr>
        <w:footnoteReference w:id="4"/>
      </w:r>
      <w:r>
        <w:rPr>
          <w:noProof/>
        </w:rPr>
        <w:t xml:space="preserve"> от синдикирания заем представлява заем(и) на търговския пазар/гаранция(гаранции), без каквато и да е двустранна или многостранна подкрепа (напр. АЕК, ПЧИ, МФИ или многостранни банки за развитие, МБР)</w:t>
      </w:r>
      <w:r>
        <w:rPr>
          <w:rStyle w:val="FootnoteReference"/>
          <w:noProof/>
        </w:rPr>
        <w:footnoteReference w:id="5"/>
      </w:r>
      <w:r>
        <w:rPr>
          <w:noProof/>
        </w:rPr>
        <w:t>, като за всички страни, участващи във финансирането, се прилагат равни финансови условия, включително пакет за обезпечаване; и</w:t>
      </w:r>
    </w:p>
    <w:p>
      <w:pPr>
        <w:pStyle w:val="Tiret2"/>
        <w:rPr>
          <w:noProof/>
        </w:rPr>
      </w:pPr>
      <w:r>
        <w:rPr>
          <w:noProof/>
        </w:rPr>
        <w:t>Финансовите условия на сделката са в пълно съответствие със споразумението, във вида му след измененията с настоящите разпоредби относно ценообразуването въз основа на пазарни показатели при сделки със синдикирани заеми.</w:t>
      </w:r>
    </w:p>
    <w:p>
      <w:pPr>
        <w:pStyle w:val="Point1"/>
        <w:rPr>
          <w:rFonts w:eastAsia="Batang"/>
          <w:noProof/>
          <w:sz w:val="22"/>
        </w:rPr>
      </w:pPr>
      <w:r>
        <w:rPr>
          <w:noProof/>
          <w:sz w:val="22"/>
        </w:rPr>
        <w:t>2.</w:t>
      </w:r>
      <w:r>
        <w:rPr>
          <w:noProof/>
        </w:rPr>
        <w:tab/>
      </w:r>
      <w:r>
        <w:rPr>
          <w:noProof/>
          <w:sz w:val="22"/>
        </w:rPr>
        <w:t>За всички други сделки по пазарни показатели се прилагат следните процедури:</w:t>
      </w:r>
    </w:p>
    <w:p>
      <w:pPr>
        <w:pStyle w:val="Tiret2"/>
        <w:rPr>
          <w:noProof/>
        </w:rPr>
      </w:pPr>
      <w:r>
        <w:rPr>
          <w:noProof/>
        </w:rPr>
        <w:t>като се вземе предвид наличието на пазарна информация и характеристиките на свързаната сделка, участниците определят ставката на премията, приложима за показател за сравнение с един или повече сравними показатели на пазара, както е определено приложение X, като се избират сравними пазарни показатели, които се приемат за целесъобразни за определената сделка,</w:t>
      </w:r>
    </w:p>
    <w:p>
      <w:pPr>
        <w:pStyle w:val="Tiret2"/>
        <w:rPr>
          <w:noProof/>
        </w:rPr>
      </w:pPr>
      <w:r>
        <w:rPr>
          <w:noProof/>
        </w:rPr>
        <w:t>При определяне на ставката на премията участникът определя рейтинга на риска на длъжника, както и дали длъжникът е получил рейтинг от акредитирана агенция за кредитен рейтинг</w:t>
      </w:r>
      <w:r>
        <w:rPr>
          <w:rStyle w:val="FootnoteReference"/>
          <w:noProof/>
        </w:rPr>
        <w:footnoteReference w:id="6"/>
      </w:r>
      <w:r>
        <w:rPr>
          <w:noProof/>
        </w:rPr>
        <w:t xml:space="preserve"> (АКР). Участникът може да определи рейтинг, който е една степен по-добър (по скáлата на </w:t>
      </w:r>
      <w:r>
        <w:rPr>
          <w:noProof/>
        </w:rPr>
        <w:lastRenderedPageBreak/>
        <w:t>акредитираната АКР) от предоставения от акредитираната АКР</w:t>
      </w:r>
      <w:r>
        <w:rPr>
          <w:rStyle w:val="FootnoteReference"/>
          <w:noProof/>
        </w:rPr>
        <w:footnoteReference w:id="7"/>
      </w:r>
      <w:r>
        <w:rPr>
          <w:noProof/>
        </w:rPr>
        <w:t>. Ако липсва рейтинг, определен от акредитирана АКР, класификацията на риска не може да надвишава с повече от две степени (да е по-благоприятна от) определения от АКР суверенен рейтинг за държавата, в която е установен длъжникът/гарантът. Участникът представя предварително уведомление в съответствие с член 48, когато класифицира длъжника/гаранта с рейтинг, по-добър от най-високия кредитен рейтинг от акредитирана АКР, или ако липсва рейтинг, определен от акредитирана АКР, както и когато класифицира сделката с рейтинг CC2 или по-висок от него или с кредитен рейтинг, равняващ се на AAA до A- или равен или по-благоприятен от най-високия суверенен рейтинг, определен от акредитирана АКР за държавата в която е установен длъжникът/гарантът.</w:t>
      </w:r>
    </w:p>
    <w:p>
      <w:pPr>
        <w:pStyle w:val="Tiret2"/>
        <w:rPr>
          <w:rFonts w:eastAsia="Batang"/>
          <w:noProof/>
          <w:sz w:val="22"/>
        </w:rPr>
      </w:pPr>
      <w:r>
        <w:rPr>
          <w:noProof/>
        </w:rPr>
        <w:t>Независимо от предходните параграфи, участниците прилагат ставка на премията, която не е по-ниска от съответната премия, определена посредством модела TCMB (Through the Cycle Market Benchmark) въз основа на класификацията на риска и матуритета по сделката, освен ако пазарният показател е получен на базата на издадени от конкретно дружество или от свързан субект i) облигации на вторичния пазар или ii) суапове за кредитно неизпълнение (СКН).</w:t>
      </w:r>
      <w:r>
        <w:rPr>
          <w:noProof/>
          <w:sz w:val="22"/>
        </w:rPr>
        <w:t xml:space="preserve"> Ако даден участник приложи ставка на премията, която е по-ниска от съответната премия, определена посредством модела TCMB въз основа на кредитен рейтинг от акредитирана АКР на специфичен пазарен показател</w:t>
      </w:r>
      <w:r>
        <w:rPr>
          <w:rStyle w:val="FootnoteReference"/>
          <w:noProof/>
        </w:rPr>
        <w:footnoteReference w:id="8"/>
      </w:r>
      <w:r>
        <w:rPr>
          <w:noProof/>
          <w:sz w:val="22"/>
        </w:rPr>
        <w:t>, той представя предварително уведомление в съответствие с член 48.</w:t>
      </w:r>
    </w:p>
    <w:p>
      <w:pPr>
        <w:pStyle w:val="Point0"/>
        <w:rPr>
          <w:rFonts w:eastAsia="Batang"/>
          <w:noProof/>
          <w:sz w:val="22"/>
        </w:rPr>
      </w:pPr>
      <w:r>
        <w:rPr>
          <w:noProof/>
          <w:sz w:val="22"/>
        </w:rPr>
        <w:t>г)</w:t>
      </w:r>
      <w:r>
        <w:rPr>
          <w:noProof/>
        </w:rPr>
        <w:tab/>
      </w:r>
      <w:r>
        <w:rPr>
          <w:noProof/>
          <w:sz w:val="22"/>
        </w:rPr>
        <w:t xml:space="preserve">Държавите с „най-висок риск“ от категория 7 по принцип подлежат на ставки на премиите над МСП, установени за тази категория; тези ставки на премиите се определят от участника, който предоставя официална подкрепа. </w:t>
      </w:r>
    </w:p>
    <w:p>
      <w:pPr>
        <w:pStyle w:val="Point0"/>
        <w:rPr>
          <w:rFonts w:eastAsia="Batang"/>
          <w:noProof/>
          <w:sz w:val="22"/>
        </w:rPr>
      </w:pPr>
      <w:r>
        <w:rPr>
          <w:noProof/>
          <w:sz w:val="22"/>
        </w:rPr>
        <w:t>д)</w:t>
      </w:r>
      <w:r>
        <w:rPr>
          <w:noProof/>
        </w:rPr>
        <w:tab/>
      </w:r>
      <w:r>
        <w:rPr>
          <w:noProof/>
          <w:sz w:val="22"/>
        </w:rPr>
        <w:t>При изчисляването на МСП за дадена сделка приложимата класификация за държавен риск е класификацията на държавата на длъжника, а приложимата класификацията на риска на купувача е класификацията на длъжника</w:t>
      </w:r>
      <w:r>
        <w:rPr>
          <w:rStyle w:val="FootnoteReference"/>
          <w:noProof/>
        </w:rPr>
        <w:footnoteReference w:id="9"/>
      </w:r>
      <w:r>
        <w:rPr>
          <w:noProof/>
          <w:sz w:val="22"/>
        </w:rPr>
        <w:t>, освен ако:</w:t>
      </w:r>
    </w:p>
    <w:p>
      <w:pPr>
        <w:pStyle w:val="Tiret1"/>
        <w:rPr>
          <w:noProof/>
        </w:rPr>
      </w:pPr>
      <w:r>
        <w:rPr>
          <w:noProof/>
        </w:rPr>
        <w:t xml:space="preserve">бъде предоставено обезпечение под формата на неотменима, безусловна, представяна при поискване, правно валидна и принудително изпълнима гаранция, покриваща цялото задължение за погасяване на дълга за целия период на кредита, от трета страна, кредитоспособна във връзка с размера на </w:t>
      </w:r>
      <w:r>
        <w:rPr>
          <w:noProof/>
        </w:rPr>
        <w:lastRenderedPageBreak/>
        <w:t>гарантирания дълг. По отношение на гаранцията на трета страна участникът може да избере да прилага класификацията на държавния риск на държавата, в която е установен гарантът, и категорията на риск на купувача на гаранта</w:t>
      </w:r>
      <w:r>
        <w:rPr>
          <w:rStyle w:val="FootnoteReference"/>
          <w:noProof/>
        </w:rPr>
        <w:footnoteReference w:id="10"/>
      </w:r>
      <w:r>
        <w:rPr>
          <w:noProof/>
        </w:rPr>
        <w:t>; или</w:t>
      </w:r>
    </w:p>
    <w:p>
      <w:pPr>
        <w:pStyle w:val="Tiret1"/>
        <w:rPr>
          <w:noProof/>
        </w:rPr>
      </w:pPr>
      <w:r>
        <w:rPr>
          <w:noProof/>
        </w:rPr>
        <w:t xml:space="preserve">многостранна или регионална институция, посочена в член 28, действа или като кредитополучател, или като гарант за сделката, като в този случай приложимата класификация на държавния риск и категорията на риск на купувача могат да са тези на конкретната участваща многостранна или регионална институция. </w:t>
      </w:r>
    </w:p>
    <w:p>
      <w:pPr>
        <w:pStyle w:val="Point0"/>
        <w:rPr>
          <w:rFonts w:eastAsia="Batang"/>
          <w:noProof/>
          <w:sz w:val="22"/>
        </w:rPr>
      </w:pPr>
      <w:r>
        <w:rPr>
          <w:noProof/>
          <w:sz w:val="22"/>
        </w:rPr>
        <w:t>е)</w:t>
      </w:r>
      <w:r>
        <w:rPr>
          <w:noProof/>
        </w:rPr>
        <w:tab/>
      </w:r>
      <w:r>
        <w:rPr>
          <w:noProof/>
          <w:sz w:val="22"/>
        </w:rPr>
        <w:t>Критериите и условията, свързани с прилагането на гаранция на трета страна в съответствие с описаните ситуации в първо и второ тире от буква д) по-горе, са определени в приложение XI.</w:t>
      </w:r>
    </w:p>
    <w:p>
      <w:pPr>
        <w:pStyle w:val="Point0"/>
        <w:rPr>
          <w:rFonts w:eastAsia="Batang"/>
          <w:noProof/>
          <w:sz w:val="22"/>
        </w:rPr>
      </w:pPr>
      <w:r>
        <w:rPr>
          <w:noProof/>
          <w:sz w:val="22"/>
        </w:rPr>
        <w:t>ж)</w:t>
      </w:r>
      <w:r>
        <w:rPr>
          <w:noProof/>
        </w:rPr>
        <w:tab/>
      </w:r>
      <w:r>
        <w:rPr>
          <w:noProof/>
          <w:sz w:val="22"/>
        </w:rPr>
        <w:t>Техниката за ХОР, използвана при изчисляване на МСП, е половината от периода на отпускане плюс целия срок на погасяване, като се приема редовен график за погасяване на експортния кредит, т.е. погасяване на равни полугодишни вноски на главницата плюс натрупаната лихва с начало шест месеца след началната дата на кредита. За експортни кредити с нестандартен график за погасяване еквивалентният срок на погасяване (изразен като равни полугодишни вноски) се изчислява по следната формула: еквивалентен срок на погасяване = (среднопретеглена продължителност на срока на погасяване -0,25) / 0,5.</w:t>
      </w:r>
    </w:p>
    <w:p>
      <w:pPr>
        <w:pStyle w:val="Point0"/>
        <w:rPr>
          <w:rFonts w:eastAsia="Batang"/>
          <w:noProof/>
          <w:sz w:val="22"/>
        </w:rPr>
      </w:pPr>
      <w:r>
        <w:rPr>
          <w:noProof/>
          <w:sz w:val="22"/>
        </w:rPr>
        <w:t>з)</w:t>
      </w:r>
      <w:r>
        <w:rPr>
          <w:noProof/>
        </w:rPr>
        <w:tab/>
      </w:r>
      <w:r>
        <w:rPr>
          <w:noProof/>
          <w:sz w:val="22"/>
        </w:rPr>
        <w:t>Участникът, който избира да прилага МСП, свързана с гарант от трета страна, намиращ се в държава, различна от тази на длъжника, представя предварително уведомление в съответствие с член 47. Участник, който избере да прилага МСП, свързана с многостранна или регионална институция, действаща като гарант, представя предварително уведомление в съответствие с член 48.</w:t>
      </w:r>
    </w:p>
    <w:p>
      <w:pPr>
        <w:pStyle w:val="ManualHeading1"/>
        <w:rPr>
          <w:rFonts w:eastAsia="Batang"/>
          <w:b w:val="0"/>
          <w:bCs/>
          <w:noProof/>
          <w:sz w:val="22"/>
        </w:rPr>
      </w:pPr>
      <w:bookmarkStart w:id="1" w:name="_Toc368389248"/>
      <w:bookmarkStart w:id="2" w:name="_Toc441046563"/>
      <w:bookmarkStart w:id="3" w:name="_Toc441052227"/>
      <w:r>
        <w:rPr>
          <w:noProof/>
          <w:sz w:val="22"/>
        </w:rPr>
        <w:t>25.</w:t>
      </w:r>
      <w:r>
        <w:rPr>
          <w:noProof/>
        </w:rPr>
        <w:tab/>
      </w:r>
      <w:r>
        <w:rPr>
          <w:noProof/>
          <w:sz w:val="22"/>
        </w:rPr>
        <w:t>КЛАСИФИКАЦИЯ НА ДЪРЖАВНИЯ РИСК</w:t>
      </w:r>
      <w:bookmarkEnd w:id="1"/>
      <w:bookmarkEnd w:id="2"/>
      <w:bookmarkEnd w:id="3"/>
    </w:p>
    <w:p>
      <w:pPr>
        <w:numPr>
          <w:ilvl w:val="12"/>
          <w:numId w:val="0"/>
        </w:numPr>
        <w:tabs>
          <w:tab w:val="left" w:pos="850"/>
          <w:tab w:val="left" w:pos="1191"/>
          <w:tab w:val="left" w:pos="1531"/>
        </w:tabs>
        <w:spacing w:before="0" w:after="240"/>
        <w:rPr>
          <w:rFonts w:eastAsia="Batang"/>
          <w:noProof/>
          <w:sz w:val="22"/>
        </w:rPr>
      </w:pPr>
      <w:r>
        <w:rPr>
          <w:noProof/>
          <w:sz w:val="22"/>
        </w:rPr>
        <w:t>С изключение на държавите от ОИСР с високи доходи и държавите от еврозоната с високи доходи, държавите се класифицират в съответствие с вероятността да обслужват своите външни дългове (т.е. държавен кредитен риск).</w:t>
      </w:r>
    </w:p>
    <w:p>
      <w:pPr>
        <w:pStyle w:val="Point0"/>
        <w:rPr>
          <w:rFonts w:eastAsia="Batang"/>
          <w:noProof/>
          <w:sz w:val="22"/>
        </w:rPr>
      </w:pPr>
      <w:r>
        <w:rPr>
          <w:noProof/>
          <w:sz w:val="22"/>
        </w:rPr>
        <w:t>а)</w:t>
      </w:r>
      <w:r>
        <w:rPr>
          <w:noProof/>
        </w:rPr>
        <w:tab/>
      </w:r>
      <w:r>
        <w:rPr>
          <w:noProof/>
          <w:sz w:val="22"/>
        </w:rPr>
        <w:t>Петте елемента на държавния кредитен риск са следните:</w:t>
      </w:r>
    </w:p>
    <w:p>
      <w:pPr>
        <w:pStyle w:val="Tiret1"/>
        <w:rPr>
          <w:noProof/>
        </w:rPr>
      </w:pPr>
      <w:r>
        <w:rPr>
          <w:noProof/>
        </w:rPr>
        <w:t>общ мораториум на плащанията, обявен от правителството на държавата на длъжника/гаранта или на държавното ведомство, чрез което се извършва погасяването;</w:t>
      </w:r>
    </w:p>
    <w:p>
      <w:pPr>
        <w:pStyle w:val="Tiret1"/>
        <w:rPr>
          <w:noProof/>
        </w:rPr>
      </w:pPr>
      <w:r>
        <w:rPr>
          <w:noProof/>
        </w:rPr>
        <w:t>политически събития и/или икономически трудности, станали извън държавата на участника, отправил уведомлението, или законодателни/административни мерки, взети извън държавата на участника, отправил уведомлението, които препятстват или забавят превода на суми, платими по кредита,</w:t>
      </w:r>
    </w:p>
    <w:p>
      <w:pPr>
        <w:pStyle w:val="Tiret1"/>
        <w:rPr>
          <w:noProof/>
        </w:rPr>
      </w:pPr>
      <w:r>
        <w:rPr>
          <w:noProof/>
        </w:rPr>
        <w:lastRenderedPageBreak/>
        <w:t>правни разпоредби, приети в държавата на длъжника/гаранта, които обявяват плащания за погасяване, извършени в местна валута, като валидно погасяване на дълга, независимо от факта, че в резултат на колебания в обменните курсове тези плащания, обърнати във валутата на кредита, не покриват повече стойността на дълга към датата на прехвърляне на средствата;</w:t>
      </w:r>
    </w:p>
    <w:p>
      <w:pPr>
        <w:pStyle w:val="Tiret1"/>
        <w:rPr>
          <w:noProof/>
        </w:rPr>
      </w:pPr>
      <w:r>
        <w:rPr>
          <w:noProof/>
        </w:rPr>
        <w:t>всяка друга мярка или решение на правителството на чужда държава, което възпрепятства погасяването по даден кредит; и</w:t>
      </w:r>
    </w:p>
    <w:p>
      <w:pPr>
        <w:pStyle w:val="Tiret1"/>
        <w:rPr>
          <w:rFonts w:eastAsia="Batang"/>
          <w:noProof/>
          <w:sz w:val="22"/>
        </w:rPr>
      </w:pPr>
      <w:r>
        <w:rPr>
          <w:noProof/>
        </w:rPr>
        <w:t>в случаи на форсмажорни обстоятелства, настъпили извън държавата на участника, отправил уведомлението, а именно: война (включително гражданска война), национализация, революция, бунт, граждански вълнения, урагани, наводнения, земетресения, вулканични изригвания, цунами и ядрени аварии.</w:t>
      </w:r>
    </w:p>
    <w:p>
      <w:pPr>
        <w:pStyle w:val="Point0"/>
        <w:rPr>
          <w:rFonts w:eastAsia="Batang"/>
          <w:noProof/>
          <w:sz w:val="22"/>
        </w:rPr>
      </w:pPr>
      <w:r>
        <w:rPr>
          <w:noProof/>
          <w:sz w:val="22"/>
        </w:rPr>
        <w:t>б)</w:t>
      </w:r>
      <w:r>
        <w:rPr>
          <w:noProof/>
        </w:rPr>
        <w:tab/>
      </w:r>
      <w:r>
        <w:rPr>
          <w:noProof/>
          <w:sz w:val="22"/>
        </w:rPr>
        <w:t xml:space="preserve">Държавите се класифицират в една от осем категории на държавния риск (0 — 7). Установени са МСП за категории 1 — 7, но не и за категория 0, тъй като нивото на държавния риск при държавите от тази категория се счита за незначително. Кредитният риск, свързан със сделки в държави от категория 0, предимно се свързва с риска на длъжника/гаранта. </w:t>
      </w:r>
    </w:p>
    <w:p>
      <w:pPr>
        <w:pStyle w:val="Point0"/>
        <w:rPr>
          <w:rFonts w:eastAsia="Batang"/>
          <w:noProof/>
          <w:sz w:val="22"/>
        </w:rPr>
      </w:pPr>
      <w:r>
        <w:rPr>
          <w:noProof/>
          <w:sz w:val="22"/>
        </w:rPr>
        <w:t>в)</w:t>
      </w:r>
      <w:r>
        <w:rPr>
          <w:noProof/>
        </w:rPr>
        <w:tab/>
      </w:r>
      <w:r>
        <w:rPr>
          <w:noProof/>
          <w:sz w:val="22"/>
        </w:rPr>
        <w:t>Класификацията на държавите</w:t>
      </w:r>
      <w:r>
        <w:rPr>
          <w:rStyle w:val="FootnoteReference"/>
          <w:noProof/>
        </w:rPr>
        <w:footnoteReference w:id="11"/>
      </w:r>
      <w:r>
        <w:rPr>
          <w:noProof/>
          <w:sz w:val="22"/>
        </w:rPr>
        <w:t xml:space="preserve"> се извършва чрез методологията за класификация на държавния риск, която се състои от:</w:t>
      </w:r>
    </w:p>
    <w:p>
      <w:pPr>
        <w:pStyle w:val="Tiret1"/>
        <w:rPr>
          <w:rFonts w:eastAsia="Batang"/>
          <w:noProof/>
          <w:sz w:val="22"/>
        </w:rPr>
      </w:pPr>
      <w:r>
        <w:rPr>
          <w:noProof/>
          <w:sz w:val="22"/>
        </w:rPr>
        <w:t>модела за оценка на държавния риск („модела“), с който се изготвя количествена оценка на държавния кредитен риск, основан за всяка държава на три групи показатели за риска: опит на участниците в областта на плащанията, финансово положение и икономическо положение. Методологията на модела включва различни етапи, по-специално оценката на трите групи показатели за риска и комбинацията и гъвкавото отчитане на групите показатели за риска;</w:t>
      </w:r>
    </w:p>
    <w:p>
      <w:pPr>
        <w:pStyle w:val="Tiret1"/>
        <w:rPr>
          <w:rFonts w:eastAsia="Batang"/>
          <w:noProof/>
          <w:sz w:val="22"/>
        </w:rPr>
      </w:pPr>
      <w:r>
        <w:rPr>
          <w:noProof/>
          <w:sz w:val="22"/>
        </w:rPr>
        <w:t>качествената оценка на резултатите от модела, разглеждана държава по държава, води до включване на фактори, свързани с политически рискове и/или други рискови фактори, които не се взети изцяло или частично под внимание от модела. Когато е целесъобразно, това може да доведе до коригиране на количествената оценка на модела така, че да отразява крайната оценка на държавния кредитен риск.</w:t>
      </w:r>
    </w:p>
    <w:p>
      <w:pPr>
        <w:pStyle w:val="Point0"/>
        <w:rPr>
          <w:rFonts w:eastAsia="Batang"/>
          <w:noProof/>
          <w:sz w:val="22"/>
        </w:rPr>
      </w:pPr>
      <w:r>
        <w:rPr>
          <w:noProof/>
          <w:sz w:val="22"/>
        </w:rPr>
        <w:t>г)</w:t>
      </w:r>
      <w:r>
        <w:rPr>
          <w:noProof/>
        </w:rPr>
        <w:tab/>
      </w:r>
      <w:r>
        <w:rPr>
          <w:noProof/>
          <w:sz w:val="22"/>
        </w:rPr>
        <w:t>Класификациите на държавния риск се следят постоянно и се преразглеждат поне веднъж годишно, а промените в резултат от методологията за класификация на държавния риск се съобщават незабавно от секретариата. Когато дадена държава бъде класифицирана в по-висока или по-ниска категория на държавния риск, не по-късно от пет работни дни след като секретариатът съобщи за промяната в класификацията участниците прилагат ставки на премиите, равни или над равнището на МСП, съответстващи на новата категория на държавния риск.</w:t>
      </w:r>
    </w:p>
    <w:p>
      <w:pPr>
        <w:pStyle w:val="Point0"/>
        <w:rPr>
          <w:rFonts w:eastAsia="Batang"/>
          <w:noProof/>
          <w:sz w:val="22"/>
        </w:rPr>
      </w:pPr>
      <w:r>
        <w:rPr>
          <w:noProof/>
          <w:sz w:val="22"/>
        </w:rPr>
        <w:t>д)</w:t>
      </w:r>
      <w:r>
        <w:rPr>
          <w:noProof/>
        </w:rPr>
        <w:tab/>
      </w:r>
      <w:r>
        <w:rPr>
          <w:noProof/>
          <w:sz w:val="22"/>
        </w:rPr>
        <w:t>Приложимите класификации на държавния риск се публикуват от секретариата.</w:t>
      </w:r>
    </w:p>
    <w:p>
      <w:pPr>
        <w:pStyle w:val="ManualHeading1"/>
        <w:rPr>
          <w:rFonts w:eastAsia="Batang"/>
          <w:b w:val="0"/>
          <w:bCs/>
          <w:noProof/>
          <w:sz w:val="22"/>
        </w:rPr>
      </w:pPr>
      <w:bookmarkStart w:id="4" w:name="_Toc368389249"/>
      <w:bookmarkStart w:id="5" w:name="_Toc441046564"/>
      <w:bookmarkStart w:id="6" w:name="_Toc441052228"/>
      <w:r>
        <w:rPr>
          <w:noProof/>
          <w:sz w:val="22"/>
        </w:rPr>
        <w:lastRenderedPageBreak/>
        <w:t>26.</w:t>
      </w:r>
      <w:r>
        <w:rPr>
          <w:noProof/>
        </w:rPr>
        <w:tab/>
      </w:r>
      <w:r>
        <w:rPr>
          <w:noProof/>
          <w:sz w:val="22"/>
        </w:rPr>
        <w:t>ОЦЕНКА НА СУВЕРЕННИЯ РИСК</w:t>
      </w:r>
      <w:bookmarkEnd w:id="4"/>
      <w:bookmarkEnd w:id="5"/>
      <w:bookmarkEnd w:id="6"/>
    </w:p>
    <w:p>
      <w:pPr>
        <w:pStyle w:val="Point0"/>
        <w:rPr>
          <w:rFonts w:eastAsia="Batang"/>
          <w:noProof/>
          <w:sz w:val="22"/>
        </w:rPr>
      </w:pPr>
      <w:r>
        <w:rPr>
          <w:noProof/>
          <w:sz w:val="22"/>
        </w:rPr>
        <w:t>а)</w:t>
      </w:r>
      <w:r>
        <w:rPr>
          <w:noProof/>
        </w:rPr>
        <w:tab/>
      </w:r>
      <w:r>
        <w:rPr>
          <w:noProof/>
          <w:sz w:val="22"/>
        </w:rPr>
        <w:t>За всички държави, класифицирани посредством методологията за класификация на държавния риск в съответствие с член 25, буква г), се прави оценка на суверенния риск с цел идентифициране на извънредна база на тези суверени:</w:t>
      </w:r>
    </w:p>
    <w:p>
      <w:pPr>
        <w:pStyle w:val="Tiret1"/>
        <w:rPr>
          <w:noProof/>
        </w:rPr>
      </w:pPr>
      <w:r>
        <w:rPr>
          <w:noProof/>
        </w:rPr>
        <w:t>които не са длъжниците с най-нисък риск в държавата, и</w:t>
      </w:r>
    </w:p>
    <w:p>
      <w:pPr>
        <w:pStyle w:val="Tiret1"/>
        <w:rPr>
          <w:noProof/>
        </w:rPr>
      </w:pPr>
      <w:r>
        <w:rPr>
          <w:noProof/>
        </w:rPr>
        <w:t>чийто кредитен риск е значително по-висок от държавния риск.</w:t>
      </w:r>
    </w:p>
    <w:p>
      <w:pPr>
        <w:pStyle w:val="Point0"/>
        <w:rPr>
          <w:rFonts w:eastAsia="Batang"/>
          <w:noProof/>
          <w:sz w:val="22"/>
        </w:rPr>
      </w:pPr>
      <w:r>
        <w:rPr>
          <w:noProof/>
          <w:sz w:val="22"/>
        </w:rPr>
        <w:t>б)</w:t>
      </w:r>
      <w:r>
        <w:rPr>
          <w:noProof/>
        </w:rPr>
        <w:tab/>
      </w:r>
      <w:r>
        <w:rPr>
          <w:noProof/>
          <w:sz w:val="22"/>
        </w:rPr>
        <w:t>Идентифицирането на суверените, които отговарят на критериите, посочени в буква а) по-горе, се извършва по методологията за оценка на суверенния риск, която е разработена и договорена от участниците.</w:t>
      </w:r>
    </w:p>
    <w:p>
      <w:pPr>
        <w:pStyle w:val="Point0"/>
        <w:rPr>
          <w:rFonts w:eastAsia="Batang"/>
          <w:noProof/>
          <w:sz w:val="22"/>
        </w:rPr>
      </w:pPr>
      <w:r>
        <w:rPr>
          <w:noProof/>
          <w:sz w:val="22"/>
        </w:rPr>
        <w:t>в)</w:t>
      </w:r>
      <w:r>
        <w:rPr>
          <w:noProof/>
        </w:rPr>
        <w:tab/>
      </w:r>
      <w:r>
        <w:rPr>
          <w:noProof/>
          <w:sz w:val="22"/>
        </w:rPr>
        <w:t>Списъкът със суверените, идентифицирани като отговарящи на критериите, посочени в буква а) по-горе, подлежи на постоянен контрол и се преразглежда поне веднъж годишно, като промените в резултат на методологията за оценка на суверенния риск се съобщават незабавно от секретариата.</w:t>
      </w:r>
    </w:p>
    <w:p>
      <w:pPr>
        <w:pStyle w:val="Point0"/>
        <w:rPr>
          <w:rFonts w:eastAsia="Batang"/>
          <w:noProof/>
          <w:sz w:val="22"/>
        </w:rPr>
      </w:pPr>
      <w:r>
        <w:rPr>
          <w:noProof/>
          <w:sz w:val="22"/>
        </w:rPr>
        <w:t>г)</w:t>
      </w:r>
      <w:r>
        <w:rPr>
          <w:noProof/>
        </w:rPr>
        <w:tab/>
      </w:r>
      <w:r>
        <w:rPr>
          <w:noProof/>
          <w:sz w:val="22"/>
        </w:rPr>
        <w:t xml:space="preserve">Списъкът на суверените, идентифицирани съгласно буква б) по-горе, се публикуват от секретариата. </w:t>
      </w:r>
    </w:p>
    <w:p>
      <w:pPr>
        <w:pStyle w:val="ManualHeading1"/>
        <w:rPr>
          <w:rFonts w:eastAsia="Batang"/>
          <w:b w:val="0"/>
          <w:bCs/>
          <w:noProof/>
          <w:sz w:val="22"/>
        </w:rPr>
      </w:pPr>
      <w:bookmarkStart w:id="7" w:name="_Toc368389250"/>
      <w:bookmarkStart w:id="8" w:name="_Toc441046565"/>
      <w:bookmarkStart w:id="9" w:name="_Toc441052229"/>
      <w:r>
        <w:rPr>
          <w:noProof/>
          <w:sz w:val="22"/>
        </w:rPr>
        <w:t>27.</w:t>
      </w:r>
      <w:r>
        <w:rPr>
          <w:noProof/>
        </w:rPr>
        <w:tab/>
      </w:r>
      <w:r>
        <w:rPr>
          <w:noProof/>
          <w:sz w:val="22"/>
        </w:rPr>
        <w:t>КЛАСИФИКАЦИЯ НА РИСКА НА КУПУВАЧА</w:t>
      </w:r>
      <w:bookmarkEnd w:id="7"/>
      <w:bookmarkEnd w:id="8"/>
      <w:bookmarkEnd w:id="9"/>
    </w:p>
    <w:p>
      <w:pPr>
        <w:numPr>
          <w:ilvl w:val="12"/>
          <w:numId w:val="0"/>
        </w:numPr>
        <w:tabs>
          <w:tab w:val="left" w:pos="850"/>
          <w:tab w:val="left" w:pos="1191"/>
          <w:tab w:val="left" w:pos="1531"/>
        </w:tabs>
        <w:spacing w:before="0" w:after="240"/>
        <w:rPr>
          <w:rFonts w:eastAsia="Batang"/>
          <w:noProof/>
          <w:sz w:val="22"/>
        </w:rPr>
      </w:pPr>
      <w:r>
        <w:rPr>
          <w:noProof/>
          <w:sz w:val="22"/>
        </w:rPr>
        <w:t>Длъжниците и, ако е уместно, гарантите в държавите, класирани в категории 1–7 по държавен риск, се класифицират в една от категориите на риска на купувача, които са установени във връзка с държавата на длъжника/гаранта</w:t>
      </w:r>
      <w:r>
        <w:rPr>
          <w:rStyle w:val="FootnoteReference"/>
          <w:noProof/>
        </w:rPr>
        <w:footnoteReference w:id="12"/>
      </w:r>
      <w:r>
        <w:rPr>
          <w:noProof/>
          <w:sz w:val="22"/>
        </w:rPr>
        <w:t>. Матрицата на категориите на риска на купувача, в която се класифицират длъжници и гаранти, е представена в приложение IX. Качествените описания на категориите на риска на купувача са представени в приложение XII.</w:t>
      </w:r>
    </w:p>
    <w:p>
      <w:pPr>
        <w:pStyle w:val="Point0"/>
        <w:rPr>
          <w:rFonts w:eastAsia="Batang"/>
          <w:noProof/>
          <w:sz w:val="22"/>
        </w:rPr>
      </w:pPr>
      <w:r>
        <w:rPr>
          <w:noProof/>
          <w:sz w:val="22"/>
        </w:rPr>
        <w:t>а)</w:t>
      </w:r>
      <w:r>
        <w:rPr>
          <w:noProof/>
        </w:rPr>
        <w:tab/>
      </w:r>
      <w:r>
        <w:rPr>
          <w:noProof/>
          <w:sz w:val="22"/>
        </w:rPr>
        <w:t>Класификациите на риска на купувача се основават на първостепенен необезпечен кредитен рейтинг на длъжник/гарант съгласно определението на участника.</w:t>
      </w:r>
    </w:p>
    <w:p>
      <w:pPr>
        <w:pStyle w:val="Point0"/>
        <w:rPr>
          <w:rFonts w:eastAsia="Batang"/>
          <w:noProof/>
          <w:sz w:val="22"/>
        </w:rPr>
      </w:pPr>
      <w:r>
        <w:rPr>
          <w:noProof/>
          <w:sz w:val="22"/>
        </w:rPr>
        <w:t>б)</w:t>
      </w:r>
      <w:r>
        <w:rPr>
          <w:noProof/>
        </w:rPr>
        <w:tab/>
      </w:r>
      <w:r>
        <w:rPr>
          <w:noProof/>
          <w:sz w:val="22"/>
        </w:rPr>
        <w:t>Независимо от буква а) по-горе сделките, които получават подкрепа съгласно условията на приложение VII, и сделките, чиято кредитна стойност е 5 милиона СПТ или по-малко, могат да бъдат класифицирани на база сделка, т.е. след прилагане на кредитни подобрения на риска на купувача, но тези сделки, независимо от това как са класифицирани, не отговарят на условията за дисконтиране за прилагане на кредитни подобрения на риска на купувача.</w:t>
      </w:r>
    </w:p>
    <w:p>
      <w:pPr>
        <w:pStyle w:val="Point0"/>
        <w:rPr>
          <w:rFonts w:eastAsia="Batang"/>
          <w:noProof/>
          <w:sz w:val="22"/>
        </w:rPr>
      </w:pPr>
      <w:r>
        <w:rPr>
          <w:noProof/>
          <w:sz w:val="22"/>
        </w:rPr>
        <w:t>в)</w:t>
      </w:r>
      <w:r>
        <w:rPr>
          <w:noProof/>
        </w:rPr>
        <w:tab/>
      </w:r>
      <w:r>
        <w:rPr>
          <w:noProof/>
          <w:sz w:val="22"/>
        </w:rPr>
        <w:t>Суверенните длъжници и гаранти се класифицират в категорията SOV/CC0 на риска на купувача.</w:t>
      </w:r>
    </w:p>
    <w:p>
      <w:pPr>
        <w:pStyle w:val="Point0"/>
        <w:rPr>
          <w:rFonts w:eastAsia="Batang"/>
          <w:noProof/>
          <w:sz w:val="22"/>
        </w:rPr>
      </w:pPr>
      <w:r>
        <w:rPr>
          <w:noProof/>
          <w:sz w:val="22"/>
        </w:rPr>
        <w:t>г)</w:t>
      </w:r>
      <w:r>
        <w:rPr>
          <w:noProof/>
        </w:rPr>
        <w:tab/>
      </w:r>
      <w:r>
        <w:rPr>
          <w:noProof/>
          <w:sz w:val="22"/>
        </w:rPr>
        <w:t>В изключителни случаи несуверенните длъжници и гаранти могат да се класифицират в категория „по-нисък от суверенния риск“ (SOV+) на риска на купувача</w:t>
      </w:r>
      <w:r>
        <w:rPr>
          <w:rStyle w:val="FootnoteReference"/>
          <w:noProof/>
        </w:rPr>
        <w:footnoteReference w:id="13"/>
      </w:r>
      <w:r>
        <w:rPr>
          <w:noProof/>
          <w:sz w:val="22"/>
        </w:rPr>
        <w:t>, ако:</w:t>
      </w:r>
    </w:p>
    <w:p>
      <w:pPr>
        <w:pStyle w:val="Tiret1"/>
        <w:rPr>
          <w:noProof/>
        </w:rPr>
      </w:pPr>
      <w:r>
        <w:rPr>
          <w:noProof/>
        </w:rPr>
        <w:lastRenderedPageBreak/>
        <w:t xml:space="preserve">длъжникът/гарантът има рейтинг в чуждестранната валута от акредитирана АКР, по-добър от рейтинга в чуждестранната валута (от същата АКР) на съответния суверен; </w:t>
      </w:r>
    </w:p>
    <w:p>
      <w:pPr>
        <w:pStyle w:val="Tiret1"/>
        <w:rPr>
          <w:rFonts w:eastAsia="Batang"/>
          <w:noProof/>
          <w:sz w:val="22"/>
        </w:rPr>
      </w:pPr>
      <w:r>
        <w:rPr>
          <w:noProof/>
        </w:rPr>
        <w:t>или длъжникът/гарантът се намира в държава, в която суверенният риск е идентифициран като значително по-висок от държавния риск.</w:t>
      </w:r>
    </w:p>
    <w:p>
      <w:pPr>
        <w:pStyle w:val="Point0"/>
        <w:rPr>
          <w:rFonts w:eastAsia="Batang"/>
          <w:noProof/>
          <w:sz w:val="22"/>
        </w:rPr>
      </w:pPr>
      <w:r>
        <w:rPr>
          <w:noProof/>
          <w:sz w:val="22"/>
        </w:rPr>
        <w:t>д)</w:t>
      </w:r>
      <w:r>
        <w:rPr>
          <w:noProof/>
        </w:rPr>
        <w:tab/>
      </w:r>
      <w:r>
        <w:rPr>
          <w:noProof/>
          <w:sz w:val="22"/>
        </w:rPr>
        <w:t xml:space="preserve">Участниците представят предварително уведомление в съответствие с член 48 за сделки: </w:t>
      </w:r>
    </w:p>
    <w:p>
      <w:pPr>
        <w:pStyle w:val="Tiret1"/>
        <w:rPr>
          <w:noProof/>
        </w:rPr>
      </w:pPr>
      <w:r>
        <w:rPr>
          <w:noProof/>
        </w:rPr>
        <w:t>с несуверенен длъжник/гарант, когато е начислената премия е под тази, заложена за категория CC1 на риска на купувача, т.е. CC0 или SOV+,</w:t>
      </w:r>
    </w:p>
    <w:p>
      <w:pPr>
        <w:pStyle w:val="Tiret1"/>
        <w:rPr>
          <w:rFonts w:eastAsia="Batang"/>
          <w:noProof/>
          <w:sz w:val="22"/>
        </w:rPr>
      </w:pPr>
      <w:r>
        <w:rPr>
          <w:noProof/>
        </w:rPr>
        <w:t>с несуверенен длъжник/гарант, който има кредитна стойност, по-голяма от 5 милиона СПТ, когато участникът оцени рейтинга на риска на купувача за несуверенен длъжник/гарант, който е получил рейтинг от акредитирана АКР, и рейтингът на риска на купувача е оценен като по-добър от рейтинга на акредитираната АКР</w:t>
      </w:r>
      <w:r>
        <w:rPr>
          <w:rStyle w:val="FootnoteReference"/>
          <w:noProof/>
        </w:rPr>
        <w:footnoteReference w:id="14"/>
      </w:r>
      <w:r>
        <w:rPr>
          <w:noProof/>
        </w:rPr>
        <w:t>.</w:t>
      </w:r>
    </w:p>
    <w:p>
      <w:pPr>
        <w:pStyle w:val="Point0"/>
        <w:rPr>
          <w:rFonts w:eastAsia="Batang"/>
          <w:noProof/>
          <w:sz w:val="22"/>
        </w:rPr>
      </w:pPr>
      <w:r>
        <w:rPr>
          <w:noProof/>
          <w:sz w:val="22"/>
        </w:rPr>
        <w:t>е)</w:t>
      </w:r>
      <w:r>
        <w:rPr>
          <w:noProof/>
        </w:rPr>
        <w:tab/>
      </w:r>
      <w:r>
        <w:rPr>
          <w:noProof/>
          <w:sz w:val="22"/>
        </w:rPr>
        <w:t>Когато конкуренцията за определена сделка, при която длъжникът/гарантът е класифициран от конкурентни участници в различни категории на риска на купувача, конкурентните участници се опитват да достигнат до обща класификация на риска на купувача. Ако не се постигне съгласие по обща класификация, участникът (участниците), които са класифицирали длъжника/гаранта в по-висока класификация на риска на купувача, имат правото да прилагат по-ниската класификация на риска на купувача.</w:t>
      </w:r>
    </w:p>
    <w:p>
      <w:pPr>
        <w:pStyle w:val="ManualHeading1"/>
        <w:rPr>
          <w:rFonts w:eastAsia="Batang"/>
          <w:b w:val="0"/>
          <w:bCs/>
          <w:noProof/>
          <w:sz w:val="22"/>
        </w:rPr>
      </w:pPr>
      <w:bookmarkStart w:id="10" w:name="_Toc368389251"/>
      <w:bookmarkStart w:id="11" w:name="_Toc441046566"/>
      <w:bookmarkStart w:id="12" w:name="_Toc441052230"/>
      <w:r>
        <w:rPr>
          <w:noProof/>
          <w:sz w:val="22"/>
        </w:rPr>
        <w:t>28.</w:t>
      </w:r>
      <w:r>
        <w:rPr>
          <w:noProof/>
        </w:rPr>
        <w:tab/>
      </w:r>
      <w:r>
        <w:rPr>
          <w:noProof/>
          <w:sz w:val="22"/>
        </w:rPr>
        <w:t>КЛАСИФИКАЦИЯ НА МНОГОСТРАННИТЕ И РЕГИОНАЛНИТЕ ИНСТИТУЦИИ</w:t>
      </w:r>
      <w:bookmarkEnd w:id="10"/>
      <w:bookmarkEnd w:id="11"/>
      <w:bookmarkEnd w:id="12"/>
    </w:p>
    <w:p>
      <w:pPr>
        <w:numPr>
          <w:ilvl w:val="12"/>
          <w:numId w:val="0"/>
        </w:numPr>
        <w:tabs>
          <w:tab w:val="left" w:pos="850"/>
          <w:tab w:val="left" w:pos="1191"/>
          <w:tab w:val="left" w:pos="1531"/>
        </w:tabs>
        <w:spacing w:before="0" w:after="240"/>
        <w:rPr>
          <w:rFonts w:eastAsia="Batang"/>
          <w:noProof/>
          <w:sz w:val="22"/>
        </w:rPr>
      </w:pPr>
      <w:r>
        <w:rPr>
          <w:noProof/>
          <w:sz w:val="22"/>
        </w:rPr>
        <w:t>Многостранните и регионалните институции се класифицират в една от осемте категории на държавен риск (0–7)</w:t>
      </w:r>
      <w:r>
        <w:rPr>
          <w:rStyle w:val="FootnoteReference"/>
          <w:noProof/>
        </w:rPr>
        <w:footnoteReference w:id="15"/>
      </w:r>
      <w:r>
        <w:rPr>
          <w:noProof/>
          <w:sz w:val="22"/>
        </w:rPr>
        <w:t xml:space="preserve"> и се преразглеждат по целесъобразност. Тези приложими класификации се публикуват от секретариата.</w:t>
      </w:r>
    </w:p>
    <w:p>
      <w:pPr>
        <w:pStyle w:val="ManualHeading1"/>
        <w:rPr>
          <w:rFonts w:eastAsia="Batang"/>
          <w:b w:val="0"/>
          <w:bCs/>
          <w:noProof/>
          <w:sz w:val="22"/>
        </w:rPr>
      </w:pPr>
      <w:bookmarkStart w:id="13" w:name="_Toc368389252"/>
      <w:bookmarkStart w:id="14" w:name="_Toc441046567"/>
      <w:bookmarkStart w:id="15" w:name="_Toc441052231"/>
      <w:r>
        <w:rPr>
          <w:noProof/>
          <w:sz w:val="22"/>
        </w:rPr>
        <w:t>29.</w:t>
      </w:r>
      <w:r>
        <w:rPr>
          <w:noProof/>
        </w:rPr>
        <w:tab/>
      </w:r>
      <w:r>
        <w:rPr>
          <w:noProof/>
          <w:sz w:val="22"/>
        </w:rPr>
        <w:t>ПРОЦЕНТ И КАЧЕСТВО НА ОФИЦИАЛНОТО ПОКРИТИЕ НА ЕКСПОРТЕН КРЕДИТ</w:t>
      </w:r>
      <w:bookmarkEnd w:id="13"/>
      <w:bookmarkEnd w:id="14"/>
      <w:bookmarkEnd w:id="15"/>
    </w:p>
    <w:p>
      <w:pPr>
        <w:numPr>
          <w:ilvl w:val="12"/>
          <w:numId w:val="0"/>
        </w:numPr>
        <w:tabs>
          <w:tab w:val="left" w:pos="850"/>
          <w:tab w:val="left" w:pos="1191"/>
          <w:tab w:val="left" w:pos="1531"/>
        </w:tabs>
        <w:spacing w:before="0" w:after="240"/>
        <w:rPr>
          <w:rFonts w:eastAsia="Batang"/>
          <w:noProof/>
          <w:sz w:val="22"/>
        </w:rPr>
      </w:pPr>
      <w:r>
        <w:rPr>
          <w:noProof/>
          <w:sz w:val="22"/>
        </w:rPr>
        <w:t>МСП се разграничават, за да се вземе предвид различното качество на експортните кредитни продукти и процента на покритие, предоставен от участниците, както е посочено в приложение IX. Разграничението се основава на гледната точка на износителя (т.е. неутрализиране на конкурентния ефект в резултат от различните качества на предоставения на износителя/финансовата институция продукт).</w:t>
      </w:r>
    </w:p>
    <w:p>
      <w:pPr>
        <w:pStyle w:val="Point0"/>
        <w:rPr>
          <w:rFonts w:eastAsia="Batang"/>
          <w:noProof/>
          <w:sz w:val="22"/>
        </w:rPr>
      </w:pPr>
      <w:r>
        <w:rPr>
          <w:noProof/>
          <w:sz w:val="22"/>
        </w:rPr>
        <w:t>а)</w:t>
      </w:r>
      <w:r>
        <w:rPr>
          <w:noProof/>
        </w:rPr>
        <w:tab/>
      </w:r>
      <w:r>
        <w:rPr>
          <w:noProof/>
          <w:sz w:val="22"/>
        </w:rPr>
        <w:t xml:space="preserve">Качеството на експортния кредитен продукт зависи от това дали продуктът е застраховка, гаранция или пряко кредитиране/финансиране, а за застрахователните продукти — дали покритието на лихвата в изчаквателния период до изплащане на застрахователното обезщетение (т.е. периода между падежа за длъжника и датата, на която застрахователят е </w:t>
      </w:r>
      <w:r>
        <w:rPr>
          <w:noProof/>
          <w:sz w:val="22"/>
        </w:rPr>
        <w:lastRenderedPageBreak/>
        <w:t>длъжен да обезщети износителя/финансовата институция) се предоставя без допълнителна премия.</w:t>
      </w:r>
    </w:p>
    <w:p>
      <w:pPr>
        <w:pStyle w:val="Point0"/>
        <w:rPr>
          <w:rFonts w:eastAsia="Batang"/>
          <w:noProof/>
          <w:sz w:val="22"/>
        </w:rPr>
      </w:pPr>
      <w:r>
        <w:rPr>
          <w:noProof/>
          <w:sz w:val="22"/>
        </w:rPr>
        <w:t>б)</w:t>
      </w:r>
      <w:r>
        <w:rPr>
          <w:noProof/>
        </w:rPr>
        <w:tab/>
      </w:r>
      <w:r>
        <w:rPr>
          <w:noProof/>
          <w:sz w:val="22"/>
        </w:rPr>
        <w:t>Всички съществуващи експортни кредитни продукти, предлагани от участниците, се класифицират в една от трите продуктови категории, както следва:</w:t>
      </w:r>
    </w:p>
    <w:p>
      <w:pPr>
        <w:pStyle w:val="Tiret1"/>
        <w:rPr>
          <w:noProof/>
        </w:rPr>
      </w:pPr>
      <w:r>
        <w:rPr>
          <w:noProof/>
        </w:rPr>
        <w:t>продукт с по-нисък стандарт, тоест застраховка без покритие на лихвите в изчаквателния период до изплащане на застрахователното обезщетение, и застраховка с покритие на лихвите в изчаквателния период до изплащане на застрахователното обезщетение, но със съответна допълнителна премия,</w:t>
      </w:r>
    </w:p>
    <w:p>
      <w:pPr>
        <w:pStyle w:val="Tiret1"/>
        <w:rPr>
          <w:noProof/>
        </w:rPr>
      </w:pPr>
      <w:r>
        <w:rPr>
          <w:noProof/>
        </w:rPr>
        <w:t>стандартен продукт, тоест застраховка с покритие на лихвите в изчаквателния период до изплащане на застрахователното обезщетение без съответна допълнителна премия и с пряко кредитиране/пряко финансиране; и</w:t>
      </w:r>
    </w:p>
    <w:p>
      <w:pPr>
        <w:pStyle w:val="Tiret1"/>
        <w:rPr>
          <w:noProof/>
        </w:rPr>
      </w:pPr>
      <w:r>
        <w:rPr>
          <w:noProof/>
        </w:rPr>
        <w:t>продукт с по-висок стандарт, тоест гаранции.</w:t>
      </w:r>
    </w:p>
    <w:p>
      <w:pPr>
        <w:pStyle w:val="ManualHeading1"/>
        <w:rPr>
          <w:rFonts w:eastAsia="Batang"/>
          <w:b w:val="0"/>
          <w:bCs/>
          <w:i/>
          <w:noProof/>
          <w:sz w:val="22"/>
        </w:rPr>
      </w:pPr>
      <w:bookmarkStart w:id="16" w:name="_Toc368389253"/>
      <w:bookmarkStart w:id="17" w:name="_Toc441046568"/>
      <w:bookmarkStart w:id="18" w:name="_Toc441052232"/>
      <w:r>
        <w:rPr>
          <w:noProof/>
          <w:sz w:val="22"/>
        </w:rPr>
        <w:t>30.</w:t>
      </w:r>
      <w:r>
        <w:rPr>
          <w:noProof/>
        </w:rPr>
        <w:tab/>
      </w:r>
      <w:r>
        <w:rPr>
          <w:noProof/>
          <w:sz w:val="22"/>
        </w:rPr>
        <w:t>ТЕХНИКИ ЗА ОГРАНИЧАВАНЕ НА ДЪРЖАВНИЯ РИСК</w:t>
      </w:r>
      <w:bookmarkEnd w:id="16"/>
      <w:bookmarkEnd w:id="17"/>
      <w:bookmarkEnd w:id="18"/>
    </w:p>
    <w:p>
      <w:pPr>
        <w:pStyle w:val="Point0"/>
        <w:rPr>
          <w:rFonts w:eastAsia="Batang"/>
          <w:noProof/>
          <w:sz w:val="22"/>
        </w:rPr>
      </w:pPr>
      <w:r>
        <w:rPr>
          <w:noProof/>
          <w:sz w:val="22"/>
        </w:rPr>
        <w:t>а)</w:t>
      </w:r>
      <w:r>
        <w:rPr>
          <w:noProof/>
        </w:rPr>
        <w:tab/>
      </w:r>
      <w:r>
        <w:rPr>
          <w:noProof/>
          <w:sz w:val="22"/>
        </w:rPr>
        <w:t>Участниците могат да прилагат следните техники за ограничаване на държавния риск, като конкретното им прилагане е описано в приложение XIII:</w:t>
      </w:r>
    </w:p>
    <w:p>
      <w:pPr>
        <w:pStyle w:val="Tiret1"/>
        <w:rPr>
          <w:noProof/>
        </w:rPr>
      </w:pPr>
      <w:r>
        <w:rPr>
          <w:noProof/>
        </w:rPr>
        <w:t>задгранична структура с бъдещи потоци, съчетана със задгранична гаранционна блокирана сметка;</w:t>
      </w:r>
    </w:p>
    <w:p>
      <w:pPr>
        <w:pStyle w:val="Tiret1"/>
        <w:rPr>
          <w:rFonts w:eastAsia="Batang"/>
          <w:noProof/>
          <w:sz w:val="22"/>
        </w:rPr>
      </w:pPr>
      <w:r>
        <w:rPr>
          <w:noProof/>
        </w:rPr>
        <w:t>финансиране в местна валута.</w:t>
      </w:r>
    </w:p>
    <w:p>
      <w:pPr>
        <w:pStyle w:val="Point0"/>
        <w:rPr>
          <w:rFonts w:eastAsia="Batang"/>
          <w:noProof/>
          <w:sz w:val="22"/>
        </w:rPr>
      </w:pPr>
      <w:r>
        <w:rPr>
          <w:noProof/>
          <w:sz w:val="22"/>
        </w:rPr>
        <w:t>б)</w:t>
      </w:r>
      <w:r>
        <w:rPr>
          <w:noProof/>
        </w:rPr>
        <w:tab/>
      </w:r>
      <w:r>
        <w:rPr>
          <w:noProof/>
          <w:sz w:val="22"/>
        </w:rPr>
        <w:t>Участникът, който прилага МСП, които отразяват ограничаването на държавния риск, представя предварително уведомление в съответствие с член 47.</w:t>
      </w:r>
    </w:p>
    <w:p>
      <w:pPr>
        <w:pStyle w:val="ManualHeading1"/>
        <w:rPr>
          <w:rFonts w:eastAsia="Batang"/>
          <w:b w:val="0"/>
          <w:bCs/>
          <w:noProof/>
          <w:sz w:val="22"/>
        </w:rPr>
      </w:pPr>
      <w:bookmarkStart w:id="19" w:name="_Toc368389254"/>
      <w:bookmarkStart w:id="20" w:name="_Toc441046569"/>
      <w:bookmarkStart w:id="21" w:name="_Toc441052233"/>
      <w:r>
        <w:rPr>
          <w:noProof/>
          <w:sz w:val="22"/>
        </w:rPr>
        <w:t>31.</w:t>
      </w:r>
      <w:r>
        <w:rPr>
          <w:noProof/>
        </w:rPr>
        <w:tab/>
      </w:r>
      <w:r>
        <w:rPr>
          <w:noProof/>
          <w:sz w:val="22"/>
        </w:rPr>
        <w:t>КРЕДИТНИ ПОДОБРЕНИЯ НА РИСКА НА КУПУВАЧА</w:t>
      </w:r>
      <w:bookmarkEnd w:id="19"/>
      <w:bookmarkEnd w:id="20"/>
      <w:bookmarkEnd w:id="21"/>
    </w:p>
    <w:p>
      <w:pPr>
        <w:pStyle w:val="Point0"/>
        <w:rPr>
          <w:rFonts w:eastAsia="Batang"/>
          <w:noProof/>
          <w:sz w:val="22"/>
        </w:rPr>
      </w:pPr>
      <w:r>
        <w:rPr>
          <w:noProof/>
          <w:sz w:val="22"/>
        </w:rPr>
        <w:t>а)</w:t>
      </w:r>
      <w:r>
        <w:rPr>
          <w:noProof/>
        </w:rPr>
        <w:tab/>
      </w:r>
      <w:r>
        <w:rPr>
          <w:noProof/>
          <w:sz w:val="22"/>
        </w:rPr>
        <w:t>Участниците могат да прилагат следните кредитни подобрения на риска на купувача, които позволяват прилагането на коефициент за кредитно подобрение (ККП), по-голям от 0:</w:t>
      </w:r>
    </w:p>
    <w:p>
      <w:pPr>
        <w:pStyle w:val="Tiret1"/>
        <w:rPr>
          <w:rFonts w:eastAsia="Batang"/>
          <w:noProof/>
          <w:sz w:val="22"/>
        </w:rPr>
      </w:pPr>
      <w:r>
        <w:rPr>
          <w:noProof/>
          <w:sz w:val="22"/>
        </w:rPr>
        <w:t>Преотстъпване на приходи или вземания по договор</w:t>
      </w:r>
    </w:p>
    <w:p>
      <w:pPr>
        <w:pStyle w:val="Tiret1"/>
        <w:rPr>
          <w:rFonts w:eastAsia="Batang"/>
          <w:noProof/>
          <w:sz w:val="22"/>
        </w:rPr>
      </w:pPr>
      <w:r>
        <w:rPr>
          <w:noProof/>
          <w:sz w:val="22"/>
        </w:rPr>
        <w:t>Обезпечение с активи</w:t>
      </w:r>
    </w:p>
    <w:p>
      <w:pPr>
        <w:pStyle w:val="Tiret1"/>
        <w:rPr>
          <w:rFonts w:eastAsia="Batang"/>
          <w:noProof/>
          <w:sz w:val="22"/>
        </w:rPr>
      </w:pPr>
      <w:r>
        <w:rPr>
          <w:noProof/>
          <w:sz w:val="22"/>
        </w:rPr>
        <w:t>Обезпечение с дълготрайни активи</w:t>
      </w:r>
    </w:p>
    <w:p>
      <w:pPr>
        <w:pStyle w:val="Tiret1"/>
        <w:rPr>
          <w:rFonts w:eastAsia="Batang"/>
          <w:noProof/>
          <w:sz w:val="22"/>
        </w:rPr>
      </w:pPr>
      <w:r>
        <w:rPr>
          <w:noProof/>
          <w:sz w:val="22"/>
        </w:rPr>
        <w:t>Гаранционна блокирана сметка</w:t>
      </w:r>
    </w:p>
    <w:p>
      <w:pPr>
        <w:pStyle w:val="Point0"/>
        <w:rPr>
          <w:rFonts w:eastAsia="Batang"/>
          <w:noProof/>
          <w:sz w:val="22"/>
        </w:rPr>
      </w:pPr>
      <w:r>
        <w:rPr>
          <w:noProof/>
          <w:sz w:val="22"/>
        </w:rPr>
        <w:t>б)</w:t>
      </w:r>
      <w:r>
        <w:rPr>
          <w:noProof/>
        </w:rPr>
        <w:tab/>
      </w:r>
      <w:r>
        <w:rPr>
          <w:noProof/>
          <w:sz w:val="22"/>
        </w:rPr>
        <w:t>Определянето на кредитни подобрения на риска на купувача и максималните стойности на ККП са заложени в приложение XIII.</w:t>
      </w:r>
    </w:p>
    <w:p>
      <w:pPr>
        <w:pStyle w:val="Point0"/>
        <w:rPr>
          <w:rFonts w:eastAsia="Batang"/>
          <w:noProof/>
          <w:sz w:val="22"/>
        </w:rPr>
      </w:pPr>
      <w:r>
        <w:rPr>
          <w:noProof/>
          <w:sz w:val="22"/>
        </w:rPr>
        <w:t>в)</w:t>
      </w:r>
      <w:r>
        <w:rPr>
          <w:noProof/>
        </w:rPr>
        <w:tab/>
      </w:r>
      <w:r>
        <w:rPr>
          <w:noProof/>
          <w:sz w:val="22"/>
        </w:rPr>
        <w:t>Кредитни подобрения на риска на купувача могат да се използват самостоятелно или в комбинация със следните ограничения:</w:t>
      </w:r>
    </w:p>
    <w:p>
      <w:pPr>
        <w:pStyle w:val="Tiret1"/>
        <w:rPr>
          <w:rFonts w:eastAsia="Batang"/>
          <w:noProof/>
          <w:sz w:val="22"/>
        </w:rPr>
      </w:pPr>
      <w:r>
        <w:rPr>
          <w:noProof/>
          <w:sz w:val="22"/>
        </w:rPr>
        <w:t>максималният ККП, който се постига чрез използването на кредитни подобрения на риска на купувача, е 0,35,</w:t>
      </w:r>
    </w:p>
    <w:p>
      <w:pPr>
        <w:pStyle w:val="Tiret1"/>
        <w:rPr>
          <w:rFonts w:eastAsia="Batang"/>
          <w:noProof/>
          <w:sz w:val="22"/>
        </w:rPr>
      </w:pPr>
      <w:r>
        <w:rPr>
          <w:noProof/>
          <w:sz w:val="22"/>
        </w:rPr>
        <w:t>обезпеченията с активи и обезпеченията с дълготрайни активи не могат да се използват заедно в една сделка,</w:t>
      </w:r>
    </w:p>
    <w:p>
      <w:pPr>
        <w:pStyle w:val="Tiret1"/>
        <w:rPr>
          <w:rFonts w:eastAsia="Batang"/>
          <w:noProof/>
          <w:sz w:val="22"/>
        </w:rPr>
      </w:pPr>
      <w:r>
        <w:rPr>
          <w:noProof/>
          <w:sz w:val="22"/>
        </w:rPr>
        <w:lastRenderedPageBreak/>
        <w:t>в случай че приложимата класификация на държавния риск е подобрена посредством използването на „Задгранична структура с бъдещи потоци, съчетана със задгранична гаранционна блокирана сметка“, не могат да се прилагат кредитни подобрения на риска на купувача.</w:t>
      </w:r>
    </w:p>
    <w:p>
      <w:pPr>
        <w:pStyle w:val="Point0"/>
        <w:rPr>
          <w:rFonts w:eastAsia="Batang"/>
          <w:noProof/>
          <w:sz w:val="22"/>
        </w:rPr>
      </w:pPr>
      <w:r>
        <w:rPr>
          <w:noProof/>
          <w:sz w:val="22"/>
        </w:rPr>
        <w:t>г)</w:t>
      </w:r>
      <w:r>
        <w:rPr>
          <w:noProof/>
        </w:rPr>
        <w:tab/>
      </w:r>
      <w:r>
        <w:rPr>
          <w:noProof/>
          <w:sz w:val="22"/>
        </w:rPr>
        <w:t>При сделки, които включват длъжници, по отношение на които се прилагат правилата за ценообразуване въз основа на пазарни показатели, за рисковата премия, полученa чрез показатели на пазара на облигации и на първостепенни, необезпечени, издадени от конкретно дружество суапове за кредитно неизпълнение (СКН) или посредством модела TCMB, се прилага следният процент на дисконтиране:</w:t>
      </w:r>
    </w:p>
    <w:p>
      <w:pPr>
        <w:pStyle w:val="Tiret1"/>
        <w:rPr>
          <w:rFonts w:eastAsia="Batang"/>
          <w:noProof/>
          <w:sz w:val="22"/>
        </w:rPr>
      </w:pPr>
      <w:r>
        <w:rPr>
          <w:noProof/>
          <w:sz w:val="22"/>
        </w:rPr>
        <w:t>За обезпечения с активи: дисконтиране от максимум 15 %,</w:t>
      </w:r>
    </w:p>
    <w:p>
      <w:pPr>
        <w:pStyle w:val="Tiret1"/>
        <w:rPr>
          <w:rFonts w:eastAsia="Batang"/>
          <w:noProof/>
          <w:sz w:val="22"/>
        </w:rPr>
      </w:pPr>
      <w:r>
        <w:rPr>
          <w:noProof/>
          <w:sz w:val="22"/>
        </w:rPr>
        <w:t>За обезпечение с дълготрайни активи: дисконтиране от максимум 10 %,</w:t>
      </w:r>
    </w:p>
    <w:p>
      <w:pPr>
        <w:pStyle w:val="Tiret1"/>
        <w:rPr>
          <w:rFonts w:eastAsia="Batang"/>
          <w:noProof/>
          <w:sz w:val="22"/>
        </w:rPr>
      </w:pPr>
      <w:r>
        <w:rPr>
          <w:noProof/>
          <w:sz w:val="22"/>
        </w:rPr>
        <w:t>За гаранционна блокирана сметка (резервна сметка за обслужване на дълг): дисконтиране от максимум 10 %, и</w:t>
      </w:r>
    </w:p>
    <w:p>
      <w:pPr>
        <w:pStyle w:val="Tiret1"/>
        <w:rPr>
          <w:rFonts w:eastAsia="Batang"/>
          <w:noProof/>
          <w:sz w:val="22"/>
        </w:rPr>
      </w:pPr>
      <w:r>
        <w:rPr>
          <w:noProof/>
          <w:sz w:val="22"/>
        </w:rPr>
        <w:t>За комбинация от ККП, общо: дисконтиране от максимум 25 %,</w:t>
      </w:r>
    </w:p>
    <w:p>
      <w:pPr>
        <w:pStyle w:val="Point0"/>
        <w:rPr>
          <w:rFonts w:eastAsia="Batang"/>
          <w:noProof/>
          <w:sz w:val="22"/>
        </w:rPr>
      </w:pPr>
      <w:r>
        <w:rPr>
          <w:noProof/>
          <w:sz w:val="22"/>
        </w:rPr>
        <w:t>д)</w:t>
      </w:r>
      <w:r>
        <w:rPr>
          <w:noProof/>
        </w:rPr>
        <w:tab/>
      </w:r>
      <w:r>
        <w:rPr>
          <w:noProof/>
          <w:sz w:val="22"/>
        </w:rPr>
        <w:t>Участниците представят предварително уведомление в съответствие с член 48 за сделки с несуверенни длъжници/гаранти, които имат кредит от над 5 милиона СПТ, когато кредитни подобрения на риска на купувача водят до прилагането на ККП над 0 или когато кредитни подобрения на риска на купувача са използвани при сделки по пазарен показател, в резултат на което е получена цена под минималната ставка на премията (МСП), получена посредством модела TCMB.</w:t>
      </w:r>
    </w:p>
    <w:p>
      <w:pPr>
        <w:pStyle w:val="ManualHeading1"/>
        <w:rPr>
          <w:rFonts w:eastAsia="Batang"/>
          <w:b w:val="0"/>
          <w:bCs/>
          <w:noProof/>
          <w:sz w:val="22"/>
        </w:rPr>
      </w:pPr>
      <w:bookmarkStart w:id="22" w:name="_Toc368389255"/>
      <w:bookmarkStart w:id="23" w:name="_Toc441046570"/>
      <w:bookmarkStart w:id="24" w:name="_Toc441052234"/>
      <w:r>
        <w:rPr>
          <w:noProof/>
          <w:sz w:val="22"/>
        </w:rPr>
        <w:t>32.</w:t>
      </w:r>
      <w:r>
        <w:rPr>
          <w:noProof/>
        </w:rPr>
        <w:tab/>
      </w:r>
      <w:r>
        <w:rPr>
          <w:noProof/>
          <w:sz w:val="22"/>
        </w:rPr>
        <w:t>ПРЕРАЗГЛЕЖДАНЕ НА ВАЛИДНОСТТА НА МИНИМАЛНИТЕ СТАВКИ НА ПРЕМИИТЕ</w:t>
      </w:r>
      <w:r>
        <w:rPr>
          <w:noProof/>
        </w:rPr>
        <w:tab/>
      </w:r>
      <w:r>
        <w:rPr>
          <w:rFonts w:eastAsia="Batang"/>
          <w:bCs/>
          <w:noProof/>
          <w:sz w:val="22"/>
        </w:rPr>
        <w:br/>
      </w:r>
      <w:r>
        <w:rPr>
          <w:noProof/>
          <w:sz w:val="22"/>
        </w:rPr>
        <w:t>ЗА КРЕДИТЕН РИСК</w:t>
      </w:r>
      <w:bookmarkEnd w:id="22"/>
      <w:bookmarkEnd w:id="23"/>
      <w:bookmarkEnd w:id="24"/>
    </w:p>
    <w:p>
      <w:pPr>
        <w:pStyle w:val="Point0"/>
        <w:rPr>
          <w:rFonts w:eastAsia="Batang"/>
          <w:noProof/>
          <w:sz w:val="22"/>
        </w:rPr>
      </w:pPr>
      <w:r>
        <w:rPr>
          <w:noProof/>
          <w:sz w:val="22"/>
        </w:rPr>
        <w:t>а)</w:t>
      </w:r>
      <w:r>
        <w:rPr>
          <w:noProof/>
        </w:rPr>
        <w:tab/>
      </w:r>
      <w:r>
        <w:rPr>
          <w:noProof/>
          <w:sz w:val="22"/>
        </w:rPr>
        <w:t>За оценка на адекватността на МСП и ако е необходимо с оглед да се позволят корекции нагоре или надолу, се използват паралелно три инструмента за обратна информация за премиите (ИОИП) за редовно следене и адаптиране на МСП.</w:t>
      </w:r>
    </w:p>
    <w:p>
      <w:pPr>
        <w:pStyle w:val="Point0"/>
        <w:rPr>
          <w:rFonts w:eastAsia="Batang"/>
          <w:noProof/>
          <w:sz w:val="22"/>
        </w:rPr>
      </w:pPr>
      <w:r>
        <w:rPr>
          <w:noProof/>
          <w:sz w:val="22"/>
        </w:rPr>
        <w:t>б)</w:t>
      </w:r>
      <w:r>
        <w:rPr>
          <w:noProof/>
        </w:rPr>
        <w:tab/>
      </w:r>
      <w:r>
        <w:rPr>
          <w:noProof/>
          <w:sz w:val="22"/>
        </w:rPr>
        <w:t>ИОИП оценяват адекватността на МСП по отношение на действителния опит на институциите, които предоставят официални експортни кредити, както и на информация от частния пазар относно определянето на цените във връзка с кредитния риск.</w:t>
      </w:r>
    </w:p>
    <w:p>
      <w:pPr>
        <w:pStyle w:val="Point0"/>
        <w:rPr>
          <w:rFonts w:eastAsia="Batang"/>
          <w:noProof/>
          <w:sz w:val="22"/>
        </w:rPr>
      </w:pPr>
      <w:r>
        <w:rPr>
          <w:noProof/>
          <w:sz w:val="22"/>
        </w:rPr>
        <w:t>в)</w:t>
      </w:r>
      <w:r>
        <w:rPr>
          <w:noProof/>
        </w:rPr>
        <w:tab/>
      </w:r>
      <w:r>
        <w:rPr>
          <w:noProof/>
          <w:sz w:val="22"/>
        </w:rPr>
        <w:t xml:space="preserve">Не по-късно от 31 декември 2018 г. се извършва задълбочен преглед на всички аспекти на правилата за премии по споразумението, със специален акцент върху правилата за ценообразуването въз основа на пазарни показатели </w:t>
      </w:r>
      <w:bookmarkStart w:id="25" w:name="_Toc3270198"/>
      <w:bookmarkStart w:id="26" w:name="_Toc3281013"/>
      <w:bookmarkStart w:id="27" w:name="_Toc3281227"/>
      <w:bookmarkStart w:id="28" w:name="_Toc3284444"/>
      <w:bookmarkStart w:id="29" w:name="_Toc3285598"/>
      <w:bookmarkStart w:id="30" w:name="_Toc508772270"/>
      <w:bookmarkStart w:id="31" w:name="_Toc514753705"/>
      <w:bookmarkStart w:id="32" w:name="_Toc515268063"/>
      <w:bookmarkStart w:id="33" w:name="_Toc519427970"/>
      <w:bookmarkStart w:id="34" w:name="_Toc519490418"/>
      <w:bookmarkStart w:id="35" w:name="_Toc54762636"/>
      <w:bookmarkStart w:id="36" w:name="_Toc54763024"/>
      <w:bookmarkStart w:id="37" w:name="_Toc94434512"/>
      <w:bookmarkStart w:id="38" w:name="_Toc105572937"/>
      <w:bookmarkStart w:id="39" w:name="_Toc105573212"/>
      <w:bookmarkStart w:id="40" w:name="_Toc105577639"/>
      <w:bookmarkStart w:id="41" w:name="_Toc105578091"/>
      <w:bookmarkStart w:id="42" w:name="_Toc105578307"/>
      <w:bookmarkStart w:id="43" w:name="_Toc105578961"/>
      <w:bookmarkStart w:id="44" w:name="_Toc105579136"/>
      <w:bookmarkStart w:id="45" w:name="_Toc105579356"/>
      <w:bookmarkStart w:id="46" w:name="_Toc105579615"/>
      <w:bookmarkStart w:id="47" w:name="_Toc105579784"/>
      <w:bookmarkStart w:id="48" w:name="_Toc105579946"/>
      <w:bookmarkStart w:id="49" w:name="_Toc105580124"/>
      <w:bookmarkStart w:id="50" w:name="_Toc105580384"/>
      <w:bookmarkStart w:id="51" w:name="_Toc105582248"/>
      <w:bookmarkStart w:id="52" w:name="_Toc105582339"/>
      <w:bookmarkStart w:id="53" w:name="_Toc105582427"/>
    </w:p>
    <w:p>
      <w:pPr>
        <w:pStyle w:val="ManualHeading1"/>
        <w:rPr>
          <w:rFonts w:eastAsia="Batang"/>
          <w:bCs/>
          <w:i/>
          <w:noProof/>
          <w:sz w:val="22"/>
        </w:rPr>
      </w:pPr>
      <w:bookmarkStart w:id="54" w:name="_Toc368389275"/>
      <w:bookmarkStart w:id="55" w:name="_Toc441046590"/>
      <w:bookmarkStart w:id="56" w:name="_Toc441052254"/>
      <w:r>
        <w:rPr>
          <w:noProof/>
          <w:sz w:val="22"/>
        </w:rPr>
        <w:t>48.</w:t>
      </w:r>
      <w:r>
        <w:rPr>
          <w:noProof/>
        </w:rPr>
        <w:tab/>
      </w:r>
      <w:r>
        <w:rPr>
          <w:noProof/>
          <w:sz w:val="22"/>
        </w:rPr>
        <w:t>ПРЕДВАРИТЕЛНО УВЕДОМЛЕНИЕ</w:t>
      </w:r>
      <w:bookmarkEnd w:id="54"/>
      <w:bookmarkEnd w:id="55"/>
      <w:bookmarkEnd w:id="56"/>
    </w:p>
    <w:p>
      <w:pPr>
        <w:pStyle w:val="Point0"/>
        <w:rPr>
          <w:rFonts w:eastAsia="Batang"/>
          <w:noProof/>
          <w:sz w:val="22"/>
        </w:rPr>
      </w:pPr>
      <w:r>
        <w:rPr>
          <w:noProof/>
          <w:sz w:val="22"/>
        </w:rPr>
        <w:t>а)</w:t>
      </w:r>
      <w:r>
        <w:rPr>
          <w:noProof/>
        </w:rPr>
        <w:tab/>
      </w:r>
      <w:r>
        <w:rPr>
          <w:noProof/>
          <w:sz w:val="22"/>
        </w:rPr>
        <w:t>Всеки участник уведомява всички останали участници най-малко десет календарни дни преди поемане на всеки ангажимент в съответствие с приложение VIII, ако възнамерява да:</w:t>
      </w:r>
    </w:p>
    <w:p>
      <w:pPr>
        <w:pStyle w:val="Point1"/>
        <w:rPr>
          <w:noProof/>
        </w:rPr>
      </w:pPr>
      <w:r>
        <w:rPr>
          <w:noProof/>
        </w:rPr>
        <w:t>1)</w:t>
      </w:r>
      <w:r>
        <w:rPr>
          <w:noProof/>
        </w:rPr>
        <w:tab/>
        <w:t>предостави подкрепа в съответствие с член 10, буква г), параграф 3);</w:t>
      </w:r>
    </w:p>
    <w:p>
      <w:pPr>
        <w:pStyle w:val="Point1"/>
        <w:rPr>
          <w:noProof/>
        </w:rPr>
      </w:pPr>
      <w:r>
        <w:rPr>
          <w:noProof/>
        </w:rPr>
        <w:t>2)</w:t>
      </w:r>
      <w:r>
        <w:rPr>
          <w:noProof/>
        </w:rPr>
        <w:tab/>
        <w:t>предостави подкрепа за кредит със срок на погасяване повече от пет години на държава от категория I;</w:t>
      </w:r>
    </w:p>
    <w:p>
      <w:pPr>
        <w:pStyle w:val="Point1"/>
        <w:rPr>
          <w:noProof/>
        </w:rPr>
      </w:pPr>
      <w:r>
        <w:rPr>
          <w:noProof/>
        </w:rPr>
        <w:lastRenderedPageBreak/>
        <w:t>3)</w:t>
      </w:r>
      <w:r>
        <w:rPr>
          <w:noProof/>
        </w:rPr>
        <w:tab/>
        <w:t>предостави подкрепа в съответствие с член 13, буква а);</w:t>
      </w:r>
    </w:p>
    <w:p>
      <w:pPr>
        <w:pStyle w:val="Point1"/>
        <w:rPr>
          <w:noProof/>
        </w:rPr>
      </w:pPr>
      <w:r>
        <w:rPr>
          <w:noProof/>
        </w:rPr>
        <w:t>4)</w:t>
      </w:r>
      <w:r>
        <w:rPr>
          <w:noProof/>
        </w:rPr>
        <w:tab/>
        <w:t>предостави подкрепа в съответствие с член 14, буква г);</w:t>
      </w:r>
    </w:p>
    <w:p>
      <w:pPr>
        <w:pStyle w:val="Point1"/>
        <w:rPr>
          <w:noProof/>
        </w:rPr>
      </w:pPr>
      <w:r>
        <w:rPr>
          <w:noProof/>
        </w:rPr>
        <w:t>5)</w:t>
      </w:r>
      <w:r>
        <w:rPr>
          <w:noProof/>
        </w:rPr>
        <w:tab/>
        <w:t xml:space="preserve">прилага ставка на премията в съответствие с член 24, буква в), параграф 1, когато участва в пакет от синдикирани заеми. </w:t>
      </w:r>
    </w:p>
    <w:p>
      <w:pPr>
        <w:pStyle w:val="Point1"/>
        <w:rPr>
          <w:noProof/>
        </w:rPr>
      </w:pPr>
      <w:r>
        <w:rPr>
          <w:noProof/>
        </w:rPr>
        <w:t>6)</w:t>
      </w:r>
      <w:r>
        <w:rPr>
          <w:noProof/>
        </w:rPr>
        <w:tab/>
        <w:t>при сделки по пазарен показател — класифицира длъжника/гаранта с рейтинг, по-добър от най-високия кредитен рейтинг от акредитирана АКР, или ако липсва рейтинг, определен от акредитирана АКР, класифицира сделката с рейтинг CC2 или по-висок от него или с кредитен рейтинг, равняващ се на AAA до A- или равен или по-благоприятен от най-високия рейтинг, определен от акредитирана АКР на държавния дългов инструмент в държавата, в която е установен длъжникът/гарантът.</w:t>
      </w:r>
    </w:p>
    <w:p>
      <w:pPr>
        <w:pStyle w:val="Point1"/>
        <w:rPr>
          <w:noProof/>
        </w:rPr>
      </w:pPr>
      <w:r>
        <w:rPr>
          <w:noProof/>
          <w:sz w:val="22"/>
        </w:rPr>
        <w:t>7)</w:t>
      </w:r>
      <w:r>
        <w:rPr>
          <w:noProof/>
        </w:rPr>
        <w:tab/>
        <w:t>прилага ставка на премията, която е по-ниска от съответната премия, определена посредством модела TCMB, в съответствие с член 24, буква в), параграф 2, трето тире.</w:t>
      </w:r>
    </w:p>
    <w:p>
      <w:pPr>
        <w:pStyle w:val="Point1"/>
        <w:rPr>
          <w:noProof/>
        </w:rPr>
      </w:pPr>
      <w:r>
        <w:rPr>
          <w:noProof/>
        </w:rPr>
        <w:t>8)</w:t>
      </w:r>
      <w:r>
        <w:rPr>
          <w:noProof/>
        </w:rPr>
        <w:tab/>
        <w:t>прилага ставка на премията в съответствие с член 24, буква д), второ тире, както и приложимата класификация на държавния риск и категория на риска на купувача, използвана при изчисляване на МСП чрез ангажираността на длъжника или гаранта на класифицираната многостранна или регионална институция;</w:t>
      </w:r>
    </w:p>
    <w:p>
      <w:pPr>
        <w:pStyle w:val="Point1"/>
        <w:rPr>
          <w:rFonts w:eastAsia="Batang"/>
          <w:noProof/>
          <w:sz w:val="22"/>
        </w:rPr>
      </w:pPr>
      <w:r>
        <w:rPr>
          <w:noProof/>
        </w:rPr>
        <w:t>9)</w:t>
      </w:r>
      <w:r>
        <w:rPr>
          <w:noProof/>
        </w:rPr>
        <w:tab/>
        <w:t>прилага ставка на премията в съответствие с член 27, буква д), както и избраната категория на риска на купувача, използвана за изчисляване на МСП за дадена сделка:</w:t>
      </w:r>
    </w:p>
    <w:p>
      <w:pPr>
        <w:pStyle w:val="Tiret2"/>
        <w:rPr>
          <w:noProof/>
        </w:rPr>
      </w:pPr>
      <w:r>
        <w:rPr>
          <w:noProof/>
        </w:rPr>
        <w:t>с несуверенен длъжник/гарант, е под CC1 (т.е. CC0 или SOV+),</w:t>
      </w:r>
    </w:p>
    <w:p>
      <w:pPr>
        <w:pStyle w:val="Tiret2"/>
        <w:rPr>
          <w:noProof/>
        </w:rPr>
      </w:pPr>
      <w:r>
        <w:rPr>
          <w:noProof/>
        </w:rPr>
        <w:t>с несуверенен длъжник/гарант с кредит от над 5 милиона СПТ, е по-добра от рейтинга на акредитираната агенция за кредитен рейтинг;</w:t>
      </w:r>
    </w:p>
    <w:p>
      <w:pPr>
        <w:pStyle w:val="Point1"/>
        <w:rPr>
          <w:noProof/>
        </w:rPr>
      </w:pPr>
      <w:r>
        <w:rPr>
          <w:noProof/>
          <w:sz w:val="22"/>
        </w:rPr>
        <w:t>10)</w:t>
      </w:r>
      <w:r>
        <w:rPr>
          <w:noProof/>
        </w:rPr>
        <w:tab/>
        <w:t>прилага ставка на премията в съответствие с член 31, буква а), съгласно която използването на кредитни подобрения на риска на купувача води до прилагането на ККП над 0 или когато кредитни подобрения на риска на купувача са използвани при сделки по пазарен показател, в резултат на което е получена цена под минималната ставка на премията (МСП), получена посредством модела TCMB.</w:t>
      </w:r>
    </w:p>
    <w:p>
      <w:pPr>
        <w:pStyle w:val="Point1"/>
        <w:rPr>
          <w:noProof/>
        </w:rPr>
      </w:pPr>
      <w:r>
        <w:rPr>
          <w:noProof/>
        </w:rPr>
        <w:t>11)</w:t>
      </w:r>
      <w:r>
        <w:rPr>
          <w:noProof/>
        </w:rPr>
        <w:tab/>
        <w:t>предостави подкрепа в съответствие с член 8, буква а) от приложение ІІ;</w:t>
      </w:r>
    </w:p>
    <w:p>
      <w:pPr>
        <w:pStyle w:val="Point1"/>
        <w:rPr>
          <w:noProof/>
        </w:rPr>
      </w:pPr>
      <w:r>
        <w:rPr>
          <w:noProof/>
        </w:rPr>
        <w:t>12)</w:t>
      </w:r>
      <w:r>
        <w:rPr>
          <w:noProof/>
        </w:rPr>
        <w:tab/>
        <w:t xml:space="preserve">предостави подкрепа в съответствие с член 10, буква а), точка 1) от приложение ІV; </w:t>
      </w:r>
    </w:p>
    <w:p>
      <w:pPr>
        <w:pStyle w:val="Point1"/>
        <w:rPr>
          <w:noProof/>
        </w:rPr>
      </w:pPr>
      <w:r>
        <w:rPr>
          <w:noProof/>
        </w:rPr>
        <w:t>13)</w:t>
      </w:r>
      <w:r>
        <w:rPr>
          <w:noProof/>
        </w:rPr>
        <w:tab/>
        <w:t>предостави подкрепа в съответствие с член 5, буква б) от приложение V.</w:t>
      </w:r>
    </w:p>
    <w:p>
      <w:pPr>
        <w:pStyle w:val="Point1"/>
        <w:rPr>
          <w:rFonts w:eastAsia="Batang"/>
          <w:noProof/>
          <w:sz w:val="22"/>
        </w:rPr>
      </w:pPr>
      <w:r>
        <w:rPr>
          <w:noProof/>
        </w:rPr>
        <w:t>14)</w:t>
      </w:r>
      <w:r>
        <w:rPr>
          <w:noProof/>
        </w:rPr>
        <w:tab/>
        <w:t>предостави подкрепа в съответствие с член 4, буква а) от приложение VI;</w:t>
      </w:r>
    </w:p>
    <w:p>
      <w:pPr>
        <w:pStyle w:val="Point0"/>
        <w:rPr>
          <w:rFonts w:eastAsia="Batang"/>
          <w:noProof/>
          <w:sz w:val="22"/>
        </w:rPr>
      </w:pPr>
      <w:r>
        <w:rPr>
          <w:noProof/>
          <w:sz w:val="22"/>
        </w:rPr>
        <w:t>б)</w:t>
      </w:r>
      <w:r>
        <w:rPr>
          <w:noProof/>
        </w:rPr>
        <w:tab/>
      </w:r>
      <w:r>
        <w:rPr>
          <w:noProof/>
          <w:sz w:val="22"/>
        </w:rPr>
        <w:t>Ако участникът, отправил уведомлението, смекчи своите намерения или се откаже от тях, той информира незабавно всички останали участници за това.</w:t>
      </w:r>
    </w:p>
    <w:p>
      <w:pPr>
        <w:pStyle w:val="Point0"/>
        <w:rPr>
          <w:rFonts w:eastAsia="Batang"/>
          <w:noProof/>
          <w:sz w:val="22"/>
        </w:rPr>
        <w:sectPr>
          <w:footerReference w:type="default" r:id="rId16"/>
          <w:footerReference w:type="first" r:id="rId17"/>
          <w:footnotePr>
            <w:numRestart w:val="eachSect"/>
          </w:footnotePr>
          <w:endnotePr>
            <w:numFmt w:val="decimal"/>
          </w:endnotePr>
          <w:pgSz w:w="11906" w:h="16838"/>
          <w:pgMar w:top="1984" w:right="1247" w:bottom="1814" w:left="1191" w:header="1247" w:footer="1247" w:gutter="0"/>
          <w:cols w:space="720"/>
          <w:docGrid w:linePitch="326"/>
        </w:sectPr>
      </w:pPr>
    </w:p>
    <w:p>
      <w:pPr>
        <w:rPr>
          <w:b/>
          <w:noProof/>
        </w:rPr>
      </w:pPr>
      <w:bookmarkStart w:id="57" w:name="_Toc3270297"/>
      <w:bookmarkStart w:id="58" w:name="_Toc3281142"/>
      <w:bookmarkStart w:id="59" w:name="_Toc3281326"/>
      <w:bookmarkStart w:id="60" w:name="_Toc3284572"/>
      <w:bookmarkStart w:id="61" w:name="_Toc3285726"/>
      <w:bookmarkStart w:id="62" w:name="_Toc54762741"/>
      <w:bookmarkStart w:id="63" w:name="_Toc54763128"/>
      <w:bookmarkStart w:id="64" w:name="_Toc94434617"/>
      <w:bookmarkStart w:id="65" w:name="_Toc105573055"/>
      <w:bookmarkStart w:id="66" w:name="_Toc105573331"/>
      <w:bookmarkStart w:id="67" w:name="_Toc105577758"/>
      <w:bookmarkStart w:id="68" w:name="_Toc105578210"/>
      <w:bookmarkStart w:id="69" w:name="_Toc105578426"/>
      <w:bookmarkStart w:id="70" w:name="_Toc105579080"/>
      <w:bookmarkStart w:id="71" w:name="_Toc105579255"/>
      <w:bookmarkStart w:id="72" w:name="_Toc105579463"/>
      <w:bookmarkStart w:id="73" w:name="_Toc105579721"/>
      <w:bookmarkStart w:id="74" w:name="_Toc105579890"/>
      <w:bookmarkStart w:id="75" w:name="_Toc105580052"/>
      <w:bookmarkStart w:id="76" w:name="_Toc105580217"/>
      <w:bookmarkStart w:id="77" w:name="_Toc105580464"/>
      <w:bookmarkStart w:id="78" w:name="_Toc105582281"/>
      <w:bookmarkStart w:id="79" w:name="_Toc105582371"/>
      <w:bookmarkStart w:id="80" w:name="_Toc10558245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b/>
          <w:noProof/>
        </w:rPr>
        <w:lastRenderedPageBreak/>
        <w:t>ПРИЛОЖЕНИЕ VIII: ИНФОРМАЦИЯ, КОЯТО ТРЯБВА ДА СЕ ПРЕДОСТАВЯ В УВЕДОМЛЕНИЯТА</w:t>
      </w:r>
    </w:p>
    <w:p>
      <w:pPr>
        <w:rPr>
          <w:noProof/>
        </w:rPr>
      </w:pPr>
      <w:r>
        <w:rPr>
          <w:noProof/>
        </w:rPr>
        <w:t>Информацията, посочена в раздел I по-долу, се предоставя във всички уведомления, които се правят в съответствие със Споразумението (включително неговите приложения). Освен това информацията, посочена в раздел II, се предоставя по целесъобразност във връзка със специфичния вид на отправеното уведомление.</w:t>
      </w:r>
    </w:p>
    <w:p>
      <w:pPr>
        <w:rPr>
          <w:rFonts w:eastAsia="Batang"/>
          <w:b/>
          <w:noProof/>
          <w:sz w:val="22"/>
        </w:rPr>
      </w:pPr>
      <w:r>
        <w:rPr>
          <w:b/>
          <w:noProof/>
          <w:sz w:val="22"/>
        </w:rPr>
        <w:t>I.</w:t>
      </w:r>
      <w:r>
        <w:rPr>
          <w:noProof/>
        </w:rPr>
        <w:tab/>
      </w:r>
      <w:r>
        <w:rPr>
          <w:b/>
          <w:noProof/>
        </w:rPr>
        <w:t>ИНФОРМАЦИЯ, КОЯТО ТРЯБВА ДА СЕ ПРЕДОСТАВЯ ВЪВ ВСИЧКИ УВЕДОМЛЕНИЯ</w:t>
      </w:r>
    </w:p>
    <w:p>
      <w:pPr>
        <w:pStyle w:val="Point1"/>
        <w:rPr>
          <w:rFonts w:eastAsia="Batang"/>
          <w:b/>
          <w:bCs/>
          <w:i/>
          <w:iCs/>
          <w:noProof/>
        </w:rPr>
      </w:pPr>
      <w:bookmarkStart w:id="81" w:name="_Toc368389449"/>
      <w:r>
        <w:rPr>
          <w:b/>
          <w:i/>
          <w:noProof/>
        </w:rPr>
        <w:t>а)</w:t>
      </w:r>
      <w:r>
        <w:rPr>
          <w:b/>
          <w:i/>
          <w:noProof/>
        </w:rPr>
        <w:tab/>
        <w:t>Основна информация</w:t>
      </w:r>
      <w:bookmarkEnd w:id="81"/>
    </w:p>
    <w:p>
      <w:pPr>
        <w:pStyle w:val="Point2"/>
        <w:rPr>
          <w:noProof/>
        </w:rPr>
      </w:pPr>
      <w:r>
        <w:rPr>
          <w:noProof/>
        </w:rPr>
        <w:t>1.</w:t>
      </w:r>
      <w:r>
        <w:rPr>
          <w:noProof/>
        </w:rPr>
        <w:tab/>
        <w:t>Уведомяваща държава</w:t>
      </w:r>
    </w:p>
    <w:p>
      <w:pPr>
        <w:pStyle w:val="Point2"/>
        <w:rPr>
          <w:noProof/>
        </w:rPr>
      </w:pPr>
      <w:r>
        <w:rPr>
          <w:noProof/>
        </w:rPr>
        <w:t>2.</w:t>
      </w:r>
      <w:r>
        <w:rPr>
          <w:noProof/>
        </w:rPr>
        <w:tab/>
        <w:t>Дата на уведомяване</w:t>
      </w:r>
    </w:p>
    <w:p>
      <w:pPr>
        <w:pStyle w:val="Point2"/>
        <w:rPr>
          <w:noProof/>
        </w:rPr>
      </w:pPr>
      <w:r>
        <w:rPr>
          <w:noProof/>
        </w:rPr>
        <w:t>3.</w:t>
      </w:r>
      <w:r>
        <w:rPr>
          <w:noProof/>
        </w:rPr>
        <w:tab/>
        <w:t>Наименование на уведомяващия орган/агенция</w:t>
      </w:r>
    </w:p>
    <w:p>
      <w:pPr>
        <w:pStyle w:val="Point2"/>
        <w:rPr>
          <w:noProof/>
        </w:rPr>
      </w:pPr>
      <w:r>
        <w:rPr>
          <w:noProof/>
        </w:rPr>
        <w:t>4.</w:t>
      </w:r>
      <w:r>
        <w:rPr>
          <w:noProof/>
        </w:rPr>
        <w:tab/>
        <w:t>Референтен номер</w:t>
      </w:r>
    </w:p>
    <w:p>
      <w:pPr>
        <w:pStyle w:val="Point2"/>
        <w:rPr>
          <w:noProof/>
        </w:rPr>
      </w:pPr>
      <w:r>
        <w:rPr>
          <w:noProof/>
        </w:rPr>
        <w:t>5.</w:t>
      </w:r>
      <w:r>
        <w:rPr>
          <w:noProof/>
        </w:rPr>
        <w:tab/>
        <w:t>Първоначално уведомление или преразглеждане на предишно уведомление (номер на преразглеждането, ако е уместно)</w:t>
      </w:r>
    </w:p>
    <w:p>
      <w:pPr>
        <w:pStyle w:val="Point2"/>
        <w:rPr>
          <w:noProof/>
        </w:rPr>
      </w:pPr>
      <w:r>
        <w:rPr>
          <w:noProof/>
        </w:rPr>
        <w:t>6.</w:t>
      </w:r>
      <w:r>
        <w:rPr>
          <w:noProof/>
        </w:rPr>
        <w:tab/>
        <w:t>Номер на транша (ако е уместно)</w:t>
      </w:r>
    </w:p>
    <w:p>
      <w:pPr>
        <w:pStyle w:val="Point2"/>
        <w:rPr>
          <w:noProof/>
        </w:rPr>
      </w:pPr>
      <w:r>
        <w:rPr>
          <w:noProof/>
        </w:rPr>
        <w:t>7.</w:t>
      </w:r>
      <w:r>
        <w:rPr>
          <w:noProof/>
        </w:rPr>
        <w:tab/>
        <w:t>Референтен номер на кредитната линия (ако е уместно)</w:t>
      </w:r>
    </w:p>
    <w:p>
      <w:pPr>
        <w:pStyle w:val="Point2"/>
        <w:rPr>
          <w:noProof/>
        </w:rPr>
      </w:pPr>
      <w:r>
        <w:rPr>
          <w:noProof/>
        </w:rPr>
        <w:t>8.</w:t>
      </w:r>
      <w:r>
        <w:rPr>
          <w:noProof/>
        </w:rPr>
        <w:tab/>
        <w:t>Член(ове) от Споразумението, съгласно който/които се прави уведомлението</w:t>
      </w:r>
    </w:p>
    <w:p>
      <w:pPr>
        <w:pStyle w:val="Point2"/>
        <w:rPr>
          <w:noProof/>
        </w:rPr>
      </w:pPr>
      <w:r>
        <w:rPr>
          <w:noProof/>
        </w:rPr>
        <w:t>9.</w:t>
      </w:r>
      <w:r>
        <w:rPr>
          <w:noProof/>
        </w:rPr>
        <w:tab/>
        <w:t>Референтен номер на уведомлението, по което се извършва приравняване на условията (ако е уместно)</w:t>
      </w:r>
    </w:p>
    <w:p>
      <w:pPr>
        <w:pStyle w:val="Point2"/>
        <w:rPr>
          <w:noProof/>
        </w:rPr>
      </w:pPr>
      <w:r>
        <w:rPr>
          <w:noProof/>
        </w:rPr>
        <w:t>10.</w:t>
      </w:r>
      <w:r>
        <w:rPr>
          <w:noProof/>
        </w:rPr>
        <w:tab/>
        <w:t>Описание на подкрепата, по която се извършва приравняване на условията (ако е уместно)</w:t>
      </w:r>
    </w:p>
    <w:p>
      <w:pPr>
        <w:pStyle w:val="Point2"/>
        <w:rPr>
          <w:noProof/>
        </w:rPr>
      </w:pPr>
      <w:r>
        <w:rPr>
          <w:noProof/>
        </w:rPr>
        <w:t>11.</w:t>
      </w:r>
      <w:r>
        <w:rPr>
          <w:noProof/>
        </w:rPr>
        <w:tab/>
        <w:t>Държава на местоназначение</w:t>
      </w:r>
    </w:p>
    <w:p>
      <w:pPr>
        <w:pStyle w:val="Point1"/>
        <w:rPr>
          <w:rFonts w:eastAsia="Batang"/>
          <w:b/>
          <w:bCs/>
          <w:i/>
          <w:iCs/>
          <w:noProof/>
        </w:rPr>
      </w:pPr>
      <w:bookmarkStart w:id="82" w:name="_Toc368389450"/>
      <w:r>
        <w:rPr>
          <w:b/>
          <w:i/>
          <w:noProof/>
          <w:sz w:val="22"/>
        </w:rPr>
        <w:t>б)</w:t>
      </w:r>
      <w:r>
        <w:rPr>
          <w:noProof/>
        </w:rPr>
        <w:tab/>
      </w:r>
      <w:r>
        <w:rPr>
          <w:b/>
          <w:i/>
          <w:noProof/>
          <w:sz w:val="22"/>
        </w:rPr>
        <w:t>Информация за купувача/кредитополучателя/гаранта</w:t>
      </w:r>
      <w:bookmarkEnd w:id="82"/>
    </w:p>
    <w:p>
      <w:pPr>
        <w:pStyle w:val="Point2"/>
        <w:rPr>
          <w:noProof/>
        </w:rPr>
      </w:pPr>
      <w:r>
        <w:rPr>
          <w:noProof/>
          <w:sz w:val="22"/>
        </w:rPr>
        <w:t>12.</w:t>
      </w:r>
      <w:r>
        <w:rPr>
          <w:noProof/>
        </w:rPr>
        <w:tab/>
        <w:t>Държава на купувача</w:t>
      </w:r>
    </w:p>
    <w:p>
      <w:pPr>
        <w:pStyle w:val="Point2"/>
        <w:rPr>
          <w:noProof/>
        </w:rPr>
      </w:pPr>
      <w:r>
        <w:rPr>
          <w:noProof/>
        </w:rPr>
        <w:t>13.</w:t>
      </w:r>
      <w:r>
        <w:rPr>
          <w:noProof/>
        </w:rPr>
        <w:tab/>
        <w:t>Наименование на купувача</w:t>
      </w:r>
    </w:p>
    <w:p>
      <w:pPr>
        <w:pStyle w:val="Point2"/>
        <w:rPr>
          <w:noProof/>
        </w:rPr>
      </w:pPr>
      <w:r>
        <w:rPr>
          <w:noProof/>
        </w:rPr>
        <w:t>14.</w:t>
      </w:r>
      <w:r>
        <w:rPr>
          <w:noProof/>
        </w:rPr>
        <w:tab/>
        <w:t>Местонахождение на купувача</w:t>
      </w:r>
    </w:p>
    <w:p>
      <w:pPr>
        <w:pStyle w:val="Point2"/>
        <w:rPr>
          <w:noProof/>
        </w:rPr>
      </w:pPr>
      <w:r>
        <w:rPr>
          <w:noProof/>
        </w:rPr>
        <w:t>15.</w:t>
      </w:r>
      <w:r>
        <w:rPr>
          <w:noProof/>
        </w:rPr>
        <w:tab/>
        <w:t>Статут на купувача</w:t>
      </w:r>
    </w:p>
    <w:p>
      <w:pPr>
        <w:pStyle w:val="Point2"/>
        <w:rPr>
          <w:noProof/>
        </w:rPr>
      </w:pPr>
      <w:r>
        <w:rPr>
          <w:noProof/>
        </w:rPr>
        <w:t>16.</w:t>
      </w:r>
      <w:r>
        <w:rPr>
          <w:noProof/>
        </w:rPr>
        <w:tab/>
        <w:t>Държава на кредитополучателя (ако е различен от купувача)</w:t>
      </w:r>
    </w:p>
    <w:p>
      <w:pPr>
        <w:pStyle w:val="Point2"/>
        <w:rPr>
          <w:noProof/>
        </w:rPr>
      </w:pPr>
      <w:r>
        <w:rPr>
          <w:noProof/>
        </w:rPr>
        <w:t>17.</w:t>
      </w:r>
      <w:r>
        <w:rPr>
          <w:noProof/>
        </w:rPr>
        <w:tab/>
        <w:t>Наименование на кредитополучателя (ако е различен от купувача)</w:t>
      </w:r>
    </w:p>
    <w:p>
      <w:pPr>
        <w:pStyle w:val="Point2"/>
        <w:rPr>
          <w:noProof/>
        </w:rPr>
      </w:pPr>
      <w:r>
        <w:rPr>
          <w:noProof/>
        </w:rPr>
        <w:t>18.</w:t>
      </w:r>
      <w:r>
        <w:rPr>
          <w:noProof/>
        </w:rPr>
        <w:tab/>
        <w:t>Местонахождение на кредитополучателя (ако е различен от купувача)</w:t>
      </w:r>
    </w:p>
    <w:p>
      <w:pPr>
        <w:pStyle w:val="Point2"/>
        <w:rPr>
          <w:noProof/>
        </w:rPr>
      </w:pPr>
      <w:r>
        <w:rPr>
          <w:noProof/>
        </w:rPr>
        <w:t>19.</w:t>
      </w:r>
      <w:r>
        <w:rPr>
          <w:noProof/>
        </w:rPr>
        <w:tab/>
        <w:t>Статут на кредитополучателя (ако е различен от купувача)</w:t>
      </w:r>
    </w:p>
    <w:p>
      <w:pPr>
        <w:pStyle w:val="Point2"/>
        <w:rPr>
          <w:noProof/>
        </w:rPr>
      </w:pPr>
      <w:r>
        <w:rPr>
          <w:noProof/>
        </w:rPr>
        <w:lastRenderedPageBreak/>
        <w:t>20.</w:t>
      </w:r>
      <w:r>
        <w:rPr>
          <w:noProof/>
        </w:rPr>
        <w:tab/>
        <w:t>Държава на гаранта (ако е уместно)</w:t>
      </w:r>
    </w:p>
    <w:p>
      <w:pPr>
        <w:pStyle w:val="Point2"/>
        <w:rPr>
          <w:noProof/>
        </w:rPr>
      </w:pPr>
      <w:r>
        <w:rPr>
          <w:noProof/>
        </w:rPr>
        <w:t>21.</w:t>
      </w:r>
      <w:r>
        <w:rPr>
          <w:noProof/>
        </w:rPr>
        <w:tab/>
        <w:t>Наименование на гаранта (ако е уместно)</w:t>
      </w:r>
    </w:p>
    <w:p>
      <w:pPr>
        <w:pStyle w:val="Point2"/>
        <w:rPr>
          <w:noProof/>
        </w:rPr>
      </w:pPr>
      <w:r>
        <w:rPr>
          <w:noProof/>
        </w:rPr>
        <w:t>22.</w:t>
      </w:r>
      <w:r>
        <w:rPr>
          <w:noProof/>
        </w:rPr>
        <w:tab/>
        <w:t>Местоположение на гаранта (ако е уместно)</w:t>
      </w:r>
    </w:p>
    <w:p>
      <w:pPr>
        <w:pStyle w:val="Point2"/>
        <w:rPr>
          <w:noProof/>
        </w:rPr>
      </w:pPr>
      <w:r>
        <w:rPr>
          <w:noProof/>
        </w:rPr>
        <w:t>23.</w:t>
      </w:r>
      <w:r>
        <w:rPr>
          <w:noProof/>
        </w:rPr>
        <w:tab/>
        <w:t>Статут на гаранта (ако е уместно)</w:t>
      </w:r>
    </w:p>
    <w:p>
      <w:pPr>
        <w:pStyle w:val="Point1"/>
        <w:rPr>
          <w:rFonts w:eastAsia="Batang"/>
          <w:b/>
          <w:bCs/>
          <w:i/>
          <w:iCs/>
          <w:noProof/>
        </w:rPr>
      </w:pPr>
      <w:bookmarkStart w:id="83" w:name="_Toc368389451"/>
      <w:r>
        <w:rPr>
          <w:b/>
          <w:i/>
          <w:noProof/>
          <w:sz w:val="22"/>
        </w:rPr>
        <w:t>в)</w:t>
      </w:r>
      <w:r>
        <w:rPr>
          <w:noProof/>
        </w:rPr>
        <w:tab/>
      </w:r>
      <w:r>
        <w:rPr>
          <w:b/>
          <w:i/>
          <w:noProof/>
          <w:sz w:val="22"/>
        </w:rPr>
        <w:t>Информация за стоките и/или услугите, които се изнасят, и за проекта</w:t>
      </w:r>
      <w:bookmarkEnd w:id="83"/>
    </w:p>
    <w:p>
      <w:pPr>
        <w:pStyle w:val="Point2"/>
        <w:rPr>
          <w:noProof/>
        </w:rPr>
      </w:pPr>
      <w:r>
        <w:rPr>
          <w:noProof/>
        </w:rPr>
        <w:t>24.</w:t>
      </w:r>
      <w:r>
        <w:rPr>
          <w:noProof/>
        </w:rPr>
        <w:tab/>
        <w:t>Описание на стоките и/или услугите, които се изнасят</w:t>
      </w:r>
    </w:p>
    <w:p>
      <w:pPr>
        <w:pStyle w:val="Point2"/>
        <w:rPr>
          <w:noProof/>
        </w:rPr>
      </w:pPr>
      <w:r>
        <w:rPr>
          <w:noProof/>
        </w:rPr>
        <w:t>25.</w:t>
      </w:r>
      <w:r>
        <w:rPr>
          <w:noProof/>
        </w:rPr>
        <w:tab/>
        <w:t>Описание на проекта (ако е уместно)</w:t>
      </w:r>
    </w:p>
    <w:p>
      <w:pPr>
        <w:pStyle w:val="Point2"/>
        <w:rPr>
          <w:noProof/>
        </w:rPr>
      </w:pPr>
      <w:r>
        <w:rPr>
          <w:noProof/>
        </w:rPr>
        <w:t>26.</w:t>
      </w:r>
      <w:r>
        <w:rPr>
          <w:noProof/>
        </w:rPr>
        <w:tab/>
        <w:t>Място на проекта (ако е уместно)</w:t>
      </w:r>
    </w:p>
    <w:p>
      <w:pPr>
        <w:pStyle w:val="Point2"/>
        <w:rPr>
          <w:noProof/>
        </w:rPr>
      </w:pPr>
      <w:r>
        <w:rPr>
          <w:noProof/>
        </w:rPr>
        <w:t>27.</w:t>
      </w:r>
      <w:r>
        <w:rPr>
          <w:noProof/>
        </w:rPr>
        <w:tab/>
        <w:t>Крайна дата за представяне на офертите (ако е уместно)</w:t>
      </w:r>
    </w:p>
    <w:p>
      <w:pPr>
        <w:pStyle w:val="Point2"/>
        <w:rPr>
          <w:noProof/>
        </w:rPr>
      </w:pPr>
      <w:r>
        <w:rPr>
          <w:noProof/>
        </w:rPr>
        <w:t>28.</w:t>
      </w:r>
      <w:r>
        <w:rPr>
          <w:noProof/>
        </w:rPr>
        <w:tab/>
        <w:t>Дата на изтичане на срока на кредитната линия (ако е уместно)</w:t>
      </w:r>
    </w:p>
    <w:p>
      <w:pPr>
        <w:pStyle w:val="Point2"/>
        <w:rPr>
          <w:noProof/>
        </w:rPr>
      </w:pPr>
      <w:r>
        <w:rPr>
          <w:noProof/>
        </w:rPr>
        <w:t>29.</w:t>
      </w:r>
      <w:r>
        <w:rPr>
          <w:noProof/>
        </w:rPr>
        <w:tab/>
        <w:t>Стойност на подкрепяния(те) договора(и), изразена като действителната стойност (за всички кредитни линии и сделки за финансиране на проекта или за всяка отделна сделка на доброволен принцип) или съгласно следната скала в милиони СПТ:</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34"/>
        <w:gridCol w:w="1134"/>
      </w:tblGrid>
      <w:tr>
        <w:trPr>
          <w:cantSplit/>
          <w:jc w:val="center"/>
        </w:trPr>
        <w:tc>
          <w:tcPr>
            <w:tcW w:w="1190" w:type="dxa"/>
            <w:shd w:val="clear" w:color="auto" w:fill="D9D9D9"/>
          </w:tcPr>
          <w:p>
            <w:pPr>
              <w:numPr>
                <w:ilvl w:val="12"/>
                <w:numId w:val="0"/>
              </w:numPr>
              <w:tabs>
                <w:tab w:val="left" w:pos="850"/>
                <w:tab w:val="left" w:pos="1134"/>
                <w:tab w:val="left" w:pos="1191"/>
                <w:tab w:val="left" w:pos="1531"/>
                <w:tab w:val="left" w:pos="2977"/>
              </w:tabs>
              <w:spacing w:before="40" w:after="40"/>
              <w:jc w:val="center"/>
              <w:rPr>
                <w:rFonts w:eastAsia="Batang"/>
                <w:b/>
                <w:noProof/>
                <w:sz w:val="22"/>
              </w:rPr>
            </w:pPr>
            <w:r>
              <w:rPr>
                <w:b/>
                <w:noProof/>
                <w:sz w:val="22"/>
              </w:rPr>
              <w:t>Категория</w:t>
            </w:r>
          </w:p>
        </w:tc>
        <w:tc>
          <w:tcPr>
            <w:tcW w:w="1134" w:type="dxa"/>
            <w:shd w:val="clear" w:color="auto" w:fill="D9D9D9"/>
          </w:tcPr>
          <w:p>
            <w:pPr>
              <w:numPr>
                <w:ilvl w:val="12"/>
                <w:numId w:val="0"/>
              </w:numPr>
              <w:tabs>
                <w:tab w:val="left" w:pos="850"/>
                <w:tab w:val="left" w:pos="1191"/>
                <w:tab w:val="left" w:pos="1531"/>
                <w:tab w:val="left" w:pos="2443"/>
                <w:tab w:val="left" w:pos="2977"/>
              </w:tabs>
              <w:spacing w:before="40" w:after="40"/>
              <w:jc w:val="center"/>
              <w:rPr>
                <w:rFonts w:eastAsia="Batang"/>
                <w:b/>
                <w:noProof/>
                <w:sz w:val="22"/>
              </w:rPr>
            </w:pPr>
            <w:r>
              <w:rPr>
                <w:b/>
                <w:noProof/>
                <w:sz w:val="22"/>
              </w:rPr>
              <w:t>От</w:t>
            </w:r>
          </w:p>
        </w:tc>
        <w:tc>
          <w:tcPr>
            <w:tcW w:w="1134" w:type="dxa"/>
            <w:shd w:val="clear" w:color="auto" w:fill="D9D9D9"/>
          </w:tcPr>
          <w:p>
            <w:pPr>
              <w:numPr>
                <w:ilvl w:val="12"/>
                <w:numId w:val="0"/>
              </w:numPr>
              <w:tabs>
                <w:tab w:val="left" w:pos="850"/>
                <w:tab w:val="left" w:pos="1191"/>
                <w:tab w:val="left" w:pos="1531"/>
                <w:tab w:val="left" w:pos="2443"/>
                <w:tab w:val="left" w:pos="2977"/>
              </w:tabs>
              <w:spacing w:before="40" w:after="40"/>
              <w:jc w:val="center"/>
              <w:rPr>
                <w:rFonts w:eastAsia="Batang"/>
                <w:b/>
                <w:noProof/>
                <w:sz w:val="22"/>
              </w:rPr>
            </w:pPr>
            <w:r>
              <w:rPr>
                <w:b/>
                <w:noProof/>
                <w:sz w:val="22"/>
              </w:rPr>
              <w:t>До</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II:</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1</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2</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III:</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2</w:t>
            </w:r>
          </w:p>
        </w:tc>
        <w:tc>
          <w:tcPr>
            <w:tcW w:w="1134" w:type="dxa"/>
          </w:tcPr>
          <w:p>
            <w:pPr>
              <w:numPr>
                <w:ilvl w:val="12"/>
                <w:numId w:val="0"/>
              </w:numPr>
              <w:tabs>
                <w:tab w:val="left" w:pos="850"/>
                <w:tab w:val="left" w:pos="1191"/>
                <w:tab w:val="left" w:pos="1531"/>
              </w:tabs>
              <w:spacing w:before="40" w:after="40"/>
              <w:jc w:val="center"/>
              <w:rPr>
                <w:rFonts w:eastAsia="Batang"/>
                <w:noProof/>
                <w:sz w:val="22"/>
              </w:rPr>
            </w:pPr>
            <w:r>
              <w:rPr>
                <w:noProof/>
                <w:sz w:val="22"/>
              </w:rPr>
              <w:t>3</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3</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5</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5</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7</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7</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VIII: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40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IX:</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40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80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80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120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120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160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160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XIII:</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200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240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XIV: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240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280</w:t>
            </w:r>
          </w:p>
        </w:tc>
      </w:tr>
      <w:tr>
        <w:trPr>
          <w:cantSplit/>
          <w:jc w:val="center"/>
        </w:trPr>
        <w:tc>
          <w:tcPr>
            <w:tcW w:w="1190" w:type="dxa"/>
          </w:tcPr>
          <w:p>
            <w:pPr>
              <w:numPr>
                <w:ilvl w:val="12"/>
                <w:numId w:val="0"/>
              </w:numPr>
              <w:tabs>
                <w:tab w:val="left" w:pos="850"/>
                <w:tab w:val="left" w:pos="1134"/>
                <w:tab w:val="left" w:pos="1191"/>
                <w:tab w:val="left" w:pos="1531"/>
                <w:tab w:val="left" w:pos="2977"/>
              </w:tabs>
              <w:spacing w:before="40" w:after="40"/>
              <w:jc w:val="center"/>
              <w:rPr>
                <w:rFonts w:eastAsia="Batang"/>
                <w:noProof/>
                <w:sz w:val="22"/>
              </w:rPr>
            </w:pPr>
            <w:r>
              <w:rPr>
                <w:noProof/>
                <w:sz w:val="22"/>
              </w:rPr>
              <w:t>XV:</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280</w:t>
            </w:r>
          </w:p>
        </w:tc>
        <w:tc>
          <w:tcPr>
            <w:tcW w:w="1134" w:type="dxa"/>
          </w:tcPr>
          <w:p>
            <w:pPr>
              <w:numPr>
                <w:ilvl w:val="12"/>
                <w:numId w:val="0"/>
              </w:numPr>
              <w:tabs>
                <w:tab w:val="left" w:pos="850"/>
                <w:tab w:val="left" w:pos="1191"/>
                <w:tab w:val="left" w:pos="1531"/>
                <w:tab w:val="left" w:pos="2443"/>
                <w:tab w:val="left" w:pos="2977"/>
              </w:tabs>
              <w:spacing w:before="40" w:after="40"/>
              <w:jc w:val="center"/>
              <w:rPr>
                <w:rFonts w:eastAsia="Batang"/>
                <w:noProof/>
                <w:sz w:val="22"/>
              </w:rPr>
            </w:pPr>
            <w:r>
              <w:rPr>
                <w:noProof/>
                <w:sz w:val="22"/>
              </w:rPr>
              <w:t>*</w:t>
            </w:r>
          </w:p>
        </w:tc>
      </w:tr>
    </w:tbl>
    <w:p>
      <w:pPr>
        <w:pStyle w:val="Point1"/>
        <w:rPr>
          <w:i/>
          <w:noProof/>
          <w:sz w:val="20"/>
          <w:szCs w:val="20"/>
        </w:rPr>
      </w:pPr>
      <w:r>
        <w:rPr>
          <w:i/>
          <w:noProof/>
          <w:sz w:val="20"/>
        </w:rPr>
        <w:t>*</w:t>
      </w:r>
      <w:r>
        <w:rPr>
          <w:noProof/>
        </w:rPr>
        <w:tab/>
      </w:r>
      <w:r>
        <w:rPr>
          <w:i/>
          <w:noProof/>
          <w:sz w:val="20"/>
        </w:rPr>
        <w:t>Посочете броя на кратните на 40 млн. СПТ, които превишават 280 млн. СПТ, например 410 млн. СПТ се заявяват като категория XV + +3.</w:t>
      </w:r>
    </w:p>
    <w:p>
      <w:pPr>
        <w:pStyle w:val="Point2"/>
        <w:rPr>
          <w:rFonts w:eastAsia="Batang"/>
          <w:noProof/>
          <w:sz w:val="22"/>
        </w:rPr>
      </w:pPr>
      <w:r>
        <w:rPr>
          <w:noProof/>
        </w:rPr>
        <w:t>30.</w:t>
      </w:r>
      <w:r>
        <w:rPr>
          <w:noProof/>
        </w:rPr>
        <w:tab/>
        <w:t>Валута на договора(ите)</w:t>
      </w:r>
    </w:p>
    <w:p>
      <w:pPr>
        <w:pStyle w:val="Point1"/>
        <w:rPr>
          <w:rFonts w:eastAsia="Batang"/>
          <w:b/>
          <w:bCs/>
          <w:i/>
          <w:iCs/>
          <w:noProof/>
        </w:rPr>
      </w:pPr>
      <w:bookmarkStart w:id="84" w:name="_Toc368389452"/>
      <w:r>
        <w:rPr>
          <w:b/>
          <w:i/>
          <w:noProof/>
        </w:rPr>
        <w:t>г)</w:t>
      </w:r>
      <w:r>
        <w:rPr>
          <w:b/>
          <w:i/>
          <w:noProof/>
        </w:rPr>
        <w:tab/>
        <w:t>Финансови условия на официалната подкрепа за експортни кредити</w:t>
      </w:r>
      <w:bookmarkEnd w:id="84"/>
    </w:p>
    <w:p>
      <w:pPr>
        <w:pStyle w:val="Point2"/>
        <w:rPr>
          <w:noProof/>
        </w:rPr>
      </w:pPr>
      <w:r>
        <w:rPr>
          <w:noProof/>
          <w:sz w:val="22"/>
        </w:rPr>
        <w:lastRenderedPageBreak/>
        <w:t>31.</w:t>
      </w:r>
      <w:r>
        <w:rPr>
          <w:noProof/>
        </w:rPr>
        <w:tab/>
        <w:t>Кредитна стойност: действителната стойност за уведомления, включващи кредитни линии и сделки за финансиране на проекти, или за всяка отделна сделка на доброволен принцип, или съгласно скалата за СПТ</w:t>
      </w:r>
    </w:p>
    <w:p>
      <w:pPr>
        <w:pStyle w:val="Point2"/>
        <w:rPr>
          <w:noProof/>
        </w:rPr>
      </w:pPr>
      <w:r>
        <w:rPr>
          <w:noProof/>
        </w:rPr>
        <w:t>32.</w:t>
      </w:r>
      <w:r>
        <w:rPr>
          <w:noProof/>
        </w:rPr>
        <w:tab/>
        <w:t>Валута на кредита</w:t>
      </w:r>
    </w:p>
    <w:p>
      <w:pPr>
        <w:pStyle w:val="Point2"/>
        <w:rPr>
          <w:noProof/>
        </w:rPr>
      </w:pPr>
      <w:r>
        <w:rPr>
          <w:noProof/>
        </w:rPr>
        <w:t>33.</w:t>
      </w:r>
      <w:r>
        <w:rPr>
          <w:noProof/>
        </w:rPr>
        <w:tab/>
        <w:t>Първоначална вноска (процент от общата стойност на подкрепяните договори)</w:t>
      </w:r>
    </w:p>
    <w:p>
      <w:pPr>
        <w:pStyle w:val="Point2"/>
        <w:rPr>
          <w:noProof/>
        </w:rPr>
      </w:pPr>
      <w:r>
        <w:rPr>
          <w:noProof/>
        </w:rPr>
        <w:t>34.</w:t>
      </w:r>
      <w:r>
        <w:rPr>
          <w:noProof/>
        </w:rPr>
        <w:tab/>
        <w:t xml:space="preserve">Местни разходи (процент от общата стойност на подкрепяните договори) </w:t>
      </w:r>
    </w:p>
    <w:p>
      <w:pPr>
        <w:pStyle w:val="Point2"/>
        <w:rPr>
          <w:noProof/>
        </w:rPr>
      </w:pPr>
      <w:r>
        <w:rPr>
          <w:noProof/>
        </w:rPr>
        <w:t>35.</w:t>
      </w:r>
      <w:r>
        <w:rPr>
          <w:noProof/>
        </w:rPr>
        <w:tab/>
        <w:t>Начална дата на кредита и посочване на приложимата алинея от член 10</w:t>
      </w:r>
    </w:p>
    <w:p>
      <w:pPr>
        <w:pStyle w:val="Point2"/>
        <w:rPr>
          <w:noProof/>
        </w:rPr>
      </w:pPr>
      <w:r>
        <w:rPr>
          <w:noProof/>
        </w:rPr>
        <w:t>36.</w:t>
      </w:r>
      <w:r>
        <w:rPr>
          <w:noProof/>
        </w:rPr>
        <w:tab/>
        <w:t>Продължителност на срока на погасяване</w:t>
      </w:r>
    </w:p>
    <w:p>
      <w:pPr>
        <w:pStyle w:val="Point2"/>
        <w:rPr>
          <w:noProof/>
        </w:rPr>
      </w:pPr>
      <w:r>
        <w:rPr>
          <w:noProof/>
        </w:rPr>
        <w:t>37.</w:t>
      </w:r>
      <w:r>
        <w:rPr>
          <w:noProof/>
        </w:rPr>
        <w:tab/>
        <w:t>Основа на лихвения процент</w:t>
      </w:r>
    </w:p>
    <w:p>
      <w:pPr>
        <w:pStyle w:val="Point2"/>
        <w:rPr>
          <w:noProof/>
        </w:rPr>
      </w:pPr>
      <w:r>
        <w:rPr>
          <w:noProof/>
        </w:rPr>
        <w:t>38.</w:t>
      </w:r>
      <w:r>
        <w:rPr>
          <w:noProof/>
        </w:rPr>
        <w:tab/>
        <w:t>Лихвен процент или марж</w:t>
      </w:r>
    </w:p>
    <w:p>
      <w:pPr>
        <w:rPr>
          <w:rFonts w:eastAsia="Batang"/>
          <w:b/>
          <w:noProof/>
          <w:sz w:val="22"/>
        </w:rPr>
      </w:pPr>
      <w:r>
        <w:rPr>
          <w:b/>
          <w:noProof/>
        </w:rPr>
        <w:t>II</w:t>
      </w:r>
      <w:r>
        <w:rPr>
          <w:b/>
          <w:noProof/>
          <w:sz w:val="22"/>
        </w:rPr>
        <w:t>.</w:t>
      </w:r>
      <w:r>
        <w:rPr>
          <w:noProof/>
        </w:rPr>
        <w:tab/>
      </w:r>
      <w:r>
        <w:rPr>
          <w:b/>
          <w:noProof/>
          <w:sz w:val="22"/>
        </w:rPr>
        <w:t>ДОПЪЛНИТЕЛНА ИНФОРМАЦИЯ, КОЯТО ТРЯБВА ДА СЕ ПРЕДОСТАВЯ ПО ЦЕЛЕСЪОБРАЗНОСТ ЗА УВЕДОМЛЕНИЯ, НАПРАВЕНИ ВЪВ ВРЪЗКА СЪС СПЕЦИФИЧНИ РАЗПОРЕДБИ</w:t>
      </w:r>
    </w:p>
    <w:p>
      <w:pPr>
        <w:ind w:firstLine="720"/>
        <w:rPr>
          <w:rFonts w:eastAsia="Batang"/>
          <w:b/>
          <w:bCs/>
          <w:i/>
          <w:iCs/>
          <w:noProof/>
          <w:sz w:val="22"/>
        </w:rPr>
      </w:pPr>
      <w:bookmarkStart w:id="85" w:name="_Toc368389453"/>
      <w:r>
        <w:rPr>
          <w:b/>
          <w:i/>
          <w:noProof/>
          <w:sz w:val="22"/>
        </w:rPr>
        <w:t>а)</w:t>
      </w:r>
      <w:r>
        <w:rPr>
          <w:noProof/>
        </w:rPr>
        <w:tab/>
      </w:r>
      <w:r>
        <w:rPr>
          <w:b/>
          <w:i/>
          <w:noProof/>
          <w:sz w:val="22"/>
        </w:rPr>
        <w:t>Член 14, буква г), точка 5 от Споразумението</w:t>
      </w:r>
      <w:bookmarkEnd w:id="85"/>
    </w:p>
    <w:p>
      <w:pPr>
        <w:pStyle w:val="Point1"/>
        <w:rPr>
          <w:noProof/>
        </w:rPr>
      </w:pPr>
      <w:r>
        <w:rPr>
          <w:noProof/>
        </w:rPr>
        <w:t>1.</w:t>
      </w:r>
      <w:r>
        <w:rPr>
          <w:noProof/>
        </w:rPr>
        <w:tab/>
        <w:t>График за погасяване</w:t>
      </w:r>
    </w:p>
    <w:p>
      <w:pPr>
        <w:pStyle w:val="Point1"/>
        <w:rPr>
          <w:noProof/>
        </w:rPr>
      </w:pPr>
      <w:r>
        <w:rPr>
          <w:noProof/>
        </w:rPr>
        <w:t>2.</w:t>
      </w:r>
      <w:r>
        <w:rPr>
          <w:noProof/>
        </w:rPr>
        <w:tab/>
        <w:t>Честота на погасяване</w:t>
      </w:r>
    </w:p>
    <w:p>
      <w:pPr>
        <w:pStyle w:val="Point1"/>
        <w:rPr>
          <w:noProof/>
        </w:rPr>
      </w:pPr>
      <w:r>
        <w:rPr>
          <w:noProof/>
        </w:rPr>
        <w:t>3.</w:t>
      </w:r>
      <w:r>
        <w:rPr>
          <w:noProof/>
        </w:rPr>
        <w:tab/>
        <w:t>Период между началната дата на кредита и първата вноска за погасяване на главницата</w:t>
      </w:r>
    </w:p>
    <w:p>
      <w:pPr>
        <w:pStyle w:val="Point1"/>
        <w:rPr>
          <w:noProof/>
        </w:rPr>
      </w:pPr>
      <w:r>
        <w:rPr>
          <w:noProof/>
        </w:rPr>
        <w:t>4.</w:t>
      </w:r>
      <w:r>
        <w:rPr>
          <w:noProof/>
        </w:rPr>
        <w:tab/>
        <w:t>Размер на капитализираната лихва преди началната дата на кредита</w:t>
      </w:r>
    </w:p>
    <w:p>
      <w:pPr>
        <w:pStyle w:val="Point1"/>
        <w:rPr>
          <w:noProof/>
        </w:rPr>
      </w:pPr>
      <w:r>
        <w:rPr>
          <w:noProof/>
        </w:rPr>
        <w:t>5.</w:t>
      </w:r>
      <w:r>
        <w:rPr>
          <w:noProof/>
        </w:rPr>
        <w:tab/>
        <w:t>Среднопретеглена продължителност на срока на погасяване</w:t>
      </w:r>
    </w:p>
    <w:p>
      <w:pPr>
        <w:pStyle w:val="Point1"/>
        <w:rPr>
          <w:rFonts w:eastAsia="Batang"/>
          <w:noProof/>
          <w:sz w:val="22"/>
        </w:rPr>
      </w:pPr>
      <w:r>
        <w:rPr>
          <w:noProof/>
        </w:rPr>
        <w:t>6.</w:t>
      </w:r>
      <w:r>
        <w:rPr>
          <w:noProof/>
        </w:rPr>
        <w:tab/>
        <w:t>Обяснение на причината да не се предоставя подкрепа в съответствие с член 14, букви а) — в)</w:t>
      </w:r>
    </w:p>
    <w:p>
      <w:pPr>
        <w:ind w:firstLine="720"/>
        <w:rPr>
          <w:rFonts w:eastAsia="Batang"/>
          <w:b/>
          <w:bCs/>
          <w:i/>
          <w:iCs/>
          <w:noProof/>
          <w:sz w:val="22"/>
        </w:rPr>
      </w:pPr>
      <w:bookmarkStart w:id="86" w:name="_Toc368389454"/>
      <w:r>
        <w:rPr>
          <w:b/>
          <w:i/>
          <w:noProof/>
          <w:sz w:val="22"/>
        </w:rPr>
        <w:t>б)</w:t>
      </w:r>
      <w:r>
        <w:rPr>
          <w:noProof/>
        </w:rPr>
        <w:tab/>
      </w:r>
      <w:r>
        <w:rPr>
          <w:b/>
          <w:i/>
          <w:noProof/>
          <w:sz w:val="22"/>
        </w:rPr>
        <w:t>Членове 24, 27, 30 и 31 от Споразумението</w:t>
      </w:r>
      <w:bookmarkEnd w:id="86"/>
    </w:p>
    <w:p>
      <w:pPr>
        <w:pStyle w:val="Point1"/>
        <w:rPr>
          <w:noProof/>
        </w:rPr>
      </w:pPr>
      <w:r>
        <w:rPr>
          <w:noProof/>
          <w:sz w:val="22"/>
        </w:rPr>
        <w:t>1.</w:t>
      </w:r>
      <w:r>
        <w:rPr>
          <w:noProof/>
        </w:rPr>
        <w:tab/>
        <w:t xml:space="preserve">Класификация на държавния риск на държавата на длъжника </w:t>
      </w:r>
    </w:p>
    <w:p>
      <w:pPr>
        <w:pStyle w:val="Point1"/>
        <w:rPr>
          <w:noProof/>
        </w:rPr>
      </w:pPr>
      <w:r>
        <w:rPr>
          <w:noProof/>
        </w:rPr>
        <w:t>2.</w:t>
      </w:r>
      <w:r>
        <w:rPr>
          <w:noProof/>
        </w:rPr>
        <w:tab/>
        <w:t>Избрана категория на риска на купувача, която се отнася до длъжника</w:t>
      </w:r>
    </w:p>
    <w:p>
      <w:pPr>
        <w:pStyle w:val="Point1"/>
        <w:rPr>
          <w:noProof/>
        </w:rPr>
      </w:pPr>
      <w:r>
        <w:rPr>
          <w:noProof/>
        </w:rPr>
        <w:t>3.</w:t>
      </w:r>
      <w:r>
        <w:rPr>
          <w:noProof/>
        </w:rPr>
        <w:tab/>
        <w:t>Продължителност на периода на отпускане</w:t>
      </w:r>
    </w:p>
    <w:p>
      <w:pPr>
        <w:pStyle w:val="Point1"/>
        <w:rPr>
          <w:noProof/>
        </w:rPr>
      </w:pPr>
      <w:r>
        <w:rPr>
          <w:noProof/>
        </w:rPr>
        <w:t>4.</w:t>
      </w:r>
      <w:r>
        <w:rPr>
          <w:noProof/>
        </w:rPr>
        <w:tab/>
        <w:t>Процент на покритие на политическия (държавния) риск</w:t>
      </w:r>
    </w:p>
    <w:p>
      <w:pPr>
        <w:pStyle w:val="Point1"/>
        <w:rPr>
          <w:noProof/>
        </w:rPr>
      </w:pPr>
      <w:r>
        <w:rPr>
          <w:noProof/>
        </w:rPr>
        <w:t>5.</w:t>
      </w:r>
      <w:r>
        <w:rPr>
          <w:noProof/>
        </w:rPr>
        <w:tab/>
        <w:t>Процент на покритие на търговския риск (на купувача)</w:t>
      </w:r>
    </w:p>
    <w:p>
      <w:pPr>
        <w:pStyle w:val="Point1"/>
        <w:rPr>
          <w:noProof/>
        </w:rPr>
      </w:pPr>
      <w:r>
        <w:rPr>
          <w:noProof/>
        </w:rPr>
        <w:t>6.</w:t>
      </w:r>
      <w:r>
        <w:rPr>
          <w:noProof/>
        </w:rPr>
        <w:tab/>
        <w:t>Качество на покритието (т.е. под стандарта, стандартно, над стандарта)</w:t>
      </w:r>
    </w:p>
    <w:p>
      <w:pPr>
        <w:pStyle w:val="Point1"/>
        <w:rPr>
          <w:noProof/>
        </w:rPr>
      </w:pPr>
      <w:r>
        <w:rPr>
          <w:noProof/>
        </w:rPr>
        <w:t>7.</w:t>
      </w:r>
      <w:r>
        <w:rPr>
          <w:noProof/>
        </w:rPr>
        <w:tab/>
        <w:t xml:space="preserve">МСП, основана на класификацията на държавния риск на държавата на длъжника при липса на гаранция от трета страна, участие на </w:t>
      </w:r>
      <w:r>
        <w:rPr>
          <w:noProof/>
        </w:rPr>
        <w:lastRenderedPageBreak/>
        <w:t>многостранна/регионална институция, ограничаване на риска и/или подобрения на риска на купувача</w:t>
      </w:r>
    </w:p>
    <w:p>
      <w:pPr>
        <w:pStyle w:val="Point1"/>
        <w:rPr>
          <w:noProof/>
        </w:rPr>
      </w:pPr>
      <w:r>
        <w:rPr>
          <w:noProof/>
        </w:rPr>
        <w:t>8.</w:t>
      </w:r>
      <w:r>
        <w:rPr>
          <w:noProof/>
        </w:rPr>
        <w:tab/>
        <w:t>Приложима МСП</w:t>
      </w:r>
    </w:p>
    <w:p>
      <w:pPr>
        <w:pStyle w:val="Point1"/>
        <w:rPr>
          <w:noProof/>
        </w:rPr>
      </w:pPr>
      <w:r>
        <w:rPr>
          <w:noProof/>
        </w:rPr>
        <w:t>9.</w:t>
      </w:r>
      <w:r>
        <w:rPr>
          <w:noProof/>
        </w:rPr>
        <w:tab/>
        <w:t>Действителна ставка на премията (изразена под формата на МСП като процент от главницата)</w:t>
      </w:r>
    </w:p>
    <w:p>
      <w:pPr>
        <w:ind w:firstLine="720"/>
        <w:rPr>
          <w:i/>
          <w:noProof/>
        </w:rPr>
      </w:pPr>
      <w:bookmarkStart w:id="87" w:name="_Toc368389455"/>
      <w:r>
        <w:rPr>
          <w:i/>
          <w:noProof/>
        </w:rPr>
        <w:t>в)</w:t>
      </w:r>
      <w:r>
        <w:rPr>
          <w:noProof/>
        </w:rPr>
        <w:tab/>
        <w:t>Член 24, буква в) от Споразумението</w:t>
      </w:r>
    </w:p>
    <w:p>
      <w:pPr>
        <w:pStyle w:val="Point1"/>
        <w:rPr>
          <w:noProof/>
        </w:rPr>
      </w:pPr>
      <w:r>
        <w:rPr>
          <w:noProof/>
        </w:rPr>
        <w:t>1.</w:t>
      </w:r>
      <w:r>
        <w:rPr>
          <w:noProof/>
        </w:rPr>
        <w:tab/>
        <w:t>Рейтинг(и) на длъжника в чуждестранна валута от акредитирани АКР</w:t>
      </w:r>
    </w:p>
    <w:p>
      <w:pPr>
        <w:pStyle w:val="Point1"/>
        <w:rPr>
          <w:noProof/>
        </w:rPr>
      </w:pPr>
      <w:r>
        <w:rPr>
          <w:noProof/>
        </w:rPr>
        <w:t>2.</w:t>
      </w:r>
      <w:r>
        <w:rPr>
          <w:noProof/>
        </w:rPr>
        <w:tab/>
        <w:t>Рейтинг(и) на суверена в чуждестранна валута от акредитирани АКР</w:t>
      </w:r>
    </w:p>
    <w:p>
      <w:pPr>
        <w:pStyle w:val="Point1"/>
        <w:rPr>
          <w:noProof/>
        </w:rPr>
      </w:pPr>
      <w:r>
        <w:rPr>
          <w:noProof/>
        </w:rPr>
        <w:t>3.</w:t>
      </w:r>
      <w:r>
        <w:rPr>
          <w:noProof/>
        </w:rPr>
        <w:tab/>
        <w:t>Съответната минималната ставка на премията (МСП), получена посредством модела TCMB за сделка въз основа на най-добрия наличен рейтинг на длъжника в чуждестранна валута, определен от акредитирана АКР.</w:t>
      </w:r>
    </w:p>
    <w:p>
      <w:pPr>
        <w:pStyle w:val="Point1"/>
        <w:rPr>
          <w:noProof/>
        </w:rPr>
      </w:pPr>
      <w:r>
        <w:rPr>
          <w:noProof/>
        </w:rPr>
        <w:t>4.</w:t>
      </w:r>
      <w:r>
        <w:rPr>
          <w:noProof/>
        </w:rPr>
        <w:tab/>
        <w:t>В случай на ценообразуване във връзка със синдикиран заем — подробно описание на методологията, използвана за определяне на премията въз основа на общата цена.</w:t>
      </w:r>
    </w:p>
    <w:p>
      <w:pPr>
        <w:pStyle w:val="Point1"/>
        <w:rPr>
          <w:rFonts w:eastAsia="Batang"/>
          <w:noProof/>
          <w:sz w:val="22"/>
        </w:rPr>
      </w:pPr>
      <w:r>
        <w:rPr>
          <w:noProof/>
        </w:rPr>
        <w:t>5.</w:t>
      </w:r>
      <w:r>
        <w:rPr>
          <w:noProof/>
        </w:rPr>
        <w:tab/>
        <w:t>В случай на пазарна цена на издадени от конкретно дружество облигации или суапове за кредитно неизпълнение (СКН) — подробно описание на методологията на ценообразуване, подробна информация за уместността на така образуваната цена, включително дали е свързано с действителен длъжник или свързан субект, и ако става дума за последното — по какъв начин са спазени критериите за свързан субект.</w:t>
      </w:r>
    </w:p>
    <w:bookmarkEnd w:id="87"/>
    <w:p>
      <w:pPr>
        <w:tabs>
          <w:tab w:val="left" w:pos="850"/>
          <w:tab w:val="left" w:pos="1134"/>
          <w:tab w:val="left" w:pos="1191"/>
          <w:tab w:val="left" w:pos="1531"/>
        </w:tabs>
        <w:spacing w:before="0" w:after="0"/>
        <w:rPr>
          <w:rFonts w:eastAsia="Batang"/>
          <w:noProof/>
          <w:sz w:val="22"/>
        </w:rPr>
        <w:sectPr>
          <w:footnotePr>
            <w:numRestart w:val="eachSect"/>
          </w:footnotePr>
          <w:endnotePr>
            <w:numFmt w:val="decimal"/>
          </w:endnotePr>
          <w:pgSz w:w="11906" w:h="16838"/>
          <w:pgMar w:top="1984" w:right="1247" w:bottom="1814" w:left="1191" w:header="1247" w:footer="1247" w:gutter="0"/>
          <w:cols w:space="720"/>
          <w:docGrid w:linePitch="326"/>
        </w:sectPr>
      </w:pPr>
    </w:p>
    <w:bookmarkStart w:id="88" w:name="_Toc302372956"/>
    <w:bookmarkStart w:id="89" w:name="_Toc368389477"/>
    <w:bookmarkStart w:id="90" w:name="_Toc3270298"/>
    <w:bookmarkStart w:id="91" w:name="_Toc3281143"/>
    <w:bookmarkStart w:id="92" w:name="_Toc3281327"/>
    <w:bookmarkStart w:id="93" w:name="_Toc3284573"/>
    <w:bookmarkStart w:id="94" w:name="_Toc32857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Pr>
        <w:jc w:val="center"/>
        <w:rPr>
          <w:b/>
          <w:noProof/>
        </w:rPr>
      </w:pPr>
      <w:r>
        <w:rPr>
          <w:rFonts w:eastAsia="Batang"/>
          <w:b/>
          <w:bCs/>
          <w:caps/>
          <w:noProof/>
          <w:kern w:val="28"/>
          <w:sz w:val="22"/>
        </w:rPr>
        <w:lastRenderedPageBreak/>
        <w:fldChar w:fldCharType="begin"/>
      </w:r>
      <w:r>
        <w:rPr>
          <w:rFonts w:eastAsia="Batang"/>
          <w:b/>
          <w:bCs/>
          <w:caps/>
          <w:noProof/>
          <w:kern w:val="28"/>
          <w:sz w:val="22"/>
        </w:rPr>
        <w:instrText>MACROBUTTON NUMBERING</w:instrText>
      </w:r>
      <w:bookmarkStart w:id="95" w:name="_Toc368389520"/>
      <w:bookmarkStart w:id="96" w:name="_Toc377475046"/>
      <w:bookmarkStart w:id="97" w:name="_Toc441046796"/>
      <w:bookmarkStart w:id="98" w:name="_Toc441052460"/>
      <w:r>
        <w:rPr>
          <w:rFonts w:eastAsia="Batang"/>
          <w:b/>
          <w:bCs/>
          <w:caps/>
          <w:noProof/>
          <w:kern w:val="28"/>
          <w:sz w:val="22"/>
        </w:rPr>
        <w:fldChar w:fldCharType="end"/>
      </w:r>
      <w:r>
        <w:rPr>
          <w:b/>
          <w:noProof/>
        </w:rPr>
        <w:t>ПРИЛОЖЕНИЕ X: ПАЗАРНИ ПОКАЗАТЕЛИ ЗА СДЕЛКИ В ДЪРЖАВИ, ПОПАДАЩИ В КАТЕГОРИЯ НУЛА</w:t>
      </w:r>
      <w:bookmarkStart w:id="99" w:name="_Toc368389521"/>
      <w:bookmarkStart w:id="100" w:name="_Toc377475047"/>
      <w:bookmarkStart w:id="101" w:name="_Toc441046797"/>
      <w:bookmarkStart w:id="102" w:name="_Toc441052461"/>
      <w:bookmarkEnd w:id="88"/>
      <w:bookmarkEnd w:id="95"/>
      <w:bookmarkEnd w:id="96"/>
      <w:bookmarkEnd w:id="97"/>
      <w:bookmarkEnd w:id="98"/>
    </w:p>
    <w:p>
      <w:pPr>
        <w:ind w:left="720"/>
        <w:rPr>
          <w:b/>
          <w:noProof/>
        </w:rPr>
      </w:pPr>
      <w:r>
        <w:rPr>
          <w:b/>
          <w:noProof/>
        </w:rPr>
        <w:t>Непокрита част на експортни кредити или непокрита от АЕК част на синдикиран заем</w:t>
      </w:r>
      <w:bookmarkEnd w:id="99"/>
      <w:bookmarkEnd w:id="100"/>
      <w:bookmarkEnd w:id="101"/>
      <w:bookmarkEnd w:id="102"/>
    </w:p>
    <w:p>
      <w:pPr>
        <w:pStyle w:val="ManualNumPar2"/>
        <w:ind w:hanging="130"/>
        <w:rPr>
          <w:noProof/>
        </w:rPr>
      </w:pPr>
      <w:r>
        <w:rPr>
          <w:noProof/>
        </w:rPr>
        <w:t xml:space="preserve">  Цената, посочена от частни банки/институции за непокритата част на въпросния експортен кредит (или понякога непокритата от АЕК част на синдикиран заем), може да представлява най-доброто приравняване към покритието на АЕК. Цените на тези непокрити части трябва да се използват само ако това е предвидено в търговските условия (например това би изключило онези части от кредита, финансирани от МФИ).</w:t>
      </w:r>
    </w:p>
    <w:p>
      <w:pPr>
        <w:rPr>
          <w:rFonts w:eastAsia="Batang"/>
          <w:b/>
          <w:bCs/>
          <w:noProof/>
          <w:sz w:val="22"/>
        </w:rPr>
      </w:pPr>
      <w:bookmarkStart w:id="103" w:name="_Toc368389522"/>
      <w:bookmarkStart w:id="104" w:name="_Toc377475048"/>
      <w:bookmarkStart w:id="105" w:name="_Toc441046798"/>
      <w:bookmarkStart w:id="106" w:name="_Toc441052462"/>
      <w:r>
        <w:rPr>
          <w:b/>
          <w:noProof/>
          <w:sz w:val="22"/>
        </w:rPr>
        <w:t>Специфични корпоративни облигации</w:t>
      </w:r>
      <w:bookmarkEnd w:id="103"/>
      <w:bookmarkEnd w:id="104"/>
      <w:bookmarkEnd w:id="105"/>
      <w:bookmarkEnd w:id="106"/>
    </w:p>
    <w:p>
      <w:pPr>
        <w:pStyle w:val="ManualNumPar1"/>
        <w:ind w:firstLine="0"/>
        <w:rPr>
          <w:rFonts w:eastAsia="Batang"/>
          <w:noProof/>
          <w:sz w:val="22"/>
        </w:rPr>
      </w:pPr>
      <w:r>
        <w:rPr>
          <w:noProof/>
          <w:sz w:val="22"/>
        </w:rPr>
        <w:t xml:space="preserve">Корпоративните облигации отразяват специфичен кредитен риск. При приравняване на условията трябва да обърне внимание на особеностите на договора, сключен с АЕК, като например падеж, валута и кредитни подобрения. </w:t>
      </w:r>
      <w:r>
        <w:rPr>
          <w:noProof/>
        </w:rPr>
        <w:t>Ако се използват първични корпоративни облигации (т.е. общата доходност при емитиране) или вторични корпоративни облигации (т.е. спред с коригирана опция по съответната крива, която обикновено е кривата на валутен суап), тези за длъжника трябва да се използват на първо място;</w:t>
      </w:r>
      <w:r>
        <w:rPr>
          <w:noProof/>
          <w:sz w:val="22"/>
        </w:rPr>
        <w:t xml:space="preserve"> в случай, че те не са налични, трябва да се използват първични или вторични корпоративни облигации от свързани субекти. </w:t>
      </w:r>
    </w:p>
    <w:p>
      <w:pPr>
        <w:rPr>
          <w:rFonts w:eastAsia="Batang"/>
          <w:b/>
          <w:bCs/>
          <w:noProof/>
          <w:sz w:val="22"/>
        </w:rPr>
      </w:pPr>
      <w:bookmarkStart w:id="107" w:name="_Toc368389523"/>
      <w:bookmarkStart w:id="108" w:name="_Toc377475049"/>
      <w:bookmarkStart w:id="109" w:name="_Toc441046799"/>
      <w:bookmarkStart w:id="110" w:name="_Toc441052463"/>
      <w:r>
        <w:rPr>
          <w:b/>
          <w:noProof/>
          <w:sz w:val="22"/>
        </w:rPr>
        <w:t>Специфични суапове за кредитно неизпълнение</w:t>
      </w:r>
      <w:bookmarkEnd w:id="107"/>
      <w:bookmarkEnd w:id="108"/>
      <w:bookmarkEnd w:id="109"/>
      <w:bookmarkEnd w:id="110"/>
    </w:p>
    <w:p>
      <w:pPr>
        <w:pStyle w:val="ManualNumPar1"/>
        <w:ind w:firstLine="0"/>
        <w:rPr>
          <w:rFonts w:eastAsia="Batang"/>
          <w:noProof/>
          <w:sz w:val="22"/>
        </w:rPr>
      </w:pPr>
      <w:r>
        <w:rPr>
          <w:noProof/>
          <w:sz w:val="22"/>
        </w:rPr>
        <w:t xml:space="preserve">Суаповете за кредитно неизпълнение (СКН) са форма на защита срещу неизпълнение на задължения. СКН представлява сумата, платена за определен период от купувача на СКН, като процент от условния размер на главницата и обикновено се изразява в основни пунктове. В действителност купувачът на СКН купува застраховка срещу неизпълнение на задължения, като извършва плащания към продавача на СКН за срока на действие на суапа или до настъпване на кредитното събитие. Кривата на СКН за длъжника следва да се използва на първо място; в случай, че те не са налични, могат да се използват криви на СКН от свързани субекти. </w:t>
      </w:r>
    </w:p>
    <w:p>
      <w:pPr>
        <w:rPr>
          <w:rFonts w:eastAsia="Batang"/>
          <w:b/>
          <w:bCs/>
          <w:noProof/>
          <w:sz w:val="22"/>
        </w:rPr>
      </w:pPr>
      <w:bookmarkStart w:id="111" w:name="_Toc368389525"/>
      <w:bookmarkStart w:id="112" w:name="_Toc377475051"/>
      <w:bookmarkStart w:id="113" w:name="_Toc441046801"/>
      <w:bookmarkStart w:id="114" w:name="_Toc441052465"/>
      <w:r>
        <w:rPr>
          <w:b/>
          <w:noProof/>
          <w:sz w:val="22"/>
        </w:rPr>
        <w:t>Референтни кредитни показатели</w:t>
      </w:r>
      <w:bookmarkEnd w:id="111"/>
      <w:bookmarkEnd w:id="112"/>
      <w:bookmarkEnd w:id="113"/>
      <w:bookmarkEnd w:id="114"/>
    </w:p>
    <w:p>
      <w:pPr>
        <w:pStyle w:val="ManualNumPar1"/>
        <w:ind w:firstLine="0"/>
        <w:rPr>
          <w:rFonts w:eastAsia="Batang"/>
          <w:noProof/>
          <w:sz w:val="22"/>
        </w:rPr>
      </w:pPr>
      <w:r>
        <w:rPr>
          <w:noProof/>
          <w:sz w:val="22"/>
        </w:rPr>
        <w:t xml:space="preserve">Те са първични референтни кредитни показатели (т.е. цените при емитиране) или вторични кредитни показатели (т.е. текущата доходност по кредита, която очаква финансовата институция, закупуваща кредита от друга финансова институция). По отношение на първичните кредитни показатели трябва да има информация за всички такси, за да може да се изчисли общата доходност. Ако се използват референтни кредитни показатели, тези за длъжника трябва да се използват на първо място; в случай, че те не са налични, могат да се такива от свързани субекти. </w:t>
      </w:r>
    </w:p>
    <w:p>
      <w:pPr>
        <w:rPr>
          <w:rFonts w:eastAsia="Batang"/>
          <w:b/>
          <w:bCs/>
          <w:noProof/>
          <w:sz w:val="22"/>
        </w:rPr>
      </w:pPr>
      <w:bookmarkStart w:id="115" w:name="_Toc368389526"/>
      <w:bookmarkStart w:id="116" w:name="_Toc377475052"/>
      <w:bookmarkStart w:id="117" w:name="_Toc441046802"/>
      <w:bookmarkStart w:id="118" w:name="_Toc441052466"/>
      <w:r>
        <w:rPr>
          <w:b/>
          <w:noProof/>
          <w:sz w:val="22"/>
        </w:rPr>
        <w:t>Еталонни криви на пазара</w:t>
      </w:r>
      <w:bookmarkEnd w:id="115"/>
      <w:bookmarkEnd w:id="116"/>
      <w:bookmarkEnd w:id="117"/>
      <w:bookmarkEnd w:id="118"/>
    </w:p>
    <w:p>
      <w:pPr>
        <w:pStyle w:val="ManualNumPar1"/>
        <w:ind w:firstLine="0"/>
        <w:rPr>
          <w:rFonts w:eastAsia="Batang"/>
          <w:noProof/>
          <w:sz w:val="22"/>
        </w:rPr>
      </w:pPr>
      <w:r>
        <w:rPr>
          <w:noProof/>
          <w:sz w:val="22"/>
        </w:rPr>
        <w:t xml:space="preserve">Еталонните криви на пазара отразяват кредитния риск на целия сектор или на клас купувачи. Тази информация за пазара може да бъде полезна, когато не е налична конкретна информация. Като цяло качеството на информацията, присъща за тези пазари, зависи от тяхната ликвидност. Във всеки случай трябва да се търсят пазарни инструменти, </w:t>
      </w:r>
      <w:r>
        <w:rPr>
          <w:noProof/>
          <w:sz w:val="22"/>
        </w:rPr>
        <w:lastRenderedPageBreak/>
        <w:t>които осигуряват най-близкото приравняване към особеностите на договора, сключен с АЕК, като например дата, кредитен рейтинг, падеж и валута.</w:t>
      </w:r>
    </w:p>
    <w:p>
      <w:pPr>
        <w:tabs>
          <w:tab w:val="left" w:pos="850"/>
          <w:tab w:val="left" w:pos="1191"/>
          <w:tab w:val="left" w:pos="1531"/>
        </w:tabs>
        <w:spacing w:before="0" w:after="240"/>
        <w:rPr>
          <w:rFonts w:eastAsia="Batang"/>
          <w:noProof/>
          <w:sz w:val="22"/>
        </w:rPr>
        <w:sectPr>
          <w:footnotePr>
            <w:numRestart w:val="eachSect"/>
          </w:footnotePr>
          <w:endnotePr>
            <w:numFmt w:val="decimal"/>
          </w:endnotePr>
          <w:pgSz w:w="11906" w:h="16838"/>
          <w:pgMar w:top="1984" w:right="1247" w:bottom="1814" w:left="1191" w:header="1247" w:footer="1247" w:gutter="0"/>
          <w:cols w:space="720"/>
          <w:docGrid w:linePitch="326"/>
        </w:sectPr>
      </w:pPr>
    </w:p>
    <w:bookmarkEnd w:id="89"/>
    <w:bookmarkEnd w:id="90"/>
    <w:bookmarkEnd w:id="91"/>
    <w:bookmarkEnd w:id="92"/>
    <w:bookmarkEnd w:id="93"/>
    <w:bookmarkEnd w:id="94"/>
    <w:p>
      <w:pPr>
        <w:jc w:val="center"/>
        <w:rPr>
          <w:rFonts w:eastAsia="Batang"/>
          <w:b/>
          <w:noProof/>
          <w:sz w:val="22"/>
        </w:rPr>
      </w:pPr>
      <w:r>
        <w:rPr>
          <w:b/>
          <w:noProof/>
          <w:sz w:val="22"/>
        </w:rPr>
        <w:lastRenderedPageBreak/>
        <w:t xml:space="preserve">ПРИЛОЖЕНИЕ XV: </w:t>
      </w:r>
      <w:r>
        <w:rPr>
          <w:b/>
          <w:noProof/>
        </w:rPr>
        <w:t>СПИСЪК С ОПРЕДЕЛЕНИЯ</w:t>
      </w:r>
    </w:p>
    <w:p>
      <w:pPr>
        <w:pStyle w:val="ManualNumPar1"/>
        <w:ind w:hanging="130"/>
        <w:rPr>
          <w:rFonts w:eastAsia="Batang"/>
          <w:noProof/>
          <w:sz w:val="22"/>
        </w:rPr>
      </w:pPr>
      <w:r>
        <w:rPr>
          <w:noProof/>
          <w:sz w:val="22"/>
        </w:rPr>
        <w:t>За целите на Споразумението:</w:t>
      </w:r>
    </w:p>
    <w:p>
      <w:pPr>
        <w:pStyle w:val="Point1"/>
        <w:rPr>
          <w:noProof/>
        </w:rPr>
      </w:pPr>
      <w:r>
        <w:rPr>
          <w:noProof/>
        </w:rPr>
        <w:t>а)</w:t>
      </w:r>
      <w:r>
        <w:rPr>
          <w:noProof/>
        </w:rPr>
        <w:tab/>
      </w:r>
      <w:r>
        <w:rPr>
          <w:b/>
          <w:noProof/>
        </w:rPr>
        <w:t xml:space="preserve">Ангажимент: </w:t>
      </w:r>
      <w:r>
        <w:rPr>
          <w:noProof/>
        </w:rPr>
        <w:t>всяко изявление, независимо от неговата форма, с което се съобщава на получаващата държава, купувача, кредитополучателя, износителя или финансовата институция за волята или намерението да се предостави официална подкрепа.</w:t>
      </w:r>
      <w:r>
        <w:rPr>
          <w:b/>
          <w:noProof/>
        </w:rPr>
        <w:t xml:space="preserve"> </w:t>
      </w:r>
    </w:p>
    <w:p>
      <w:pPr>
        <w:pStyle w:val="Point1"/>
        <w:rPr>
          <w:noProof/>
        </w:rPr>
      </w:pPr>
      <w:r>
        <w:rPr>
          <w:noProof/>
        </w:rPr>
        <w:t>б)</w:t>
      </w:r>
      <w:r>
        <w:rPr>
          <w:noProof/>
        </w:rPr>
        <w:tab/>
      </w:r>
      <w:r>
        <w:rPr>
          <w:b/>
          <w:noProof/>
        </w:rPr>
        <w:t>Обща линия за поведение:</w:t>
      </w:r>
      <w:r>
        <w:rPr>
          <w:noProof/>
        </w:rPr>
        <w:t xml:space="preserve"> Правилата, определени с обща линия за поведение, заменят правилата на Споразумението единствено за сделката или за определените в общата линия за поведение обстоятелства. Предвидените правила, следствие от общата линия за поведение, заместват правилата на споразумението единствено за сделката или за определените в общата линия за поведение обстоятелства.</w:t>
      </w:r>
    </w:p>
    <w:p>
      <w:pPr>
        <w:pStyle w:val="Point1"/>
        <w:rPr>
          <w:noProof/>
        </w:rPr>
      </w:pPr>
      <w:r>
        <w:rPr>
          <w:noProof/>
        </w:rPr>
        <w:t>в)</w:t>
      </w:r>
      <w:r>
        <w:rPr>
          <w:noProof/>
        </w:rPr>
        <w:tab/>
      </w:r>
      <w:r>
        <w:rPr>
          <w:b/>
          <w:noProof/>
        </w:rPr>
        <w:t>Равнище на субсидиране при обвързана помощ</w:t>
      </w:r>
      <w:r>
        <w:rPr>
          <w:noProof/>
        </w:rPr>
        <w:t>: при безвъзмездните помощи равнището на субсидиране е 100 %. При заемите равнището на субсидиране представлява разликата между номиналната стойност на заема и сконтираната настояща стойност на бъдещите плащания по обслужване на дълга, извършвани от кредитополучателя. Тази разлика се изразява в процент от номиналната стойност на заема.</w:t>
      </w:r>
    </w:p>
    <w:p>
      <w:pPr>
        <w:pStyle w:val="Point1"/>
        <w:rPr>
          <w:noProof/>
        </w:rPr>
      </w:pPr>
      <w:r>
        <w:rPr>
          <w:noProof/>
        </w:rPr>
        <w:t>г)</w:t>
      </w:r>
      <w:r>
        <w:rPr>
          <w:noProof/>
        </w:rPr>
        <w:tab/>
      </w:r>
      <w:r>
        <w:rPr>
          <w:b/>
          <w:noProof/>
        </w:rPr>
        <w:t>Извеждане от експлоатация:</w:t>
      </w:r>
      <w:r>
        <w:rPr>
          <w:noProof/>
        </w:rPr>
        <w:t xml:space="preserve"> затваряне или демонтаж на атомна електроцентрала.</w:t>
      </w:r>
    </w:p>
    <w:p>
      <w:pPr>
        <w:pStyle w:val="Point1"/>
        <w:rPr>
          <w:noProof/>
        </w:rPr>
      </w:pPr>
      <w:r>
        <w:rPr>
          <w:noProof/>
        </w:rPr>
        <w:t>д)</w:t>
      </w:r>
      <w:r>
        <w:rPr>
          <w:noProof/>
        </w:rPr>
        <w:tab/>
      </w:r>
      <w:r>
        <w:rPr>
          <w:b/>
          <w:noProof/>
        </w:rPr>
        <w:t>Стойност на експортния договор:</w:t>
      </w:r>
      <w:r>
        <w:rPr>
          <w:noProof/>
        </w:rPr>
        <w:t xml:space="preserve"> общата сума, която следва да се плати от купувача или от негово име при закупуване на изнасяни стоки и/или услуги, т.е. с изключение на местните разходи, определени по-долу; при финансов лизинг се изключва частта от лизинга, равняваща се на лихвите.</w:t>
      </w:r>
    </w:p>
    <w:p>
      <w:pPr>
        <w:pStyle w:val="Point1"/>
        <w:rPr>
          <w:noProof/>
        </w:rPr>
      </w:pPr>
      <w:r>
        <w:rPr>
          <w:noProof/>
        </w:rPr>
        <w:t>е)</w:t>
      </w:r>
      <w:r>
        <w:rPr>
          <w:noProof/>
        </w:rPr>
        <w:tab/>
      </w:r>
      <w:r>
        <w:rPr>
          <w:b/>
          <w:noProof/>
        </w:rPr>
        <w:t>Окончателен ангажимент:</w:t>
      </w:r>
      <w:r>
        <w:rPr>
          <w:noProof/>
        </w:rPr>
        <w:t xml:space="preserve"> по отношение на сделка за експортен кредит (под формата на единична сделка или кредитна линия) окончателен ангажимент съществува тогава, когато участникът се ангажира с конкретни и пълни финансови условия чрез реципрочно споразумение или едностранен акт.</w:t>
      </w:r>
    </w:p>
    <w:p>
      <w:pPr>
        <w:pStyle w:val="Point1"/>
        <w:rPr>
          <w:noProof/>
        </w:rPr>
      </w:pPr>
      <w:r>
        <w:rPr>
          <w:noProof/>
        </w:rPr>
        <w:t>ж)</w:t>
      </w:r>
      <w:r>
        <w:rPr>
          <w:noProof/>
        </w:rPr>
        <w:tab/>
      </w:r>
      <w:r>
        <w:rPr>
          <w:b/>
          <w:noProof/>
        </w:rPr>
        <w:t>Първоначално зареждане с гориво:</w:t>
      </w:r>
      <w:r>
        <w:rPr>
          <w:noProof/>
        </w:rPr>
        <w:t xml:space="preserve"> първоначалното зареждане с гориво се ограничава до първоначално монтираната активна зона на реактора, към която могат да се добавят впоследствие две зареждания, които заедно не бива да превишават две трети от активната зона на реактора.</w:t>
      </w:r>
    </w:p>
    <w:p>
      <w:pPr>
        <w:pStyle w:val="Point1"/>
        <w:rPr>
          <w:noProof/>
        </w:rPr>
      </w:pPr>
      <w:r>
        <w:rPr>
          <w:noProof/>
        </w:rPr>
        <w:t>з)</w:t>
      </w:r>
      <w:r>
        <w:rPr>
          <w:noProof/>
        </w:rPr>
        <w:tab/>
      </w:r>
      <w:r>
        <w:rPr>
          <w:b/>
          <w:noProof/>
        </w:rPr>
        <w:t>Подкрепа за плащане на лихви</w:t>
      </w:r>
      <w:r>
        <w:rPr>
          <w:noProof/>
        </w:rPr>
        <w:t xml:space="preserve"> </w:t>
      </w:r>
      <w:r>
        <w:rPr>
          <w:b/>
          <w:noProof/>
        </w:rPr>
        <w:t xml:space="preserve"> </w:t>
      </w:r>
      <w:r>
        <w:rPr>
          <w:noProof/>
        </w:rPr>
        <w:t>споразумение между правителство и банки или други финансови институции, което позволява предоставяне на експортно финансиране с фиксиран лихвен процент, равен или по-голям от РТЛП.</w:t>
      </w:r>
    </w:p>
    <w:p>
      <w:pPr>
        <w:pStyle w:val="Point1"/>
        <w:rPr>
          <w:noProof/>
        </w:rPr>
      </w:pPr>
      <w:r>
        <w:rPr>
          <w:noProof/>
        </w:rPr>
        <w:t>и)</w:t>
      </w:r>
      <w:r>
        <w:rPr>
          <w:noProof/>
        </w:rPr>
        <w:tab/>
      </w:r>
      <w:r>
        <w:rPr>
          <w:b/>
          <w:noProof/>
        </w:rPr>
        <w:t xml:space="preserve">Кредитна линия: </w:t>
      </w:r>
      <w:r>
        <w:rPr>
          <w:noProof/>
        </w:rPr>
        <w:t>рамка за експортни кредити, независимо от нейната форма, която обхваща поредица от сделки, независимо дали са свързани с определен проект.</w:t>
      </w:r>
    </w:p>
    <w:p>
      <w:pPr>
        <w:pStyle w:val="Point1"/>
        <w:rPr>
          <w:noProof/>
        </w:rPr>
      </w:pPr>
      <w:r>
        <w:rPr>
          <w:noProof/>
        </w:rPr>
        <w:t>й)</w:t>
      </w:r>
      <w:r>
        <w:rPr>
          <w:noProof/>
        </w:rPr>
        <w:tab/>
      </w:r>
      <w:r>
        <w:rPr>
          <w:b/>
          <w:noProof/>
        </w:rPr>
        <w:t>Местни разходи:</w:t>
      </w:r>
      <w:r>
        <w:rPr>
          <w:noProof/>
        </w:rPr>
        <w:t xml:space="preserve"> разходите, свързани със стоките и услугите в държавата на купувача, необходими или за изпълнението на договора на износителя, или за завършване на проекта, част от който е и договорът на износителя. </w:t>
      </w:r>
      <w:r>
        <w:rPr>
          <w:noProof/>
        </w:rPr>
        <w:lastRenderedPageBreak/>
        <w:t>. Изключват се комисионите, дължими на агента на износителя в държавата купувач.</w:t>
      </w:r>
    </w:p>
    <w:p>
      <w:pPr>
        <w:pStyle w:val="Point1"/>
        <w:rPr>
          <w:b/>
          <w:noProof/>
        </w:rPr>
      </w:pPr>
      <w:r>
        <w:rPr>
          <w:noProof/>
        </w:rPr>
        <w:t>к)</w:t>
      </w:r>
      <w:r>
        <w:rPr>
          <w:noProof/>
        </w:rPr>
        <w:tab/>
      </w:r>
      <w:r>
        <w:rPr>
          <w:b/>
          <w:noProof/>
        </w:rPr>
        <w:t xml:space="preserve">Издадени от конкретно дружество облигации или на суапове за кредитно неизпълнение (СКН): </w:t>
      </w:r>
      <w:r>
        <w:rPr>
          <w:noProof/>
        </w:rPr>
        <w:t>Издадените от конкретно дружество облигации или на суапове за кредитно неизпълнение (СКН) се ограничават до онези инструменти за пазарни показатели, които принадлежат на конкретен длъжник, идентичен на длъжника по сделката, на която се оказва подкрепа.</w:t>
      </w:r>
    </w:p>
    <w:p>
      <w:pPr>
        <w:pStyle w:val="Point1"/>
        <w:rPr>
          <w:noProof/>
        </w:rPr>
      </w:pPr>
      <w:r>
        <w:rPr>
          <w:noProof/>
        </w:rPr>
        <w:t>л)</w:t>
      </w:r>
      <w:r>
        <w:rPr>
          <w:noProof/>
        </w:rPr>
        <w:tab/>
      </w:r>
      <w:r>
        <w:rPr>
          <w:b/>
          <w:noProof/>
        </w:rPr>
        <w:t>Обикновена гаранция:</w:t>
      </w:r>
      <w:r>
        <w:rPr>
          <w:noProof/>
        </w:rPr>
        <w:t xml:space="preserve"> официална подкрепа, предоставена от правителство или от негово име само под формата на гаранция за експортен кредит или застраховка, т.е. която не се ползва с официална финансова подкрепа.</w:t>
      </w:r>
    </w:p>
    <w:p>
      <w:pPr>
        <w:pStyle w:val="Point1"/>
        <w:rPr>
          <w:noProof/>
        </w:rPr>
      </w:pPr>
      <w:r>
        <w:rPr>
          <w:noProof/>
        </w:rPr>
        <w:t>м)</w:t>
      </w:r>
      <w:r>
        <w:rPr>
          <w:noProof/>
        </w:rPr>
        <w:tab/>
      </w:r>
      <w:r>
        <w:rPr>
          <w:b/>
          <w:noProof/>
        </w:rPr>
        <w:t xml:space="preserve">Свързан субект: </w:t>
      </w:r>
      <w:r>
        <w:rPr>
          <w:noProof/>
        </w:rPr>
        <w:t>Референтните показатели на свързаните субекти са инструменти за показатели относно свързан кредитополучател, а не относно конкретния кредитополучател по подкрепяната операция. Ако длъжникът не разполага с котирани облигации и суапове за кредитно неизпълнение, а в организационната му структура има дружество майка, дъщерно дружество или родствено дружество с неизплатени облигации или суапове за кредитно неизпълнение на пазара, тогава за целите на член 24, буква в) тези облигации или суапове може да се използват все едно са били издадени от самия длъжник, ако:</w:t>
      </w:r>
    </w:p>
    <w:p>
      <w:pPr>
        <w:pStyle w:val="Point2"/>
        <w:rPr>
          <w:noProof/>
        </w:rPr>
      </w:pPr>
      <w:r>
        <w:rPr>
          <w:noProof/>
        </w:rPr>
        <w:t>1)</w:t>
      </w:r>
      <w:r>
        <w:rPr>
          <w:noProof/>
        </w:rPr>
        <w:tab/>
        <w:t>дружеството майка, дъщерното дружество или родственото дружество използват същата АКР като длъжника; или</w:t>
      </w:r>
    </w:p>
    <w:p>
      <w:pPr>
        <w:pStyle w:val="Point2"/>
        <w:rPr>
          <w:noProof/>
        </w:rPr>
      </w:pPr>
      <w:r>
        <w:rPr>
          <w:noProof/>
        </w:rPr>
        <w:t>2)</w:t>
      </w:r>
      <w:r>
        <w:rPr>
          <w:noProof/>
        </w:rPr>
        <w:tab/>
        <w:t>са изпълнени всички от посочените по-долу критерии:</w:t>
      </w:r>
    </w:p>
    <w:p>
      <w:pPr>
        <w:pStyle w:val="Point3"/>
        <w:rPr>
          <w:noProof/>
        </w:rPr>
      </w:pPr>
      <w:r>
        <w:rPr>
          <w:noProof/>
        </w:rPr>
        <w:t>а)</w:t>
      </w:r>
      <w:r>
        <w:rPr>
          <w:noProof/>
        </w:rPr>
        <w:tab/>
        <w:t>Вътрешният рейтинг, който участникът е определил на длъжника/гаранта, съответства на кредитния рейтинг, който АКР е определила на свързания субект.</w:t>
      </w:r>
    </w:p>
    <w:p>
      <w:pPr>
        <w:pStyle w:val="Point3"/>
        <w:rPr>
          <w:noProof/>
        </w:rPr>
      </w:pPr>
      <w:r>
        <w:rPr>
          <w:noProof/>
        </w:rPr>
        <w:t>б)</w:t>
      </w:r>
      <w:r>
        <w:rPr>
          <w:noProof/>
        </w:rPr>
        <w:tab/>
        <w:t>Длъжникът/гарантът е главното оперативно дружество на дружеството майка/холдинга и представляват основна и неразделна част от стопанската дейност на групата.</w:t>
      </w:r>
    </w:p>
    <w:p>
      <w:pPr>
        <w:pStyle w:val="Point3"/>
        <w:rPr>
          <w:noProof/>
        </w:rPr>
      </w:pPr>
      <w:r>
        <w:rPr>
          <w:noProof/>
        </w:rPr>
        <w:t>в)</w:t>
      </w:r>
      <w:r>
        <w:rPr>
          <w:noProof/>
        </w:rPr>
        <w:tab/>
        <w:t>Рейтингът на АКР се основава на основната дейност на групата.</w:t>
      </w:r>
    </w:p>
    <w:p>
      <w:pPr>
        <w:pStyle w:val="Point3"/>
        <w:rPr>
          <w:noProof/>
        </w:rPr>
      </w:pPr>
      <w:r>
        <w:rPr>
          <w:noProof/>
        </w:rPr>
        <w:t>г)</w:t>
      </w:r>
      <w:r>
        <w:rPr>
          <w:noProof/>
        </w:rPr>
        <w:tab/>
        <w:t xml:space="preserve">Длъжникът/гарантът допринася за значителна част от приходите на групата предлагайки някои от основните продукти/услуги на основните клиенти или притежавайки и експлоатирайки съществена част от активите на дружеството майка. </w:t>
      </w:r>
    </w:p>
    <w:p>
      <w:pPr>
        <w:pStyle w:val="Point3"/>
        <w:rPr>
          <w:noProof/>
        </w:rPr>
      </w:pPr>
      <w:r>
        <w:rPr>
          <w:noProof/>
        </w:rPr>
        <w:t>д)</w:t>
      </w:r>
      <w:r>
        <w:rPr>
          <w:noProof/>
        </w:rPr>
        <w:tab/>
        <w:t>Идеята групата да продаде длъжника/гаранта е трудна за възприемане и подобен ход значително би изменил цялостния облик на групата.</w:t>
      </w:r>
    </w:p>
    <w:p>
      <w:pPr>
        <w:pStyle w:val="Point3"/>
        <w:rPr>
          <w:noProof/>
        </w:rPr>
      </w:pPr>
      <w:r>
        <w:rPr>
          <w:noProof/>
        </w:rPr>
        <w:t>е)</w:t>
      </w:r>
      <w:r>
        <w:rPr>
          <w:noProof/>
        </w:rPr>
        <w:tab/>
        <w:t>Неизпълнение на задълженията от страна на длъжника/гаранта би представлявало голям риск за репутацията на групата, би нанесло поражения на нейните франчайзинг дружества и би могло да застраши жизнеспособността ѝ.</w:t>
      </w:r>
    </w:p>
    <w:p>
      <w:pPr>
        <w:pStyle w:val="Point3"/>
        <w:rPr>
          <w:noProof/>
        </w:rPr>
      </w:pPr>
      <w:r>
        <w:rPr>
          <w:noProof/>
        </w:rPr>
        <w:lastRenderedPageBreak/>
        <w:t>ж)</w:t>
      </w:r>
      <w:r>
        <w:rPr>
          <w:noProof/>
        </w:rPr>
        <w:tab/>
        <w:t>Налице е висока степен на интеграция на управлението и функционирането, когато капиталът и финансирането обикновено се предоставят от дружеството майка или от дъщерното дружество за финансиране чрез междуфирмени заеми, като подкрепата от страна на дружеството майка е безспорна.</w:t>
      </w:r>
    </w:p>
    <w:p>
      <w:pPr>
        <w:pStyle w:val="Point1"/>
        <w:rPr>
          <w:noProof/>
        </w:rPr>
      </w:pPr>
      <w:r>
        <w:rPr>
          <w:noProof/>
          <w:sz w:val="22"/>
        </w:rPr>
        <w:t>н)</w:t>
      </w:r>
      <w:r>
        <w:rPr>
          <w:noProof/>
        </w:rPr>
        <w:tab/>
        <w:t xml:space="preserve">Срок на </w:t>
      </w:r>
      <w:r>
        <w:rPr>
          <w:b/>
          <w:noProof/>
          <w:sz w:val="22"/>
        </w:rPr>
        <w:t>погасяване</w:t>
      </w:r>
      <w:r>
        <w:rPr>
          <w:noProof/>
        </w:rPr>
        <w:t xml:space="preserve"> периодът от началната дата на кредита, както е определено в настоящото приложение, до договорната дата за последното плащане на главницата.</w:t>
      </w:r>
    </w:p>
    <w:p>
      <w:pPr>
        <w:pStyle w:val="Point1"/>
        <w:rPr>
          <w:rFonts w:eastAsia="Batang"/>
          <w:noProof/>
          <w:sz w:val="22"/>
        </w:rPr>
      </w:pPr>
      <w:r>
        <w:rPr>
          <w:noProof/>
        </w:rPr>
        <w:t>о)</w:t>
      </w:r>
      <w:r>
        <w:rPr>
          <w:noProof/>
        </w:rPr>
        <w:tab/>
        <w:t xml:space="preserve">Начална дата </w:t>
      </w:r>
      <w:r>
        <w:rPr>
          <w:b/>
          <w:noProof/>
          <w:sz w:val="22"/>
        </w:rPr>
        <w:t>на кредита</w:t>
      </w:r>
      <w:r>
        <w:rPr>
          <w:noProof/>
        </w:rPr>
        <w:t xml:space="preserve"> </w:t>
      </w:r>
      <w:r>
        <w:rPr>
          <w:b/>
          <w:noProof/>
          <w:sz w:val="22"/>
        </w:rPr>
        <w:t xml:space="preserve"> </w:t>
      </w:r>
    </w:p>
    <w:p>
      <w:pPr>
        <w:pStyle w:val="Point2"/>
        <w:rPr>
          <w:noProof/>
        </w:rPr>
      </w:pPr>
      <w:r>
        <w:rPr>
          <w:noProof/>
        </w:rPr>
        <w:t>1)</w:t>
      </w:r>
      <w:r>
        <w:rPr>
          <w:noProof/>
        </w:rPr>
        <w:tab/>
      </w:r>
      <w:r>
        <w:rPr>
          <w:i/>
          <w:noProof/>
        </w:rPr>
        <w:t xml:space="preserve"> Части или компоненти (междинни стоки), включително свързани услуги</w:t>
      </w:r>
      <w:r>
        <w:rPr>
          <w:noProof/>
        </w:rPr>
        <w:t>: за части или компоненти началната дата на кредита е не по-късно от действителната дата на приемане на стоките или среднопретеглената дата на приемане на стоките (включително услуги, ако е приложимо) от купувача или за услуги — датата на представяне на фактурите на клиента или приемане на услугите от страна на клиента</w:t>
      </w:r>
    </w:p>
    <w:p>
      <w:pPr>
        <w:pStyle w:val="Point2"/>
        <w:rPr>
          <w:rFonts w:eastAsia="Batang"/>
          <w:noProof/>
          <w:sz w:val="22"/>
        </w:rPr>
      </w:pPr>
      <w:r>
        <w:rPr>
          <w:noProof/>
          <w:sz w:val="22"/>
        </w:rPr>
        <w:t>2)</w:t>
      </w:r>
      <w:r>
        <w:rPr>
          <w:noProof/>
        </w:rPr>
        <w:tab/>
      </w:r>
      <w:r>
        <w:rPr>
          <w:i/>
          <w:noProof/>
          <w:sz w:val="22"/>
        </w:rPr>
        <w:t>Квазипроизводствено оборудване, включително свързани услуги — машини или оборудване, като цяло със сравнително ниска единична стойност, предназначени за използване в промишлен процес или за производствена или търговска цел:</w:t>
      </w:r>
      <w:r>
        <w:rPr>
          <w:noProof/>
          <w:sz w:val="22"/>
        </w:rPr>
        <w:t xml:space="preserve"> за квазипроизводствено оборудване началната дата на кредита е не по-късно от действителната дата на приемане на стоките или среднопретеглената дата на приемане на стоките от купувача или, ако износителят е отговорен за пускането в експлоатация, най-късната начална дата е пускането в експлоатация или за услуги — датата на представяне на фактурите на клиента или приемане на услугите от страна на клиента. При договор за предоставяне на услуги, по който доставчикът е отговорен за пускането в експлоатация, за най-късна начална дата на кредита се счита пускането в експлоатация. </w:t>
      </w:r>
    </w:p>
    <w:p>
      <w:pPr>
        <w:pStyle w:val="Point2"/>
        <w:rPr>
          <w:rFonts w:eastAsia="Batang"/>
          <w:i/>
          <w:noProof/>
          <w:sz w:val="22"/>
        </w:rPr>
      </w:pPr>
      <w:r>
        <w:rPr>
          <w:noProof/>
          <w:sz w:val="22"/>
        </w:rPr>
        <w:t>3)</w:t>
      </w:r>
      <w:r>
        <w:rPr>
          <w:noProof/>
        </w:rPr>
        <w:tab/>
      </w:r>
      <w:r>
        <w:rPr>
          <w:i/>
          <w:noProof/>
          <w:sz w:val="22"/>
        </w:rPr>
        <w:t xml:space="preserve">Производствено оборудване и услуги за проекти — машини или оборудване с висока стойност, предназначени за използване в промишлен процес или за производствена или търговска цел: </w:t>
      </w:r>
    </w:p>
    <w:p>
      <w:pPr>
        <w:pStyle w:val="Tiret3"/>
        <w:numPr>
          <w:ilvl w:val="0"/>
          <w:numId w:val="7"/>
        </w:numPr>
        <w:rPr>
          <w:noProof/>
        </w:rPr>
      </w:pPr>
      <w:r>
        <w:rPr>
          <w:noProof/>
        </w:rPr>
        <w:t>при договор за продажба на производствено оборудване, включващо няколко отделно използваеми части, за най-късна начална дата на кредита се счита действителната дата, на която купувачът реално е встъпил във владение на стоката, или среднопретеглената дата, на която купувачът реално е встъпил във владение на стоката,</w:t>
      </w:r>
    </w:p>
    <w:p>
      <w:pPr>
        <w:pStyle w:val="Tiret3"/>
        <w:rPr>
          <w:noProof/>
        </w:rPr>
      </w:pPr>
      <w:r>
        <w:rPr>
          <w:noProof/>
        </w:rPr>
        <w:t>в случай на договор за продажба на производствено оборудване, предназначено за комплектувани заводи или фабрики, когато доставчикът не носи отговорност за пускането в експлоатация, за най-късна начална дата на кредита се счита датата, на която купувачът физически влиза във владение на всички съоръжения (с изключение на резервните части), доставени по силата на договора,</w:t>
      </w:r>
    </w:p>
    <w:p>
      <w:pPr>
        <w:pStyle w:val="Tiret3"/>
        <w:rPr>
          <w:noProof/>
        </w:rPr>
      </w:pPr>
      <w:r>
        <w:rPr>
          <w:noProof/>
        </w:rPr>
        <w:lastRenderedPageBreak/>
        <w:t>ако износителят е отговорен за пускане в експлоатация, за начален момент се счита най-късно пускането в експлоатация,</w:t>
      </w:r>
    </w:p>
    <w:p>
      <w:pPr>
        <w:pStyle w:val="Tiret3"/>
        <w:rPr>
          <w:noProof/>
        </w:rPr>
      </w:pPr>
      <w:r>
        <w:rPr>
          <w:noProof/>
        </w:rPr>
        <w:t>за услуги най-късната начална дата на кредита е датата на представяне на фактурите на клиента или приемането на услугата от клиента. При договор за предоставяне на услуги, по който доставчикът е отговорен за пускането в експлоатация, за най-късна начална дата на кредита се счита пускането в експлоатация.</w:t>
      </w:r>
    </w:p>
    <w:p>
      <w:pPr>
        <w:pStyle w:val="Point2"/>
        <w:rPr>
          <w:rFonts w:eastAsia="Batang"/>
          <w:i/>
          <w:noProof/>
          <w:sz w:val="22"/>
        </w:rPr>
      </w:pPr>
      <w:r>
        <w:rPr>
          <w:noProof/>
          <w:sz w:val="22"/>
        </w:rPr>
        <w:t>4)</w:t>
      </w:r>
      <w:r>
        <w:rPr>
          <w:noProof/>
        </w:rPr>
        <w:tab/>
      </w:r>
      <w:r>
        <w:rPr>
          <w:i/>
          <w:noProof/>
          <w:sz w:val="22"/>
        </w:rPr>
        <w:t>Комплектувани заводи или фабрики — комплектувани производствени съоръжения с висока стойност, при които се изисква използването на производствено оборудване:</w:t>
      </w:r>
    </w:p>
    <w:p>
      <w:pPr>
        <w:pStyle w:val="Tiret3"/>
        <w:rPr>
          <w:noProof/>
        </w:rPr>
      </w:pPr>
      <w:r>
        <w:rPr>
          <w:noProof/>
        </w:rPr>
        <w:t xml:space="preserve">в случай на договор за продажба на производствено оборудване, предназначено за комплектувани заводи или фабрики, когато доставчикът не носи отговорност за пускането в експлоатация, за най-късна начална дата на кредита се счита датата, на която купувачът физически влиза във владение на всички съоръжения (с изключение на резервните части), доставени по силата на договора, </w:t>
      </w:r>
    </w:p>
    <w:p>
      <w:pPr>
        <w:pStyle w:val="Tiret3"/>
        <w:rPr>
          <w:noProof/>
        </w:rPr>
      </w:pPr>
      <w:r>
        <w:rPr>
          <w:noProof/>
        </w:rPr>
        <w:t>при договор за строителство, по който възложителят не отговаря за пускането в експлоатация, най-късната начална дата на кредита е датата на приключване на строителството,</w:t>
      </w:r>
    </w:p>
    <w:p>
      <w:pPr>
        <w:pStyle w:val="Tiret3"/>
        <w:rPr>
          <w:noProof/>
        </w:rPr>
      </w:pPr>
      <w:r>
        <w:rPr>
          <w:noProof/>
        </w:rPr>
        <w:t>при договор, по силата на който доставчикът или възложителят отговаря за пускането в експлоатация, най-късната начална дата на кредита е датата, на която след монтирането или след строителството приключат предварителните изпитвания за годност за експлоатация. Това правило се прилага, без да се прави разграничение дали монтирането или строителството е или не е предадено на купувача в този момент съгласно условията на договора и независимо от всякакъв ангажимент между доставчика или възложителя, например гарантиране на действителното функциониране или обучение на местния персонал,</w:t>
      </w:r>
    </w:p>
    <w:p>
      <w:pPr>
        <w:pStyle w:val="Tiret3"/>
        <w:rPr>
          <w:noProof/>
        </w:rPr>
      </w:pPr>
      <w:r>
        <w:rPr>
          <w:noProof/>
        </w:rPr>
        <w:t>когато договорът предвижда отделно изпълнение на различните части на проекта, най-късната начална дата на кредита е началната дата за всяка отделна част или средната дата от началните дати на кредита или, когато доставчикът има договор не за целия проект, а за една съществена част от него, началната дата може да бъде тази, която е подходяща за целия проект,</w:t>
      </w:r>
    </w:p>
    <w:p>
      <w:pPr>
        <w:pStyle w:val="Tiret3"/>
        <w:rPr>
          <w:rFonts w:eastAsia="Batang"/>
          <w:b/>
          <w:noProof/>
          <w:sz w:val="22"/>
          <w:szCs w:val="20"/>
        </w:rPr>
      </w:pPr>
      <w:r>
        <w:rPr>
          <w:noProof/>
        </w:rPr>
        <w:t>за услуги най-късната начална дата на кредита е датата на представяне на фактурите на клиента или приемане на услугите от страна на клиента. При договор за предоставяне на услуги, по който доставчикът е отговорен за пускането в експлоатация, за най-късна начална дата на кредита се счита пускането в експлоатация.</w:t>
      </w:r>
    </w:p>
    <w:p>
      <w:pPr>
        <w:pStyle w:val="Point1"/>
        <w:rPr>
          <w:rFonts w:eastAsia="Batang"/>
          <w:noProof/>
          <w:sz w:val="22"/>
        </w:rPr>
      </w:pPr>
      <w:r>
        <w:rPr>
          <w:noProof/>
          <w:sz w:val="22"/>
        </w:rPr>
        <w:lastRenderedPageBreak/>
        <w:t>п)</w:t>
      </w:r>
      <w:r>
        <w:rPr>
          <w:noProof/>
        </w:rPr>
        <w:tab/>
      </w:r>
      <w:r>
        <w:rPr>
          <w:b/>
          <w:noProof/>
          <w:sz w:val="22"/>
        </w:rPr>
        <w:t>Обвързана помощ</w:t>
      </w:r>
      <w:r>
        <w:rPr>
          <w:noProof/>
        </w:rPr>
        <w:t>:</w:t>
      </w:r>
      <w:r>
        <w:rPr>
          <w:b/>
          <w:noProof/>
          <w:sz w:val="22"/>
        </w:rPr>
        <w:t xml:space="preserve"> </w:t>
      </w:r>
      <w:r>
        <w:rPr>
          <w:noProof/>
          <w:sz w:val="22"/>
        </w:rPr>
        <w:t>помощ, чиито последици (правни или фактически) са обвързани с доставка на стоки и/или услуги от държавата донор и/или от ограничен брой държави. Тя обхваща заеми, безвъзмездни помощи или асоциирани финансови пакети с равнище на субсидиране над нула процента.</w:t>
      </w:r>
      <w:r>
        <w:rPr>
          <w:b/>
          <w:noProof/>
          <w:sz w:val="22"/>
        </w:rPr>
        <w:t xml:space="preserve"> </w:t>
      </w:r>
    </w:p>
    <w:p>
      <w:pPr>
        <w:pStyle w:val="Text2"/>
        <w:rPr>
          <w:noProof/>
        </w:rPr>
      </w:pPr>
      <w:r>
        <w:rPr>
          <w:noProof/>
        </w:rPr>
        <w:t>Това определение се прилага независимо дали „обвързването“ произтича от официално споразумение или друга форма на неофициално споразумение между получаващата държава и държавата донор или от пакет, включващ компоненти от списъка по член 34 от Споразумението, които не се използват свободно и изцяло за финансиране на покупки от получаващата държава, от почти всички останали развиващи се държави и от участниците, или които включват практики, възприемани от КПР или участниците като равносилни на такова обвързване.</w:t>
      </w:r>
    </w:p>
    <w:p>
      <w:pPr>
        <w:pStyle w:val="Point1"/>
        <w:rPr>
          <w:rFonts w:eastAsia="Batang"/>
          <w:noProof/>
          <w:sz w:val="22"/>
        </w:rPr>
      </w:pPr>
      <w:r>
        <w:rPr>
          <w:noProof/>
          <w:sz w:val="22"/>
        </w:rPr>
        <w:t>р)</w:t>
      </w:r>
      <w:r>
        <w:rPr>
          <w:noProof/>
        </w:rPr>
        <w:tab/>
      </w:r>
      <w:r>
        <w:rPr>
          <w:b/>
          <w:noProof/>
          <w:sz w:val="22"/>
        </w:rPr>
        <w:t>Необвързана помощ</w:t>
      </w:r>
      <w:r>
        <w:rPr>
          <w:noProof/>
          <w:sz w:val="22"/>
        </w:rPr>
        <w:t xml:space="preserve"> помощ, която включва заеми или безвъзмездна помощ, които се използват изцяло и свободно за финансиране на покупки от която и да е държава.</w:t>
      </w:r>
    </w:p>
    <w:p>
      <w:pPr>
        <w:pStyle w:val="Point1"/>
        <w:rPr>
          <w:noProof/>
        </w:rPr>
      </w:pPr>
      <w:r>
        <w:rPr>
          <w:noProof/>
          <w:sz w:val="22"/>
        </w:rPr>
        <w:t>с)</w:t>
      </w:r>
      <w:r>
        <w:rPr>
          <w:noProof/>
        </w:rPr>
        <w:tab/>
      </w:r>
      <w:r>
        <w:rPr>
          <w:b/>
          <w:noProof/>
          <w:sz w:val="22"/>
        </w:rPr>
        <w:t>Среднопретеглена продължителност на срока на погасяване:</w:t>
      </w:r>
      <w:r>
        <w:rPr>
          <w:noProof/>
          <w:sz w:val="22"/>
        </w:rPr>
        <w:t xml:space="preserve"> времето, необходимо за погасяване на половината от главницата по кредита. То се изчислява като сбор от времевите периоди (в години) между началната дата на кредита и всяко изплащане на главницата, претеглен спрямо изплатената част от главницата към всяка дата на изплащане.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Статутът на дадена държава по отношение на: 1) това дали е държава с високи доходи (както е определено от Световната банка на годишна основа според БНД на глава от населението), 2) членство в ОИСР и 3) това дали е част от еврозоната, се преразглежда на годишна основа. Определянето съгласно член 25, буква в) на статут на държава от ОИСР с високи доходи или държава от еврозоната с високи доходи, както и отнемането на този статут, пораждат действие само след като класификацията на доходите на държавата (високи доходи или други) е останала без промяна в продължение на две последователни години. Промяната в статута на държава като държава от ОИСР с високи доходи или държава от еврозоната с високи доходи, както и отнемането на този статут, свързано с промяна в членството в ОИСР или еврозоната, пораждат действие веднага към момента на годишното преразглеждане на статута на държавите.</w:t>
      </w:r>
    </w:p>
  </w:footnote>
  <w:footnote w:id="2">
    <w:p>
      <w:pPr>
        <w:pStyle w:val="FootnoteText"/>
      </w:pPr>
      <w:r>
        <w:rPr>
          <w:rStyle w:val="FootnoteReference"/>
        </w:rPr>
        <w:footnoteRef/>
      </w:r>
      <w:r>
        <w:tab/>
        <w:t>за да бъде определен като сделка, обезпечена с активи, трябва да е налице лихва за обезпечение от първи ред за актива, който се финансира; и, при лизингова структура — преотстъпване и/или лихва за обезпечение от първи ред във връзка с лизинговите плащания;</w:t>
      </w:r>
    </w:p>
  </w:footnote>
  <w:footnote w:id="3">
    <w:p>
      <w:pPr>
        <w:pStyle w:val="FootnoteText"/>
      </w:pPr>
      <w:r>
        <w:rPr>
          <w:rStyle w:val="FootnoteReference"/>
        </w:rPr>
        <w:footnoteRef/>
      </w:r>
      <w:r>
        <w:tab/>
        <w:t>за да бъде определен като  сделка за финансиране на проекти, трябва да отговаря на основните критерии, установени в допълнение 1 към приложение VI към споразумението.</w:t>
      </w:r>
    </w:p>
  </w:footnote>
  <w:footnote w:id="4">
    <w:p>
      <w:pPr>
        <w:pStyle w:val="FootnoteText"/>
        <w:rPr>
          <w:sz w:val="18"/>
          <w:szCs w:val="18"/>
        </w:rPr>
      </w:pPr>
      <w:r>
        <w:rPr>
          <w:rStyle w:val="FootnoteReference"/>
        </w:rPr>
        <w:footnoteRef/>
      </w:r>
      <w:r>
        <w:tab/>
        <w:t xml:space="preserve">Независимо от този праг, за сделки във включени в пазарния показател държави, използващи реда и условията, предвидени в приложение V (железопътен транспорт) и приложение VI (финансиране на проекти), се прилагат съответните правилата за минимално участие в търговски заеми, предвидени в посочените приложения. </w:t>
      </w:r>
    </w:p>
  </w:footnote>
  <w:footnote w:id="5">
    <w:p>
      <w:pPr>
        <w:pStyle w:val="FootnoteText"/>
      </w:pPr>
      <w:r>
        <w:rPr>
          <w:rStyle w:val="FootnoteReference"/>
        </w:rPr>
        <w:footnoteRef/>
      </w:r>
      <w:r>
        <w:tab/>
        <w:t xml:space="preserve">Тази част от критерия за 25 % може да бъде изпълнена, ако частта с безналично плащане по дадена сделка, в която участва само една банка, получаваща покритие от АЕК, включва непокрита част от най-малко 25 %. Такива сделки трябва да отговарят на всички други критерии, изброени в параграф 1, включително разпоредбите относно </w:t>
      </w:r>
      <w:r>
        <w:rPr>
          <w:i/>
        </w:rPr>
        <w:t>pari passu</w:t>
      </w:r>
      <w:r>
        <w:t xml:space="preserve">, посочени в настоящото тире. </w:t>
      </w:r>
    </w:p>
  </w:footnote>
  <w:footnote w:id="6">
    <w:p>
      <w:pPr>
        <w:pStyle w:val="FootnoteText"/>
      </w:pPr>
      <w:r>
        <w:rPr>
          <w:rStyle w:val="FootnoteReference"/>
        </w:rPr>
        <w:footnoteRef/>
      </w:r>
      <w:r>
        <w:tab/>
        <w:t>Секретариатът съставя и поддържа списък с такива акредитирани АКР.</w:t>
      </w:r>
    </w:p>
  </w:footnote>
  <w:footnote w:id="7">
    <w:p>
      <w:pPr>
        <w:pStyle w:val="FootnoteText"/>
      </w:pPr>
      <w:r>
        <w:rPr>
          <w:rStyle w:val="FootnoteReference"/>
        </w:rPr>
        <w:footnoteRef/>
      </w:r>
      <w:r>
        <w:tab/>
        <w:t xml:space="preserve">Когато длъжникът/гарантът е получил рейтинг от повече от една акредитирана АКР, рейтингът на АКР е най-добрият наличен рейтинг в чуждестранна валута, основан на първостепенен необезпечен кредитен рейтинг на длъжника (или гаранта). </w:t>
      </w:r>
    </w:p>
  </w:footnote>
  <w:footnote w:id="8">
    <w:p>
      <w:pPr>
        <w:pStyle w:val="FootnoteText"/>
      </w:pPr>
      <w:r>
        <w:rPr>
          <w:rStyle w:val="FootnoteReference"/>
        </w:rPr>
        <w:footnoteRef/>
      </w:r>
      <w:r>
        <w:tab/>
        <w:t>Ако съответният субект, за който се прилагат пазарните цени, не е получил рейтинг от акредитирана АКР, се смята, че получените пазарни цени са под съответната ставка, определена съгласно модела TCMB, и подлежат на предварително уведомление в съответствие с член 48.</w:t>
      </w:r>
    </w:p>
  </w:footnote>
  <w:footnote w:id="9">
    <w:p>
      <w:pPr>
        <w:pStyle w:val="FootnoteText"/>
      </w:pPr>
      <w:r>
        <w:rPr>
          <w:rStyle w:val="FootnoteReference"/>
        </w:rPr>
        <w:footnoteRef/>
      </w:r>
      <w:r>
        <w:tab/>
        <w:t>Ставките на премиите, които се прилагат за сделки с гаранция от трета страна, представена от длъжник в държава от ОИСР с високи доходи или държава от еврозоната с високи доходи, подлежат на изискванията по член 24, буква в).</w:t>
      </w:r>
    </w:p>
  </w:footnote>
  <w:footnote w:id="10">
    <w:p>
      <w:pPr>
        <w:pStyle w:val="FootnoteText"/>
      </w:pPr>
      <w:r>
        <w:rPr>
          <w:rStyle w:val="FootnoteReference"/>
        </w:rPr>
        <w:footnoteRef/>
      </w:r>
      <w:r>
        <w:tab/>
        <w:t>В случай на гаранция от трета страна приложимата класификация на държавния риск и категория на риск на купувача трябва да са свързани със същия субект, т.е. или с длъжника, или с гаранта.</w:t>
      </w:r>
    </w:p>
  </w:footnote>
  <w:footnote w:id="11">
    <w:p>
      <w:pPr>
        <w:pStyle w:val="FootnoteText"/>
      </w:pPr>
      <w:r>
        <w:rPr>
          <w:rStyle w:val="FootnoteReference"/>
        </w:rPr>
        <w:footnoteRef/>
      </w:r>
      <w:r>
        <w:tab/>
        <w:t>За административни цели е възможно някои държави, които могат да се класифицират в една от осемте категории на държавния риск, да не се класифицират, ако по принцип не получават официално подкрепяни експортни кредити. За тези некласифицирани държави участниците могат да прилагат класификацията на държавния риск, която считат за целесъобразна.</w:t>
      </w:r>
    </w:p>
  </w:footnote>
  <w:footnote w:id="12">
    <w:p>
      <w:pPr>
        <w:pStyle w:val="FootnoteText"/>
      </w:pPr>
      <w:r>
        <w:rPr>
          <w:rStyle w:val="FootnoteReference"/>
        </w:rPr>
        <w:footnoteRef/>
      </w:r>
      <w:r>
        <w:tab/>
        <w:t xml:space="preserve">Правилата, свързани с класифицирането на купувачите, следва да се разбират като определящи най-благоприятната класификация, която може да се прилага, например суверенен купувач може да се класифицира в по-малко благоприятна класификация на риска на купувача. </w:t>
      </w:r>
    </w:p>
  </w:footnote>
  <w:footnote w:id="13">
    <w:p>
      <w:pPr>
        <w:pStyle w:val="FootnoteText"/>
      </w:pPr>
      <w:r>
        <w:rPr>
          <w:rStyle w:val="FootnoteReference"/>
        </w:rPr>
        <w:footnoteRef/>
      </w:r>
      <w:r>
        <w:tab/>
        <w:t>МСП, свързани с категорията на риск на купувача „по-нисък от суверенния риск“ (SOV+), са 10 % под МСП, свързани с категорията „суверен“ (CC0) на риска на купувача.</w:t>
      </w:r>
    </w:p>
  </w:footnote>
  <w:footnote w:id="14">
    <w:p>
      <w:pPr>
        <w:pStyle w:val="FootnoteText"/>
      </w:pPr>
      <w:r>
        <w:rPr>
          <w:rStyle w:val="FootnoteReference"/>
        </w:rPr>
        <w:footnoteRef/>
      </w:r>
      <w:r>
        <w:tab/>
        <w:t>Когато несуверенен кредитополучател получи рейтинг от повече от една акредитирана АКР, е необходимо уведомление единствено когато рейтингът на риска на купувача е по-благоприятен от най-благоприятния от рейтингите на АКР.</w:t>
      </w:r>
    </w:p>
  </w:footnote>
  <w:footnote w:id="15">
    <w:p>
      <w:pPr>
        <w:pStyle w:val="FootnoteText"/>
      </w:pPr>
      <w:r>
        <w:rPr>
          <w:rStyle w:val="FootnoteReference"/>
        </w:rPr>
        <w:footnoteRef/>
      </w:r>
      <w:r>
        <w:tab/>
        <w:t>По отношение на риска на купувача класифицираните многостранни и регионални институции се класифицират в категория SOV/CC0 за риска на купувача.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F29B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ED9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6A7B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C38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EE36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5476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1E606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987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20"/>
    <w:lvlOverride w:ilvl="0">
      <w:startOverride w:val="1"/>
    </w:lvlOverride>
  </w:num>
  <w:num w:numId="7">
    <w:abstractNumId w:val="1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6 08:10: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A0B4CD8EE91488C85356335A2BCF58E"/>
    <w:docVar w:name="LW_CROSSREFERENCE" w:val="&lt;UNUSED&gt;"/>
    <w:docVar w:name="LW_DocType" w:val="ANNEX"/>
    <w:docVar w:name="LW_EMISSION" w:val="8.12.2016"/>
    <w:docVar w:name="LW_EMISSION_ISODATE" w:val="2016-12-0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9?\u1072?\u1077?\u1084?\u1077? \u1057?\u1098?\u1102?\u1079?\u1098?\u1090? \u1074? \u1088?\u1072?\u1084?\u1082?\u1080?\u1090?\u1077? \u1085?\u1072? \u1088?\u1072?\u1073?\u1086?\u1090?\u1085?\u1072?\u1090?\u1072? \u1075?\u1088?\u1091?\u1087?\u1072? \u1085?\u1072? \u1091?\u1095?\u1072?\u1089?\u1090?\u1085?\u1080?\u1094?\u1080?\u1090?\u1077? \u1074? \u1057?\u1087?\u1086?\u1088?\u1072?\u1079?\u1091?\u1084?\u1077?\u1085?\u1080?\u1077?\u1090?\u1086? \u1085?\u1072? \u1054?\u1048?\u1057?\u1056? \u1079?\u1072? \u1086?\u1092?\u1080?\u1094?\u1080?\u1072?\u1083?\u1085?\u1086? \u1087?\u1086?\u1076?\u1082?\u1088?\u1077?\u1087?\u1103?\u1085?\u1080?\u1090?\u1077? \u1077?\u1082?\u1089?\u1087?\u1086?\u1088?\u1090?\u1085?\u1080? \u1082?\u1088?\u1077?\u1076?\u1080?\u1090?\u1080?, \u1074?\u1098?\u1074? \u1074?\u1088?\u1098?\u1079?\u1082?\u1072? \u1089? \u1087?\u1088?\u1072?\u1074?\u1080?\u1083?\u1072?\u1090?\u1072? \u1079?\u1072? \u1094?\u1077?\u1085?\u1086?\u1086?\u1073?\u1088?\u1072?\u1079?\u1091?\u1074?\u1072?\u1085?\u1077?\u1090?\u1086? \u1074?\u1098?\u1079? \u1086?\u1089?\u1085?\u1086?\u1074?\u1072? \u1085?\u1072? \u1087?\u1072?\u1079?\u1072?\u1088?\u1085?\u1080? \u1087?\u1086?\u1082?\u1072?\u1079?\u1072?\u1090?\u1077?\u1083?\u1080?"/>
    <w:docVar w:name="LW_OBJETACTEPRINCIPAL.CP" w:val="\u1086?\u1090?\u1085?\u1086?\u1089?\u1085?\u1086? \u1087?\u1086?\u1079?\u1080?\u1094?\u1080?\u1103?\u1090?\u1072?, \u1082?\u1086?\u1103?\u1090?\u1086? \u1076?\u1072? \u1079?\u1072?\u1077?\u1084?\u1077? \u1057?\u1098?\u1102?\u1079?\u1098?\u1090? \u1074? \u1088?\u1072?\u1084?\u1082?\u1080?\u1090?\u1077? \u1085?\u1072? \u1088?\u1072?\u1073?\u1086?\u1090?\u1085?\u1072?\u1090?\u1072? \u1075?\u1088?\u1091?\u1087?\u1072? \u1085?\u1072? \u1091?\u1095?\u1072?\u1089?\u1090?\u1085?\u1080?\u1094?\u1080?\u1090?\u1077? \u1074? \u1057?\u1087?\u1086?\u1088?\u1072?\u1079?\u1091?\u1084?\u1077?\u1085?\u1080?\u1077?\u1090?\u1086? \u1085?\u1072? \u1054?\u1048?\u1057?\u1056? \u1079?\u1072? \u1086?\u1092?\u1080?\u1094?\u1080?\u1072?\u1083?\u1085?\u1086? \u1087?\u1086?\u1076?\u1082?\u1088?\u1077?\u1087?\u1103?\u1085?\u1080?\u1090?\u1077? \u1077?\u1082?\u1089?\u1087?\u1086?\u1088?\u1090?\u1085?\u1080? \u1082?\u1088?\u1077?\u1076?\u1080?\u1090?\u1080?, \u1074?\u1098?\u1074? \u1074?\u1088?\u1098?\u1079?\u1082?\u1072? \u1089? \u1087?\u1088?\u1072?\u1074?\u1080?\u1083?\u1072?\u1090?\u1072? \u1079?\u1072? \u1094?\u1077?\u1085?\u1086?\u1086?\u1073?\u1088?\u1072?\u1079?\u1091?\u1074?\u1072?\u1085?\u1077?\u1090?\u1086? \u1074?\u1098?\u1079? \u1086?\u1089?\u1085?\u1086?\u1074?\u1072? \u1085?\u1072? \u1087?\u1072?\u1079?\u1072?\u1088?\u1085?\u1080? \u1087?\u1086?\u1082?\u1072?\u1079?\u1072?\u1090?\u1077?\u1083?\u1080?"/>
    <w:docVar w:name="LW_PART_NBR" w:val="1"/>
    <w:docVar w:name="LW_PART_NBR_TOTAL" w:val="1"/>
    <w:docVar w:name="LW_REF.INST.NEW" w:val="COM"/>
    <w:docVar w:name="LW_REF.INST.NEW_ADOPTED" w:val="final"/>
    <w:docVar w:name="LW_REF.INST.NEW_TEXT" w:val="(2016) 779"/>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8B8D-361F-401A-BEA8-B773159D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22</Pages>
  <Words>6081</Words>
  <Characters>35763</Characters>
  <Application>Microsoft Office Word</Application>
  <DocSecurity>0</DocSecurity>
  <Lines>745</Lines>
  <Paragraphs>334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2016-11-28T15:16:00Z</dcterms:created>
  <dcterms:modified xsi:type="dcterms:W3CDTF">2016-12-06T07:10:00Z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