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DCC69556A06F4C2CA24992002290C663" style="width:450.75pt;height:396.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spacing w:after="600"/>
        <w:rPr>
          <w:noProof/>
        </w:rPr>
      </w:pPr>
      <w:bookmarkStart w:id="0" w:name="_GoBack"/>
      <w:bookmarkEnd w:id="0"/>
      <w:r>
        <w:rPr>
          <w:noProof/>
        </w:rPr>
        <w:lastRenderedPageBreak/>
        <w:t>TILLÆG</w:t>
      </w:r>
    </w:p>
    <w:p>
      <w:pPr>
        <w:jc w:val="center"/>
        <w:rPr>
          <w:b/>
          <w:noProof/>
        </w:rPr>
      </w:pPr>
      <w:r>
        <w:rPr>
          <w:b/>
          <w:noProof/>
        </w:rPr>
        <w:t>FORSLAG</w:t>
      </w:r>
    </w:p>
    <w:p>
      <w:pPr>
        <w:pStyle w:val="ManualHeading1"/>
        <w:rPr>
          <w:i/>
          <w:noProof/>
        </w:rPr>
      </w:pPr>
      <w:r>
        <w:rPr>
          <w:noProof/>
        </w:rPr>
        <w:t>24.</w:t>
      </w:r>
      <w:r>
        <w:rPr>
          <w:noProof/>
        </w:rPr>
        <w:tab/>
        <w:t>MINIMUMSPRÆMIESATSER FOR KREDITRISIKO</w:t>
      </w:r>
    </w:p>
    <w:p>
      <w:pPr>
        <w:numPr>
          <w:ilvl w:val="12"/>
          <w:numId w:val="0"/>
        </w:numPr>
        <w:tabs>
          <w:tab w:val="left" w:pos="850"/>
          <w:tab w:val="left" w:pos="1191"/>
          <w:tab w:val="left" w:pos="1531"/>
        </w:tabs>
        <w:spacing w:before="0" w:after="240"/>
        <w:rPr>
          <w:rFonts w:eastAsia="Batang"/>
          <w:noProof/>
          <w:sz w:val="22"/>
        </w:rPr>
      </w:pPr>
      <w:r>
        <w:rPr>
          <w:noProof/>
          <w:sz w:val="22"/>
        </w:rPr>
        <w:t>Deltagerne må ikke opkræve mindre end den relevante minimumspræmiesats (MPR) for kreditrisiko.</w:t>
      </w:r>
    </w:p>
    <w:p>
      <w:pPr>
        <w:pStyle w:val="Point0"/>
        <w:rPr>
          <w:noProof/>
        </w:rPr>
      </w:pPr>
      <w:r>
        <w:rPr>
          <w:noProof/>
        </w:rPr>
        <w:t>a)</w:t>
      </w:r>
      <w:r>
        <w:rPr>
          <w:noProof/>
        </w:rPr>
        <w:tab/>
        <w:t>Den relevante MPR bestemmes af følgende faktorer:</w:t>
      </w:r>
    </w:p>
    <w:p>
      <w:pPr>
        <w:pStyle w:val="Tiret1"/>
        <w:numPr>
          <w:ilvl w:val="0"/>
          <w:numId w:val="5"/>
        </w:numPr>
        <w:rPr>
          <w:noProof/>
        </w:rPr>
      </w:pPr>
      <w:r>
        <w:rPr>
          <w:noProof/>
        </w:rPr>
        <w:t>den relevante klassificering af landerisiko</w:t>
      </w:r>
    </w:p>
    <w:p>
      <w:pPr>
        <w:pStyle w:val="Tiret1"/>
        <w:rPr>
          <w:noProof/>
        </w:rPr>
      </w:pPr>
      <w:r>
        <w:rPr>
          <w:noProof/>
        </w:rPr>
        <w:t>risikoperiodens længde (dvs. risikohorisonten (Horizon of Risk – HOR))</w:t>
      </w:r>
    </w:p>
    <w:p>
      <w:pPr>
        <w:pStyle w:val="Tiret1"/>
        <w:rPr>
          <w:noProof/>
        </w:rPr>
      </w:pPr>
      <w:r>
        <w:rPr>
          <w:noProof/>
        </w:rPr>
        <w:t>debitors udvalgte køberrisikokategori</w:t>
      </w:r>
    </w:p>
    <w:p>
      <w:pPr>
        <w:pStyle w:val="Tiret1"/>
        <w:rPr>
          <w:noProof/>
        </w:rPr>
      </w:pPr>
      <w:r>
        <w:rPr>
          <w:noProof/>
        </w:rPr>
        <w:t>dækningsprocent for politiske og kommercielle risici samt kvaliteten af ydede offentlige</w:t>
      </w:r>
      <w:r>
        <w:rPr>
          <w:b/>
          <w:noProof/>
        </w:rPr>
        <w:t xml:space="preserve"> </w:t>
      </w:r>
      <w:r>
        <w:rPr>
          <w:noProof/>
        </w:rPr>
        <w:t>eksportkreditter</w:t>
      </w:r>
    </w:p>
    <w:p>
      <w:pPr>
        <w:pStyle w:val="Tiret1"/>
        <w:rPr>
          <w:noProof/>
        </w:rPr>
      </w:pPr>
      <w:r>
        <w:rPr>
          <w:noProof/>
        </w:rPr>
        <w:t>enhver anvendt teknik til lempelse af landerisikoen og</w:t>
      </w:r>
    </w:p>
    <w:p>
      <w:pPr>
        <w:pStyle w:val="Tiret1"/>
        <w:rPr>
          <w:noProof/>
        </w:rPr>
      </w:pPr>
      <w:r>
        <w:rPr>
          <w:noProof/>
        </w:rPr>
        <w:t>enhver anvendt kreditforbedring i forbindelse med køberrisiko.</w:t>
      </w:r>
    </w:p>
    <w:p>
      <w:pPr>
        <w:pStyle w:val="Point0"/>
        <w:rPr>
          <w:noProof/>
        </w:rPr>
      </w:pPr>
      <w:r>
        <w:rPr>
          <w:noProof/>
          <w:sz w:val="22"/>
        </w:rPr>
        <w:t>b)</w:t>
      </w:r>
      <w:r>
        <w:rPr>
          <w:noProof/>
        </w:rPr>
        <w:tab/>
      </w:r>
      <w:r>
        <w:rPr>
          <w:noProof/>
          <w:sz w:val="22"/>
        </w:rPr>
        <w:t xml:space="preserve">MPR udtrykkes i % af kredittens hovedstol, som om præmien blev opkrævet </w:t>
      </w:r>
      <w:r>
        <w:rPr>
          <w:noProof/>
        </w:rPr>
        <w:t>med sit fulde beløb på tidspunktet for det første træk på kreditten. Forklaringen på, hvorledes MPR beregnes, herunder den matematiske formel, gives i bilag IX.</w:t>
      </w:r>
    </w:p>
    <w:p>
      <w:pPr>
        <w:pStyle w:val="Point0"/>
        <w:rPr>
          <w:rFonts w:eastAsia="Batang"/>
          <w:noProof/>
          <w:sz w:val="22"/>
        </w:rPr>
      </w:pPr>
      <w:r>
        <w:rPr>
          <w:noProof/>
        </w:rPr>
        <w:t>c)</w:t>
      </w:r>
      <w:r>
        <w:rPr>
          <w:noProof/>
        </w:rPr>
        <w:tab/>
        <w:t>Uanset destinationslandet fastsættes de præmiesatser, der opkræves af deltagerne for markedsbenchmarktransaktioner, dvs. som involverer debitorer/garanter (dvs. kreditrisikoenheder) i kategori 0-lande, OECD-højindkomstlande</w:t>
      </w:r>
      <w:r>
        <w:rPr>
          <w:noProof/>
          <w:sz w:val="22"/>
        </w:rPr>
        <w:t xml:space="preserve"> og højindkomstlande i euroområdet,</w:t>
      </w:r>
      <w:r>
        <w:rPr>
          <w:rStyle w:val="FootnoteReference"/>
          <w:noProof/>
        </w:rPr>
        <w:footnoteReference w:id="1"/>
      </w:r>
      <w:r>
        <w:rPr>
          <w:noProof/>
          <w:sz w:val="22"/>
        </w:rPr>
        <w:t xml:space="preserve"> i hvert enkelt tilfælde. Med henblik på at sikre, at de opkrævede præmiesatser for transaktioner, der omfatter debitorer og eventuelt garanter, i sådanne lande, ikke er lavere end priserne på det private marked, skal deltagerne overholde følgende procedurer under anvendelse af indgåede aftaler for at omsætte den relevante benchmarkpris til præmie:</w:t>
      </w:r>
    </w:p>
    <w:p>
      <w:pPr>
        <w:pStyle w:val="Point1"/>
        <w:rPr>
          <w:noProof/>
        </w:rPr>
      </w:pPr>
      <w:r>
        <w:rPr>
          <w:noProof/>
        </w:rPr>
        <w:t>1.</w:t>
      </w:r>
      <w:r>
        <w:rPr>
          <w:noProof/>
        </w:rPr>
        <w:tab/>
        <w:t>Når en deltager yder offentlig støtte som led i en syndikeret lånepakke, der er opbygget som en transaktion af enten asset-backed-typen</w:t>
      </w:r>
      <w:r>
        <w:rPr>
          <w:rStyle w:val="FootnoteReference"/>
          <w:noProof/>
        </w:rPr>
        <w:footnoteReference w:id="2"/>
      </w:r>
      <w:r>
        <w:rPr>
          <w:noProof/>
        </w:rPr>
        <w:t xml:space="preserve"> eller som </w:t>
      </w:r>
      <w:r>
        <w:rPr>
          <w:noProof/>
        </w:rPr>
        <w:lastRenderedPageBreak/>
        <w:t>projektfinansiering</w:t>
      </w:r>
      <w:r>
        <w:rPr>
          <w:rStyle w:val="FootnoteReference"/>
          <w:noProof/>
        </w:rPr>
        <w:footnoteReference w:id="3"/>
      </w:r>
      <w:r>
        <w:rPr>
          <w:noProof/>
        </w:rPr>
        <w:t>, må den samlede omkostning ved den offentligt støttede del ikke være mindre end de samlede omkostninger, som opkræves af de(n) kommercielle markedsdeltager(e) i syndikatet, eller den præmie, der opkræves må ikke være mindre end den, som opkræves af de(n) kommercielle markedsdeltager(e). For at blive klassificeret som en syndikeret lånepakke skal følgende betingelser være opfyldt:</w:t>
      </w:r>
    </w:p>
    <w:p>
      <w:pPr>
        <w:pStyle w:val="Tiret2"/>
        <w:numPr>
          <w:ilvl w:val="0"/>
          <w:numId w:val="6"/>
        </w:numPr>
        <w:rPr>
          <w:noProof/>
        </w:rPr>
      </w:pPr>
      <w:r>
        <w:rPr>
          <w:noProof/>
        </w:rPr>
        <w:t>Mindst 25 %</w:t>
      </w:r>
      <w:r>
        <w:rPr>
          <w:rStyle w:val="FootnoteReference"/>
          <w:noProof/>
        </w:rPr>
        <w:footnoteReference w:id="4"/>
      </w:r>
      <w:r>
        <w:rPr>
          <w:noProof/>
          <w:sz w:val="14"/>
        </w:rPr>
        <w:t xml:space="preserve"> </w:t>
      </w:r>
      <w:r>
        <w:rPr>
          <w:noProof/>
        </w:rPr>
        <w:t>af syndikatet er kommercielle markedslån/-garantier uden nogen bilateral eller multilateral støtte (f.eks. ECA, DFI, IFI eller MDB)</w:t>
      </w:r>
      <w:r>
        <w:rPr>
          <w:rStyle w:val="FootnoteReference"/>
          <w:noProof/>
        </w:rPr>
        <w:footnoteReference w:id="5"/>
      </w:r>
      <w:r>
        <w:rPr>
          <w:noProof/>
        </w:rPr>
        <w:t>, hvor alle parter i finansieringen er på lige fod</w:t>
      </w:r>
      <w:r>
        <w:rPr>
          <w:i/>
          <w:noProof/>
        </w:rPr>
        <w:t xml:space="preserve"> </w:t>
      </w:r>
      <w:r>
        <w:rPr>
          <w:noProof/>
        </w:rPr>
        <w:t>med hensyn til alle finansielle betingelser og vilkår, herunder sikkerhedspakke og</w:t>
      </w:r>
    </w:p>
    <w:p>
      <w:pPr>
        <w:pStyle w:val="Tiret2"/>
        <w:rPr>
          <w:noProof/>
        </w:rPr>
      </w:pPr>
      <w:r>
        <w:rPr>
          <w:noProof/>
        </w:rPr>
        <w:t>De finansielle betingelser og vilkår for transaktionen er helt i overensstemmelse med arrangementet som ændret ved disse bestemmelser for fastsættelse af markedsbenchmarks i syndikerede lånetransaktioner.</w:t>
      </w:r>
    </w:p>
    <w:p>
      <w:pPr>
        <w:pStyle w:val="Point1"/>
        <w:rPr>
          <w:rFonts w:eastAsia="Batang"/>
          <w:noProof/>
          <w:sz w:val="22"/>
        </w:rPr>
      </w:pPr>
      <w:r>
        <w:rPr>
          <w:noProof/>
          <w:sz w:val="22"/>
        </w:rPr>
        <w:t>2.</w:t>
      </w:r>
      <w:r>
        <w:rPr>
          <w:noProof/>
        </w:rPr>
        <w:tab/>
      </w:r>
      <w:r>
        <w:rPr>
          <w:noProof/>
          <w:sz w:val="22"/>
        </w:rPr>
        <w:t>For alle øvrige markedsbenchmarktransaktioner gælder følgende procedurer:</w:t>
      </w:r>
    </w:p>
    <w:p>
      <w:pPr>
        <w:pStyle w:val="Tiret2"/>
        <w:rPr>
          <w:noProof/>
        </w:rPr>
      </w:pPr>
      <w:r>
        <w:rPr>
          <w:noProof/>
          <w:sz w:val="22"/>
        </w:rPr>
        <w:t xml:space="preserve">Deltagerne skal fastsætte den præmiesats, som skal anvendes, ved hjælp af benchmarking mod et eller flere af de markedsbenchmarks, der er omhandlet i bilag X, idet de tager højde for tilgængeligheden af markedsoplysninger samt den </w:t>
      </w:r>
      <w:r>
        <w:rPr>
          <w:noProof/>
        </w:rPr>
        <w:t>underliggende transaktions egenskaber og vælger de(t) benchmark(s), der synes bedst tilpasset den pågældende transaktion.</w:t>
      </w:r>
    </w:p>
    <w:p>
      <w:pPr>
        <w:pStyle w:val="Tiret2"/>
        <w:rPr>
          <w:noProof/>
        </w:rPr>
      </w:pPr>
      <w:r>
        <w:rPr>
          <w:noProof/>
        </w:rPr>
        <w:t>Ved fastsættelsen af præmiesatsen skal en deltager bestemme en risikovurdering for debitor, herunder om debitor er vurderet af et akkrediteret kreditvurderingsbureau</w:t>
      </w:r>
      <w:r>
        <w:rPr>
          <w:rStyle w:val="FootnoteReference"/>
          <w:noProof/>
        </w:rPr>
        <w:footnoteReference w:id="6"/>
      </w:r>
      <w:r>
        <w:rPr>
          <w:noProof/>
        </w:rPr>
        <w:t xml:space="preserve"> (Credit Rating Agency, CRA). En deltager kan fastsætte en vurdering et niveau bedre (på den akkrediterede CRA-skala) end den, der gives af et akkrediteret CRA</w:t>
      </w:r>
      <w:r>
        <w:rPr>
          <w:rStyle w:val="FootnoteReference"/>
          <w:noProof/>
        </w:rPr>
        <w:footnoteReference w:id="7"/>
      </w:r>
      <w:r>
        <w:rPr>
          <w:noProof/>
        </w:rPr>
        <w:t xml:space="preserve">. Hvis der ikke foreligger en akkrediteret CRA-vurdering, må risikoklassificeringen ikke overstige (være gunstigere end) CRA-vurderingen af den stat, hvor debitoren/garanten har sit hjemsted, med mere end to niveauer. Når en deltager klassificerer debitoren/garanten som bedre end den bedste vurdering fra et akkrediteret CRA, eller hvis der ikke foreligger en akkrediteret CRA-vurdering, når en deltager klassificerer en transaktion som CC2 eller bedre, eller et kreditvurderingsbogstav svarende til AAA til A- eller svarende til eller </w:t>
      </w:r>
      <w:r>
        <w:rPr>
          <w:noProof/>
        </w:rPr>
        <w:lastRenderedPageBreak/>
        <w:t>gunstigere vurdering end den bedste akkrediterede CRA-vurdering for den stat, hvor debitoren/garanten har sit hjemsted, skal deltageren på forhånd give meddelelse herom i henhold til artikel 48.</w:t>
      </w:r>
    </w:p>
    <w:p>
      <w:pPr>
        <w:pStyle w:val="Tiret2"/>
        <w:rPr>
          <w:rFonts w:eastAsia="Batang"/>
          <w:noProof/>
          <w:sz w:val="22"/>
        </w:rPr>
      </w:pPr>
      <w:r>
        <w:rPr>
          <w:noProof/>
        </w:rPr>
        <w:t>Uanset ovenstående skal deltagerne opkræve en præmiesats, som ikke er lavere end</w:t>
      </w:r>
      <w:r>
        <w:rPr>
          <w:noProof/>
          <w:sz w:val="22"/>
        </w:rPr>
        <w:t xml:space="preserve"> den tilsvarende præmie fastsat efter TCMB-modellen (under hensyntagen til markedsbenchmarks i en hel konjunkturcyklus) på grundlag af risikoklassificeringen og transaktionens løbetid, medmindre markedsbenchmarket er afledt af en navnespecifik eller forretningsmæssigt forbundet enhed (i) obligation fra det sekundære marked eller (ii) credit default swap (CDS). En deltager, som opkræver en lavere præmiesats end den tilsvarende præmie bestemt efter TCMB-modellen baseret på den akkrediterede CRA-vurdering af det navnespecifikke markedsbenchmark</w:t>
      </w:r>
      <w:r>
        <w:rPr>
          <w:rStyle w:val="FootnoteReference"/>
          <w:noProof/>
        </w:rPr>
        <w:footnoteReference w:id="8"/>
      </w:r>
      <w:r>
        <w:rPr>
          <w:noProof/>
          <w:sz w:val="22"/>
        </w:rPr>
        <w:t>, skal på forhånd give meddelelse herom i henhold til artikel 48.</w:t>
      </w:r>
    </w:p>
    <w:p>
      <w:pPr>
        <w:pStyle w:val="Point0"/>
        <w:rPr>
          <w:rFonts w:eastAsia="Batang"/>
          <w:noProof/>
          <w:sz w:val="22"/>
        </w:rPr>
      </w:pPr>
      <w:r>
        <w:rPr>
          <w:noProof/>
          <w:sz w:val="22"/>
        </w:rPr>
        <w:t>d)</w:t>
      </w:r>
      <w:r>
        <w:rPr>
          <w:noProof/>
        </w:rPr>
        <w:tab/>
      </w:r>
      <w:r>
        <w:rPr>
          <w:noProof/>
          <w:sz w:val="22"/>
        </w:rPr>
        <w:t xml:space="preserve">For landene med den "højeste risiko" i kategori 7 opkræves der principielt præmiesatser, som er højere end de MPR, der er beregnet for denne kategori; disse præmiesatser bestemmes af den deltager, der yder offentlig støtte. </w:t>
      </w:r>
    </w:p>
    <w:p>
      <w:pPr>
        <w:pStyle w:val="Point0"/>
        <w:rPr>
          <w:rFonts w:eastAsia="Batang"/>
          <w:noProof/>
          <w:sz w:val="22"/>
        </w:rPr>
      </w:pPr>
      <w:r>
        <w:rPr>
          <w:noProof/>
          <w:sz w:val="22"/>
        </w:rPr>
        <w:t>e)</w:t>
      </w:r>
      <w:r>
        <w:rPr>
          <w:noProof/>
        </w:rPr>
        <w:tab/>
      </w:r>
      <w:r>
        <w:rPr>
          <w:noProof/>
          <w:sz w:val="22"/>
        </w:rPr>
        <w:t>Ved beregningen af MPR for en transaktion er den relevante klassificering af landerisiko klassificeringen af debitors hjemland, og den relevante klassificering af køberrisiko er klassificeringen af debitor</w:t>
      </w:r>
      <w:r>
        <w:rPr>
          <w:rStyle w:val="FootnoteReference"/>
          <w:noProof/>
        </w:rPr>
        <w:footnoteReference w:id="9"/>
      </w:r>
      <w:r>
        <w:rPr>
          <w:noProof/>
          <w:sz w:val="22"/>
        </w:rPr>
        <w:t>, medmindre:</w:t>
      </w:r>
    </w:p>
    <w:p>
      <w:pPr>
        <w:pStyle w:val="Tiret1"/>
        <w:rPr>
          <w:noProof/>
        </w:rPr>
      </w:pPr>
      <w:r>
        <w:rPr>
          <w:noProof/>
        </w:rPr>
        <w:t>en tredjepart, der er kreditværdig i henseende til den garanterede gælds størrelse, stiller sikkerhed i form af en garanti, der er uigenkaldelig, ubetinget, disponibel efter påkrav og retligt gyldig, og som kan realiseres, for den samlede tilbagebetalingsforpligtelse for gælden i hele kredittens løbetid. Er der tale om en garanti fra tredjepart, kan en deltager vælge at anvende klassificeringen af landerisiko for det land, hvor garanten er beliggende, og køberrisikoen i den kategori, hvor garanten befinder sig</w:t>
      </w:r>
      <w:r>
        <w:rPr>
          <w:rStyle w:val="FootnoteReference"/>
          <w:noProof/>
        </w:rPr>
        <w:footnoteReference w:id="10"/>
      </w:r>
      <w:r>
        <w:rPr>
          <w:noProof/>
        </w:rPr>
        <w:t xml:space="preserve"> eller</w:t>
      </w:r>
    </w:p>
    <w:p>
      <w:pPr>
        <w:pStyle w:val="Tiret1"/>
        <w:rPr>
          <w:noProof/>
        </w:rPr>
      </w:pPr>
      <w:r>
        <w:rPr>
          <w:noProof/>
        </w:rPr>
        <w:t xml:space="preserve">en multilateral eller regional institution som omhandlet i artikel 28 enten optræder som låntager eller garant for transaktionen, i hvilket tilfælde den relevante klassificering af landerisiko og køberrisikokategori kan være klassificeringen af den pågældende multilaterale eller regionale institution. </w:t>
      </w:r>
    </w:p>
    <w:p>
      <w:pPr>
        <w:pStyle w:val="Point0"/>
        <w:rPr>
          <w:rFonts w:eastAsia="Batang"/>
          <w:noProof/>
          <w:sz w:val="22"/>
        </w:rPr>
      </w:pPr>
      <w:r>
        <w:rPr>
          <w:noProof/>
          <w:sz w:val="22"/>
        </w:rPr>
        <w:t>f)</w:t>
      </w:r>
      <w:r>
        <w:rPr>
          <w:noProof/>
        </w:rPr>
        <w:tab/>
      </w:r>
      <w:r>
        <w:rPr>
          <w:noProof/>
          <w:sz w:val="22"/>
        </w:rPr>
        <w:t>Kriterierne og betingelserne for anvendelsen af garanti fra tredjepart ifølge de situationer, der er beskrevet i første og andet</w:t>
      </w:r>
      <w:r>
        <w:rPr>
          <w:i/>
          <w:noProof/>
          <w:sz w:val="22"/>
        </w:rPr>
        <w:t xml:space="preserve"> </w:t>
      </w:r>
      <w:r>
        <w:rPr>
          <w:noProof/>
          <w:sz w:val="22"/>
        </w:rPr>
        <w:t>led i litra e) ovenfor, er fastsat i bilag XI.</w:t>
      </w:r>
    </w:p>
    <w:p>
      <w:pPr>
        <w:pStyle w:val="Point0"/>
        <w:rPr>
          <w:rFonts w:eastAsia="Batang"/>
          <w:noProof/>
          <w:sz w:val="22"/>
        </w:rPr>
      </w:pPr>
      <w:r>
        <w:rPr>
          <w:noProof/>
          <w:sz w:val="22"/>
        </w:rPr>
        <w:t>g)</w:t>
      </w:r>
      <w:r>
        <w:rPr>
          <w:noProof/>
        </w:rPr>
        <w:tab/>
      </w:r>
      <w:r>
        <w:rPr>
          <w:noProof/>
          <w:sz w:val="22"/>
        </w:rPr>
        <w:t>Det HOR-kriterium, der anvendes til beregning af en MPR, er halvdelen af udbetalingsperioden plus den samlede løbetid og forudsætter en jævn afdragsprofil for eksportkreditten,</w:t>
      </w:r>
      <w:r>
        <w:rPr>
          <w:i/>
          <w:noProof/>
          <w:sz w:val="22"/>
        </w:rPr>
        <w:t xml:space="preserve"> </w:t>
      </w:r>
      <w:r>
        <w:rPr>
          <w:noProof/>
          <w:sz w:val="22"/>
        </w:rPr>
        <w:t xml:space="preserve">dvs. tilbagebetaling i lige store halvårlige afdrag af hovedstol plus renters rente begyndende seks </w:t>
      </w:r>
      <w:r>
        <w:rPr>
          <w:noProof/>
          <w:sz w:val="22"/>
        </w:rPr>
        <w:lastRenderedPageBreak/>
        <w:t>måneder efter kredittens begyndelsestidspunkt. For eksportkreditter med ikke-standardiserede afdragsprofiler beregnes den tilsvarende løbetid (udtrykt ved lige store halvårlige rater) ved hjælp af følgende formel: tilsvarende løbetid = (vægtet gennemsnitlig løbetid - 0,25) / 0,5.</w:t>
      </w:r>
    </w:p>
    <w:p>
      <w:pPr>
        <w:pStyle w:val="Point0"/>
        <w:rPr>
          <w:rFonts w:eastAsia="Batang"/>
          <w:noProof/>
          <w:sz w:val="22"/>
        </w:rPr>
      </w:pPr>
      <w:r>
        <w:rPr>
          <w:noProof/>
          <w:sz w:val="22"/>
        </w:rPr>
        <w:t>h)</w:t>
      </w:r>
      <w:r>
        <w:rPr>
          <w:noProof/>
        </w:rPr>
        <w:tab/>
      </w:r>
      <w:r>
        <w:rPr>
          <w:noProof/>
          <w:sz w:val="22"/>
        </w:rPr>
        <w:t>En deltager, der vælger at anvende en MPR i forbindelse med en garanti fra en tredjepart, der befinder sig i et andet land end debitors, skal give forudgående underretning i henhold til artikel 47. En deltager, der vælger at anvende en MPR i forbindelse med en multilateral eller regional institution, der agerer som garant, skal give forudgående underretning i henhold til artikel 48.</w:t>
      </w:r>
    </w:p>
    <w:p>
      <w:pPr>
        <w:pStyle w:val="ManualHeading1"/>
        <w:rPr>
          <w:rFonts w:eastAsia="Batang"/>
          <w:b w:val="0"/>
          <w:bCs/>
          <w:noProof/>
          <w:sz w:val="22"/>
        </w:rPr>
      </w:pPr>
      <w:bookmarkStart w:id="1" w:name="_Toc368389248"/>
      <w:bookmarkStart w:id="2" w:name="_Toc441046563"/>
      <w:bookmarkStart w:id="3" w:name="_Toc441052227"/>
      <w:r>
        <w:rPr>
          <w:noProof/>
          <w:sz w:val="22"/>
        </w:rPr>
        <w:t>25.</w:t>
      </w:r>
      <w:r>
        <w:rPr>
          <w:noProof/>
        </w:rPr>
        <w:tab/>
      </w:r>
      <w:r>
        <w:rPr>
          <w:noProof/>
          <w:sz w:val="22"/>
        </w:rPr>
        <w:t>KLASSIFICERING AF LANDERISIKO</w:t>
      </w:r>
      <w:bookmarkEnd w:id="1"/>
      <w:bookmarkEnd w:id="2"/>
      <w:bookmarkEnd w:id="3"/>
    </w:p>
    <w:p>
      <w:pPr>
        <w:numPr>
          <w:ilvl w:val="12"/>
          <w:numId w:val="0"/>
        </w:numPr>
        <w:tabs>
          <w:tab w:val="left" w:pos="850"/>
          <w:tab w:val="left" w:pos="1191"/>
          <w:tab w:val="left" w:pos="1531"/>
        </w:tabs>
        <w:spacing w:before="0" w:after="240"/>
        <w:rPr>
          <w:rFonts w:eastAsia="Batang"/>
          <w:noProof/>
          <w:sz w:val="22"/>
        </w:rPr>
      </w:pPr>
      <w:r>
        <w:rPr>
          <w:noProof/>
          <w:sz w:val="22"/>
        </w:rPr>
        <w:t>Med undtagelse af OECD-højindkomstlande og højindkomstlande i euroområdet klassificeres lande på grundlag af sandsynligheden for, at de betaler renter og afdrag på deres eksterne gæld (dvs.</w:t>
      </w:r>
      <w:r>
        <w:rPr>
          <w:i/>
          <w:noProof/>
          <w:sz w:val="22"/>
        </w:rPr>
        <w:t xml:space="preserve"> </w:t>
      </w:r>
      <w:r>
        <w:rPr>
          <w:noProof/>
          <w:sz w:val="22"/>
        </w:rPr>
        <w:t>landekreditrisiko).</w:t>
      </w:r>
    </w:p>
    <w:p>
      <w:pPr>
        <w:pStyle w:val="Point0"/>
        <w:rPr>
          <w:rFonts w:eastAsia="Batang"/>
          <w:noProof/>
          <w:sz w:val="22"/>
        </w:rPr>
      </w:pPr>
      <w:r>
        <w:rPr>
          <w:noProof/>
          <w:sz w:val="22"/>
        </w:rPr>
        <w:t>a)</w:t>
      </w:r>
      <w:r>
        <w:rPr>
          <w:noProof/>
        </w:rPr>
        <w:tab/>
      </w:r>
      <w:r>
        <w:rPr>
          <w:noProof/>
          <w:sz w:val="22"/>
        </w:rPr>
        <w:t>Landerisikoen har følgende fem elementer:</w:t>
      </w:r>
    </w:p>
    <w:p>
      <w:pPr>
        <w:pStyle w:val="Tiret1"/>
        <w:rPr>
          <w:noProof/>
        </w:rPr>
      </w:pPr>
      <w:r>
        <w:rPr>
          <w:noProof/>
        </w:rPr>
        <w:t>almindeligt moratorium for tilbagebetalinger dekreteret af debitorens/garantens regering eller af det organ i det pågældende land, som formidler tilbagebetalingen</w:t>
      </w:r>
    </w:p>
    <w:p>
      <w:pPr>
        <w:pStyle w:val="Tiret1"/>
        <w:rPr>
          <w:noProof/>
        </w:rPr>
      </w:pPr>
      <w:r>
        <w:rPr>
          <w:noProof/>
        </w:rPr>
        <w:t>politiske begivenheder og/eller økonomiske vanskeligheder uden for den underrettende deltagers hjemland eller lovgivningsmæssige/administrative foranstaltninger truffet uden for den underrettende deltagers hjemland, såfremt disse forhindrer eller forsinker overførslen af betalinger vedrørende kreditten</w:t>
      </w:r>
    </w:p>
    <w:p>
      <w:pPr>
        <w:pStyle w:val="Tiret1"/>
        <w:rPr>
          <w:noProof/>
        </w:rPr>
      </w:pPr>
      <w:r>
        <w:rPr>
          <w:noProof/>
        </w:rPr>
        <w:t>retlige bestemmelser i debitorens/garantens land gående ud på, at tilbagebetalinger i lokal valuta er en gyldig indløsning af gælden, uanset at sådanne tilbagebetalinger som følge af svingninger i valutakurserne ved omregning til lånevalutaen ikke længere dækker gældens størrelse ved overførslen af betalingerne</w:t>
      </w:r>
    </w:p>
    <w:p>
      <w:pPr>
        <w:pStyle w:val="Tiret1"/>
        <w:rPr>
          <w:noProof/>
        </w:rPr>
      </w:pPr>
      <w:r>
        <w:rPr>
          <w:noProof/>
        </w:rPr>
        <w:t>alle andre foranstaltninger eller afgørelser truffet af et fremmed lands regering, som forhindrer tilbagebetaling i forbindelse med en kredit og</w:t>
      </w:r>
    </w:p>
    <w:p>
      <w:pPr>
        <w:pStyle w:val="Tiret1"/>
        <w:rPr>
          <w:rFonts w:eastAsia="Batang"/>
          <w:noProof/>
          <w:sz w:val="22"/>
        </w:rPr>
      </w:pPr>
      <w:r>
        <w:rPr>
          <w:noProof/>
          <w:sz w:val="22"/>
        </w:rPr>
        <w:t>tilfælde af force majeure uden for den underrettende deltagers hjemland</w:t>
      </w:r>
      <w:r>
        <w:rPr>
          <w:i/>
          <w:noProof/>
          <w:sz w:val="22"/>
        </w:rPr>
        <w:t xml:space="preserve"> </w:t>
      </w:r>
      <w:r>
        <w:rPr>
          <w:noProof/>
          <w:sz w:val="22"/>
        </w:rPr>
        <w:t xml:space="preserve">såsom </w:t>
      </w:r>
      <w:r>
        <w:rPr>
          <w:noProof/>
        </w:rPr>
        <w:t>krig</w:t>
      </w:r>
      <w:r>
        <w:rPr>
          <w:noProof/>
          <w:sz w:val="22"/>
        </w:rPr>
        <w:t xml:space="preserve"> (herunder borgerkrig), ekspropriation, revolution, oprør, civile uroligheder, orkaner, oversvømmelser, jordskælv, vulkanudbrud, flodbølger og kernekraftulykker.</w:t>
      </w:r>
    </w:p>
    <w:p>
      <w:pPr>
        <w:pStyle w:val="Point0"/>
        <w:rPr>
          <w:rFonts w:eastAsia="Batang"/>
          <w:noProof/>
          <w:sz w:val="22"/>
        </w:rPr>
      </w:pPr>
      <w:r>
        <w:rPr>
          <w:noProof/>
          <w:sz w:val="22"/>
        </w:rPr>
        <w:t>b)</w:t>
      </w:r>
      <w:r>
        <w:rPr>
          <w:noProof/>
        </w:rPr>
        <w:tab/>
      </w:r>
      <w:r>
        <w:rPr>
          <w:noProof/>
          <w:sz w:val="22"/>
        </w:rPr>
        <w:t xml:space="preserve">Landene klassificeres i én af otte landerisikokategorier (0 til 7). Der er beregnet MPR for kategori 1 til 7, men ikke for kategori 0, fordi landerisikoen anses for at være ubetydelig for landene i denne kategori. Kreditrisiko i forbindelse med transaktioner i kategori 0-lande er hovedsageligt forbundet med risikoen ved debitoren/garanten. </w:t>
      </w:r>
    </w:p>
    <w:p>
      <w:pPr>
        <w:pStyle w:val="Point0"/>
        <w:rPr>
          <w:rFonts w:eastAsia="Batang"/>
          <w:noProof/>
          <w:sz w:val="22"/>
        </w:rPr>
      </w:pPr>
      <w:r>
        <w:rPr>
          <w:noProof/>
          <w:sz w:val="22"/>
        </w:rPr>
        <w:t>c)</w:t>
      </w:r>
      <w:r>
        <w:rPr>
          <w:noProof/>
        </w:rPr>
        <w:tab/>
      </w:r>
      <w:r>
        <w:rPr>
          <w:noProof/>
          <w:sz w:val="22"/>
        </w:rPr>
        <w:t>Klassificeringen af lande</w:t>
      </w:r>
      <w:r>
        <w:rPr>
          <w:rStyle w:val="FootnoteReference"/>
          <w:noProof/>
        </w:rPr>
        <w:footnoteReference w:id="11"/>
      </w:r>
      <w:r>
        <w:rPr>
          <w:noProof/>
          <w:sz w:val="22"/>
        </w:rPr>
        <w:t xml:space="preserve"> sker ved hjælp af klassificeringsmetoden for landerisici, som består af:</w:t>
      </w:r>
    </w:p>
    <w:p>
      <w:pPr>
        <w:pStyle w:val="Tiret1"/>
        <w:rPr>
          <w:rFonts w:eastAsia="Batang"/>
          <w:noProof/>
          <w:sz w:val="22"/>
        </w:rPr>
      </w:pPr>
      <w:r>
        <w:rPr>
          <w:noProof/>
          <w:sz w:val="22"/>
        </w:rPr>
        <w:lastRenderedPageBreak/>
        <w:t>Vurderingsmodellen for landerisici (modellen), der giver en kvantitativ vurdering af landekreditrisikoen, som for hvert land baseres på tre grupper risikoindikatorer: deltagernes erfaringer med betalinger, den finansielle situation og den økonomiske situation. Modellens metode omfatter forskellige trin, herunder en vurdering af de tre grupper risikoindikatorer, og en sammenstilling og fleksibel vægtning af risikoindikatorgrupperne.</w:t>
      </w:r>
    </w:p>
    <w:p>
      <w:pPr>
        <w:pStyle w:val="Tiret1"/>
        <w:rPr>
          <w:rFonts w:eastAsia="Batang"/>
          <w:noProof/>
          <w:sz w:val="22"/>
        </w:rPr>
      </w:pPr>
      <w:r>
        <w:rPr>
          <w:noProof/>
          <w:sz w:val="22"/>
        </w:rPr>
        <w:t>Den kvalitative vurdering af modellens resultater, der foregår for hvert land for sig med henblik på at medtage den politiske risiko og/eller andre risikofaktorer, som helt eller delvis falder uden for modellen. Dette kan i påkommende tilfælde føre til en justering af den kvantitative models vurdering ved den endelige vurdering af landekreditrisikoen.</w:t>
      </w:r>
    </w:p>
    <w:p>
      <w:pPr>
        <w:pStyle w:val="Point0"/>
        <w:rPr>
          <w:rFonts w:eastAsia="Batang"/>
          <w:noProof/>
          <w:sz w:val="22"/>
        </w:rPr>
      </w:pPr>
      <w:r>
        <w:rPr>
          <w:noProof/>
          <w:sz w:val="22"/>
        </w:rPr>
        <w:t>d)</w:t>
      </w:r>
      <w:r>
        <w:rPr>
          <w:noProof/>
        </w:rPr>
        <w:tab/>
      </w:r>
      <w:r>
        <w:rPr>
          <w:noProof/>
          <w:sz w:val="22"/>
        </w:rPr>
        <w:t>Landerisikoklassificeringerne overvåges løbende og revideres mindst én gang årligt, og sekretariatet giver øjeblikkeligt meddelelse om ændringer som følge af klassificeringsmetoden for landerisici. Når et land omklassificeres til en lavere eller højere landerisikokategori, opkræver deltagerne senest fem arbejdsdage efter, at omklassificeringen er blevet meddelt af sekretariatet, præmiesatser på eller over de MPR, der knytter sig til den nye landerisikokategori.</w:t>
      </w:r>
    </w:p>
    <w:p>
      <w:pPr>
        <w:pStyle w:val="Point0"/>
        <w:rPr>
          <w:rFonts w:eastAsia="Batang"/>
          <w:noProof/>
          <w:sz w:val="22"/>
        </w:rPr>
      </w:pPr>
      <w:r>
        <w:rPr>
          <w:noProof/>
          <w:sz w:val="22"/>
        </w:rPr>
        <w:t>e)</w:t>
      </w:r>
      <w:r>
        <w:rPr>
          <w:noProof/>
        </w:rPr>
        <w:tab/>
      </w:r>
      <w:r>
        <w:rPr>
          <w:noProof/>
          <w:sz w:val="22"/>
        </w:rPr>
        <w:t>Sekretariatet offentliggør landerisikoklassificeringerne.</w:t>
      </w:r>
    </w:p>
    <w:p>
      <w:pPr>
        <w:pStyle w:val="ManualHeading1"/>
        <w:rPr>
          <w:rFonts w:eastAsia="Batang"/>
          <w:b w:val="0"/>
          <w:bCs/>
          <w:noProof/>
          <w:sz w:val="22"/>
        </w:rPr>
      </w:pPr>
      <w:bookmarkStart w:id="4" w:name="_Toc368389249"/>
      <w:bookmarkStart w:id="5" w:name="_Toc441046564"/>
      <w:bookmarkStart w:id="6" w:name="_Toc441052228"/>
      <w:r>
        <w:rPr>
          <w:noProof/>
          <w:sz w:val="22"/>
        </w:rPr>
        <w:t>26.</w:t>
      </w:r>
      <w:r>
        <w:rPr>
          <w:noProof/>
        </w:rPr>
        <w:tab/>
      </w:r>
      <w:r>
        <w:rPr>
          <w:noProof/>
          <w:sz w:val="22"/>
        </w:rPr>
        <w:t>VURDERING AF RISICI FORBUNDET MED SUVERÆN KREDIT</w:t>
      </w:r>
      <w:bookmarkEnd w:id="4"/>
      <w:bookmarkEnd w:id="5"/>
      <w:bookmarkEnd w:id="6"/>
    </w:p>
    <w:p>
      <w:pPr>
        <w:pStyle w:val="Point0"/>
        <w:rPr>
          <w:rFonts w:eastAsia="Batang"/>
          <w:noProof/>
          <w:sz w:val="22"/>
        </w:rPr>
      </w:pPr>
      <w:r>
        <w:rPr>
          <w:noProof/>
          <w:sz w:val="22"/>
        </w:rPr>
        <w:t>a)</w:t>
      </w:r>
      <w:r>
        <w:rPr>
          <w:noProof/>
        </w:rPr>
        <w:tab/>
      </w:r>
      <w:r>
        <w:rPr>
          <w:noProof/>
          <w:sz w:val="22"/>
        </w:rPr>
        <w:t>For alle lande klassificeret ved hjælp af klassificeringsmetoden for landerisici i henhold til artikel 25, litra d), vurderes risikoen ved den statslige låntager med henblik på, undtagelsesvist, at identificere de statslige enheder:</w:t>
      </w:r>
    </w:p>
    <w:p>
      <w:pPr>
        <w:pStyle w:val="Tiret1"/>
        <w:rPr>
          <w:noProof/>
        </w:rPr>
      </w:pPr>
      <w:r>
        <w:rPr>
          <w:noProof/>
        </w:rPr>
        <w:t>der ikke er debitorer med den laveste risiko i landet</w:t>
      </w:r>
    </w:p>
    <w:p>
      <w:pPr>
        <w:pStyle w:val="Tiret1"/>
        <w:rPr>
          <w:noProof/>
        </w:rPr>
      </w:pPr>
      <w:r>
        <w:rPr>
          <w:noProof/>
        </w:rPr>
        <w:t>hvis kreditrisiko er betydeligt højere end landerisikoen.</w:t>
      </w:r>
    </w:p>
    <w:p>
      <w:pPr>
        <w:pStyle w:val="Point0"/>
        <w:rPr>
          <w:rFonts w:eastAsia="Batang"/>
          <w:noProof/>
          <w:sz w:val="22"/>
        </w:rPr>
      </w:pPr>
      <w:r>
        <w:rPr>
          <w:noProof/>
          <w:sz w:val="22"/>
        </w:rPr>
        <w:t>b)</w:t>
      </w:r>
      <w:r>
        <w:rPr>
          <w:noProof/>
        </w:rPr>
        <w:tab/>
      </w:r>
      <w:r>
        <w:rPr>
          <w:noProof/>
          <w:sz w:val="22"/>
        </w:rPr>
        <w:t>Identificeringen af de statslige låntagere, der opfylder kriterierne i litra a) ovenfor, skal foretages i overensstemmelse med vurderingsmetoden for risici forbundet med statslige låntagere, der er udarbejdet og vedtaget af deltagerne.</w:t>
      </w:r>
    </w:p>
    <w:p>
      <w:pPr>
        <w:pStyle w:val="Point0"/>
        <w:rPr>
          <w:rFonts w:eastAsia="Batang"/>
          <w:noProof/>
          <w:sz w:val="22"/>
        </w:rPr>
      </w:pPr>
      <w:r>
        <w:rPr>
          <w:noProof/>
          <w:sz w:val="22"/>
        </w:rPr>
        <w:t>c)</w:t>
      </w:r>
      <w:r>
        <w:rPr>
          <w:noProof/>
        </w:rPr>
        <w:tab/>
      </w:r>
      <w:r>
        <w:rPr>
          <w:noProof/>
          <w:sz w:val="22"/>
        </w:rPr>
        <w:t>Listen over de statslige låntagere, der er identificeret som opfyldende kriterierne i litra a) ovenfor, overvåges løbende og revideres mindst én gang årligt, og sekretariatet giver øjeblikkeligt meddelelse om ændringer som følge af vurderingsmetoden for risici forbundet med statslige låntagere.</w:t>
      </w:r>
    </w:p>
    <w:p>
      <w:pPr>
        <w:pStyle w:val="Point0"/>
        <w:rPr>
          <w:rFonts w:eastAsia="Batang"/>
          <w:noProof/>
          <w:sz w:val="22"/>
        </w:rPr>
      </w:pPr>
      <w:r>
        <w:rPr>
          <w:noProof/>
          <w:sz w:val="22"/>
        </w:rPr>
        <w:t>d)</w:t>
      </w:r>
      <w:r>
        <w:rPr>
          <w:noProof/>
        </w:rPr>
        <w:tab/>
      </w:r>
      <w:r>
        <w:rPr>
          <w:noProof/>
          <w:sz w:val="22"/>
        </w:rPr>
        <w:t xml:space="preserve">Listen over de statslige låntagere, der er identificeret i litra b ovenfor, offentliggøres af sekretariatet. </w:t>
      </w:r>
    </w:p>
    <w:p>
      <w:pPr>
        <w:pStyle w:val="ManualHeading1"/>
        <w:rPr>
          <w:rFonts w:eastAsia="Batang"/>
          <w:b w:val="0"/>
          <w:bCs/>
          <w:noProof/>
          <w:sz w:val="22"/>
        </w:rPr>
      </w:pPr>
      <w:bookmarkStart w:id="7" w:name="_Toc368389250"/>
      <w:bookmarkStart w:id="8" w:name="_Toc441046565"/>
      <w:bookmarkStart w:id="9" w:name="_Toc441052229"/>
      <w:r>
        <w:rPr>
          <w:noProof/>
          <w:sz w:val="22"/>
        </w:rPr>
        <w:t>27.</w:t>
      </w:r>
      <w:r>
        <w:rPr>
          <w:noProof/>
        </w:rPr>
        <w:tab/>
      </w:r>
      <w:r>
        <w:rPr>
          <w:noProof/>
          <w:sz w:val="22"/>
        </w:rPr>
        <w:t>KLASSIFICERING AF KØBERRISIKO</w:t>
      </w:r>
      <w:bookmarkEnd w:id="7"/>
      <w:bookmarkEnd w:id="8"/>
      <w:bookmarkEnd w:id="9"/>
    </w:p>
    <w:p>
      <w:pPr>
        <w:numPr>
          <w:ilvl w:val="12"/>
          <w:numId w:val="0"/>
        </w:numPr>
        <w:tabs>
          <w:tab w:val="left" w:pos="850"/>
          <w:tab w:val="left" w:pos="1191"/>
          <w:tab w:val="left" w:pos="1531"/>
        </w:tabs>
        <w:spacing w:before="0" w:after="240"/>
        <w:rPr>
          <w:rFonts w:eastAsia="Batang"/>
          <w:noProof/>
          <w:sz w:val="22"/>
        </w:rPr>
      </w:pPr>
      <w:r>
        <w:rPr>
          <w:noProof/>
          <w:sz w:val="22"/>
        </w:rPr>
        <w:t>Debitorer og, i påkommende tilfælde, garanter i lande klassificeret i landerisikokategori 1-7 skal klassificeres i en af de køberrisikokategorier, der er fastlagt for debitorens/garantens land</w:t>
      </w:r>
      <w:r>
        <w:rPr>
          <w:rStyle w:val="FootnoteReference"/>
          <w:noProof/>
        </w:rPr>
        <w:footnoteReference w:id="12"/>
      </w:r>
      <w:r>
        <w:rPr>
          <w:noProof/>
          <w:sz w:val="22"/>
        </w:rPr>
        <w:t>. Modellen for køberrisikokategorier, hvori debitorer og garanter skal klassificeres, findes i bilag IX. Kvalitative beskrivelser af køberrisikokategorier findes i bilag XII.</w:t>
      </w:r>
    </w:p>
    <w:p>
      <w:pPr>
        <w:pStyle w:val="Point0"/>
        <w:rPr>
          <w:rFonts w:eastAsia="Batang"/>
          <w:noProof/>
          <w:sz w:val="22"/>
        </w:rPr>
      </w:pPr>
      <w:r>
        <w:rPr>
          <w:noProof/>
          <w:sz w:val="22"/>
        </w:rPr>
        <w:lastRenderedPageBreak/>
        <w:t>a)</w:t>
      </w:r>
      <w:r>
        <w:rPr>
          <w:noProof/>
        </w:rPr>
        <w:tab/>
      </w:r>
      <w:r>
        <w:rPr>
          <w:noProof/>
          <w:sz w:val="22"/>
        </w:rPr>
        <w:t>Klassificering af køberrisikokategori skal baseres på den foranstillede, usikrede kreditvurdering af debitoren/garanten som fastsat af deltageren.</w:t>
      </w:r>
    </w:p>
    <w:p>
      <w:pPr>
        <w:pStyle w:val="Point0"/>
        <w:rPr>
          <w:rFonts w:eastAsia="Batang"/>
          <w:noProof/>
          <w:sz w:val="22"/>
        </w:rPr>
      </w:pPr>
      <w:r>
        <w:rPr>
          <w:noProof/>
          <w:sz w:val="22"/>
        </w:rPr>
        <w:t>b)</w:t>
      </w:r>
      <w:r>
        <w:rPr>
          <w:noProof/>
        </w:rPr>
        <w:tab/>
      </w:r>
      <w:r>
        <w:rPr>
          <w:noProof/>
          <w:sz w:val="22"/>
        </w:rPr>
        <w:t>Uanset litra a), ovenfor kan transaktioner, der støttes ifølge vilkårene og betingelserne i bilag VII, og transaktioner med en kreditværdi på 5 mio. SDR eller derunder klassificeres på grundlag af hver enkelt transaktion, dvs. efter anvendelse af en hvilken som helst kreditforbedring i forbindelse med køberrisiko. Dog er sådanne transaktioner, ligegyldigt hvorledes de er klassificeret, ikke berettiget til nedslag ved anvendelse af kreditforbedring i forbindelse med køberrisiko.</w:t>
      </w:r>
    </w:p>
    <w:p>
      <w:pPr>
        <w:pStyle w:val="Point0"/>
        <w:rPr>
          <w:rFonts w:eastAsia="Batang"/>
          <w:noProof/>
          <w:sz w:val="22"/>
        </w:rPr>
      </w:pPr>
      <w:r>
        <w:rPr>
          <w:noProof/>
          <w:sz w:val="22"/>
        </w:rPr>
        <w:t>c)</w:t>
      </w:r>
      <w:r>
        <w:rPr>
          <w:noProof/>
        </w:rPr>
        <w:tab/>
      </w:r>
      <w:r>
        <w:rPr>
          <w:noProof/>
          <w:sz w:val="22"/>
        </w:rPr>
        <w:t>Statslige debitorer og garanter klassificeres i køberrisikokategorien SOV/CC0.</w:t>
      </w:r>
    </w:p>
    <w:p>
      <w:pPr>
        <w:pStyle w:val="Point0"/>
        <w:rPr>
          <w:rFonts w:eastAsia="Batang"/>
          <w:noProof/>
          <w:sz w:val="22"/>
        </w:rPr>
      </w:pPr>
      <w:r>
        <w:rPr>
          <w:noProof/>
          <w:sz w:val="22"/>
        </w:rPr>
        <w:t>d)</w:t>
      </w:r>
      <w:r>
        <w:rPr>
          <w:noProof/>
        </w:rPr>
        <w:tab/>
      </w:r>
      <w:r>
        <w:rPr>
          <w:noProof/>
          <w:sz w:val="22"/>
        </w:rPr>
        <w:t>Undtagelsesvis kan ikkestatslige debitorer og garanter klassificeres i køberrisikokategorien "bedre end statslig" (SOV+)</w:t>
      </w:r>
      <w:r>
        <w:rPr>
          <w:rStyle w:val="FootnoteReference"/>
          <w:noProof/>
        </w:rPr>
        <w:footnoteReference w:id="13"/>
      </w:r>
      <w:r>
        <w:rPr>
          <w:noProof/>
          <w:sz w:val="22"/>
        </w:rPr>
        <w:t>, såfremt:</w:t>
      </w:r>
    </w:p>
    <w:p>
      <w:pPr>
        <w:pStyle w:val="Tiret1"/>
        <w:rPr>
          <w:noProof/>
        </w:rPr>
      </w:pPr>
      <w:r>
        <w:rPr>
          <w:noProof/>
          <w:sz w:val="22"/>
        </w:rPr>
        <w:t xml:space="preserve">debitoren/garanten </w:t>
      </w:r>
      <w:r>
        <w:rPr>
          <w:noProof/>
        </w:rPr>
        <w:t xml:space="preserve">har en kreditvurdering vedrørende udenlandsk valuta fra et akkrediteret CRA, der er bedre end kreditvurderingen vedrørende udenlandsk valuta (fra samme CRA) for deres respektive statslige låntager, eller </w:t>
      </w:r>
    </w:p>
    <w:p>
      <w:pPr>
        <w:pStyle w:val="Tiret1"/>
        <w:rPr>
          <w:rFonts w:eastAsia="Batang"/>
          <w:noProof/>
          <w:sz w:val="22"/>
        </w:rPr>
      </w:pPr>
      <w:r>
        <w:rPr>
          <w:noProof/>
        </w:rPr>
        <w:t>debitoren/garanten er beliggende i et land, hvor risikoen forbundet med en statslig låntager er identificeret som værende</w:t>
      </w:r>
      <w:r>
        <w:rPr>
          <w:noProof/>
          <w:sz w:val="22"/>
        </w:rPr>
        <w:t xml:space="preserve"> betydeligt højere end landerisikoen.</w:t>
      </w:r>
    </w:p>
    <w:p>
      <w:pPr>
        <w:pStyle w:val="Point0"/>
        <w:rPr>
          <w:rFonts w:eastAsia="Batang"/>
          <w:noProof/>
          <w:sz w:val="22"/>
        </w:rPr>
      </w:pPr>
      <w:r>
        <w:rPr>
          <w:noProof/>
          <w:sz w:val="22"/>
        </w:rPr>
        <w:t>e)</w:t>
      </w:r>
      <w:r>
        <w:rPr>
          <w:noProof/>
        </w:rPr>
        <w:tab/>
      </w:r>
      <w:r>
        <w:rPr>
          <w:noProof/>
          <w:sz w:val="22"/>
        </w:rPr>
        <w:t xml:space="preserve">Deltagerne skal give forudgående underretning i henhold til artikel 48 for transaktioner: </w:t>
      </w:r>
    </w:p>
    <w:p>
      <w:pPr>
        <w:pStyle w:val="Tiret1"/>
        <w:rPr>
          <w:noProof/>
        </w:rPr>
      </w:pPr>
      <w:r>
        <w:rPr>
          <w:noProof/>
          <w:sz w:val="22"/>
        </w:rPr>
        <w:t xml:space="preserve">med </w:t>
      </w:r>
      <w:r>
        <w:rPr>
          <w:noProof/>
        </w:rPr>
        <w:t>en ikkestatslig debitor/garant, såfremt præmien, der opkræves, er mindre end præmien fastsat i køberrisikokategori CC1, dvs. CC0 eller SOV+</w:t>
      </w:r>
    </w:p>
    <w:p>
      <w:pPr>
        <w:pStyle w:val="Tiret1"/>
        <w:rPr>
          <w:rFonts w:eastAsia="Batang"/>
          <w:noProof/>
          <w:sz w:val="22"/>
        </w:rPr>
      </w:pPr>
      <w:r>
        <w:rPr>
          <w:noProof/>
        </w:rPr>
        <w:t>med en ikkestatslig debitor/garant, hvor kreditværdien er over 5 mio. SDR, såfremt en deltager vurderer en køberrisiko for en ikkestatslig debitor/garant, der er vurderet af et akkrediteret kreditvurderingsbureau, og den vurderede køberrisiko er bedre end den akkrediterede</w:t>
      </w:r>
      <w:r>
        <w:rPr>
          <w:noProof/>
          <w:sz w:val="22"/>
        </w:rPr>
        <w:t xml:space="preserve"> CRA-vurdering</w:t>
      </w:r>
      <w:r>
        <w:rPr>
          <w:rStyle w:val="FootnoteReference"/>
          <w:noProof/>
        </w:rPr>
        <w:footnoteReference w:id="14"/>
      </w:r>
      <w:r>
        <w:rPr>
          <w:noProof/>
          <w:sz w:val="22"/>
        </w:rPr>
        <w:t>.</w:t>
      </w:r>
    </w:p>
    <w:p>
      <w:pPr>
        <w:pStyle w:val="Point0"/>
        <w:rPr>
          <w:rFonts w:eastAsia="Batang"/>
          <w:noProof/>
          <w:sz w:val="22"/>
        </w:rPr>
      </w:pPr>
      <w:r>
        <w:rPr>
          <w:noProof/>
          <w:sz w:val="22"/>
        </w:rPr>
        <w:t>e)</w:t>
      </w:r>
      <w:r>
        <w:rPr>
          <w:noProof/>
        </w:rPr>
        <w:tab/>
      </w:r>
      <w:r>
        <w:rPr>
          <w:noProof/>
          <w:sz w:val="22"/>
        </w:rPr>
        <w:t>I tilfælde af konkurrence om en specifik transaktion, hvorved debitoren/garanten er blevet klassificeret i forskellige køberrisikokategorier af konkurrerende deltagere, skal de konkurrerende deltagere forsøge at opnå en fælles klassificering af køberrisiko. Hvis der ikke kan opnås enighed om en fælles klassificering, udelukkes den eller de deltagere, der har klassificeret debitoren/garanten i en højere klassificering af køberrisiko, dog ikke fra at anvende den lavere klassificering af køberrisiko.</w:t>
      </w:r>
    </w:p>
    <w:p>
      <w:pPr>
        <w:pStyle w:val="ManualHeading1"/>
        <w:rPr>
          <w:rFonts w:eastAsia="Batang"/>
          <w:b w:val="0"/>
          <w:bCs/>
          <w:noProof/>
          <w:sz w:val="22"/>
        </w:rPr>
      </w:pPr>
      <w:bookmarkStart w:id="10" w:name="_Toc368389251"/>
      <w:bookmarkStart w:id="11" w:name="_Toc441046566"/>
      <w:bookmarkStart w:id="12" w:name="_Toc441052230"/>
      <w:r>
        <w:rPr>
          <w:noProof/>
          <w:sz w:val="22"/>
        </w:rPr>
        <w:t>28.</w:t>
      </w:r>
      <w:r>
        <w:rPr>
          <w:noProof/>
        </w:rPr>
        <w:tab/>
      </w:r>
      <w:r>
        <w:rPr>
          <w:noProof/>
          <w:sz w:val="22"/>
        </w:rPr>
        <w:t>KLASSIFICERING AF MULTILATERALE OG REGIONALE INSTITUTIONER</w:t>
      </w:r>
      <w:bookmarkEnd w:id="10"/>
      <w:bookmarkEnd w:id="11"/>
      <w:bookmarkEnd w:id="12"/>
    </w:p>
    <w:p>
      <w:pPr>
        <w:numPr>
          <w:ilvl w:val="12"/>
          <w:numId w:val="0"/>
        </w:numPr>
        <w:tabs>
          <w:tab w:val="left" w:pos="850"/>
          <w:tab w:val="left" w:pos="1191"/>
          <w:tab w:val="left" w:pos="1531"/>
        </w:tabs>
        <w:spacing w:before="0" w:after="240"/>
        <w:rPr>
          <w:rFonts w:eastAsia="Batang"/>
          <w:noProof/>
          <w:sz w:val="22"/>
        </w:rPr>
      </w:pPr>
      <w:r>
        <w:rPr>
          <w:noProof/>
          <w:sz w:val="22"/>
        </w:rPr>
        <w:t>Multilaterale og regionale institutioner klassificeres i en af de otte landerisikokategorier (0-7)</w:t>
      </w:r>
      <w:r>
        <w:rPr>
          <w:rStyle w:val="FootnoteReference"/>
          <w:noProof/>
        </w:rPr>
        <w:footnoteReference w:id="15"/>
      </w:r>
      <w:r>
        <w:rPr>
          <w:noProof/>
          <w:sz w:val="22"/>
        </w:rPr>
        <w:t xml:space="preserve"> og revideres i påkommende tilfælde. Sekretariatet offentliggør sådanne relevante klassificeringer.</w:t>
      </w:r>
    </w:p>
    <w:p>
      <w:pPr>
        <w:pStyle w:val="ManualHeading1"/>
        <w:rPr>
          <w:rFonts w:eastAsia="Batang"/>
          <w:b w:val="0"/>
          <w:bCs/>
          <w:noProof/>
          <w:sz w:val="22"/>
        </w:rPr>
      </w:pPr>
      <w:bookmarkStart w:id="13" w:name="_Toc368389252"/>
      <w:bookmarkStart w:id="14" w:name="_Toc441046567"/>
      <w:bookmarkStart w:id="15" w:name="_Toc441052231"/>
      <w:r>
        <w:rPr>
          <w:noProof/>
          <w:sz w:val="22"/>
        </w:rPr>
        <w:lastRenderedPageBreak/>
        <w:t>29.</w:t>
      </w:r>
      <w:r>
        <w:rPr>
          <w:noProof/>
        </w:rPr>
        <w:tab/>
      </w:r>
      <w:r>
        <w:rPr>
          <w:noProof/>
          <w:sz w:val="22"/>
        </w:rPr>
        <w:t>OFFENTLIG EKSPORTKREDITDÆKNING: PROCENTSATS OG KVALITET</w:t>
      </w:r>
      <w:bookmarkEnd w:id="13"/>
      <w:bookmarkEnd w:id="14"/>
      <w:bookmarkEnd w:id="15"/>
    </w:p>
    <w:p>
      <w:pPr>
        <w:numPr>
          <w:ilvl w:val="12"/>
          <w:numId w:val="0"/>
        </w:numPr>
        <w:tabs>
          <w:tab w:val="left" w:pos="850"/>
          <w:tab w:val="left" w:pos="1191"/>
          <w:tab w:val="left" w:pos="1531"/>
        </w:tabs>
        <w:spacing w:before="0" w:after="240"/>
        <w:rPr>
          <w:rFonts w:eastAsia="Batang"/>
          <w:noProof/>
          <w:sz w:val="22"/>
        </w:rPr>
      </w:pPr>
      <w:r>
        <w:rPr>
          <w:noProof/>
          <w:sz w:val="22"/>
        </w:rPr>
        <w:t>MPR differentieres for at tage hensyn til eksportkreditprodukternes forskellige kvalitet og deltagernes forskellige dækningsprocent som omhandlet i bilag IX. Differentieringen ses ud fra eksportørens synsvinkel (dvs.</w:t>
      </w:r>
      <w:r>
        <w:rPr>
          <w:i/>
          <w:noProof/>
          <w:sz w:val="22"/>
        </w:rPr>
        <w:t xml:space="preserve"> </w:t>
      </w:r>
      <w:r>
        <w:rPr>
          <w:noProof/>
          <w:sz w:val="22"/>
        </w:rPr>
        <w:t>tager sigte på at neutralisere den konkurrencemæssige virkning af de kvalitative forskelle mellem de produkter, der tilbydes eksportøren/den finansielle institution).</w:t>
      </w:r>
    </w:p>
    <w:p>
      <w:pPr>
        <w:pStyle w:val="Point0"/>
        <w:rPr>
          <w:rFonts w:eastAsia="Batang"/>
          <w:noProof/>
          <w:sz w:val="22"/>
        </w:rPr>
      </w:pPr>
      <w:r>
        <w:rPr>
          <w:noProof/>
          <w:sz w:val="22"/>
        </w:rPr>
        <w:t>a)</w:t>
      </w:r>
      <w:r>
        <w:rPr>
          <w:noProof/>
        </w:rPr>
        <w:tab/>
      </w:r>
      <w:r>
        <w:rPr>
          <w:noProof/>
          <w:sz w:val="22"/>
        </w:rPr>
        <w:t>Kvaliteten af et eksportkreditprodukt afhænger af, om produktet er forsikring, sikkerhedsstillelse eller direkte kredit/finansiering, og – for forsikringsprodukternes vedkommende – om renten er dækket i karenstiden (dvs. perioden mellem forfaldsdatoen for debitorens betaling og den dato, på hvilken forsikreren skal yde eksportøren/den finansielle institution erstatning) uden ekstrapræmie.</w:t>
      </w:r>
    </w:p>
    <w:p>
      <w:pPr>
        <w:pStyle w:val="Point0"/>
        <w:rPr>
          <w:rFonts w:eastAsia="Batang"/>
          <w:noProof/>
          <w:sz w:val="22"/>
        </w:rPr>
      </w:pPr>
      <w:r>
        <w:rPr>
          <w:noProof/>
          <w:sz w:val="22"/>
        </w:rPr>
        <w:t>b)</w:t>
      </w:r>
      <w:r>
        <w:rPr>
          <w:noProof/>
        </w:rPr>
        <w:tab/>
      </w:r>
      <w:r>
        <w:rPr>
          <w:noProof/>
          <w:sz w:val="22"/>
        </w:rPr>
        <w:t>Alle eksisterende eksportkreditprodukter, som tilbydes af deltagerne, klassificeres i en af følgende tre produktkategorier:</w:t>
      </w:r>
    </w:p>
    <w:p>
      <w:pPr>
        <w:pStyle w:val="Tiret1"/>
        <w:rPr>
          <w:noProof/>
        </w:rPr>
      </w:pPr>
      <w:r>
        <w:rPr>
          <w:noProof/>
        </w:rPr>
        <w:t>produkter under standard,</w:t>
      </w:r>
      <w:r>
        <w:rPr>
          <w:i/>
          <w:noProof/>
        </w:rPr>
        <w:t xml:space="preserve"> </w:t>
      </w:r>
      <w:r>
        <w:rPr>
          <w:noProof/>
        </w:rPr>
        <w:t>dvs. forsikring uden dækning af rente i karenstiden og forsikring med dækning af rente i karenstiden mod en passende ekstrapræmie</w:t>
      </w:r>
    </w:p>
    <w:p>
      <w:pPr>
        <w:pStyle w:val="Tiret1"/>
        <w:rPr>
          <w:noProof/>
        </w:rPr>
      </w:pPr>
      <w:r>
        <w:rPr>
          <w:noProof/>
        </w:rPr>
        <w:t>standardprodukter,</w:t>
      </w:r>
      <w:r>
        <w:rPr>
          <w:i/>
          <w:noProof/>
        </w:rPr>
        <w:t xml:space="preserve"> </w:t>
      </w:r>
      <w:r>
        <w:rPr>
          <w:noProof/>
        </w:rPr>
        <w:t>dvs. forsikring med dækning af rente i karenstiden uden en passende ekstrapræmie og direkte kredit/finansiering og</w:t>
      </w:r>
    </w:p>
    <w:p>
      <w:pPr>
        <w:pStyle w:val="Tiret1"/>
        <w:rPr>
          <w:noProof/>
        </w:rPr>
      </w:pPr>
      <w:r>
        <w:rPr>
          <w:noProof/>
        </w:rPr>
        <w:t>produkter over standard,</w:t>
      </w:r>
      <w:r>
        <w:rPr>
          <w:i/>
          <w:noProof/>
        </w:rPr>
        <w:t xml:space="preserve"> </w:t>
      </w:r>
      <w:r>
        <w:rPr>
          <w:noProof/>
        </w:rPr>
        <w:t>dvs. garantier.</w:t>
      </w:r>
    </w:p>
    <w:p>
      <w:pPr>
        <w:pStyle w:val="ManualHeading1"/>
        <w:rPr>
          <w:rFonts w:eastAsia="Batang"/>
          <w:b w:val="0"/>
          <w:bCs/>
          <w:i/>
          <w:noProof/>
          <w:sz w:val="22"/>
        </w:rPr>
      </w:pPr>
      <w:bookmarkStart w:id="16" w:name="_Toc368389253"/>
      <w:bookmarkStart w:id="17" w:name="_Toc441046568"/>
      <w:bookmarkStart w:id="18" w:name="_Toc441052232"/>
      <w:r>
        <w:rPr>
          <w:noProof/>
          <w:sz w:val="22"/>
        </w:rPr>
        <w:t>30.</w:t>
      </w:r>
      <w:r>
        <w:rPr>
          <w:noProof/>
        </w:rPr>
        <w:tab/>
      </w:r>
      <w:r>
        <w:rPr>
          <w:noProof/>
          <w:sz w:val="22"/>
        </w:rPr>
        <w:t>TEKNIKKER TIL LEMPELSE AF LANDERISIKOEN</w:t>
      </w:r>
      <w:bookmarkEnd w:id="16"/>
      <w:bookmarkEnd w:id="17"/>
      <w:bookmarkEnd w:id="18"/>
    </w:p>
    <w:p>
      <w:pPr>
        <w:pStyle w:val="Point0"/>
        <w:rPr>
          <w:rFonts w:eastAsia="Batang"/>
          <w:noProof/>
          <w:sz w:val="22"/>
        </w:rPr>
      </w:pPr>
      <w:r>
        <w:rPr>
          <w:noProof/>
          <w:sz w:val="22"/>
        </w:rPr>
        <w:t>a)</w:t>
      </w:r>
      <w:r>
        <w:rPr>
          <w:noProof/>
        </w:rPr>
        <w:tab/>
      </w:r>
      <w:r>
        <w:rPr>
          <w:noProof/>
          <w:sz w:val="22"/>
        </w:rPr>
        <w:t>Deltagerne kan anvende følgende teknikker til lempelse af landerisikoen, hvis specifikke anvendelse er anført i bilag XIII:</w:t>
      </w:r>
    </w:p>
    <w:p>
      <w:pPr>
        <w:pStyle w:val="Tiret1"/>
        <w:rPr>
          <w:noProof/>
        </w:rPr>
      </w:pPr>
      <w:r>
        <w:rPr>
          <w:noProof/>
          <w:sz w:val="22"/>
        </w:rPr>
        <w:t xml:space="preserve">"Offshore </w:t>
      </w:r>
      <w:r>
        <w:rPr>
          <w:noProof/>
        </w:rPr>
        <w:t>Future Flow Structure Combined with Offshore Escrow Account"</w:t>
      </w:r>
    </w:p>
    <w:p>
      <w:pPr>
        <w:pStyle w:val="Tiret1"/>
        <w:rPr>
          <w:rFonts w:eastAsia="Batang"/>
          <w:noProof/>
          <w:sz w:val="22"/>
        </w:rPr>
      </w:pPr>
      <w:r>
        <w:rPr>
          <w:noProof/>
        </w:rPr>
        <w:t>Finansiering i lok</w:t>
      </w:r>
      <w:r>
        <w:rPr>
          <w:noProof/>
          <w:sz w:val="22"/>
        </w:rPr>
        <w:t>al valuta</w:t>
      </w:r>
    </w:p>
    <w:p>
      <w:pPr>
        <w:pStyle w:val="Point0"/>
        <w:rPr>
          <w:rFonts w:eastAsia="Batang"/>
          <w:noProof/>
          <w:sz w:val="22"/>
        </w:rPr>
      </w:pPr>
      <w:r>
        <w:rPr>
          <w:noProof/>
          <w:sz w:val="22"/>
        </w:rPr>
        <w:t>b)</w:t>
      </w:r>
      <w:r>
        <w:rPr>
          <w:noProof/>
        </w:rPr>
        <w:tab/>
      </w:r>
      <w:r>
        <w:rPr>
          <w:noProof/>
          <w:sz w:val="22"/>
        </w:rPr>
        <w:t>En deltager, der anvender en MPR, som afspejler brugen af lempelse af landerisikoen, skal give forudgående underretning i henhold til artikel 47.</w:t>
      </w:r>
    </w:p>
    <w:p>
      <w:pPr>
        <w:pStyle w:val="ManualHeading1"/>
        <w:rPr>
          <w:rFonts w:eastAsia="Batang"/>
          <w:b w:val="0"/>
          <w:bCs/>
          <w:noProof/>
          <w:sz w:val="22"/>
        </w:rPr>
      </w:pPr>
      <w:bookmarkStart w:id="19" w:name="_Toc368389254"/>
      <w:bookmarkStart w:id="20" w:name="_Toc441046569"/>
      <w:bookmarkStart w:id="21" w:name="_Toc441052233"/>
      <w:r>
        <w:rPr>
          <w:noProof/>
          <w:sz w:val="22"/>
        </w:rPr>
        <w:t>31.</w:t>
      </w:r>
      <w:r>
        <w:rPr>
          <w:noProof/>
        </w:rPr>
        <w:tab/>
      </w:r>
      <w:r>
        <w:rPr>
          <w:noProof/>
          <w:sz w:val="22"/>
        </w:rPr>
        <w:t>KREDITFORBEDRINGER I FORBINDELSE MED KØBERRISIKO</w:t>
      </w:r>
      <w:bookmarkEnd w:id="19"/>
      <w:bookmarkEnd w:id="20"/>
      <w:bookmarkEnd w:id="21"/>
    </w:p>
    <w:p>
      <w:pPr>
        <w:pStyle w:val="Point0"/>
        <w:rPr>
          <w:rFonts w:eastAsia="Batang"/>
          <w:noProof/>
          <w:sz w:val="22"/>
        </w:rPr>
      </w:pPr>
      <w:r>
        <w:rPr>
          <w:noProof/>
          <w:sz w:val="22"/>
        </w:rPr>
        <w:t>a)</w:t>
      </w:r>
      <w:r>
        <w:rPr>
          <w:noProof/>
        </w:rPr>
        <w:tab/>
      </w:r>
      <w:r>
        <w:rPr>
          <w:noProof/>
          <w:sz w:val="22"/>
        </w:rPr>
        <w:t>Deltagerne kan anvende følgende kreditforbedringer i forbindelse med køberrisiko, der muliggør anvendelse af en kreditforbedringsfaktor større end 0:</w:t>
      </w:r>
    </w:p>
    <w:p>
      <w:pPr>
        <w:pStyle w:val="Tiret1"/>
        <w:rPr>
          <w:rFonts w:eastAsia="Batang"/>
          <w:noProof/>
          <w:sz w:val="22"/>
        </w:rPr>
      </w:pPr>
      <w:r>
        <w:rPr>
          <w:noProof/>
          <w:sz w:val="22"/>
        </w:rPr>
        <w:t>overdragelse af kontraktprovenu eller indtægter</w:t>
      </w:r>
    </w:p>
    <w:p>
      <w:pPr>
        <w:pStyle w:val="Tiret1"/>
        <w:rPr>
          <w:rFonts w:eastAsia="Batang"/>
          <w:noProof/>
          <w:sz w:val="22"/>
        </w:rPr>
      </w:pPr>
      <w:r>
        <w:rPr>
          <w:noProof/>
          <w:sz w:val="22"/>
        </w:rPr>
        <w:t>aktivbaseret sikkerhed</w:t>
      </w:r>
    </w:p>
    <w:p>
      <w:pPr>
        <w:pStyle w:val="Tiret1"/>
        <w:rPr>
          <w:rFonts w:eastAsia="Batang"/>
          <w:noProof/>
          <w:sz w:val="22"/>
        </w:rPr>
      </w:pPr>
      <w:r>
        <w:rPr>
          <w:noProof/>
          <w:sz w:val="22"/>
        </w:rPr>
        <w:t>sikkerhed i anlægsaktiver</w:t>
      </w:r>
    </w:p>
    <w:p>
      <w:pPr>
        <w:pStyle w:val="Tiret1"/>
        <w:rPr>
          <w:rFonts w:eastAsia="Batang"/>
          <w:noProof/>
          <w:sz w:val="22"/>
        </w:rPr>
      </w:pPr>
      <w:r>
        <w:rPr>
          <w:noProof/>
          <w:sz w:val="22"/>
        </w:rPr>
        <w:t>spærret konto</w:t>
      </w:r>
    </w:p>
    <w:p>
      <w:pPr>
        <w:pStyle w:val="Point0"/>
        <w:rPr>
          <w:rFonts w:eastAsia="Batang"/>
          <w:noProof/>
          <w:sz w:val="22"/>
        </w:rPr>
      </w:pPr>
      <w:r>
        <w:rPr>
          <w:noProof/>
          <w:sz w:val="22"/>
        </w:rPr>
        <w:t>b)</w:t>
      </w:r>
      <w:r>
        <w:rPr>
          <w:noProof/>
        </w:rPr>
        <w:tab/>
      </w:r>
      <w:r>
        <w:rPr>
          <w:noProof/>
          <w:sz w:val="22"/>
        </w:rPr>
        <w:t>Definitioner af kreditforbedringer i forbindelse med køberrisiko og maksimumsværdier for kreditforbedringsfaktorer er angivet i bilag XIII.</w:t>
      </w:r>
    </w:p>
    <w:p>
      <w:pPr>
        <w:pStyle w:val="Point0"/>
        <w:rPr>
          <w:rFonts w:eastAsia="Batang"/>
          <w:noProof/>
          <w:sz w:val="22"/>
        </w:rPr>
      </w:pPr>
      <w:r>
        <w:rPr>
          <w:noProof/>
          <w:sz w:val="22"/>
        </w:rPr>
        <w:t>c)</w:t>
      </w:r>
      <w:r>
        <w:rPr>
          <w:noProof/>
        </w:rPr>
        <w:tab/>
      </w:r>
      <w:r>
        <w:rPr>
          <w:noProof/>
          <w:sz w:val="22"/>
        </w:rPr>
        <w:t>Kreditforbedringer i forbindelse med køberrisiko må udelukkende anvendes i kombination med følgende restriktioner:</w:t>
      </w:r>
    </w:p>
    <w:p>
      <w:pPr>
        <w:pStyle w:val="Tiret1"/>
        <w:rPr>
          <w:rFonts w:eastAsia="Batang"/>
          <w:noProof/>
          <w:sz w:val="22"/>
        </w:rPr>
      </w:pPr>
      <w:r>
        <w:rPr>
          <w:noProof/>
          <w:sz w:val="22"/>
        </w:rPr>
        <w:lastRenderedPageBreak/>
        <w:t>Den maksimale kreditforbedringsfaktor, der kan opnås ved anvendelse af kreditforbedringer i forbindelse med køberrisiko, er 0,35.</w:t>
      </w:r>
    </w:p>
    <w:p>
      <w:pPr>
        <w:pStyle w:val="Tiret1"/>
        <w:rPr>
          <w:rFonts w:eastAsia="Batang"/>
          <w:noProof/>
          <w:sz w:val="22"/>
        </w:rPr>
      </w:pPr>
      <w:r>
        <w:rPr>
          <w:noProof/>
          <w:sz w:val="22"/>
        </w:rPr>
        <w:t>"Aktivbaseret sikkerhed" og "sikkerhed i anlægsaktiver" kan ikke anvendes sammen i forbindelse med én transaktion.</w:t>
      </w:r>
    </w:p>
    <w:p>
      <w:pPr>
        <w:pStyle w:val="Tiret1"/>
        <w:rPr>
          <w:rFonts w:eastAsia="Batang"/>
          <w:noProof/>
          <w:sz w:val="22"/>
        </w:rPr>
      </w:pPr>
      <w:r>
        <w:rPr>
          <w:noProof/>
          <w:sz w:val="22"/>
        </w:rPr>
        <w:t>Såfremt den relevante klassificering af landerisiko er blevet forbedret ved hjælp af "Offshore Future Flow Structure Combined with Offshore Escrow Account", kan kreditforbedringer i forbindelse med køberrisiko ikke anvendes.</w:t>
      </w:r>
    </w:p>
    <w:p>
      <w:pPr>
        <w:pStyle w:val="Point0"/>
        <w:rPr>
          <w:rFonts w:eastAsia="Batang"/>
          <w:noProof/>
          <w:sz w:val="22"/>
        </w:rPr>
      </w:pPr>
      <w:r>
        <w:rPr>
          <w:noProof/>
          <w:sz w:val="22"/>
        </w:rPr>
        <w:t>d)</w:t>
      </w:r>
      <w:r>
        <w:rPr>
          <w:noProof/>
        </w:rPr>
        <w:tab/>
      </w:r>
      <w:r>
        <w:rPr>
          <w:noProof/>
          <w:sz w:val="22"/>
        </w:rPr>
        <w:t>For transaktioner, der involverer markedsbenchmarksdebitorer kan følgende nedslag anvendes på en risikopræmie, som er afledt af ikke-efterstillede, usikrede, navnespecifikke CDS og obligationsmarkedsbenchmarks eller TCMB-modellen:</w:t>
      </w:r>
    </w:p>
    <w:p>
      <w:pPr>
        <w:pStyle w:val="Tiret1"/>
        <w:rPr>
          <w:rFonts w:eastAsia="Batang"/>
          <w:noProof/>
          <w:sz w:val="22"/>
        </w:rPr>
      </w:pPr>
      <w:r>
        <w:rPr>
          <w:noProof/>
          <w:sz w:val="22"/>
        </w:rPr>
        <w:t>for aktivbaseret sikkerhed: et nedslag på højst 15 %</w:t>
      </w:r>
    </w:p>
    <w:p>
      <w:pPr>
        <w:pStyle w:val="Tiret1"/>
        <w:rPr>
          <w:rFonts w:eastAsia="Batang"/>
          <w:noProof/>
          <w:sz w:val="22"/>
        </w:rPr>
      </w:pPr>
      <w:r>
        <w:rPr>
          <w:noProof/>
          <w:sz w:val="22"/>
        </w:rPr>
        <w:t>for sikkerhed i anlægsaktiver: et nedslag på højst 10 %</w:t>
      </w:r>
    </w:p>
    <w:p>
      <w:pPr>
        <w:pStyle w:val="Tiret1"/>
        <w:rPr>
          <w:rFonts w:eastAsia="Batang"/>
          <w:noProof/>
          <w:sz w:val="22"/>
        </w:rPr>
      </w:pPr>
      <w:r>
        <w:rPr>
          <w:noProof/>
          <w:sz w:val="22"/>
        </w:rPr>
        <w:t>for spærret konto (konto for rente- og afdragsbetalinger): et nedslag på højst 10 % og</w:t>
      </w:r>
    </w:p>
    <w:p>
      <w:pPr>
        <w:pStyle w:val="Tiret1"/>
        <w:rPr>
          <w:rFonts w:eastAsia="Batang"/>
          <w:noProof/>
          <w:sz w:val="22"/>
        </w:rPr>
      </w:pPr>
      <w:r>
        <w:rPr>
          <w:noProof/>
          <w:sz w:val="22"/>
        </w:rPr>
        <w:t>for en kombination af kreditforbedringsfaktorer i alt: et nedslag på højst 25 %.</w:t>
      </w:r>
    </w:p>
    <w:p>
      <w:pPr>
        <w:pStyle w:val="Point0"/>
        <w:rPr>
          <w:rFonts w:eastAsia="Batang"/>
          <w:noProof/>
          <w:sz w:val="22"/>
        </w:rPr>
      </w:pPr>
      <w:r>
        <w:rPr>
          <w:noProof/>
          <w:sz w:val="22"/>
        </w:rPr>
        <w:t>e)</w:t>
      </w:r>
      <w:r>
        <w:rPr>
          <w:noProof/>
        </w:rPr>
        <w:tab/>
      </w:r>
      <w:r>
        <w:rPr>
          <w:noProof/>
          <w:sz w:val="22"/>
        </w:rPr>
        <w:t>Deltagerne skal give forudgående underretning i henhold til artikel 48 for transaktioner med en ikkestatslig debitor/garant for en kredit på over 5 mio. SDR, hvis kreditforbedringer i forbindelse med køberrisiko medfører anvendelse af en kreditforbedringsfaktor på over 0, eller når der anvendes kreditforbedringer i en markedsbenchmarktransaktion, der medfører værdiansættelser under den tilsvarende MPR, som er bestemt efter TCMB-modellen .</w:t>
      </w:r>
    </w:p>
    <w:p>
      <w:pPr>
        <w:pStyle w:val="ManualHeading1"/>
        <w:rPr>
          <w:rFonts w:eastAsia="Batang"/>
          <w:b w:val="0"/>
          <w:bCs/>
          <w:noProof/>
          <w:sz w:val="22"/>
        </w:rPr>
      </w:pPr>
      <w:bookmarkStart w:id="22" w:name="_Toc368389255"/>
      <w:bookmarkStart w:id="23" w:name="_Toc441046570"/>
      <w:bookmarkStart w:id="24" w:name="_Toc441052234"/>
      <w:r>
        <w:rPr>
          <w:noProof/>
          <w:sz w:val="22"/>
        </w:rPr>
        <w:t>32.</w:t>
      </w:r>
      <w:r>
        <w:rPr>
          <w:noProof/>
        </w:rPr>
        <w:tab/>
      </w:r>
      <w:r>
        <w:rPr>
          <w:noProof/>
          <w:sz w:val="22"/>
        </w:rPr>
        <w:t>REVISION AF GYLDIGHEDEN AF MINIMUMSPRÆMIESATSERNE</w:t>
      </w:r>
      <w:r>
        <w:rPr>
          <w:noProof/>
        </w:rPr>
        <w:tab/>
      </w:r>
      <w:r>
        <w:rPr>
          <w:rFonts w:eastAsia="Batang"/>
          <w:bCs/>
          <w:noProof/>
          <w:sz w:val="22"/>
        </w:rPr>
        <w:br/>
      </w:r>
      <w:r>
        <w:rPr>
          <w:noProof/>
          <w:sz w:val="22"/>
        </w:rPr>
        <w:t>FOR KREDITRISIKO</w:t>
      </w:r>
      <w:bookmarkEnd w:id="22"/>
      <w:bookmarkEnd w:id="23"/>
      <w:bookmarkEnd w:id="24"/>
    </w:p>
    <w:p>
      <w:pPr>
        <w:pStyle w:val="Point0"/>
        <w:rPr>
          <w:rFonts w:eastAsia="Batang"/>
          <w:noProof/>
          <w:sz w:val="22"/>
        </w:rPr>
      </w:pPr>
      <w:r>
        <w:rPr>
          <w:noProof/>
          <w:sz w:val="22"/>
        </w:rPr>
        <w:t>a)</w:t>
      </w:r>
      <w:r>
        <w:rPr>
          <w:noProof/>
        </w:rPr>
        <w:tab/>
      </w:r>
      <w:r>
        <w:rPr>
          <w:noProof/>
          <w:sz w:val="22"/>
        </w:rPr>
        <w:t>For at vurdere relevansen af MPR og om fornødent muliggøre justeringer i opadgående eller nedadgående retning bør der parallelt anvendes præmiefeedbackværktøjer ("Premium Feedback Tools" – PFT) til regelmæssig overvågning og justering af MPR.</w:t>
      </w:r>
    </w:p>
    <w:p>
      <w:pPr>
        <w:pStyle w:val="Point0"/>
        <w:rPr>
          <w:rFonts w:eastAsia="Batang"/>
          <w:noProof/>
          <w:sz w:val="22"/>
        </w:rPr>
      </w:pPr>
      <w:r>
        <w:rPr>
          <w:noProof/>
          <w:sz w:val="22"/>
        </w:rPr>
        <w:t>b)</w:t>
      </w:r>
      <w:r>
        <w:rPr>
          <w:noProof/>
        </w:rPr>
        <w:tab/>
      </w:r>
      <w:r>
        <w:rPr>
          <w:noProof/>
          <w:sz w:val="22"/>
        </w:rPr>
        <w:t>PFT skal vurdere relevansen af MPR både i forhold til den faktiske erfaring gjort af de institutioner, der har ydet offentlige eksportkreditter, og oplysninger fra det private marked om værdiansættelse af kreditrisiko.</w:t>
      </w:r>
    </w:p>
    <w:p>
      <w:pPr>
        <w:pStyle w:val="Point0"/>
        <w:rPr>
          <w:rFonts w:eastAsia="Batang"/>
          <w:noProof/>
          <w:sz w:val="22"/>
        </w:rPr>
      </w:pPr>
      <w:r>
        <w:rPr>
          <w:noProof/>
          <w:sz w:val="22"/>
        </w:rPr>
        <w:t>c)</w:t>
      </w:r>
      <w:r>
        <w:rPr>
          <w:noProof/>
        </w:rPr>
        <w:tab/>
      </w:r>
      <w:r>
        <w:rPr>
          <w:noProof/>
          <w:sz w:val="22"/>
        </w:rPr>
        <w:t>En omfattende revision af alle aspekter ved præmiereglerne i arrangementet skal foretages med særlig vægt på reglerne for værdiansættelse i henhold til markedsbenchmarks senest den 31. december 2018.</w:t>
      </w:r>
      <w:bookmarkStart w:id="25" w:name="_Toc3270198"/>
      <w:bookmarkStart w:id="26" w:name="_Toc3281013"/>
      <w:bookmarkStart w:id="27" w:name="_Toc3281227"/>
      <w:bookmarkStart w:id="28" w:name="_Toc3284444"/>
      <w:bookmarkStart w:id="29" w:name="_Toc3285598"/>
      <w:bookmarkStart w:id="30" w:name="_Toc508772270"/>
      <w:bookmarkStart w:id="31" w:name="_Toc514753705"/>
      <w:bookmarkStart w:id="32" w:name="_Toc515268063"/>
      <w:bookmarkStart w:id="33" w:name="_Toc519427970"/>
      <w:bookmarkStart w:id="34" w:name="_Toc519490418"/>
      <w:bookmarkStart w:id="35" w:name="_Toc54762636"/>
      <w:bookmarkStart w:id="36" w:name="_Toc54763024"/>
      <w:bookmarkStart w:id="37" w:name="_Toc94434512"/>
      <w:bookmarkStart w:id="38" w:name="_Toc105572937"/>
      <w:bookmarkStart w:id="39" w:name="_Toc105573212"/>
      <w:bookmarkStart w:id="40" w:name="_Toc105577639"/>
      <w:bookmarkStart w:id="41" w:name="_Toc105578091"/>
      <w:bookmarkStart w:id="42" w:name="_Toc105578307"/>
      <w:bookmarkStart w:id="43" w:name="_Toc105578961"/>
      <w:bookmarkStart w:id="44" w:name="_Toc105579136"/>
      <w:bookmarkStart w:id="45" w:name="_Toc105579356"/>
      <w:bookmarkStart w:id="46" w:name="_Toc105579615"/>
      <w:bookmarkStart w:id="47" w:name="_Toc105579784"/>
      <w:bookmarkStart w:id="48" w:name="_Toc105579946"/>
      <w:bookmarkStart w:id="49" w:name="_Toc105580124"/>
      <w:bookmarkStart w:id="50" w:name="_Toc105580384"/>
      <w:bookmarkStart w:id="51" w:name="_Toc105582248"/>
      <w:bookmarkStart w:id="52" w:name="_Toc105582339"/>
      <w:bookmarkStart w:id="53" w:name="_Toc105582427"/>
    </w:p>
    <w:p>
      <w:pPr>
        <w:pStyle w:val="ManualHeading1"/>
        <w:rPr>
          <w:rFonts w:eastAsia="Batang"/>
          <w:bCs/>
          <w:i/>
          <w:noProof/>
          <w:sz w:val="22"/>
        </w:rPr>
      </w:pPr>
      <w:bookmarkStart w:id="54" w:name="_Toc368389275"/>
      <w:bookmarkStart w:id="55" w:name="_Toc441046590"/>
      <w:bookmarkStart w:id="56" w:name="_Toc441052254"/>
      <w:r>
        <w:rPr>
          <w:noProof/>
          <w:sz w:val="22"/>
        </w:rPr>
        <w:t>48.</w:t>
      </w:r>
      <w:r>
        <w:rPr>
          <w:noProof/>
        </w:rPr>
        <w:tab/>
      </w:r>
      <w:r>
        <w:rPr>
          <w:noProof/>
          <w:sz w:val="22"/>
        </w:rPr>
        <w:t>FORHÅNDSMEDDELELSE</w:t>
      </w:r>
      <w:bookmarkEnd w:id="54"/>
      <w:bookmarkEnd w:id="55"/>
      <w:bookmarkEnd w:id="56"/>
    </w:p>
    <w:p>
      <w:pPr>
        <w:pStyle w:val="Point0"/>
        <w:rPr>
          <w:rFonts w:eastAsia="Batang"/>
          <w:noProof/>
          <w:sz w:val="22"/>
        </w:rPr>
      </w:pPr>
      <w:r>
        <w:rPr>
          <w:noProof/>
          <w:sz w:val="22"/>
        </w:rPr>
        <w:t>a)</w:t>
      </w:r>
      <w:r>
        <w:rPr>
          <w:noProof/>
        </w:rPr>
        <w:tab/>
      </w:r>
      <w:r>
        <w:rPr>
          <w:noProof/>
          <w:sz w:val="22"/>
        </w:rPr>
        <w:t>En deltager skal i overensstemmelse med bilag VIII underrette alle øvrige deltagere mindst 10 kalenderdage, før denne indgår en forpligtelse, hvis denne agter:</w:t>
      </w:r>
    </w:p>
    <w:p>
      <w:pPr>
        <w:pStyle w:val="Point1"/>
        <w:rPr>
          <w:noProof/>
        </w:rPr>
      </w:pPr>
      <w:r>
        <w:rPr>
          <w:noProof/>
        </w:rPr>
        <w:t>1)</w:t>
      </w:r>
      <w:r>
        <w:rPr>
          <w:noProof/>
        </w:rPr>
        <w:tab/>
        <w:t>at yde støtte i henhold til artikel 10, litra d), nr. 3)</w:t>
      </w:r>
    </w:p>
    <w:p>
      <w:pPr>
        <w:pStyle w:val="Point1"/>
        <w:rPr>
          <w:noProof/>
        </w:rPr>
      </w:pPr>
      <w:r>
        <w:rPr>
          <w:noProof/>
        </w:rPr>
        <w:t>2)</w:t>
      </w:r>
      <w:r>
        <w:rPr>
          <w:noProof/>
        </w:rPr>
        <w:tab/>
        <w:t>at støtte en løbetid på over fem år til et land i kategori I</w:t>
      </w:r>
    </w:p>
    <w:p>
      <w:pPr>
        <w:pStyle w:val="Point1"/>
        <w:rPr>
          <w:noProof/>
        </w:rPr>
      </w:pPr>
      <w:r>
        <w:rPr>
          <w:noProof/>
        </w:rPr>
        <w:t>3)</w:t>
      </w:r>
      <w:r>
        <w:rPr>
          <w:noProof/>
        </w:rPr>
        <w:tab/>
        <w:t>at yde støtte i henhold til artikel 13, litra a)</w:t>
      </w:r>
    </w:p>
    <w:p>
      <w:pPr>
        <w:pStyle w:val="Point1"/>
        <w:rPr>
          <w:noProof/>
        </w:rPr>
      </w:pPr>
      <w:r>
        <w:rPr>
          <w:noProof/>
        </w:rPr>
        <w:t>4)</w:t>
      </w:r>
      <w:r>
        <w:rPr>
          <w:noProof/>
        </w:rPr>
        <w:tab/>
        <w:t>at yde støtte i henhold til artikel 14, litra d)</w:t>
      </w:r>
    </w:p>
    <w:p>
      <w:pPr>
        <w:pStyle w:val="Point1"/>
        <w:rPr>
          <w:noProof/>
        </w:rPr>
      </w:pPr>
      <w:r>
        <w:rPr>
          <w:noProof/>
        </w:rPr>
        <w:lastRenderedPageBreak/>
        <w:t>5)</w:t>
      </w:r>
      <w:r>
        <w:rPr>
          <w:noProof/>
        </w:rPr>
        <w:tab/>
        <w:t xml:space="preserve">at anvende en præmiesats ifølge bestemmelserne i artikel 24, litra c), nr. 1, ved deltagelse som en del af en syndikeret lånepakke </w:t>
      </w:r>
    </w:p>
    <w:p>
      <w:pPr>
        <w:pStyle w:val="Point1"/>
        <w:rPr>
          <w:noProof/>
        </w:rPr>
      </w:pPr>
      <w:r>
        <w:rPr>
          <w:noProof/>
        </w:rPr>
        <w:t>6)</w:t>
      </w:r>
      <w:r>
        <w:rPr>
          <w:noProof/>
        </w:rPr>
        <w:tab/>
        <w:t>at klassificere debitoren/garanten i en markedsbenchmarktransaktion som bedre end den bedste vurdering fra et akkrediteret CRA, eller hvis der ikke foreligger en akkrediteret CRA-vurdering, klassificere en transaktion som CC2 eller bedre, eller et kreditvurderingsbogstav svarende til AAA til A- eller svarende til eller gunstigere end den bedste akkrediterede CRA-vurdering for den stat, hvor debitoren/garanten har sit hjemsted.</w:t>
      </w:r>
    </w:p>
    <w:p>
      <w:pPr>
        <w:pStyle w:val="Point1"/>
        <w:rPr>
          <w:noProof/>
        </w:rPr>
      </w:pPr>
      <w:r>
        <w:rPr>
          <w:noProof/>
          <w:sz w:val="22"/>
        </w:rPr>
        <w:t>7)</w:t>
      </w:r>
      <w:r>
        <w:rPr>
          <w:noProof/>
        </w:rPr>
        <w:tab/>
      </w:r>
      <w:r>
        <w:rPr>
          <w:noProof/>
          <w:sz w:val="22"/>
        </w:rPr>
        <w:t xml:space="preserve">at anvende en </w:t>
      </w:r>
      <w:r>
        <w:rPr>
          <w:noProof/>
        </w:rPr>
        <w:t>lavere præmiesats end den tilsvarende præmie bestemt efter TCMB-modellen i henhold til tredje led i artikel 24, litra c), nr. 2.</w:t>
      </w:r>
    </w:p>
    <w:p>
      <w:pPr>
        <w:pStyle w:val="Point1"/>
        <w:rPr>
          <w:noProof/>
        </w:rPr>
      </w:pPr>
      <w:r>
        <w:rPr>
          <w:noProof/>
        </w:rPr>
        <w:t>8)</w:t>
      </w:r>
      <w:r>
        <w:rPr>
          <w:noProof/>
        </w:rPr>
        <w:tab/>
        <w:t>at anvende en præmiesats i henhold til artikel 24, litra e), andet led, hvorved den relevante klassificering af landerisiko og køberrisikokategori anvendt til at beregne MPR er bestemt af en multilateral eller regional institutions involvering som debitor eller garant</w:t>
      </w:r>
    </w:p>
    <w:p>
      <w:pPr>
        <w:pStyle w:val="Point1"/>
        <w:rPr>
          <w:rFonts w:eastAsia="Batang"/>
          <w:noProof/>
          <w:sz w:val="22"/>
        </w:rPr>
      </w:pPr>
      <w:r>
        <w:rPr>
          <w:noProof/>
        </w:rPr>
        <w:t>9)</w:t>
      </w:r>
      <w:r>
        <w:rPr>
          <w:noProof/>
        </w:rPr>
        <w:tab/>
        <w:t>at anvende en præmiesats</w:t>
      </w:r>
      <w:r>
        <w:rPr>
          <w:noProof/>
          <w:sz w:val="22"/>
        </w:rPr>
        <w:t xml:space="preserve"> i henhold til artikel 27, litra e), hvorved den udvalgte køberrisikokategori anvendt til at beregne MPR for en transaktion:</w:t>
      </w:r>
    </w:p>
    <w:p>
      <w:pPr>
        <w:pStyle w:val="Tiret2"/>
        <w:rPr>
          <w:noProof/>
        </w:rPr>
      </w:pPr>
      <w:r>
        <w:rPr>
          <w:noProof/>
        </w:rPr>
        <w:t>med en ikkestatslig debitor/garant er under CC1 (dvs.</w:t>
      </w:r>
      <w:r>
        <w:rPr>
          <w:i/>
          <w:noProof/>
        </w:rPr>
        <w:t xml:space="preserve"> </w:t>
      </w:r>
      <w:r>
        <w:rPr>
          <w:noProof/>
        </w:rPr>
        <w:t>CC0 eller SOV+)</w:t>
      </w:r>
    </w:p>
    <w:p>
      <w:pPr>
        <w:pStyle w:val="Tiret2"/>
        <w:rPr>
          <w:noProof/>
        </w:rPr>
      </w:pPr>
      <w:r>
        <w:rPr>
          <w:noProof/>
        </w:rPr>
        <w:t>med en ikkestatslig debitor/garant, hvis kredit er på over 5 mio. SDR, er bedre end den akkrediterede CRA-vurdering</w:t>
      </w:r>
    </w:p>
    <w:p>
      <w:pPr>
        <w:pStyle w:val="Point1"/>
        <w:rPr>
          <w:noProof/>
        </w:rPr>
      </w:pPr>
      <w:r>
        <w:rPr>
          <w:noProof/>
          <w:sz w:val="22"/>
        </w:rPr>
        <w:t>10)</w:t>
      </w:r>
      <w:r>
        <w:rPr>
          <w:noProof/>
        </w:rPr>
        <w:tab/>
      </w:r>
      <w:r>
        <w:rPr>
          <w:noProof/>
          <w:sz w:val="22"/>
        </w:rPr>
        <w:t xml:space="preserve">at anvende en </w:t>
      </w:r>
      <w:r>
        <w:rPr>
          <w:noProof/>
        </w:rPr>
        <w:t>præmiesats i henhold til artikel 31, litra a), hvorved anvendelsen af kreditforbedringer i forbindelse med køberrisiko, medfører anvendelse af en kreditforbedringsfaktor større end 0, eller når der anvendes kreditforbedringer i en markedsbenchmarktransaktion, der medfører værdiansættelser under de tilsvarende MPR, der er bestemt efter TCMB-modellen.</w:t>
      </w:r>
    </w:p>
    <w:p>
      <w:pPr>
        <w:pStyle w:val="Point1"/>
        <w:rPr>
          <w:noProof/>
        </w:rPr>
      </w:pPr>
      <w:r>
        <w:rPr>
          <w:noProof/>
        </w:rPr>
        <w:t>11)</w:t>
      </w:r>
      <w:r>
        <w:rPr>
          <w:noProof/>
        </w:rPr>
        <w:tab/>
        <w:t>at yde støtte i henhold til artikel 8, litra a), i bilag II</w:t>
      </w:r>
    </w:p>
    <w:p>
      <w:pPr>
        <w:pStyle w:val="Point1"/>
        <w:rPr>
          <w:noProof/>
        </w:rPr>
      </w:pPr>
      <w:r>
        <w:rPr>
          <w:noProof/>
        </w:rPr>
        <w:t>12)</w:t>
      </w:r>
      <w:r>
        <w:rPr>
          <w:noProof/>
        </w:rPr>
        <w:tab/>
        <w:t xml:space="preserve">at yde støtte i henhold til artikel 10, litra a), nr. 1), i bilag IV </w:t>
      </w:r>
    </w:p>
    <w:p>
      <w:pPr>
        <w:pStyle w:val="Point1"/>
        <w:rPr>
          <w:noProof/>
        </w:rPr>
      </w:pPr>
      <w:r>
        <w:rPr>
          <w:noProof/>
        </w:rPr>
        <w:t>13)</w:t>
      </w:r>
      <w:r>
        <w:rPr>
          <w:noProof/>
        </w:rPr>
        <w:tab/>
        <w:t>at yde støtte i henhold til artikel 5, litra b), i bilag V</w:t>
      </w:r>
    </w:p>
    <w:p>
      <w:pPr>
        <w:pStyle w:val="Point1"/>
        <w:rPr>
          <w:rFonts w:eastAsia="Batang"/>
          <w:noProof/>
          <w:sz w:val="22"/>
        </w:rPr>
      </w:pPr>
      <w:r>
        <w:rPr>
          <w:noProof/>
        </w:rPr>
        <w:t>14)</w:t>
      </w:r>
      <w:r>
        <w:rPr>
          <w:noProof/>
        </w:rPr>
        <w:tab/>
        <w:t>at yde støtte i</w:t>
      </w:r>
      <w:r>
        <w:rPr>
          <w:noProof/>
          <w:sz w:val="22"/>
        </w:rPr>
        <w:t xml:space="preserve"> henhold til artikel 4, litra a), i bilag VI.</w:t>
      </w:r>
    </w:p>
    <w:p>
      <w:pPr>
        <w:pStyle w:val="Point0"/>
        <w:rPr>
          <w:rFonts w:eastAsia="Batang"/>
          <w:noProof/>
          <w:sz w:val="22"/>
        </w:rPr>
      </w:pPr>
      <w:r>
        <w:rPr>
          <w:noProof/>
          <w:sz w:val="22"/>
        </w:rPr>
        <w:t>b)</w:t>
      </w:r>
      <w:r>
        <w:rPr>
          <w:noProof/>
        </w:rPr>
        <w:tab/>
      </w:r>
      <w:r>
        <w:rPr>
          <w:noProof/>
          <w:sz w:val="22"/>
        </w:rPr>
        <w:t>Ændrer eller frafalder den initiativtagende deltager sin hensigt om at yde støtte til en sådan transaktion, underretter denne straks alle øvrige deltagere herom.</w:t>
      </w:r>
    </w:p>
    <w:p>
      <w:pPr>
        <w:pStyle w:val="Point0"/>
        <w:rPr>
          <w:rFonts w:eastAsia="Batang"/>
          <w:noProof/>
          <w:sz w:val="22"/>
        </w:rPr>
        <w:sectPr>
          <w:footerReference w:type="default" r:id="rId16"/>
          <w:footerReference w:type="first" r:id="rId17"/>
          <w:footnotePr>
            <w:numRestart w:val="eachSect"/>
          </w:footnotePr>
          <w:endnotePr>
            <w:numFmt w:val="decimal"/>
          </w:endnotePr>
          <w:pgSz w:w="11906" w:h="16838"/>
          <w:pgMar w:top="1984" w:right="1247" w:bottom="1814" w:left="1191" w:header="1247" w:footer="1247" w:gutter="0"/>
          <w:cols w:space="720"/>
          <w:docGrid w:linePitch="326"/>
        </w:sectPr>
      </w:pPr>
    </w:p>
    <w:p>
      <w:pPr>
        <w:jc w:val="center"/>
        <w:rPr>
          <w:b/>
          <w:noProof/>
        </w:rPr>
      </w:pPr>
      <w:bookmarkStart w:id="57" w:name="_Toc3270297"/>
      <w:bookmarkStart w:id="58" w:name="_Toc3281142"/>
      <w:bookmarkStart w:id="59" w:name="_Toc3281326"/>
      <w:bookmarkStart w:id="60" w:name="_Toc3284572"/>
      <w:bookmarkStart w:id="61" w:name="_Toc3285726"/>
      <w:bookmarkStart w:id="62" w:name="_Toc54762741"/>
      <w:bookmarkStart w:id="63" w:name="_Toc54763128"/>
      <w:bookmarkStart w:id="64" w:name="_Toc94434617"/>
      <w:bookmarkStart w:id="65" w:name="_Toc105573055"/>
      <w:bookmarkStart w:id="66" w:name="_Toc105573331"/>
      <w:bookmarkStart w:id="67" w:name="_Toc105577758"/>
      <w:bookmarkStart w:id="68" w:name="_Toc105578210"/>
      <w:bookmarkStart w:id="69" w:name="_Toc105578426"/>
      <w:bookmarkStart w:id="70" w:name="_Toc105579080"/>
      <w:bookmarkStart w:id="71" w:name="_Toc105579255"/>
      <w:bookmarkStart w:id="72" w:name="_Toc105579463"/>
      <w:bookmarkStart w:id="73" w:name="_Toc105579721"/>
      <w:bookmarkStart w:id="74" w:name="_Toc105579890"/>
      <w:bookmarkStart w:id="75" w:name="_Toc105580052"/>
      <w:bookmarkStart w:id="76" w:name="_Toc105580217"/>
      <w:bookmarkStart w:id="77" w:name="_Toc105580464"/>
      <w:bookmarkStart w:id="78" w:name="_Toc105582281"/>
      <w:bookmarkStart w:id="79" w:name="_Toc105582371"/>
      <w:bookmarkStart w:id="80" w:name="_Toc10558245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b/>
          <w:noProof/>
        </w:rPr>
        <w:lastRenderedPageBreak/>
        <w:t>BILAG VIII: OPLYSNINGER, DER SKAL AFGIVES I FORBINDELSE MED UNDERRETNINGER</w:t>
      </w:r>
    </w:p>
    <w:p>
      <w:pPr>
        <w:rPr>
          <w:noProof/>
        </w:rPr>
      </w:pPr>
      <w:r>
        <w:rPr>
          <w:noProof/>
        </w:rPr>
        <w:t>Oplysningerne i afsnit I nedenfor skal indgives i forbindelse med alle underretninger i henhold til arrangementet (og bilagene dertil). Derudover afgives i givet fald de oplysninger, der er anført i afsnit II, med henblik på den pågældende type underretning.</w:t>
      </w:r>
    </w:p>
    <w:p>
      <w:pPr>
        <w:pStyle w:val="Point0"/>
        <w:rPr>
          <w:noProof/>
        </w:rPr>
      </w:pPr>
      <w:r>
        <w:rPr>
          <w:b/>
          <w:noProof/>
        </w:rPr>
        <w:t>I.</w:t>
      </w:r>
      <w:r>
        <w:rPr>
          <w:noProof/>
        </w:rPr>
        <w:tab/>
      </w:r>
      <w:r>
        <w:rPr>
          <w:b/>
          <w:noProof/>
        </w:rPr>
        <w:t>OPLYSNINGER,</w:t>
      </w:r>
      <w:r>
        <w:rPr>
          <w:b/>
          <w:noProof/>
          <w:sz w:val="22"/>
        </w:rPr>
        <w:t xml:space="preserve"> DER SKAL AFGIVES I FORBINDELSE MED ALLE UNDERRETNINGER</w:t>
      </w:r>
    </w:p>
    <w:p>
      <w:pPr>
        <w:pStyle w:val="Point1"/>
        <w:rPr>
          <w:noProof/>
        </w:rPr>
      </w:pPr>
      <w:bookmarkStart w:id="81" w:name="_Toc368389449"/>
      <w:r>
        <w:rPr>
          <w:b/>
          <w:i/>
          <w:noProof/>
        </w:rPr>
        <w:t>a)</w:t>
      </w:r>
      <w:r>
        <w:rPr>
          <w:noProof/>
        </w:rPr>
        <w:tab/>
      </w:r>
      <w:r>
        <w:rPr>
          <w:b/>
          <w:i/>
          <w:noProof/>
        </w:rPr>
        <w:t>Grundlæggende oplysninger</w:t>
      </w:r>
      <w:bookmarkEnd w:id="81"/>
    </w:p>
    <w:p>
      <w:pPr>
        <w:pStyle w:val="Point2"/>
        <w:rPr>
          <w:noProof/>
        </w:rPr>
      </w:pPr>
      <w:r>
        <w:rPr>
          <w:noProof/>
        </w:rPr>
        <w:t>1.</w:t>
      </w:r>
      <w:r>
        <w:rPr>
          <w:noProof/>
        </w:rPr>
        <w:tab/>
        <w:t>Underrettende land</w:t>
      </w:r>
    </w:p>
    <w:p>
      <w:pPr>
        <w:pStyle w:val="Point2"/>
        <w:rPr>
          <w:noProof/>
        </w:rPr>
      </w:pPr>
      <w:r>
        <w:rPr>
          <w:noProof/>
        </w:rPr>
        <w:t>2.</w:t>
      </w:r>
      <w:r>
        <w:rPr>
          <w:noProof/>
        </w:rPr>
        <w:tab/>
        <w:t>Underretningsdato</w:t>
      </w:r>
    </w:p>
    <w:p>
      <w:pPr>
        <w:pStyle w:val="Point2"/>
        <w:rPr>
          <w:noProof/>
        </w:rPr>
      </w:pPr>
      <w:r>
        <w:rPr>
          <w:noProof/>
        </w:rPr>
        <w:t>3.</w:t>
      </w:r>
      <w:r>
        <w:rPr>
          <w:noProof/>
        </w:rPr>
        <w:tab/>
        <w:t>Navn på underrettende myndighed/organ</w:t>
      </w:r>
    </w:p>
    <w:p>
      <w:pPr>
        <w:pStyle w:val="Point2"/>
        <w:rPr>
          <w:noProof/>
        </w:rPr>
      </w:pPr>
      <w:r>
        <w:rPr>
          <w:noProof/>
        </w:rPr>
        <w:t>4.</w:t>
      </w:r>
      <w:r>
        <w:rPr>
          <w:noProof/>
        </w:rPr>
        <w:tab/>
        <w:t>Referencenummer</w:t>
      </w:r>
    </w:p>
    <w:p>
      <w:pPr>
        <w:pStyle w:val="Point2"/>
        <w:rPr>
          <w:noProof/>
        </w:rPr>
      </w:pPr>
      <w:r>
        <w:rPr>
          <w:noProof/>
        </w:rPr>
        <w:t>5.</w:t>
      </w:r>
      <w:r>
        <w:rPr>
          <w:noProof/>
        </w:rPr>
        <w:tab/>
        <w:t>Oprindelig underretning eller revision af tidligere underretning (i givet fald revisionsnummer)</w:t>
      </w:r>
    </w:p>
    <w:p>
      <w:pPr>
        <w:pStyle w:val="Point2"/>
        <w:rPr>
          <w:noProof/>
        </w:rPr>
      </w:pPr>
      <w:r>
        <w:rPr>
          <w:noProof/>
        </w:rPr>
        <w:t>6.</w:t>
      </w:r>
      <w:r>
        <w:rPr>
          <w:noProof/>
        </w:rPr>
        <w:tab/>
        <w:t>Tranchenummer (hvis relevant)</w:t>
      </w:r>
    </w:p>
    <w:p>
      <w:pPr>
        <w:pStyle w:val="Point2"/>
        <w:rPr>
          <w:noProof/>
        </w:rPr>
      </w:pPr>
      <w:r>
        <w:rPr>
          <w:noProof/>
        </w:rPr>
        <w:t>7.</w:t>
      </w:r>
      <w:r>
        <w:rPr>
          <w:noProof/>
        </w:rPr>
        <w:tab/>
        <w:t>Kreditlinjens referencenummer (hvis relevant)</w:t>
      </w:r>
    </w:p>
    <w:p>
      <w:pPr>
        <w:pStyle w:val="Point2"/>
        <w:rPr>
          <w:noProof/>
        </w:rPr>
      </w:pPr>
      <w:r>
        <w:rPr>
          <w:noProof/>
        </w:rPr>
        <w:t>8.</w:t>
      </w:r>
      <w:r>
        <w:rPr>
          <w:noProof/>
        </w:rPr>
        <w:tab/>
        <w:t>Den eller de artikler i arrangementet, i henhold til hvilken underretningen finder sted</w:t>
      </w:r>
    </w:p>
    <w:p>
      <w:pPr>
        <w:pStyle w:val="Point2"/>
        <w:rPr>
          <w:noProof/>
        </w:rPr>
      </w:pPr>
      <w:r>
        <w:rPr>
          <w:noProof/>
        </w:rPr>
        <w:t>9.</w:t>
      </w:r>
      <w:r>
        <w:rPr>
          <w:noProof/>
        </w:rPr>
        <w:tab/>
        <w:t>Underretningens referencenummer (hvis relevant)</w:t>
      </w:r>
    </w:p>
    <w:p>
      <w:pPr>
        <w:pStyle w:val="Point2"/>
        <w:rPr>
          <w:noProof/>
        </w:rPr>
      </w:pPr>
      <w:r>
        <w:rPr>
          <w:noProof/>
        </w:rPr>
        <w:t>10.</w:t>
      </w:r>
      <w:r>
        <w:rPr>
          <w:noProof/>
        </w:rPr>
        <w:tab/>
        <w:t>Beskrivelse af støtte, der matches (hvis relevant)</w:t>
      </w:r>
    </w:p>
    <w:p>
      <w:pPr>
        <w:pStyle w:val="Point2"/>
        <w:rPr>
          <w:noProof/>
        </w:rPr>
      </w:pPr>
      <w:r>
        <w:rPr>
          <w:noProof/>
        </w:rPr>
        <w:t>11.</w:t>
      </w:r>
      <w:r>
        <w:rPr>
          <w:noProof/>
        </w:rPr>
        <w:tab/>
        <w:t>Bestemmelsesland</w:t>
      </w:r>
    </w:p>
    <w:p>
      <w:pPr>
        <w:pStyle w:val="Point1"/>
        <w:rPr>
          <w:rFonts w:eastAsia="Batang"/>
          <w:b/>
          <w:bCs/>
          <w:i/>
          <w:iCs/>
          <w:noProof/>
          <w:sz w:val="22"/>
        </w:rPr>
      </w:pPr>
      <w:bookmarkStart w:id="82" w:name="_Toc368389450"/>
      <w:r>
        <w:rPr>
          <w:b/>
          <w:i/>
          <w:noProof/>
          <w:sz w:val="22"/>
        </w:rPr>
        <w:t>b)</w:t>
      </w:r>
      <w:r>
        <w:rPr>
          <w:noProof/>
        </w:rPr>
        <w:tab/>
      </w:r>
      <w:r>
        <w:rPr>
          <w:b/>
          <w:i/>
          <w:noProof/>
          <w:sz w:val="22"/>
        </w:rPr>
        <w:t>Oplysninger om køber/låntager/garant</w:t>
      </w:r>
      <w:bookmarkEnd w:id="82"/>
    </w:p>
    <w:p>
      <w:pPr>
        <w:pStyle w:val="Point2"/>
        <w:rPr>
          <w:noProof/>
        </w:rPr>
      </w:pPr>
      <w:r>
        <w:rPr>
          <w:noProof/>
          <w:sz w:val="22"/>
        </w:rPr>
        <w:t>12.</w:t>
      </w:r>
      <w:r>
        <w:rPr>
          <w:noProof/>
        </w:rPr>
        <w:tab/>
      </w:r>
      <w:r>
        <w:rPr>
          <w:noProof/>
          <w:sz w:val="22"/>
        </w:rPr>
        <w:t xml:space="preserve">Købers </w:t>
      </w:r>
      <w:r>
        <w:rPr>
          <w:noProof/>
        </w:rPr>
        <w:t>land.</w:t>
      </w:r>
    </w:p>
    <w:p>
      <w:pPr>
        <w:pStyle w:val="Point2"/>
        <w:rPr>
          <w:noProof/>
        </w:rPr>
      </w:pPr>
      <w:r>
        <w:rPr>
          <w:noProof/>
        </w:rPr>
        <w:t>13.</w:t>
      </w:r>
      <w:r>
        <w:rPr>
          <w:noProof/>
        </w:rPr>
        <w:tab/>
        <w:t>Købers navn</w:t>
      </w:r>
    </w:p>
    <w:p>
      <w:pPr>
        <w:pStyle w:val="Point2"/>
        <w:rPr>
          <w:noProof/>
        </w:rPr>
      </w:pPr>
      <w:r>
        <w:rPr>
          <w:noProof/>
        </w:rPr>
        <w:t>14.</w:t>
      </w:r>
      <w:r>
        <w:rPr>
          <w:noProof/>
        </w:rPr>
        <w:tab/>
        <w:t>Købers beliggenhed</w:t>
      </w:r>
    </w:p>
    <w:p>
      <w:pPr>
        <w:pStyle w:val="Point2"/>
        <w:rPr>
          <w:noProof/>
        </w:rPr>
      </w:pPr>
      <w:r>
        <w:rPr>
          <w:noProof/>
        </w:rPr>
        <w:t>15.</w:t>
      </w:r>
      <w:r>
        <w:rPr>
          <w:noProof/>
        </w:rPr>
        <w:tab/>
        <w:t>Købers status</w:t>
      </w:r>
    </w:p>
    <w:p>
      <w:pPr>
        <w:pStyle w:val="Point2"/>
        <w:rPr>
          <w:noProof/>
        </w:rPr>
      </w:pPr>
      <w:r>
        <w:rPr>
          <w:noProof/>
        </w:rPr>
        <w:t>16.</w:t>
      </w:r>
      <w:r>
        <w:rPr>
          <w:noProof/>
        </w:rPr>
        <w:tab/>
        <w:t>Låntagers land (såfremt det ikke er det samme som køberens)</w:t>
      </w:r>
    </w:p>
    <w:p>
      <w:pPr>
        <w:pStyle w:val="Point2"/>
        <w:rPr>
          <w:noProof/>
        </w:rPr>
      </w:pPr>
      <w:r>
        <w:rPr>
          <w:noProof/>
        </w:rPr>
        <w:t>17.</w:t>
      </w:r>
      <w:r>
        <w:rPr>
          <w:noProof/>
        </w:rPr>
        <w:tab/>
        <w:t>Låntagers land (såfremt det ikke er det samme som køberens)</w:t>
      </w:r>
    </w:p>
    <w:p>
      <w:pPr>
        <w:pStyle w:val="Point2"/>
        <w:rPr>
          <w:noProof/>
        </w:rPr>
      </w:pPr>
      <w:r>
        <w:rPr>
          <w:noProof/>
        </w:rPr>
        <w:t>18.</w:t>
      </w:r>
      <w:r>
        <w:rPr>
          <w:noProof/>
        </w:rPr>
        <w:tab/>
        <w:t>Låntagers beliggenhed (såfremt den ikke er den samme som køberens)</w:t>
      </w:r>
    </w:p>
    <w:p>
      <w:pPr>
        <w:pStyle w:val="Point2"/>
        <w:rPr>
          <w:noProof/>
        </w:rPr>
      </w:pPr>
      <w:r>
        <w:rPr>
          <w:noProof/>
        </w:rPr>
        <w:t>19.</w:t>
      </w:r>
      <w:r>
        <w:rPr>
          <w:noProof/>
        </w:rPr>
        <w:tab/>
        <w:t>Låntagers status (såfremt den ikke er den samme som køberens)</w:t>
      </w:r>
    </w:p>
    <w:p>
      <w:pPr>
        <w:pStyle w:val="Point2"/>
        <w:rPr>
          <w:noProof/>
        </w:rPr>
      </w:pPr>
      <w:r>
        <w:rPr>
          <w:noProof/>
        </w:rPr>
        <w:t>20.</w:t>
      </w:r>
      <w:r>
        <w:rPr>
          <w:noProof/>
        </w:rPr>
        <w:tab/>
        <w:t>Garantens land (hvis relevant)</w:t>
      </w:r>
    </w:p>
    <w:p>
      <w:pPr>
        <w:pStyle w:val="Point2"/>
        <w:rPr>
          <w:noProof/>
        </w:rPr>
      </w:pPr>
      <w:r>
        <w:rPr>
          <w:noProof/>
        </w:rPr>
        <w:t>21.</w:t>
      </w:r>
      <w:r>
        <w:rPr>
          <w:noProof/>
        </w:rPr>
        <w:tab/>
        <w:t>Garantens navn (hvis relevant)</w:t>
      </w:r>
    </w:p>
    <w:p>
      <w:pPr>
        <w:pStyle w:val="Point2"/>
        <w:rPr>
          <w:noProof/>
        </w:rPr>
      </w:pPr>
      <w:r>
        <w:rPr>
          <w:noProof/>
        </w:rPr>
        <w:lastRenderedPageBreak/>
        <w:t>22.</w:t>
      </w:r>
      <w:r>
        <w:rPr>
          <w:noProof/>
        </w:rPr>
        <w:tab/>
        <w:t>Garantens beliggenhed (hvis relevant)</w:t>
      </w:r>
    </w:p>
    <w:p>
      <w:pPr>
        <w:pStyle w:val="Point2"/>
        <w:rPr>
          <w:rFonts w:eastAsia="Batang"/>
          <w:noProof/>
          <w:sz w:val="22"/>
        </w:rPr>
      </w:pPr>
      <w:r>
        <w:rPr>
          <w:noProof/>
        </w:rPr>
        <w:t>23.</w:t>
      </w:r>
      <w:r>
        <w:rPr>
          <w:noProof/>
        </w:rPr>
        <w:tab/>
        <w:t>Garantens status (hvis relevant)</w:t>
      </w:r>
    </w:p>
    <w:p>
      <w:pPr>
        <w:pStyle w:val="Point1"/>
        <w:rPr>
          <w:rFonts w:eastAsia="Batang"/>
          <w:b/>
          <w:bCs/>
          <w:i/>
          <w:iCs/>
          <w:noProof/>
          <w:sz w:val="22"/>
        </w:rPr>
      </w:pPr>
      <w:bookmarkStart w:id="83" w:name="_Toc368389451"/>
      <w:r>
        <w:rPr>
          <w:b/>
          <w:i/>
          <w:noProof/>
          <w:sz w:val="22"/>
        </w:rPr>
        <w:t>c)</w:t>
      </w:r>
      <w:r>
        <w:rPr>
          <w:noProof/>
        </w:rPr>
        <w:tab/>
      </w:r>
      <w:r>
        <w:rPr>
          <w:b/>
          <w:i/>
          <w:noProof/>
          <w:sz w:val="22"/>
        </w:rPr>
        <w:t>Oplysninger om de eksporterede varer og/eller tjenesteydelser og projektet</w:t>
      </w:r>
      <w:bookmarkEnd w:id="83"/>
    </w:p>
    <w:p>
      <w:pPr>
        <w:pStyle w:val="Point2"/>
        <w:rPr>
          <w:noProof/>
        </w:rPr>
      </w:pPr>
      <w:r>
        <w:rPr>
          <w:noProof/>
        </w:rPr>
        <w:t>24.</w:t>
      </w:r>
      <w:r>
        <w:rPr>
          <w:noProof/>
        </w:rPr>
        <w:tab/>
        <w:t>Beskrivelse af de eksporterede varer og/eller tjenesteydelser</w:t>
      </w:r>
    </w:p>
    <w:p>
      <w:pPr>
        <w:pStyle w:val="Point2"/>
        <w:rPr>
          <w:noProof/>
        </w:rPr>
      </w:pPr>
      <w:r>
        <w:rPr>
          <w:noProof/>
        </w:rPr>
        <w:t>25.</w:t>
      </w:r>
      <w:r>
        <w:rPr>
          <w:noProof/>
        </w:rPr>
        <w:tab/>
        <w:t>Beskrivelse af projektet (hvis relevant)</w:t>
      </w:r>
    </w:p>
    <w:p>
      <w:pPr>
        <w:pStyle w:val="Point2"/>
        <w:rPr>
          <w:noProof/>
        </w:rPr>
      </w:pPr>
      <w:r>
        <w:rPr>
          <w:noProof/>
        </w:rPr>
        <w:t>26.</w:t>
      </w:r>
      <w:r>
        <w:rPr>
          <w:noProof/>
        </w:rPr>
        <w:tab/>
        <w:t>Projektets beliggenhed (hvis relevant)</w:t>
      </w:r>
    </w:p>
    <w:p>
      <w:pPr>
        <w:pStyle w:val="Point2"/>
        <w:rPr>
          <w:noProof/>
        </w:rPr>
      </w:pPr>
      <w:r>
        <w:rPr>
          <w:noProof/>
        </w:rPr>
        <w:t>27.</w:t>
      </w:r>
      <w:r>
        <w:rPr>
          <w:noProof/>
        </w:rPr>
        <w:tab/>
        <w:t>Sidste frist for bud (hvis relevant)</w:t>
      </w:r>
    </w:p>
    <w:p>
      <w:pPr>
        <w:pStyle w:val="Point2"/>
        <w:rPr>
          <w:noProof/>
        </w:rPr>
      </w:pPr>
      <w:r>
        <w:rPr>
          <w:noProof/>
        </w:rPr>
        <w:t>28.</w:t>
      </w:r>
      <w:r>
        <w:rPr>
          <w:noProof/>
        </w:rPr>
        <w:tab/>
        <w:t>Kreditlinjens udløbsdato (hvis relevant)</w:t>
      </w:r>
    </w:p>
    <w:p>
      <w:pPr>
        <w:pStyle w:val="Point2"/>
        <w:rPr>
          <w:rFonts w:eastAsia="Batang"/>
          <w:noProof/>
          <w:sz w:val="22"/>
        </w:rPr>
      </w:pPr>
      <w:r>
        <w:rPr>
          <w:noProof/>
        </w:rPr>
        <w:t>29.</w:t>
      </w:r>
      <w:r>
        <w:rPr>
          <w:noProof/>
        </w:rPr>
        <w:tab/>
        <w:t>Værdien af den eller de støttede kontrakt(er), enten den faktiske værdi (for alle kreditlinjer og projektfinansieringstransaktioner eller for alle enkeltstående transaktioner på frivilligt grundlag) eller værdien i overensstemmelse med følgende skala, udtrykt i mio.</w:t>
      </w:r>
      <w:r>
        <w:rPr>
          <w:noProof/>
          <w:sz w:val="22"/>
        </w:rPr>
        <w:t xml:space="preserve"> særlige trækningsrettigheder (SDR):</w:t>
      </w: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1134"/>
        <w:gridCol w:w="1134"/>
      </w:tblGrid>
      <w:tr>
        <w:trPr>
          <w:cantSplit/>
          <w:jc w:val="center"/>
        </w:trPr>
        <w:tc>
          <w:tcPr>
            <w:tcW w:w="1190" w:type="dxa"/>
            <w:shd w:val="clear" w:color="auto" w:fill="D9D9D9"/>
          </w:tcPr>
          <w:p>
            <w:pPr>
              <w:numPr>
                <w:ilvl w:val="12"/>
                <w:numId w:val="0"/>
              </w:numPr>
              <w:tabs>
                <w:tab w:val="left" w:pos="850"/>
                <w:tab w:val="left" w:pos="1134"/>
                <w:tab w:val="left" w:pos="1191"/>
                <w:tab w:val="left" w:pos="1531"/>
                <w:tab w:val="left" w:pos="2977"/>
              </w:tabs>
              <w:spacing w:before="40" w:after="40"/>
              <w:jc w:val="center"/>
              <w:rPr>
                <w:rFonts w:eastAsia="Batang"/>
                <w:b/>
                <w:noProof/>
                <w:sz w:val="22"/>
              </w:rPr>
            </w:pPr>
            <w:r>
              <w:rPr>
                <w:b/>
                <w:noProof/>
                <w:sz w:val="22"/>
              </w:rPr>
              <w:t>Kategori</w:t>
            </w:r>
          </w:p>
        </w:tc>
        <w:tc>
          <w:tcPr>
            <w:tcW w:w="1134" w:type="dxa"/>
            <w:shd w:val="clear" w:color="auto" w:fill="D9D9D9"/>
          </w:tcPr>
          <w:p>
            <w:pPr>
              <w:numPr>
                <w:ilvl w:val="12"/>
                <w:numId w:val="0"/>
              </w:numPr>
              <w:tabs>
                <w:tab w:val="left" w:pos="850"/>
                <w:tab w:val="left" w:pos="1191"/>
                <w:tab w:val="left" w:pos="1531"/>
                <w:tab w:val="left" w:pos="2443"/>
                <w:tab w:val="left" w:pos="2977"/>
              </w:tabs>
              <w:spacing w:before="40" w:after="40"/>
              <w:jc w:val="center"/>
              <w:rPr>
                <w:rFonts w:eastAsia="Batang"/>
                <w:b/>
                <w:noProof/>
                <w:sz w:val="22"/>
              </w:rPr>
            </w:pPr>
            <w:r>
              <w:rPr>
                <w:b/>
                <w:noProof/>
                <w:sz w:val="22"/>
              </w:rPr>
              <w:t>Fra</w:t>
            </w:r>
          </w:p>
        </w:tc>
        <w:tc>
          <w:tcPr>
            <w:tcW w:w="1134" w:type="dxa"/>
            <w:shd w:val="clear" w:color="auto" w:fill="D9D9D9"/>
          </w:tcPr>
          <w:p>
            <w:pPr>
              <w:numPr>
                <w:ilvl w:val="12"/>
                <w:numId w:val="0"/>
              </w:numPr>
              <w:tabs>
                <w:tab w:val="left" w:pos="850"/>
                <w:tab w:val="left" w:pos="1191"/>
                <w:tab w:val="left" w:pos="1531"/>
                <w:tab w:val="left" w:pos="2443"/>
                <w:tab w:val="left" w:pos="2977"/>
              </w:tabs>
              <w:spacing w:before="40" w:after="40"/>
              <w:jc w:val="center"/>
              <w:rPr>
                <w:rFonts w:eastAsia="Batang"/>
                <w:b/>
                <w:noProof/>
                <w:sz w:val="22"/>
              </w:rPr>
            </w:pPr>
            <w:r>
              <w:rPr>
                <w:b/>
                <w:noProof/>
                <w:sz w:val="22"/>
              </w:rPr>
              <w:t>Til</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I:</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1</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II:</w:t>
            </w:r>
          </w:p>
        </w:tc>
        <w:tc>
          <w:tcPr>
            <w:tcW w:w="1134" w:type="dxa"/>
          </w:tcPr>
          <w:p>
            <w:pPr>
              <w:numPr>
                <w:ilvl w:val="12"/>
                <w:numId w:val="0"/>
              </w:numPr>
              <w:tabs>
                <w:tab w:val="left" w:pos="850"/>
                <w:tab w:val="left" w:pos="1191"/>
                <w:tab w:val="left" w:pos="1531"/>
              </w:tabs>
              <w:spacing w:before="40" w:after="40"/>
              <w:jc w:val="center"/>
              <w:rPr>
                <w:rFonts w:eastAsia="Batang"/>
                <w:noProof/>
                <w:sz w:val="22"/>
              </w:rPr>
            </w:pPr>
            <w:r>
              <w:rPr>
                <w:noProof/>
                <w:sz w:val="22"/>
              </w:rPr>
              <w:t>1</w:t>
            </w:r>
          </w:p>
        </w:tc>
        <w:tc>
          <w:tcPr>
            <w:tcW w:w="1134" w:type="dxa"/>
          </w:tcPr>
          <w:p>
            <w:pPr>
              <w:numPr>
                <w:ilvl w:val="12"/>
                <w:numId w:val="0"/>
              </w:numPr>
              <w:tabs>
                <w:tab w:val="left" w:pos="850"/>
                <w:tab w:val="left" w:pos="1191"/>
                <w:tab w:val="left" w:pos="1531"/>
              </w:tabs>
              <w:spacing w:before="40" w:after="40"/>
              <w:jc w:val="center"/>
              <w:rPr>
                <w:rFonts w:eastAsia="Batang"/>
                <w:noProof/>
                <w:sz w:val="22"/>
              </w:rPr>
            </w:pPr>
            <w:r>
              <w:rPr>
                <w:noProof/>
                <w:sz w:val="22"/>
              </w:rPr>
              <w:t>2</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III:</w:t>
            </w:r>
          </w:p>
        </w:tc>
        <w:tc>
          <w:tcPr>
            <w:tcW w:w="1134" w:type="dxa"/>
          </w:tcPr>
          <w:p>
            <w:pPr>
              <w:numPr>
                <w:ilvl w:val="12"/>
                <w:numId w:val="0"/>
              </w:numPr>
              <w:tabs>
                <w:tab w:val="left" w:pos="850"/>
                <w:tab w:val="left" w:pos="1191"/>
                <w:tab w:val="left" w:pos="1531"/>
              </w:tabs>
              <w:spacing w:before="40" w:after="40"/>
              <w:jc w:val="center"/>
              <w:rPr>
                <w:rFonts w:eastAsia="Batang"/>
                <w:noProof/>
                <w:sz w:val="22"/>
              </w:rPr>
            </w:pPr>
            <w:r>
              <w:rPr>
                <w:noProof/>
                <w:sz w:val="22"/>
              </w:rPr>
              <w:t>2</w:t>
            </w:r>
          </w:p>
        </w:tc>
        <w:tc>
          <w:tcPr>
            <w:tcW w:w="1134" w:type="dxa"/>
          </w:tcPr>
          <w:p>
            <w:pPr>
              <w:numPr>
                <w:ilvl w:val="12"/>
                <w:numId w:val="0"/>
              </w:numPr>
              <w:tabs>
                <w:tab w:val="left" w:pos="850"/>
                <w:tab w:val="left" w:pos="1191"/>
                <w:tab w:val="left" w:pos="1531"/>
              </w:tabs>
              <w:spacing w:before="40" w:after="40"/>
              <w:jc w:val="center"/>
              <w:rPr>
                <w:rFonts w:eastAsia="Batang"/>
                <w:noProof/>
                <w:sz w:val="22"/>
              </w:rPr>
            </w:pPr>
            <w:r>
              <w:rPr>
                <w:noProof/>
                <w:sz w:val="22"/>
              </w:rPr>
              <w:t>3</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IV:</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3</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5</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V:</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5</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7</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VI:</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7</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10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VII:</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10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VIII:</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40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IX:</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40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80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X:</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80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120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XI:</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120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160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XII:</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160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200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XIII:</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200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240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XIV:</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240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280</w:t>
            </w:r>
          </w:p>
        </w:tc>
      </w:tr>
      <w:tr>
        <w:trPr>
          <w:cantSplit/>
          <w:jc w:val="center"/>
        </w:trPr>
        <w:tc>
          <w:tcPr>
            <w:tcW w:w="1190" w:type="dxa"/>
          </w:tcPr>
          <w:p>
            <w:pPr>
              <w:numPr>
                <w:ilvl w:val="12"/>
                <w:numId w:val="0"/>
              </w:numPr>
              <w:tabs>
                <w:tab w:val="left" w:pos="850"/>
                <w:tab w:val="left" w:pos="1134"/>
                <w:tab w:val="left" w:pos="1191"/>
                <w:tab w:val="left" w:pos="1531"/>
                <w:tab w:val="left" w:pos="2977"/>
              </w:tabs>
              <w:spacing w:before="40" w:after="40"/>
              <w:jc w:val="center"/>
              <w:rPr>
                <w:rFonts w:eastAsia="Batang"/>
                <w:noProof/>
                <w:sz w:val="22"/>
              </w:rPr>
            </w:pPr>
            <w:r>
              <w:rPr>
                <w:noProof/>
                <w:sz w:val="22"/>
              </w:rPr>
              <w:t>XV:</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280</w:t>
            </w:r>
          </w:p>
        </w:tc>
        <w:tc>
          <w:tcPr>
            <w:tcW w:w="1134" w:type="dxa"/>
          </w:tcPr>
          <w:p>
            <w:pPr>
              <w:numPr>
                <w:ilvl w:val="12"/>
                <w:numId w:val="0"/>
              </w:numPr>
              <w:tabs>
                <w:tab w:val="left" w:pos="850"/>
                <w:tab w:val="left" w:pos="1191"/>
                <w:tab w:val="left" w:pos="1531"/>
                <w:tab w:val="left" w:pos="2443"/>
                <w:tab w:val="left" w:pos="2977"/>
              </w:tabs>
              <w:spacing w:before="40" w:after="40"/>
              <w:jc w:val="center"/>
              <w:rPr>
                <w:rFonts w:eastAsia="Batang"/>
                <w:noProof/>
                <w:sz w:val="22"/>
              </w:rPr>
            </w:pPr>
            <w:r>
              <w:rPr>
                <w:noProof/>
                <w:sz w:val="22"/>
              </w:rPr>
              <w:t>*</w:t>
            </w:r>
          </w:p>
        </w:tc>
      </w:tr>
    </w:tbl>
    <w:p>
      <w:pPr>
        <w:pStyle w:val="Point1"/>
        <w:rPr>
          <w:i/>
          <w:noProof/>
          <w:sz w:val="20"/>
          <w:szCs w:val="20"/>
        </w:rPr>
      </w:pPr>
      <w:r>
        <w:rPr>
          <w:i/>
          <w:noProof/>
          <w:sz w:val="20"/>
        </w:rPr>
        <w:t>*</w:t>
      </w:r>
      <w:r>
        <w:rPr>
          <w:noProof/>
        </w:rPr>
        <w:tab/>
      </w:r>
      <w:r>
        <w:rPr>
          <w:i/>
          <w:noProof/>
          <w:sz w:val="20"/>
        </w:rPr>
        <w:t>Angiv antallet i multipla af 40 mio. SDR over 280 mio. SDR, f.eks. angives 410 mio. SDR som kategori XV+3.</w:t>
      </w:r>
    </w:p>
    <w:p>
      <w:pPr>
        <w:pStyle w:val="Point2"/>
        <w:rPr>
          <w:rFonts w:eastAsia="Batang"/>
          <w:noProof/>
          <w:sz w:val="22"/>
        </w:rPr>
      </w:pPr>
      <w:r>
        <w:rPr>
          <w:noProof/>
        </w:rPr>
        <w:t>30.</w:t>
      </w:r>
      <w:r>
        <w:rPr>
          <w:noProof/>
        </w:rPr>
        <w:tab/>
        <w:t>Valuta,</w:t>
      </w:r>
      <w:r>
        <w:rPr>
          <w:noProof/>
          <w:sz w:val="22"/>
        </w:rPr>
        <w:t xml:space="preserve"> der anvendes i den eller de pågældende kontrakt(er)</w:t>
      </w:r>
    </w:p>
    <w:p>
      <w:pPr>
        <w:pStyle w:val="Point1"/>
        <w:rPr>
          <w:rFonts w:eastAsia="Batang"/>
          <w:b/>
          <w:bCs/>
          <w:i/>
          <w:iCs/>
          <w:noProof/>
          <w:sz w:val="22"/>
        </w:rPr>
      </w:pPr>
      <w:bookmarkStart w:id="84" w:name="_Toc368389452"/>
      <w:r>
        <w:rPr>
          <w:b/>
          <w:i/>
          <w:noProof/>
          <w:sz w:val="22"/>
        </w:rPr>
        <w:t>d)</w:t>
      </w:r>
      <w:r>
        <w:rPr>
          <w:noProof/>
        </w:rPr>
        <w:tab/>
      </w:r>
      <w:r>
        <w:rPr>
          <w:b/>
          <w:i/>
          <w:noProof/>
          <w:sz w:val="22"/>
        </w:rPr>
        <w:t>Finansielle betingelser og vilkår for offentlig eksportkreditstøtte</w:t>
      </w:r>
      <w:bookmarkEnd w:id="84"/>
    </w:p>
    <w:p>
      <w:pPr>
        <w:pStyle w:val="Point2"/>
        <w:rPr>
          <w:noProof/>
        </w:rPr>
      </w:pPr>
      <w:r>
        <w:rPr>
          <w:noProof/>
          <w:sz w:val="22"/>
        </w:rPr>
        <w:lastRenderedPageBreak/>
        <w:t>31.</w:t>
      </w:r>
      <w:r>
        <w:rPr>
          <w:noProof/>
        </w:rPr>
        <w:tab/>
      </w:r>
      <w:r>
        <w:rPr>
          <w:noProof/>
          <w:sz w:val="22"/>
        </w:rPr>
        <w:t>Kreditværdi</w:t>
      </w:r>
      <w:r>
        <w:rPr>
          <w:noProof/>
        </w:rPr>
        <w:t>: den faktiske værdi for underretninger, der involverer kreditlinjer og projektfinansieringstransaktioner, eller for alle enkeltstående transaktioner på frivilligt grundlag eller i overensstemmelse med SDR-skalaen.</w:t>
      </w:r>
    </w:p>
    <w:p>
      <w:pPr>
        <w:pStyle w:val="Point2"/>
        <w:rPr>
          <w:noProof/>
        </w:rPr>
      </w:pPr>
      <w:r>
        <w:rPr>
          <w:noProof/>
        </w:rPr>
        <w:t>32.</w:t>
      </w:r>
      <w:r>
        <w:rPr>
          <w:noProof/>
        </w:rPr>
        <w:tab/>
        <w:t>Kredittens valuta</w:t>
      </w:r>
    </w:p>
    <w:p>
      <w:pPr>
        <w:pStyle w:val="Point2"/>
        <w:rPr>
          <w:noProof/>
        </w:rPr>
      </w:pPr>
      <w:r>
        <w:rPr>
          <w:noProof/>
        </w:rPr>
        <w:t>33.</w:t>
      </w:r>
      <w:r>
        <w:rPr>
          <w:noProof/>
        </w:rPr>
        <w:tab/>
        <w:t>Kontant udbetaling (udtrykt i % af de støttede kontrakters samlede værdi)</w:t>
      </w:r>
    </w:p>
    <w:p>
      <w:pPr>
        <w:pStyle w:val="Point2"/>
        <w:rPr>
          <w:noProof/>
        </w:rPr>
      </w:pPr>
      <w:r>
        <w:rPr>
          <w:noProof/>
        </w:rPr>
        <w:t>34.</w:t>
      </w:r>
      <w:r>
        <w:rPr>
          <w:noProof/>
        </w:rPr>
        <w:tab/>
        <w:t xml:space="preserve">Lokale omkostninger (udtrykt i % af de støttede kontrakters samlede værdi) </w:t>
      </w:r>
    </w:p>
    <w:p>
      <w:pPr>
        <w:pStyle w:val="Point2"/>
        <w:rPr>
          <w:noProof/>
        </w:rPr>
      </w:pPr>
      <w:r>
        <w:rPr>
          <w:noProof/>
        </w:rPr>
        <w:t>35.</w:t>
      </w:r>
      <w:r>
        <w:rPr>
          <w:noProof/>
        </w:rPr>
        <w:tab/>
        <w:t>Kredittens begyndelsestidspunkt og angivelse af, hvilket underpunkt i artikel 10 der finder anvendelse</w:t>
      </w:r>
    </w:p>
    <w:p>
      <w:pPr>
        <w:pStyle w:val="Point2"/>
        <w:rPr>
          <w:noProof/>
        </w:rPr>
      </w:pPr>
      <w:r>
        <w:rPr>
          <w:noProof/>
        </w:rPr>
        <w:t>36.</w:t>
      </w:r>
      <w:r>
        <w:rPr>
          <w:noProof/>
        </w:rPr>
        <w:tab/>
        <w:t>Løbetidens længde</w:t>
      </w:r>
    </w:p>
    <w:p>
      <w:pPr>
        <w:pStyle w:val="Point2"/>
        <w:rPr>
          <w:noProof/>
        </w:rPr>
      </w:pPr>
      <w:r>
        <w:rPr>
          <w:noProof/>
        </w:rPr>
        <w:t>37.</w:t>
      </w:r>
      <w:r>
        <w:rPr>
          <w:noProof/>
        </w:rPr>
        <w:tab/>
        <w:t>Rentegrundlag</w:t>
      </w:r>
    </w:p>
    <w:p>
      <w:pPr>
        <w:pStyle w:val="Point2"/>
        <w:rPr>
          <w:rFonts w:eastAsia="Batang"/>
          <w:noProof/>
          <w:sz w:val="22"/>
        </w:rPr>
      </w:pPr>
      <w:r>
        <w:rPr>
          <w:noProof/>
        </w:rPr>
        <w:t>38.</w:t>
      </w:r>
      <w:r>
        <w:rPr>
          <w:noProof/>
        </w:rPr>
        <w:tab/>
        <w:t>Rentesats eller</w:t>
      </w:r>
      <w:r>
        <w:rPr>
          <w:noProof/>
          <w:sz w:val="22"/>
        </w:rPr>
        <w:t xml:space="preserve"> -marginal</w:t>
      </w:r>
    </w:p>
    <w:p>
      <w:pPr>
        <w:pStyle w:val="Point0"/>
        <w:rPr>
          <w:rFonts w:eastAsia="Batang"/>
          <w:b/>
          <w:noProof/>
          <w:sz w:val="22"/>
        </w:rPr>
      </w:pPr>
      <w:r>
        <w:rPr>
          <w:b/>
          <w:noProof/>
        </w:rPr>
        <w:t>II</w:t>
      </w:r>
      <w:r>
        <w:rPr>
          <w:b/>
          <w:noProof/>
          <w:sz w:val="22"/>
        </w:rPr>
        <w:t>.</w:t>
      </w:r>
      <w:r>
        <w:rPr>
          <w:noProof/>
        </w:rPr>
        <w:tab/>
      </w:r>
      <w:r>
        <w:rPr>
          <w:b/>
          <w:noProof/>
          <w:sz w:val="22"/>
        </w:rPr>
        <w:t>YDERLIGERE OPLYSNINGER, DER I GIVET FALD SKAL AFGIVES I FORBINDELSE MED UNDERRETNINGER I HENHOLD TIL SÆRLIGE BESTEMMELSER</w:t>
      </w:r>
    </w:p>
    <w:p>
      <w:pPr>
        <w:pStyle w:val="Point1"/>
        <w:rPr>
          <w:rFonts w:eastAsia="Batang"/>
          <w:b/>
          <w:bCs/>
          <w:i/>
          <w:iCs/>
          <w:noProof/>
          <w:sz w:val="22"/>
          <w:lang w:val="nn-NO"/>
        </w:rPr>
      </w:pPr>
      <w:bookmarkStart w:id="85" w:name="_Toc368389453"/>
      <w:r>
        <w:rPr>
          <w:b/>
          <w:i/>
          <w:noProof/>
          <w:sz w:val="22"/>
          <w:lang w:val="nn-NO"/>
        </w:rPr>
        <w:t>a)</w:t>
      </w:r>
      <w:r>
        <w:rPr>
          <w:noProof/>
          <w:lang w:val="nn-NO"/>
        </w:rPr>
        <w:tab/>
      </w:r>
      <w:r>
        <w:rPr>
          <w:b/>
          <w:i/>
          <w:noProof/>
          <w:sz w:val="22"/>
          <w:lang w:val="nn-NO"/>
        </w:rPr>
        <w:t>Arrangementets artikel 14, litra d), nr. 5</w:t>
      </w:r>
      <w:bookmarkEnd w:id="85"/>
      <w:r>
        <w:rPr>
          <w:b/>
          <w:i/>
          <w:noProof/>
          <w:sz w:val="22"/>
          <w:lang w:val="nn-NO"/>
        </w:rPr>
        <w:t>)</w:t>
      </w:r>
    </w:p>
    <w:p>
      <w:pPr>
        <w:pStyle w:val="Point2"/>
        <w:rPr>
          <w:noProof/>
        </w:rPr>
      </w:pPr>
      <w:r>
        <w:rPr>
          <w:noProof/>
        </w:rPr>
        <w:t>1.</w:t>
      </w:r>
      <w:r>
        <w:rPr>
          <w:noProof/>
        </w:rPr>
        <w:tab/>
        <w:t>Afdragsprofil</w:t>
      </w:r>
    </w:p>
    <w:p>
      <w:pPr>
        <w:pStyle w:val="Point2"/>
        <w:rPr>
          <w:noProof/>
        </w:rPr>
      </w:pPr>
      <w:r>
        <w:rPr>
          <w:noProof/>
        </w:rPr>
        <w:t>2.</w:t>
      </w:r>
      <w:r>
        <w:rPr>
          <w:noProof/>
        </w:rPr>
        <w:tab/>
        <w:t>Afdragenes hyppighed</w:t>
      </w:r>
    </w:p>
    <w:p>
      <w:pPr>
        <w:pStyle w:val="Point2"/>
        <w:rPr>
          <w:noProof/>
        </w:rPr>
      </w:pPr>
      <w:r>
        <w:rPr>
          <w:noProof/>
        </w:rPr>
        <w:t>3.</w:t>
      </w:r>
      <w:r>
        <w:rPr>
          <w:noProof/>
        </w:rPr>
        <w:tab/>
        <w:t>Længden af tidsrummet mellem kredittens begyndelsestidspunkt og betaling af første afdrag på hovedstol</w:t>
      </w:r>
    </w:p>
    <w:p>
      <w:pPr>
        <w:pStyle w:val="Point2"/>
        <w:rPr>
          <w:noProof/>
        </w:rPr>
      </w:pPr>
      <w:r>
        <w:rPr>
          <w:noProof/>
        </w:rPr>
        <w:t>4.</w:t>
      </w:r>
      <w:r>
        <w:rPr>
          <w:noProof/>
        </w:rPr>
        <w:tab/>
        <w:t>Renter, der er kapitaliseret før kredittens begyndelsestidspunkt</w:t>
      </w:r>
    </w:p>
    <w:p>
      <w:pPr>
        <w:pStyle w:val="Point2"/>
        <w:rPr>
          <w:noProof/>
        </w:rPr>
      </w:pPr>
      <w:r>
        <w:rPr>
          <w:noProof/>
        </w:rPr>
        <w:t>5.</w:t>
      </w:r>
      <w:r>
        <w:rPr>
          <w:noProof/>
        </w:rPr>
        <w:tab/>
        <w:t>Løbetidens gennemsnitlige vægtede længde</w:t>
      </w:r>
    </w:p>
    <w:p>
      <w:pPr>
        <w:pStyle w:val="Point2"/>
        <w:rPr>
          <w:rFonts w:eastAsia="Batang"/>
          <w:noProof/>
          <w:sz w:val="22"/>
        </w:rPr>
      </w:pPr>
      <w:r>
        <w:rPr>
          <w:noProof/>
        </w:rPr>
        <w:t>6.</w:t>
      </w:r>
      <w:r>
        <w:rPr>
          <w:noProof/>
        </w:rPr>
        <w:tab/>
        <w:t>Begrundelse for,</w:t>
      </w:r>
      <w:r>
        <w:rPr>
          <w:noProof/>
          <w:sz w:val="22"/>
        </w:rPr>
        <w:t xml:space="preserve"> at der ikke er ydet støtte i henhold til artikel 14, litra a), b) og c)</w:t>
      </w:r>
    </w:p>
    <w:p>
      <w:pPr>
        <w:pStyle w:val="Point1"/>
        <w:rPr>
          <w:rFonts w:eastAsia="Batang"/>
          <w:b/>
          <w:bCs/>
          <w:i/>
          <w:iCs/>
          <w:noProof/>
          <w:sz w:val="22"/>
        </w:rPr>
      </w:pPr>
      <w:bookmarkStart w:id="86" w:name="_Toc368389454"/>
      <w:r>
        <w:rPr>
          <w:b/>
          <w:i/>
          <w:noProof/>
          <w:sz w:val="22"/>
        </w:rPr>
        <w:t>b)</w:t>
      </w:r>
      <w:r>
        <w:rPr>
          <w:noProof/>
        </w:rPr>
        <w:tab/>
      </w:r>
      <w:r>
        <w:rPr>
          <w:b/>
          <w:i/>
          <w:noProof/>
          <w:sz w:val="22"/>
        </w:rPr>
        <w:t>Arrangementets artikel 24, 27, 30 og 31</w:t>
      </w:r>
      <w:bookmarkEnd w:id="86"/>
    </w:p>
    <w:p>
      <w:pPr>
        <w:pStyle w:val="Point2"/>
        <w:rPr>
          <w:noProof/>
        </w:rPr>
      </w:pPr>
      <w:r>
        <w:rPr>
          <w:noProof/>
          <w:sz w:val="22"/>
        </w:rPr>
        <w:t>1.</w:t>
      </w:r>
      <w:r>
        <w:rPr>
          <w:noProof/>
        </w:rPr>
        <w:tab/>
      </w:r>
      <w:r>
        <w:rPr>
          <w:noProof/>
          <w:sz w:val="22"/>
        </w:rPr>
        <w:t>Lande</w:t>
      </w:r>
      <w:r>
        <w:rPr>
          <w:noProof/>
        </w:rPr>
        <w:t xml:space="preserve">risikoklassificering af debitors hjemland </w:t>
      </w:r>
    </w:p>
    <w:p>
      <w:pPr>
        <w:pStyle w:val="Point2"/>
        <w:rPr>
          <w:noProof/>
        </w:rPr>
      </w:pPr>
      <w:r>
        <w:rPr>
          <w:noProof/>
        </w:rPr>
        <w:t>2.</w:t>
      </w:r>
      <w:r>
        <w:rPr>
          <w:noProof/>
        </w:rPr>
        <w:tab/>
        <w:t>Debitors udvalgte køberrisikokategori</w:t>
      </w:r>
    </w:p>
    <w:p>
      <w:pPr>
        <w:pStyle w:val="Point2"/>
        <w:rPr>
          <w:noProof/>
        </w:rPr>
      </w:pPr>
      <w:r>
        <w:rPr>
          <w:noProof/>
        </w:rPr>
        <w:t>3.</w:t>
      </w:r>
      <w:r>
        <w:rPr>
          <w:noProof/>
        </w:rPr>
        <w:tab/>
        <w:t>Udbetalingsperiodens længde</w:t>
      </w:r>
    </w:p>
    <w:p>
      <w:pPr>
        <w:pStyle w:val="Point2"/>
        <w:rPr>
          <w:noProof/>
        </w:rPr>
      </w:pPr>
      <w:r>
        <w:rPr>
          <w:noProof/>
        </w:rPr>
        <w:t>4.</w:t>
      </w:r>
      <w:r>
        <w:rPr>
          <w:noProof/>
        </w:rPr>
        <w:tab/>
        <w:t>Procentvis dækning af politisk (lande)risiko</w:t>
      </w:r>
    </w:p>
    <w:p>
      <w:pPr>
        <w:pStyle w:val="Point2"/>
        <w:rPr>
          <w:noProof/>
        </w:rPr>
      </w:pPr>
      <w:r>
        <w:rPr>
          <w:noProof/>
        </w:rPr>
        <w:t>5.</w:t>
      </w:r>
      <w:r>
        <w:rPr>
          <w:noProof/>
        </w:rPr>
        <w:tab/>
        <w:t>Procentvis dækning af markedsrelateret (køber)risiko</w:t>
      </w:r>
    </w:p>
    <w:p>
      <w:pPr>
        <w:pStyle w:val="Point2"/>
        <w:rPr>
          <w:noProof/>
        </w:rPr>
      </w:pPr>
      <w:r>
        <w:rPr>
          <w:noProof/>
        </w:rPr>
        <w:t>6.</w:t>
      </w:r>
      <w:r>
        <w:rPr>
          <w:noProof/>
        </w:rPr>
        <w:tab/>
        <w:t>Dækningens kvalitet (dvs. under standard, standard, over standard)</w:t>
      </w:r>
    </w:p>
    <w:p>
      <w:pPr>
        <w:pStyle w:val="Point2"/>
        <w:rPr>
          <w:noProof/>
        </w:rPr>
      </w:pPr>
      <w:r>
        <w:rPr>
          <w:noProof/>
        </w:rPr>
        <w:t>7.</w:t>
      </w:r>
      <w:r>
        <w:rPr>
          <w:noProof/>
        </w:rPr>
        <w:tab/>
        <w:t>MPR baseret på landerisikoklassificering af debitors hjemland uden tredjepartsgaranti, involvering af en multilateral/regional institution, risikoforbedring og/eller forbedring i forbindelse med køberrisiko.</w:t>
      </w:r>
    </w:p>
    <w:p>
      <w:pPr>
        <w:pStyle w:val="Point2"/>
        <w:rPr>
          <w:noProof/>
        </w:rPr>
      </w:pPr>
      <w:r>
        <w:rPr>
          <w:noProof/>
        </w:rPr>
        <w:t>8.</w:t>
      </w:r>
      <w:r>
        <w:rPr>
          <w:noProof/>
        </w:rPr>
        <w:tab/>
        <w:t>Relevant MPR</w:t>
      </w:r>
    </w:p>
    <w:p>
      <w:pPr>
        <w:pStyle w:val="Point2"/>
        <w:rPr>
          <w:noProof/>
        </w:rPr>
      </w:pPr>
      <w:r>
        <w:rPr>
          <w:noProof/>
        </w:rPr>
        <w:lastRenderedPageBreak/>
        <w:t>9.</w:t>
      </w:r>
      <w:r>
        <w:rPr>
          <w:noProof/>
        </w:rPr>
        <w:tab/>
        <w:t>Faktisk opkrævet præmiesats (udtrykt i MPR-format i % af hovedstol)</w:t>
      </w:r>
    </w:p>
    <w:p>
      <w:pPr>
        <w:pStyle w:val="Point1"/>
        <w:rPr>
          <w:b/>
          <w:i/>
          <w:noProof/>
        </w:rPr>
      </w:pPr>
      <w:bookmarkStart w:id="87" w:name="_Toc368389455"/>
      <w:r>
        <w:rPr>
          <w:b/>
          <w:i/>
          <w:noProof/>
        </w:rPr>
        <w:t>c)</w:t>
      </w:r>
      <w:r>
        <w:rPr>
          <w:noProof/>
        </w:rPr>
        <w:tab/>
      </w:r>
      <w:r>
        <w:rPr>
          <w:b/>
          <w:i/>
          <w:noProof/>
          <w:sz w:val="22"/>
        </w:rPr>
        <w:t>Arrangementets</w:t>
      </w:r>
      <w:r>
        <w:rPr>
          <w:i/>
          <w:noProof/>
        </w:rPr>
        <w:t xml:space="preserve"> artikel 24, litra c)</w:t>
      </w:r>
    </w:p>
    <w:p>
      <w:pPr>
        <w:pStyle w:val="Point2"/>
        <w:rPr>
          <w:noProof/>
        </w:rPr>
      </w:pPr>
      <w:r>
        <w:rPr>
          <w:noProof/>
        </w:rPr>
        <w:t>1.</w:t>
      </w:r>
      <w:r>
        <w:rPr>
          <w:noProof/>
        </w:rPr>
        <w:tab/>
        <w:t>Akkrediteret CRA's kreditvurdering(er) vedrørende udenlandsk valuta for debitor</w:t>
      </w:r>
    </w:p>
    <w:p>
      <w:pPr>
        <w:pStyle w:val="Point2"/>
        <w:rPr>
          <w:noProof/>
        </w:rPr>
      </w:pPr>
      <w:r>
        <w:rPr>
          <w:noProof/>
        </w:rPr>
        <w:t>2.</w:t>
      </w:r>
      <w:r>
        <w:rPr>
          <w:noProof/>
        </w:rPr>
        <w:tab/>
        <w:t>Akkrediteret CRA's kreditvurdering(er) vedrørende udenlandsk valuta for statslig låntager</w:t>
      </w:r>
    </w:p>
    <w:p>
      <w:pPr>
        <w:pStyle w:val="Point2"/>
        <w:rPr>
          <w:noProof/>
        </w:rPr>
      </w:pPr>
      <w:r>
        <w:rPr>
          <w:noProof/>
        </w:rPr>
        <w:t>3.</w:t>
      </w:r>
      <w:r>
        <w:rPr>
          <w:noProof/>
        </w:rPr>
        <w:tab/>
        <w:t>Tilsvarende MPR bestemt efter TCMB-modellen for transaktioner baseret på den bedste tilgængelige vurdering vedrørende udenlandsk valuta for debitor fra et akkrediteret CRA</w:t>
      </w:r>
    </w:p>
    <w:p>
      <w:pPr>
        <w:pStyle w:val="Point2"/>
        <w:rPr>
          <w:noProof/>
        </w:rPr>
      </w:pPr>
      <w:r>
        <w:rPr>
          <w:noProof/>
        </w:rPr>
        <w:t>4.</w:t>
      </w:r>
      <w:r>
        <w:rPr>
          <w:noProof/>
        </w:rPr>
        <w:tab/>
        <w:t>I tilfælde af værdiansættelse fra syndikat en detaljeret beskrivelse af den metode, der er anvendt til at udlede præmien baseret på den samlede værdiansættelse</w:t>
      </w:r>
    </w:p>
    <w:p>
      <w:pPr>
        <w:pStyle w:val="Point2"/>
        <w:rPr>
          <w:rFonts w:eastAsia="Batang"/>
          <w:noProof/>
          <w:sz w:val="22"/>
        </w:rPr>
      </w:pPr>
      <w:r>
        <w:rPr>
          <w:noProof/>
        </w:rPr>
        <w:t>5.</w:t>
      </w:r>
      <w:r>
        <w:rPr>
          <w:noProof/>
        </w:rPr>
        <w:tab/>
        <w:t>I tilfælde af værdiansættelse for navnespecifik obligation eller CDS en detaljeret beskrivelse af den metode, der er anvendt til at udlede værdiansættelsen, detaljerede oplysninger om, hvorfor værdiansættelsen er relevant, herunder om værdiansættelsen vedrører den konkrete debitor eller en forretningsmæssigt forbundet enhed, og hvis sidstnævnte er tilfældet, skitseres det, hvordan kriteri</w:t>
      </w:r>
      <w:r>
        <w:rPr>
          <w:noProof/>
          <w:sz w:val="22"/>
        </w:rPr>
        <w:t>erne</w:t>
      </w:r>
      <w:r>
        <w:rPr>
          <w:noProof/>
        </w:rPr>
        <w:t xml:space="preserve"> for en forretningsmæssigt forbundet enhed er blevet opfyldt.</w:t>
      </w:r>
    </w:p>
    <w:bookmarkEnd w:id="87"/>
    <w:p>
      <w:pPr>
        <w:tabs>
          <w:tab w:val="left" w:pos="850"/>
          <w:tab w:val="left" w:pos="1134"/>
          <w:tab w:val="left" w:pos="1191"/>
          <w:tab w:val="left" w:pos="1531"/>
        </w:tabs>
        <w:spacing w:before="0" w:after="0"/>
        <w:rPr>
          <w:rFonts w:eastAsia="Batang"/>
          <w:noProof/>
          <w:sz w:val="22"/>
        </w:rPr>
        <w:sectPr>
          <w:footnotePr>
            <w:numRestart w:val="eachSect"/>
          </w:footnotePr>
          <w:endnotePr>
            <w:numFmt w:val="decimal"/>
          </w:endnotePr>
          <w:pgSz w:w="11906" w:h="16838"/>
          <w:pgMar w:top="1984" w:right="1247" w:bottom="1814" w:left="1191" w:header="1247" w:footer="1247" w:gutter="0"/>
          <w:cols w:space="720"/>
          <w:docGrid w:linePitch="326"/>
        </w:sectPr>
      </w:pPr>
    </w:p>
    <w:bookmarkStart w:id="88" w:name="_Toc302372956"/>
    <w:bookmarkStart w:id="89" w:name="_Toc368389477"/>
    <w:bookmarkStart w:id="90" w:name="_Toc3270298"/>
    <w:bookmarkStart w:id="91" w:name="_Toc3281143"/>
    <w:bookmarkStart w:id="92" w:name="_Toc3281327"/>
    <w:bookmarkStart w:id="93" w:name="_Toc3284573"/>
    <w:bookmarkStart w:id="94" w:name="_Toc328572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jc w:val="center"/>
        <w:rPr>
          <w:b/>
          <w:noProof/>
        </w:rPr>
      </w:pPr>
      <w:r>
        <w:rPr>
          <w:rFonts w:eastAsia="Batang"/>
          <w:b/>
          <w:bCs/>
          <w:caps/>
          <w:noProof/>
          <w:kern w:val="28"/>
          <w:sz w:val="22"/>
        </w:rPr>
        <w:lastRenderedPageBreak/>
        <w:fldChar w:fldCharType="begin"/>
      </w:r>
      <w:r>
        <w:rPr>
          <w:rFonts w:eastAsia="Batang"/>
          <w:b/>
          <w:bCs/>
          <w:caps/>
          <w:noProof/>
          <w:kern w:val="28"/>
          <w:sz w:val="22"/>
        </w:rPr>
        <w:instrText>MACROBUTTON NUMBERING</w:instrText>
      </w:r>
      <w:bookmarkStart w:id="95" w:name="_Toc368389520"/>
      <w:bookmarkStart w:id="96" w:name="_Toc377475046"/>
      <w:bookmarkStart w:id="97" w:name="_Toc441046796"/>
      <w:bookmarkStart w:id="98" w:name="_Toc441052460"/>
      <w:r>
        <w:rPr>
          <w:rFonts w:eastAsia="Batang"/>
          <w:b/>
          <w:bCs/>
          <w:caps/>
          <w:noProof/>
          <w:kern w:val="28"/>
          <w:sz w:val="22"/>
        </w:rPr>
        <w:fldChar w:fldCharType="end"/>
      </w:r>
      <w:r>
        <w:rPr>
          <w:b/>
          <w:noProof/>
        </w:rPr>
        <w:t>BILAG X: MARKEDSBENCHMARKS FOR TRANSAKTIONER I KATEGORI NUL-LANDE</w:t>
      </w:r>
      <w:bookmarkStart w:id="99" w:name="_Toc368389521"/>
      <w:bookmarkStart w:id="100" w:name="_Toc377475047"/>
      <w:bookmarkStart w:id="101" w:name="_Toc441046797"/>
      <w:bookmarkStart w:id="102" w:name="_Toc441052461"/>
      <w:bookmarkEnd w:id="88"/>
      <w:bookmarkEnd w:id="95"/>
      <w:bookmarkEnd w:id="96"/>
      <w:bookmarkEnd w:id="97"/>
      <w:bookmarkEnd w:id="98"/>
    </w:p>
    <w:p>
      <w:pPr>
        <w:rPr>
          <w:b/>
          <w:noProof/>
        </w:rPr>
      </w:pPr>
      <w:r>
        <w:rPr>
          <w:b/>
          <w:noProof/>
        </w:rPr>
        <w:t>U</w:t>
      </w:r>
      <w:r>
        <w:rPr>
          <w:b/>
          <w:noProof/>
          <w:sz w:val="22"/>
        </w:rPr>
        <w:t>dækket andel af eksportkreditter eller den del af et syndikeret lån, der ikke er dækket af ECA</w:t>
      </w:r>
      <w:bookmarkEnd w:id="99"/>
      <w:bookmarkEnd w:id="100"/>
      <w:bookmarkEnd w:id="101"/>
      <w:bookmarkEnd w:id="102"/>
    </w:p>
    <w:p>
      <w:pPr>
        <w:rPr>
          <w:noProof/>
        </w:rPr>
      </w:pPr>
      <w:r>
        <w:rPr>
          <w:noProof/>
        </w:rPr>
        <w:t>Den pris, der angives af private banker/institutioner i forbindelse med den udækkede andel af den pågældende eksportkredit (eller undertiden som den del af et syndikeret lån, der ikke er dækket af ECA) kan udgøre det bedste match til ECA-dækning. Værdiansættelsen af disse udækkede andele bør kun anvendes, hvis den etableres på markedsvilkår (dette vil</w:t>
      </w:r>
      <w:r>
        <w:rPr>
          <w:i/>
          <w:noProof/>
        </w:rPr>
        <w:t xml:space="preserve"> </w:t>
      </w:r>
      <w:r>
        <w:rPr>
          <w:noProof/>
        </w:rPr>
        <w:t>f.eks. udelukke IFI-finansierede andele).</w:t>
      </w:r>
    </w:p>
    <w:p>
      <w:pPr>
        <w:rPr>
          <w:rFonts w:eastAsia="Batang"/>
          <w:b/>
          <w:bCs/>
          <w:noProof/>
          <w:sz w:val="22"/>
        </w:rPr>
      </w:pPr>
      <w:bookmarkStart w:id="103" w:name="_Toc368389522"/>
      <w:bookmarkStart w:id="104" w:name="_Toc377475048"/>
      <w:bookmarkStart w:id="105" w:name="_Toc441046798"/>
      <w:bookmarkStart w:id="106" w:name="_Toc441052462"/>
      <w:r>
        <w:rPr>
          <w:b/>
          <w:noProof/>
          <w:sz w:val="22"/>
        </w:rPr>
        <w:t>Navnespecifikke virksomhedsobligationer</w:t>
      </w:r>
      <w:bookmarkEnd w:id="103"/>
      <w:bookmarkEnd w:id="104"/>
      <w:bookmarkEnd w:id="105"/>
      <w:bookmarkEnd w:id="106"/>
    </w:p>
    <w:p>
      <w:pPr>
        <w:rPr>
          <w:rFonts w:eastAsia="Batang"/>
          <w:noProof/>
          <w:sz w:val="22"/>
        </w:rPr>
      </w:pPr>
      <w:r>
        <w:rPr>
          <w:noProof/>
          <w:sz w:val="22"/>
        </w:rPr>
        <w:t xml:space="preserve">Virksomhedsobligationer afspejler navnespecifik kreditrisiko. </w:t>
      </w:r>
      <w:r>
        <w:rPr>
          <w:noProof/>
        </w:rPr>
        <w:t>Der bør udvises forsigtighed ved matching, hvad angår ECA-kontraktbetingelser, såsom løbetid, valuta og enhver kreditforbedring.</w:t>
      </w:r>
      <w:r>
        <w:rPr>
          <w:noProof/>
          <w:sz w:val="22"/>
        </w:rPr>
        <w:t xml:space="preserve"> Såfremt der anvendes primære virksomhedsobligationer (dvs.</w:t>
      </w:r>
      <w:r>
        <w:rPr>
          <w:i/>
          <w:noProof/>
          <w:sz w:val="22"/>
        </w:rPr>
        <w:t xml:space="preserve"> </w:t>
      </w:r>
      <w:r>
        <w:rPr>
          <w:noProof/>
          <w:sz w:val="22"/>
        </w:rPr>
        <w:t>samlet afkast efter udstedelse) eller sekundære virksomhedsobligationer (dvs.</w:t>
      </w:r>
      <w:r>
        <w:rPr>
          <w:i/>
          <w:noProof/>
          <w:sz w:val="22"/>
        </w:rPr>
        <w:t xml:space="preserve"> </w:t>
      </w:r>
      <w:r>
        <w:rPr>
          <w:noProof/>
          <w:sz w:val="22"/>
        </w:rPr>
        <w:t>optionsjusteret</w:t>
      </w:r>
      <w:r>
        <w:rPr>
          <w:noProof/>
        </w:rPr>
        <w:t xml:space="preserve"> spread</w:t>
      </w:r>
      <w:r>
        <w:rPr>
          <w:noProof/>
          <w:sz w:val="22"/>
        </w:rPr>
        <w:t xml:space="preserve"> over den relevante kurve, der sædvanligvis er den relevante kurve for valutaswap), skal debitors anvendes først og fremmes. Er disse ikke tilgængelige, kan primære eller sekundære virksomhedsobligationer fra forretningsmæssigt forbundne enheder anvendes. </w:t>
      </w:r>
    </w:p>
    <w:p>
      <w:pPr>
        <w:rPr>
          <w:rFonts w:eastAsia="Batang"/>
          <w:b/>
          <w:bCs/>
          <w:noProof/>
          <w:sz w:val="22"/>
        </w:rPr>
      </w:pPr>
      <w:bookmarkStart w:id="107" w:name="_Toc368389523"/>
      <w:bookmarkStart w:id="108" w:name="_Toc377475049"/>
      <w:bookmarkStart w:id="109" w:name="_Toc441046799"/>
      <w:bookmarkStart w:id="110" w:name="_Toc441052463"/>
      <w:r>
        <w:rPr>
          <w:b/>
          <w:noProof/>
          <w:sz w:val="22"/>
        </w:rPr>
        <w:t>Navnespecifikke credit default swaps</w:t>
      </w:r>
      <w:bookmarkEnd w:id="107"/>
      <w:bookmarkEnd w:id="108"/>
      <w:bookmarkEnd w:id="109"/>
      <w:bookmarkEnd w:id="110"/>
    </w:p>
    <w:p>
      <w:pPr>
        <w:rPr>
          <w:rFonts w:eastAsia="Batang"/>
          <w:noProof/>
          <w:sz w:val="22"/>
        </w:rPr>
      </w:pPr>
      <w:r>
        <w:rPr>
          <w:noProof/>
          <w:sz w:val="22"/>
        </w:rPr>
        <w:t xml:space="preserve">Credit default swaps (CDS) er en form for beskyttelse mod misligholdelse. CDS-spread er det beløb, der betales pr. periode af køberen af CDS som en procentdel af en fiktiv hovedstol, og er som regel udtrykt i basispoint. CDS-køberen køber reelt forsikring mod misligholdelse gennem betalinger til sælgeren af CDS for længden af den pågældende swap, eller indtil kreditbegivenheden indtræffer. Der bør først og fremmest anvendes en CDS-kurve for debitor. Er disse ikke tilgængelige, kan CDS-kurver fra forretningsmæssigt forbundne enheder anvendes. </w:t>
      </w:r>
    </w:p>
    <w:p>
      <w:pPr>
        <w:rPr>
          <w:rFonts w:eastAsia="Batang"/>
          <w:b/>
          <w:bCs/>
          <w:noProof/>
          <w:sz w:val="22"/>
        </w:rPr>
      </w:pPr>
      <w:bookmarkStart w:id="111" w:name="_Toc368389525"/>
      <w:bookmarkStart w:id="112" w:name="_Toc377475051"/>
      <w:bookmarkStart w:id="113" w:name="_Toc441046801"/>
      <w:bookmarkStart w:id="114" w:name="_Toc441052465"/>
      <w:r>
        <w:rPr>
          <w:b/>
          <w:noProof/>
          <w:sz w:val="22"/>
        </w:rPr>
        <w:t>Benchmarks for lån</w:t>
      </w:r>
      <w:bookmarkEnd w:id="111"/>
      <w:bookmarkEnd w:id="112"/>
      <w:bookmarkEnd w:id="113"/>
      <w:bookmarkEnd w:id="114"/>
    </w:p>
    <w:p>
      <w:pPr>
        <w:rPr>
          <w:rFonts w:eastAsia="Batang"/>
          <w:noProof/>
          <w:sz w:val="22"/>
        </w:rPr>
      </w:pPr>
      <w:r>
        <w:rPr>
          <w:noProof/>
          <w:sz w:val="22"/>
        </w:rPr>
        <w:t>Primære benchmarks for lån (dvs.</w:t>
      </w:r>
      <w:r>
        <w:rPr>
          <w:i/>
          <w:noProof/>
          <w:sz w:val="22"/>
        </w:rPr>
        <w:t xml:space="preserve"> </w:t>
      </w:r>
      <w:r>
        <w:rPr>
          <w:noProof/>
          <w:sz w:val="22"/>
        </w:rPr>
        <w:t>værdiansættelse efter udstedelse) eller sekundære benchmarks for lån (dvs.</w:t>
      </w:r>
      <w:r>
        <w:rPr>
          <w:i/>
          <w:noProof/>
          <w:sz w:val="22"/>
        </w:rPr>
        <w:t xml:space="preserve"> </w:t>
      </w:r>
      <w:r>
        <w:rPr>
          <w:noProof/>
          <w:sz w:val="22"/>
        </w:rPr>
        <w:t xml:space="preserve">det aktuelle afkast af et lån, som forventes af den finansielle institution, der køber lånet fra en anden finansiel institution). Alle gebyrer for primære benchmarks for lån skal være kendt, således at det samlede afkast kan udregnes. Der bør først og fremmest anvendes debitors benchmarks for lån. Er disse ikke tilgængelige, kan benchmarks fra forretningsmæssigt forbundne enheder anvendes. </w:t>
      </w:r>
    </w:p>
    <w:p>
      <w:pPr>
        <w:rPr>
          <w:rFonts w:eastAsia="Batang"/>
          <w:b/>
          <w:bCs/>
          <w:noProof/>
          <w:sz w:val="22"/>
        </w:rPr>
      </w:pPr>
      <w:bookmarkStart w:id="115" w:name="_Toc368389526"/>
      <w:bookmarkStart w:id="116" w:name="_Toc377475052"/>
      <w:bookmarkStart w:id="117" w:name="_Toc441046802"/>
      <w:bookmarkStart w:id="118" w:name="_Toc441052466"/>
      <w:r>
        <w:rPr>
          <w:b/>
          <w:noProof/>
          <w:sz w:val="22"/>
        </w:rPr>
        <w:t>Markedskurver for benchmarks</w:t>
      </w:r>
      <w:bookmarkEnd w:id="115"/>
      <w:bookmarkEnd w:id="116"/>
      <w:bookmarkEnd w:id="117"/>
      <w:bookmarkEnd w:id="118"/>
    </w:p>
    <w:p>
      <w:pPr>
        <w:rPr>
          <w:rFonts w:eastAsia="Batang"/>
          <w:noProof/>
          <w:sz w:val="22"/>
        </w:rPr>
      </w:pPr>
      <w:r>
        <w:rPr>
          <w:noProof/>
          <w:sz w:val="22"/>
        </w:rPr>
        <w:t>Markedskurver for benchmarks afspejler kreditrisikoen for en hel sektor eller klasse af købere. Disse markedsoplysninger kan være relevante, når der ikke er adgang til navnespecifikke oplysninger. Generelt afhænger kvaliteten af oplysningerne om disse markeder af deres likviditet. Under alle omstændigheder bør man søge efter de markedsinstrumenter, der stemmer bedst overens, for så vidt angår ECA-kontraktbetingelser, såsom dato, kreditvurdering, løbetid og valuta.</w:t>
      </w:r>
    </w:p>
    <w:p>
      <w:pPr>
        <w:tabs>
          <w:tab w:val="left" w:pos="850"/>
          <w:tab w:val="left" w:pos="1191"/>
          <w:tab w:val="left" w:pos="1531"/>
        </w:tabs>
        <w:spacing w:before="0" w:after="240"/>
        <w:rPr>
          <w:rFonts w:eastAsia="Batang"/>
          <w:noProof/>
          <w:sz w:val="22"/>
        </w:rPr>
        <w:sectPr>
          <w:footnotePr>
            <w:numRestart w:val="eachSect"/>
          </w:footnotePr>
          <w:endnotePr>
            <w:numFmt w:val="decimal"/>
          </w:endnotePr>
          <w:pgSz w:w="11906" w:h="16838"/>
          <w:pgMar w:top="1984" w:right="1247" w:bottom="1814" w:left="1191" w:header="1247" w:footer="1247" w:gutter="0"/>
          <w:cols w:space="720"/>
          <w:docGrid w:linePitch="326"/>
        </w:sectPr>
      </w:pPr>
    </w:p>
    <w:bookmarkEnd w:id="89"/>
    <w:bookmarkEnd w:id="90"/>
    <w:bookmarkEnd w:id="91"/>
    <w:bookmarkEnd w:id="92"/>
    <w:bookmarkEnd w:id="93"/>
    <w:bookmarkEnd w:id="94"/>
    <w:p>
      <w:pPr>
        <w:jc w:val="center"/>
        <w:rPr>
          <w:rFonts w:eastAsia="Batang"/>
          <w:b/>
          <w:noProof/>
          <w:sz w:val="22"/>
        </w:rPr>
      </w:pPr>
      <w:r>
        <w:rPr>
          <w:b/>
          <w:noProof/>
        </w:rPr>
        <w:lastRenderedPageBreak/>
        <w:t>BILAG XV:</w:t>
      </w:r>
      <w:r>
        <w:rPr>
          <w:b/>
          <w:noProof/>
          <w:sz w:val="22"/>
        </w:rPr>
        <w:t xml:space="preserve"> LISTE OVER </w:t>
      </w:r>
      <w:r>
        <w:rPr>
          <w:b/>
          <w:noProof/>
        </w:rPr>
        <w:t>DEFINITIONER</w:t>
      </w:r>
    </w:p>
    <w:p>
      <w:pPr>
        <w:rPr>
          <w:rFonts w:eastAsia="Batang"/>
          <w:noProof/>
          <w:sz w:val="22"/>
        </w:rPr>
      </w:pPr>
      <w:r>
        <w:rPr>
          <w:noProof/>
          <w:sz w:val="22"/>
        </w:rPr>
        <w:t>I arrangementet forstås ved:</w:t>
      </w:r>
    </w:p>
    <w:p>
      <w:pPr>
        <w:pStyle w:val="Point1"/>
        <w:rPr>
          <w:noProof/>
        </w:rPr>
      </w:pPr>
      <w:r>
        <w:rPr>
          <w:noProof/>
        </w:rPr>
        <w:t>a)</w:t>
      </w:r>
      <w:r>
        <w:rPr>
          <w:noProof/>
        </w:rPr>
        <w:tab/>
      </w:r>
      <w:r>
        <w:rPr>
          <w:b/>
          <w:noProof/>
        </w:rPr>
        <w:t>forpligtelse</w:t>
      </w:r>
      <w:r>
        <w:rPr>
          <w:noProof/>
        </w:rPr>
        <w:t>:</w:t>
      </w:r>
      <w:r>
        <w:rPr>
          <w:b/>
          <w:noProof/>
        </w:rPr>
        <w:t xml:space="preserve"> </w:t>
      </w:r>
      <w:r>
        <w:rPr>
          <w:noProof/>
        </w:rPr>
        <w:t>enhver erklæring – uanset form – hvorved beredvilligheden til eller hensigten om at yde offentlig støtte meddeles modtagerlandet, køberen, låntageren, eksportøren eller den finansielle institution</w:t>
      </w:r>
      <w:r>
        <w:rPr>
          <w:b/>
          <w:noProof/>
        </w:rPr>
        <w:t xml:space="preserve"> </w:t>
      </w:r>
    </w:p>
    <w:p>
      <w:pPr>
        <w:pStyle w:val="Point1"/>
        <w:rPr>
          <w:noProof/>
        </w:rPr>
      </w:pPr>
      <w:r>
        <w:rPr>
          <w:noProof/>
        </w:rPr>
        <w:t>b)</w:t>
      </w:r>
      <w:r>
        <w:rPr>
          <w:noProof/>
        </w:rPr>
        <w:tab/>
      </w:r>
      <w:r>
        <w:rPr>
          <w:b/>
          <w:noProof/>
        </w:rPr>
        <w:t>fælles holdning</w:t>
      </w:r>
      <w:r>
        <w:rPr>
          <w:noProof/>
        </w:rPr>
        <w:t>: en aftale mellem deltagerne om for en given transaktion</w:t>
      </w:r>
      <w:r>
        <w:rPr>
          <w:b/>
          <w:noProof/>
        </w:rPr>
        <w:t xml:space="preserve"> </w:t>
      </w:r>
      <w:r>
        <w:rPr>
          <w:noProof/>
        </w:rPr>
        <w:t>eller under særlige omstændigheder at fastlægge bestemte finansielle betingelser for ydelse af offentlig støtte. Reglerne i en fastlagt fælles holdning tilsidesætter kun reglerne i arrangementet, for så vidt angår den transaktion eller de forhold, der er angivet i den fælles holdning</w:t>
      </w:r>
    </w:p>
    <w:p>
      <w:pPr>
        <w:pStyle w:val="Point1"/>
        <w:rPr>
          <w:noProof/>
        </w:rPr>
      </w:pPr>
      <w:r>
        <w:rPr>
          <w:noProof/>
        </w:rPr>
        <w:t>c)</w:t>
      </w:r>
      <w:r>
        <w:rPr>
          <w:noProof/>
        </w:rPr>
        <w:tab/>
      </w:r>
      <w:r>
        <w:rPr>
          <w:b/>
          <w:noProof/>
        </w:rPr>
        <w:t>subventionsniveau for bunden bistand</w:t>
      </w:r>
      <w:r>
        <w:rPr>
          <w:noProof/>
        </w:rPr>
        <w:t>: for gavebistand er subventionsniveauet 100 %. For lån er subventionsniveauet forskellen mellem lånets pålydende værdi og den tilbagediskonterede nutidsværdi af de fremtidige rente- og afdragsbetalinger fra låntageren. Denne forskel udtrykkes i % af lånets pålydende værdi</w:t>
      </w:r>
    </w:p>
    <w:p>
      <w:pPr>
        <w:pStyle w:val="Point1"/>
        <w:rPr>
          <w:noProof/>
        </w:rPr>
      </w:pPr>
      <w:r>
        <w:rPr>
          <w:noProof/>
        </w:rPr>
        <w:t>d)</w:t>
      </w:r>
      <w:r>
        <w:rPr>
          <w:noProof/>
        </w:rPr>
        <w:tab/>
      </w:r>
      <w:r>
        <w:rPr>
          <w:b/>
          <w:noProof/>
        </w:rPr>
        <w:t>nedlukning</w:t>
      </w:r>
      <w:r>
        <w:rPr>
          <w:noProof/>
        </w:rPr>
        <w:t>: nedlukning eller demontering af et kernekraftværk</w:t>
      </w:r>
    </w:p>
    <w:p>
      <w:pPr>
        <w:pStyle w:val="Point1"/>
        <w:rPr>
          <w:noProof/>
        </w:rPr>
      </w:pPr>
      <w:r>
        <w:rPr>
          <w:noProof/>
        </w:rPr>
        <w:t>e)</w:t>
      </w:r>
      <w:r>
        <w:rPr>
          <w:noProof/>
        </w:rPr>
        <w:tab/>
      </w:r>
      <w:r>
        <w:rPr>
          <w:b/>
          <w:noProof/>
        </w:rPr>
        <w:t>eksportkontraktværdi</w:t>
      </w:r>
      <w:r>
        <w:rPr>
          <w:noProof/>
        </w:rPr>
        <w:t>: det samlede beløb, der skal betales af eller på vegne af køberen for eksporterede varer og/eller tjenesteydelser,</w:t>
      </w:r>
      <w:r>
        <w:rPr>
          <w:i/>
          <w:noProof/>
        </w:rPr>
        <w:t xml:space="preserve"> </w:t>
      </w:r>
      <w:r>
        <w:rPr>
          <w:noProof/>
        </w:rPr>
        <w:t>dvs. ekskl. lokale omkostninger som defineret nedenfor; i tilfælde af leasing udelukker det den del af leasingbetalingen, som svarer til renter</w:t>
      </w:r>
    </w:p>
    <w:p>
      <w:pPr>
        <w:pStyle w:val="Point1"/>
        <w:rPr>
          <w:noProof/>
        </w:rPr>
      </w:pPr>
      <w:r>
        <w:rPr>
          <w:noProof/>
        </w:rPr>
        <w:t>f)</w:t>
      </w:r>
      <w:r>
        <w:rPr>
          <w:noProof/>
        </w:rPr>
        <w:tab/>
      </w:r>
      <w:r>
        <w:rPr>
          <w:b/>
          <w:noProof/>
        </w:rPr>
        <w:t>endelig forpligtelse</w:t>
      </w:r>
      <w:r>
        <w:rPr>
          <w:noProof/>
        </w:rPr>
        <w:t>: i forbindelse med en eksportkredittransaktion (enten i form af en enkeltstående transaktion eller en kreditlinje) er der tale om en endelig forpligtelse, når deltageren forpligter sig til præcise og fuldstændige finansielle betingelser, enten via en gensidig aftale eller ved en ensidig handling</w:t>
      </w:r>
    </w:p>
    <w:p>
      <w:pPr>
        <w:pStyle w:val="Point1"/>
        <w:rPr>
          <w:noProof/>
        </w:rPr>
      </w:pPr>
      <w:r>
        <w:rPr>
          <w:noProof/>
        </w:rPr>
        <w:t>g)</w:t>
      </w:r>
      <w:r>
        <w:rPr>
          <w:noProof/>
        </w:rPr>
        <w:tab/>
      </w:r>
      <w:r>
        <w:rPr>
          <w:b/>
          <w:noProof/>
        </w:rPr>
        <w:t>første brændselsladning</w:t>
      </w:r>
      <w:r>
        <w:rPr>
          <w:noProof/>
        </w:rPr>
        <w:t>: den første brændselsladning omfatter højst den oprindeligt installerede reaktorkerne plus to efterfølgende genladninger, som tilsammen udgør indtil to tredjedele af en reaktorkerne</w:t>
      </w:r>
    </w:p>
    <w:p>
      <w:pPr>
        <w:pStyle w:val="Point1"/>
        <w:rPr>
          <w:noProof/>
        </w:rPr>
      </w:pPr>
      <w:r>
        <w:rPr>
          <w:noProof/>
        </w:rPr>
        <w:t>h)</w:t>
      </w:r>
      <w:r>
        <w:rPr>
          <w:noProof/>
        </w:rPr>
        <w:tab/>
      </w:r>
      <w:r>
        <w:rPr>
          <w:b/>
          <w:noProof/>
        </w:rPr>
        <w:t>rentestøtte</w:t>
      </w:r>
      <w:r>
        <w:rPr>
          <w:noProof/>
        </w:rPr>
        <w:t>:</w:t>
      </w:r>
      <w:r>
        <w:rPr>
          <w:b/>
          <w:noProof/>
        </w:rPr>
        <w:t xml:space="preserve"> </w:t>
      </w:r>
      <w:r>
        <w:rPr>
          <w:noProof/>
        </w:rPr>
        <w:t>et arrangement mellem en regering og banker eller andre finansielle institutioner, som gør det muligt at tilbyde fastforrentet eksportfinansiering på eller over CIRR</w:t>
      </w:r>
    </w:p>
    <w:p>
      <w:pPr>
        <w:pStyle w:val="Point1"/>
        <w:rPr>
          <w:noProof/>
        </w:rPr>
      </w:pPr>
      <w:r>
        <w:rPr>
          <w:noProof/>
        </w:rPr>
        <w:t>i)</w:t>
      </w:r>
      <w:r>
        <w:rPr>
          <w:noProof/>
        </w:rPr>
        <w:tab/>
      </w:r>
      <w:r>
        <w:rPr>
          <w:b/>
          <w:noProof/>
        </w:rPr>
        <w:t>kreditlinje</w:t>
      </w:r>
      <w:r>
        <w:rPr>
          <w:noProof/>
        </w:rPr>
        <w:t>:</w:t>
      </w:r>
      <w:r>
        <w:rPr>
          <w:b/>
          <w:noProof/>
        </w:rPr>
        <w:t xml:space="preserve"> </w:t>
      </w:r>
      <w:r>
        <w:rPr>
          <w:noProof/>
        </w:rPr>
        <w:t>en ramme – uanset form – for eksportkreditter, som dækker en række transaktioner, der i påkommende tilfælde kan knytte sig til et bestemt projekt</w:t>
      </w:r>
    </w:p>
    <w:p>
      <w:pPr>
        <w:pStyle w:val="Point1"/>
        <w:rPr>
          <w:noProof/>
        </w:rPr>
      </w:pPr>
      <w:r>
        <w:rPr>
          <w:noProof/>
        </w:rPr>
        <w:t>j)</w:t>
      </w:r>
      <w:r>
        <w:rPr>
          <w:noProof/>
        </w:rPr>
        <w:tab/>
      </w:r>
      <w:r>
        <w:rPr>
          <w:b/>
          <w:noProof/>
        </w:rPr>
        <w:t>lokale omkostninger:</w:t>
      </w:r>
      <w:r>
        <w:rPr>
          <w:noProof/>
        </w:rPr>
        <w:t xml:space="preserve"> udgifter til varer og tjenesteydelser i købers hjemland, som enten er nødvendige til gennemførelse af eksportørens kontrakt eller til afslutning af det projekt, som eksportørens kontrakt udgør en del af. Disse udgifter omfatter ikke provisioner, der skal betales til eksportørens agent i købslandet</w:t>
      </w:r>
    </w:p>
    <w:p>
      <w:pPr>
        <w:pStyle w:val="Point1"/>
        <w:rPr>
          <w:b/>
          <w:noProof/>
        </w:rPr>
      </w:pPr>
      <w:r>
        <w:rPr>
          <w:noProof/>
        </w:rPr>
        <w:t>k)</w:t>
      </w:r>
      <w:r>
        <w:rPr>
          <w:noProof/>
        </w:rPr>
        <w:tab/>
      </w:r>
      <w:r>
        <w:rPr>
          <w:b/>
          <w:noProof/>
        </w:rPr>
        <w:t xml:space="preserve">navnespecifik obligation eller CDS: </w:t>
      </w:r>
      <w:r>
        <w:rPr>
          <w:noProof/>
        </w:rPr>
        <w:t>en</w:t>
      </w:r>
      <w:r>
        <w:rPr>
          <w:b/>
          <w:noProof/>
        </w:rPr>
        <w:t xml:space="preserve"> </w:t>
      </w:r>
      <w:r>
        <w:rPr>
          <w:noProof/>
        </w:rPr>
        <w:t>navnespecifik obligation eller CDS er begrænset til de markedsbenchmarkinstrumenter, som tilhører præcis den samme debitor som i den transaktion, der støttes</w:t>
      </w:r>
    </w:p>
    <w:p>
      <w:pPr>
        <w:pStyle w:val="Point1"/>
        <w:rPr>
          <w:noProof/>
        </w:rPr>
      </w:pPr>
      <w:r>
        <w:rPr>
          <w:noProof/>
        </w:rPr>
        <w:lastRenderedPageBreak/>
        <w:t>l)</w:t>
      </w:r>
      <w:r>
        <w:rPr>
          <w:noProof/>
        </w:rPr>
        <w:tab/>
      </w:r>
      <w:r>
        <w:rPr>
          <w:b/>
          <w:noProof/>
        </w:rPr>
        <w:t>"pure cover"</w:t>
      </w:r>
      <w:r>
        <w:rPr>
          <w:noProof/>
        </w:rPr>
        <w:t>: offentlig støtte, som ydes af eller på vegne af en regering udelukkende via eksportkreditgaranti eller -forsikring, dvs.</w:t>
      </w:r>
      <w:r>
        <w:rPr>
          <w:i/>
          <w:noProof/>
        </w:rPr>
        <w:t xml:space="preserve"> </w:t>
      </w:r>
      <w:r>
        <w:rPr>
          <w:noProof/>
        </w:rPr>
        <w:t>uden offentlig finansieringsstøtte</w:t>
      </w:r>
    </w:p>
    <w:p>
      <w:pPr>
        <w:pStyle w:val="Point1"/>
        <w:rPr>
          <w:noProof/>
        </w:rPr>
      </w:pPr>
      <w:r>
        <w:rPr>
          <w:noProof/>
        </w:rPr>
        <w:t>m)</w:t>
      </w:r>
      <w:r>
        <w:rPr>
          <w:noProof/>
        </w:rPr>
        <w:tab/>
      </w:r>
      <w:r>
        <w:rPr>
          <w:b/>
          <w:noProof/>
        </w:rPr>
        <w:t xml:space="preserve">forretningsmæssigt forbundet enhed: </w:t>
      </w:r>
      <w:r>
        <w:rPr>
          <w:noProof/>
        </w:rPr>
        <w:t>referencer for forretningsmæssigt forbundne enheder er benchmarkinstrumenter for en forretningsmæssigt forbundet låntager snarere end præcis den samme låntager i en støttet transaktion. I tilfælde af at debitor ikke har obligationer eller CDS'er i cirkulation, og der i debitors organisatoriske struktur findes et moder-, datter- eller søsterselskab med navnespecifikke obligationer eller CDS'er i cirkulation på markedet, kan de navnespecifikke obligationer eller CDS'er i henhold til artikel 24, litra c), anvendes, som om de var blevet udstedt af debitor selv, såfremt:</w:t>
      </w:r>
    </w:p>
    <w:p>
      <w:pPr>
        <w:pStyle w:val="Point2"/>
        <w:rPr>
          <w:noProof/>
        </w:rPr>
      </w:pPr>
      <w:r>
        <w:rPr>
          <w:noProof/>
        </w:rPr>
        <w:t>1)</w:t>
      </w:r>
      <w:r>
        <w:rPr>
          <w:noProof/>
        </w:rPr>
        <w:tab/>
        <w:t>moder-, datter- eller søsterselskabet har den samme kreditvurdering fra det samme kreditvurderingsudstedende CRA som debitor: eller</w:t>
      </w:r>
    </w:p>
    <w:p>
      <w:pPr>
        <w:pStyle w:val="Point2"/>
        <w:rPr>
          <w:noProof/>
        </w:rPr>
      </w:pPr>
      <w:r>
        <w:rPr>
          <w:noProof/>
        </w:rPr>
        <w:t>2)</w:t>
      </w:r>
      <w:r>
        <w:rPr>
          <w:noProof/>
        </w:rPr>
        <w:tab/>
        <w:t>alle de følgende kriterier er opfyldt:</w:t>
      </w:r>
    </w:p>
    <w:p>
      <w:pPr>
        <w:pStyle w:val="Point3"/>
        <w:rPr>
          <w:noProof/>
        </w:rPr>
      </w:pPr>
      <w:r>
        <w:rPr>
          <w:noProof/>
        </w:rPr>
        <w:t>a.</w:t>
      </w:r>
      <w:r>
        <w:rPr>
          <w:noProof/>
        </w:rPr>
        <w:tab/>
        <w:t>Deltagerens interne kreditvurdering af debitoren/garanten svarer til CRA-vurderingen af den forretningsmæssigt forbundne enhed.</w:t>
      </w:r>
    </w:p>
    <w:p>
      <w:pPr>
        <w:pStyle w:val="Point3"/>
        <w:rPr>
          <w:noProof/>
        </w:rPr>
      </w:pPr>
      <w:r>
        <w:rPr>
          <w:noProof/>
        </w:rPr>
        <w:t>b.</w:t>
      </w:r>
      <w:r>
        <w:rPr>
          <w:noProof/>
        </w:rPr>
        <w:tab/>
        <w:t>Debitoren/garanten er hoveddriftsselskab i moder-/holdingselskabet og er dermed en central og integrerende del af koncernens virksomhed.</w:t>
      </w:r>
    </w:p>
    <w:p>
      <w:pPr>
        <w:pStyle w:val="Point3"/>
        <w:rPr>
          <w:noProof/>
        </w:rPr>
      </w:pPr>
      <w:r>
        <w:rPr>
          <w:noProof/>
        </w:rPr>
        <w:t>c.</w:t>
      </w:r>
      <w:r>
        <w:rPr>
          <w:noProof/>
        </w:rPr>
        <w:tab/>
        <w:t>CRA-vurderingen er baseret på koncernens kerneforretning.</w:t>
      </w:r>
    </w:p>
    <w:p>
      <w:pPr>
        <w:pStyle w:val="Point3"/>
        <w:rPr>
          <w:noProof/>
        </w:rPr>
      </w:pPr>
      <w:r>
        <w:rPr>
          <w:noProof/>
        </w:rPr>
        <w:t>d.</w:t>
      </w:r>
      <w:r>
        <w:rPr>
          <w:noProof/>
        </w:rPr>
        <w:tab/>
        <w:t xml:space="preserve">Debitoren/garanten står for en væsentlig del af koncernens indtjening ved enten at levere nogle af koncernens kerneprodukter/-tjenesteydelser til kernekunder, eller eje og drive en større del af moderselskabets aktiver. </w:t>
      </w:r>
    </w:p>
    <w:p>
      <w:pPr>
        <w:pStyle w:val="Point3"/>
        <w:rPr>
          <w:noProof/>
        </w:rPr>
      </w:pPr>
      <w:r>
        <w:rPr>
          <w:noProof/>
        </w:rPr>
        <w:t>e.</w:t>
      </w:r>
      <w:r>
        <w:rPr>
          <w:noProof/>
        </w:rPr>
        <w:tab/>
        <w:t>Det er meget vanskeligt at forestille sig salget af debitoren/garanten fra koncernen, og et frasalg ville i væsentlig grad ændre koncernens overordnede form.</w:t>
      </w:r>
    </w:p>
    <w:p>
      <w:pPr>
        <w:pStyle w:val="Point3"/>
        <w:rPr>
          <w:noProof/>
        </w:rPr>
      </w:pPr>
      <w:r>
        <w:rPr>
          <w:noProof/>
        </w:rPr>
        <w:t>f.</w:t>
      </w:r>
      <w:r>
        <w:rPr>
          <w:noProof/>
        </w:rPr>
        <w:tab/>
        <w:t>En misligholdelse fra debitorens/garantens side ville udgøre en enorm risiko for koncernens omdømme, ville skade dens selvrisiko og kunne true dens levedygtighed.</w:t>
      </w:r>
    </w:p>
    <w:p>
      <w:pPr>
        <w:pStyle w:val="Point3"/>
        <w:rPr>
          <w:noProof/>
        </w:rPr>
      </w:pPr>
      <w:r>
        <w:rPr>
          <w:noProof/>
        </w:rPr>
        <w:t>g.</w:t>
      </w:r>
      <w:r>
        <w:rPr>
          <w:noProof/>
        </w:rPr>
        <w:tab/>
        <w:t>Der er en høj grad af ledelses- og driftsmæssig integration, hvor kapital og finansiering typisk ydes af moderselskabet eller et finansieringsdatterselskab via koncerninterne lån, og hvor der ikke sættes spørgsmålstegn ved moderselskabets støtte.</w:t>
      </w:r>
    </w:p>
    <w:p>
      <w:pPr>
        <w:pStyle w:val="Point1"/>
        <w:rPr>
          <w:noProof/>
        </w:rPr>
      </w:pPr>
      <w:r>
        <w:rPr>
          <w:noProof/>
          <w:sz w:val="22"/>
        </w:rPr>
        <w:t>n)</w:t>
      </w:r>
      <w:r>
        <w:rPr>
          <w:noProof/>
        </w:rPr>
        <w:tab/>
      </w:r>
      <w:r>
        <w:rPr>
          <w:b/>
          <w:noProof/>
          <w:sz w:val="22"/>
        </w:rPr>
        <w:t>løbetid</w:t>
      </w:r>
      <w:r>
        <w:rPr>
          <w:noProof/>
        </w:rPr>
        <w:t>: den periode, der begynder på kredittens begyndelsestidspunkt som defineret i dette bilag og slutter på den kontraktlige dato for den endelige tilbagebetaling af hovedstol</w:t>
      </w:r>
    </w:p>
    <w:p>
      <w:pPr>
        <w:pStyle w:val="Point1"/>
        <w:rPr>
          <w:rFonts w:eastAsia="Batang"/>
          <w:noProof/>
          <w:sz w:val="22"/>
        </w:rPr>
      </w:pPr>
      <w:r>
        <w:rPr>
          <w:noProof/>
        </w:rPr>
        <w:t>o)</w:t>
      </w:r>
      <w:r>
        <w:rPr>
          <w:noProof/>
        </w:rPr>
        <w:tab/>
        <w:t>Kredittens</w:t>
      </w:r>
      <w:r>
        <w:rPr>
          <w:b/>
          <w:noProof/>
          <w:sz w:val="22"/>
        </w:rPr>
        <w:t xml:space="preserve"> begyndelsestidspunkt: </w:t>
      </w:r>
    </w:p>
    <w:p>
      <w:pPr>
        <w:pStyle w:val="Point2"/>
        <w:rPr>
          <w:noProof/>
        </w:rPr>
      </w:pPr>
      <w:r>
        <w:rPr>
          <w:noProof/>
        </w:rPr>
        <w:t>1)</w:t>
      </w:r>
      <w:r>
        <w:rPr>
          <w:noProof/>
        </w:rPr>
        <w:tab/>
      </w:r>
      <w:r>
        <w:rPr>
          <w:i/>
          <w:noProof/>
        </w:rPr>
        <w:t>Dele eller komponenter (halvfabrikata) inkl. dermed forbundne tjenesteydelser</w:t>
      </w:r>
      <w:r>
        <w:rPr>
          <w:noProof/>
        </w:rPr>
        <w:t xml:space="preserve">: for dele eller komponenter er kredittens begyndelsestidspunkt senest den faktiske dato for købers accept af varerne eller den vægtede gennemsnitlige dato for købers accept af </w:t>
      </w:r>
      <w:r>
        <w:rPr>
          <w:noProof/>
        </w:rPr>
        <w:lastRenderedPageBreak/>
        <w:t>varerne (i påkommende tilfælde inkl. tjenesteydelser) eller – for tjenesteydelser – datoen for fremlæggelsen af fakturaerne for kunden eller kundens accept af tjenesteydelserne.</w:t>
      </w:r>
    </w:p>
    <w:p>
      <w:pPr>
        <w:pStyle w:val="Point2"/>
        <w:rPr>
          <w:rFonts w:eastAsia="Batang"/>
          <w:noProof/>
          <w:sz w:val="22"/>
        </w:rPr>
      </w:pPr>
      <w:r>
        <w:rPr>
          <w:noProof/>
          <w:sz w:val="22"/>
        </w:rPr>
        <w:t>2)</w:t>
      </w:r>
      <w:r>
        <w:rPr>
          <w:noProof/>
        </w:rPr>
        <w:tab/>
      </w:r>
      <w:r>
        <w:rPr>
          <w:i/>
          <w:noProof/>
          <w:sz w:val="22"/>
        </w:rPr>
        <w:t>Kvasikapitalgoder inkl. dermed forbundne tjenesteydelser – maskiner eller udstyr, generelt af forholdsvis lav enhedsværdi, bestemt til anvendelse i en industriel proces eller til fremstillings- eller handelsbrug</w:t>
      </w:r>
      <w:r>
        <w:rPr>
          <w:noProof/>
          <w:sz w:val="22"/>
        </w:rPr>
        <w:t xml:space="preserve">: Er der tale om kvasikapitalgoder, er kredittens begyndelsestidspunkt senest den faktiske dato for købers accept af varerne eller den vægtede gennemsnitlige dato for købers accept af varerne eller – hvis eksportøren har ansvaret for ibrugtagningen – datoen for ibrugtagningen eller – for tjenesteydelser – datoen for fremlæggelsen af fakturaerne for kunden eller kundens accept af tjenesteydelserne. Er der tale om en kontrakt om levering af tjenesteydelser, hvor leverandøren har ansvaret for ibrugtagningen, er det seneste begyndelsestidspunkt datoen for ibrugtagningen. </w:t>
      </w:r>
    </w:p>
    <w:p>
      <w:pPr>
        <w:pStyle w:val="Point2"/>
        <w:rPr>
          <w:rFonts w:eastAsia="Batang"/>
          <w:i/>
          <w:noProof/>
          <w:sz w:val="22"/>
        </w:rPr>
      </w:pPr>
      <w:r>
        <w:rPr>
          <w:noProof/>
          <w:sz w:val="22"/>
        </w:rPr>
        <w:t>3)</w:t>
      </w:r>
      <w:r>
        <w:rPr>
          <w:noProof/>
        </w:rPr>
        <w:tab/>
      </w:r>
      <w:r>
        <w:rPr>
          <w:i/>
          <w:noProof/>
          <w:sz w:val="22"/>
        </w:rPr>
        <w:t xml:space="preserve">Kapitalgoder og projekttjenesteydelser – maskiner eller udstyr af høj værdi til anvendelse i en industriel proces eller til fremstillings- eller handelsbrug: </w:t>
      </w:r>
    </w:p>
    <w:p>
      <w:pPr>
        <w:pStyle w:val="Tiret3"/>
        <w:numPr>
          <w:ilvl w:val="0"/>
          <w:numId w:val="7"/>
        </w:numPr>
        <w:rPr>
          <w:noProof/>
        </w:rPr>
      </w:pPr>
      <w:r>
        <w:rPr>
          <w:noProof/>
        </w:rPr>
        <w:t>Er der tale om en kontrakt om salg af kapitalgoder bestående af enkeltstående elementer, som kan anvendes, er det seneste begyndelsestidspunkt den faktiske dato, på hvilken køberen tager goderne i fysisk besiddelse, eller den vægtede gennemsnitlige dato, på hvilken køberen tager goderne i fysisk besiddelse.</w:t>
      </w:r>
    </w:p>
    <w:p>
      <w:pPr>
        <w:pStyle w:val="Tiret3"/>
        <w:rPr>
          <w:noProof/>
        </w:rPr>
      </w:pPr>
      <w:r>
        <w:rPr>
          <w:noProof/>
        </w:rPr>
        <w:t>Er der tale om en kontrakt om salg af kapitaludstyr til komplette anlæg eller fabrikker, hvor leverandøren ikke har noget ansvar for ibrugtagningen, er det seneste begyndelsestidspunkt den dato, på hvilken køberen skal tage hele det udstyr (ekskl. reservedele), som leveres i henhold til kontrakten, i fysisk besiddelse.</w:t>
      </w:r>
    </w:p>
    <w:p>
      <w:pPr>
        <w:pStyle w:val="Tiret3"/>
        <w:rPr>
          <w:noProof/>
        </w:rPr>
      </w:pPr>
      <w:r>
        <w:rPr>
          <w:noProof/>
        </w:rPr>
        <w:t>Har eksportøren ansvaret for ibrugtagningen, er det seneste begyndelsestidspunkt datoen for ibrugtagningen.</w:t>
      </w:r>
    </w:p>
    <w:p>
      <w:pPr>
        <w:pStyle w:val="Tiret3"/>
        <w:rPr>
          <w:noProof/>
        </w:rPr>
      </w:pPr>
      <w:r>
        <w:rPr>
          <w:noProof/>
        </w:rPr>
        <w:t>For tjenesteydelser er kredittens seneste begyndelsestidspunkt datoen for fremlæggelsen af fakturaerne for kunden eller kundens accept af tjenesteydelserne. Er der tale om en kontrakt om levering af tjenesteydelser, hvor leverandøren har ansvaret for ibrugtagningen, er det seneste begyndelsestidspunkt datoen for ibrugtagningen.</w:t>
      </w:r>
    </w:p>
    <w:p>
      <w:pPr>
        <w:pStyle w:val="Point2"/>
        <w:rPr>
          <w:rFonts w:eastAsia="Batang"/>
          <w:i/>
          <w:noProof/>
          <w:sz w:val="22"/>
        </w:rPr>
      </w:pPr>
      <w:r>
        <w:rPr>
          <w:noProof/>
          <w:sz w:val="22"/>
        </w:rPr>
        <w:t>4)</w:t>
      </w:r>
      <w:r>
        <w:rPr>
          <w:noProof/>
        </w:rPr>
        <w:tab/>
      </w:r>
      <w:r>
        <w:rPr>
          <w:i/>
          <w:noProof/>
          <w:sz w:val="22"/>
        </w:rPr>
        <w:t>Komplette anlæg eller fabrikker - komplette produktionsenheder af høj værdi, som kræver brug af kapitalgoder:</w:t>
      </w:r>
    </w:p>
    <w:p>
      <w:pPr>
        <w:pStyle w:val="Tiret3"/>
        <w:rPr>
          <w:noProof/>
        </w:rPr>
      </w:pPr>
      <w:r>
        <w:rPr>
          <w:noProof/>
          <w:sz w:val="22"/>
        </w:rPr>
        <w:t>Er der tale om en kontrakt om salg af kapitaludstyr til komplette anlæg eller fabrikker,</w:t>
      </w:r>
      <w:r>
        <w:rPr>
          <w:noProof/>
        </w:rPr>
        <w:t xml:space="preserve"> hvor leverandøren ikke har noget ansvar for ibrugtagningen, er kredittens seneste begyndelsestidspunkt den dato, på hvilken køberen tager hele det udstyr (ekskl. reservedele), som leveres ifølge kontrakten, i fysisk besiddelse. </w:t>
      </w:r>
    </w:p>
    <w:p>
      <w:pPr>
        <w:pStyle w:val="Tiret3"/>
        <w:rPr>
          <w:noProof/>
        </w:rPr>
      </w:pPr>
      <w:r>
        <w:rPr>
          <w:noProof/>
        </w:rPr>
        <w:t>Er der tale om bygge- og anlægskontrakter, hvor entreprenøren ikke har noget ansvar for ibrugtagningen, er det seneste begyndelsestidspunkt den dato, på hvilken bygge- og anlægsarbejderne er afsluttet.</w:t>
      </w:r>
    </w:p>
    <w:p>
      <w:pPr>
        <w:pStyle w:val="Tiret3"/>
        <w:rPr>
          <w:noProof/>
        </w:rPr>
      </w:pPr>
      <w:r>
        <w:rPr>
          <w:noProof/>
        </w:rPr>
        <w:lastRenderedPageBreak/>
        <w:t>Er der tale om en kontrakt, hvor leverandøren eller entreprenøren har et kontraktligt ansvar for ibrugtagningen, er det seneste begyndelsestidspunkt den dato, på hvilken denne har afsluttet installeringen eller bygge- og anlægsarbejderne og de indledende test for at sikre, at anlægget er driftsklart. Dette gælder, uanset om anlægget overdrages til køberen på det pågældende tidspunkt i henhold til kontraktens bestemmelser, og uanset alle fortsatte eventuelle forpligtelser for leverandøren eller entreprenøren, f.eks. i form af garanti for effektiv drift eller uddannelse af lokalt personale.</w:t>
      </w:r>
    </w:p>
    <w:p>
      <w:pPr>
        <w:pStyle w:val="Tiret3"/>
        <w:rPr>
          <w:noProof/>
        </w:rPr>
      </w:pPr>
      <w:r>
        <w:rPr>
          <w:noProof/>
        </w:rPr>
        <w:t>Indeholder kontrakten bestemmelser om særskilt gennemførelse af enkeltstående dele af et projekt, er det seneste begyndelsestidspunkt begyndelsestidspunktet for hver enkelt særskilt del eller den gennemsnitlige dato for disse begyndelsestidspunkter eller eventuelt – hvis leverandøren har en kontrakt, der ikke gælder for hele projektet, men en væsentlig del deraf – det begyndelsestidspunkt, der er relevant for det samlede projekt.</w:t>
      </w:r>
    </w:p>
    <w:p>
      <w:pPr>
        <w:pStyle w:val="Tiret3"/>
        <w:rPr>
          <w:rFonts w:eastAsia="Batang"/>
          <w:b/>
          <w:noProof/>
          <w:sz w:val="22"/>
          <w:szCs w:val="20"/>
        </w:rPr>
      </w:pPr>
      <w:r>
        <w:rPr>
          <w:noProof/>
        </w:rPr>
        <w:t>For tjenesteydelser er kredittens seneste begyndelsestidspunkt datoen for fremlæggelsen af fakturaerne for kunden eller kundens accept af tjenesteydelserne. Er der tale om en kontrakt om levering af tjenesteydelser, hvor leverandøren har ansvaret for ibrugtagningen, er det seneste begyndelsestidspunkt datoen for ibrugtagningen</w:t>
      </w:r>
    </w:p>
    <w:p>
      <w:pPr>
        <w:pStyle w:val="Point1"/>
        <w:rPr>
          <w:rFonts w:eastAsia="Batang"/>
          <w:noProof/>
          <w:sz w:val="22"/>
        </w:rPr>
      </w:pPr>
      <w:r>
        <w:rPr>
          <w:noProof/>
          <w:sz w:val="22"/>
        </w:rPr>
        <w:t>p)</w:t>
      </w:r>
      <w:r>
        <w:rPr>
          <w:noProof/>
        </w:rPr>
        <w:tab/>
      </w:r>
      <w:r>
        <w:rPr>
          <w:b/>
          <w:noProof/>
          <w:sz w:val="22"/>
        </w:rPr>
        <w:t>bunden bistand</w:t>
      </w:r>
      <w:r>
        <w:rPr>
          <w:noProof/>
          <w:sz w:val="22"/>
        </w:rPr>
        <w:t>:</w:t>
      </w:r>
      <w:r>
        <w:rPr>
          <w:b/>
          <w:noProof/>
          <w:sz w:val="22"/>
        </w:rPr>
        <w:t xml:space="preserve"> </w:t>
      </w:r>
      <w:r>
        <w:rPr>
          <w:noProof/>
          <w:sz w:val="22"/>
        </w:rPr>
        <w:t>bistand, som konkret (de jure eller de facto) er bundet til anskaffelse af varer og/eller tjenesteydelser fra donorlandet og/eller et begrænset antal lande; den omfatter lån, gavebistand eller associerede finansieringspakker med et subventionsniveau, der er højere end 0 %.</w:t>
      </w:r>
      <w:r>
        <w:rPr>
          <w:b/>
          <w:noProof/>
          <w:sz w:val="22"/>
        </w:rPr>
        <w:t xml:space="preserve"> </w:t>
      </w:r>
    </w:p>
    <w:p>
      <w:pPr>
        <w:pStyle w:val="Text2"/>
        <w:rPr>
          <w:noProof/>
        </w:rPr>
      </w:pPr>
      <w:r>
        <w:rPr>
          <w:noProof/>
        </w:rPr>
        <w:t>Denne definition gælder, uanset om "bindingen" finder sted i henhold til en formel aftale eller en hvilken som helst uformel aftale mellem modtageren og donorlandet, eller om en pakke omfatter komponenter af former omhandlet i artikel 34 i arrangementet,</w:t>
      </w:r>
      <w:r>
        <w:rPr>
          <w:b/>
          <w:noProof/>
        </w:rPr>
        <w:t xml:space="preserve"> </w:t>
      </w:r>
      <w:r>
        <w:rPr>
          <w:noProof/>
        </w:rPr>
        <w:t>som ikke med deres fulde beløb står frit til rådighed til finansiering af indkøb fra modtagerlandet, i alt væsentligt alle andre udviklingslande og deltagerne, eller omfatter fremgangsmåder, som DAC eller deltagerne anser for at svare til en sådan binding</w:t>
      </w:r>
    </w:p>
    <w:p>
      <w:pPr>
        <w:pStyle w:val="Point1"/>
        <w:rPr>
          <w:rFonts w:eastAsia="Batang"/>
          <w:noProof/>
          <w:sz w:val="22"/>
        </w:rPr>
      </w:pPr>
      <w:r>
        <w:rPr>
          <w:noProof/>
          <w:sz w:val="22"/>
        </w:rPr>
        <w:t>q)</w:t>
      </w:r>
      <w:r>
        <w:rPr>
          <w:noProof/>
        </w:rPr>
        <w:tab/>
      </w:r>
      <w:r>
        <w:rPr>
          <w:b/>
          <w:noProof/>
          <w:sz w:val="22"/>
        </w:rPr>
        <w:t>ubunden bistand</w:t>
      </w:r>
      <w:r>
        <w:rPr>
          <w:noProof/>
          <w:sz w:val="22"/>
        </w:rPr>
        <w:t>: bistand, som omfatter lån eller gavebistand, der med deres fulde beløb står frit til rådighed til finansiering af indkøb fra et hvilket som helst land</w:t>
      </w:r>
    </w:p>
    <w:p>
      <w:pPr>
        <w:pStyle w:val="Point1"/>
        <w:rPr>
          <w:noProof/>
        </w:rPr>
      </w:pPr>
      <w:r>
        <w:rPr>
          <w:noProof/>
          <w:sz w:val="22"/>
        </w:rPr>
        <w:t>r)</w:t>
      </w:r>
      <w:r>
        <w:rPr>
          <w:noProof/>
        </w:rPr>
        <w:tab/>
      </w:r>
      <w:r>
        <w:rPr>
          <w:b/>
          <w:noProof/>
          <w:sz w:val="22"/>
        </w:rPr>
        <w:t>vægtet gennemsnitlig løbetid</w:t>
      </w:r>
      <w:r>
        <w:rPr>
          <w:noProof/>
          <w:sz w:val="22"/>
        </w:rPr>
        <w:t xml:space="preserve">: den tid, det tager at afvikle halvdelen af kredittens hovedstol. Den beregnes som den sammenlagte tid (i år) mellem kredittens begyndelsestidspunkt og hver tilbagebetaling af hovedstol i forhold til den del af hovedstolen, der er tilbagebetalt på hvert tilbagebetalingstidspunkt. </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Et lands status for så vidt angår: 1) om det er et højindkomstland (som defineret af Verdensbanken på et årligt grundlag på basis af BNI pr.</w:t>
      </w:r>
      <w:r>
        <w:rPr>
          <w:i/>
        </w:rPr>
        <w:t xml:space="preserve"> </w:t>
      </w:r>
      <w:r>
        <w:t>indbygger), 2) medlemskab af OECD og 3) deltagelse i euroområdet, revideres årligt. Udpegelsen af et land i henhold til artikel 25, litra c), som et OECD-højindkomstland eller et højindkomstland i euroområdet samt tilbagetrækning af en sådan udpegelse sker først, når et lands indkomstklassificering (højindkomstland eller andet) er forblevet uændret i to på hinanden følgende år. En ændring i et lands udpegelse som et OECD-højindkomstland eller et højindkomstland i euroområdet samt tilbagetrækning af en sådan udpegelse i forbindelse med en ændring i OECD-medlemskab eller deltagelse i euroområdet sker straks på tidspunktet for den årlige revision af landenes status.</w:t>
      </w:r>
    </w:p>
  </w:footnote>
  <w:footnote w:id="2">
    <w:p>
      <w:pPr>
        <w:pStyle w:val="FootnoteText"/>
      </w:pPr>
      <w:r>
        <w:rPr>
          <w:rStyle w:val="FootnoteReference"/>
        </w:rPr>
        <w:footnoteRef/>
      </w:r>
      <w:r>
        <w:tab/>
        <w:t>For at blive klassificeret som en transaktion af asset-backed-typen skal der være en særligt højt prioriteret sikkerhedsstillelse i det finansierede aktiv og i tilfælde af en leasingstruktur: overdragelse og/eller særligt højt prioriteret sikkerhedsstillelse i forbindelse med leasingbetalingerne.</w:t>
      </w:r>
    </w:p>
  </w:footnote>
  <w:footnote w:id="3">
    <w:p>
      <w:pPr>
        <w:pStyle w:val="FootnoteText"/>
      </w:pPr>
      <w:r>
        <w:rPr>
          <w:rStyle w:val="FootnoteReference"/>
        </w:rPr>
        <w:footnoteRef/>
      </w:r>
      <w:r>
        <w:tab/>
        <w:t>For at blive klassificeret som en projektfinansieringstransaktion skal transaktionen opfylde de grundlæggende kriterier, der er fastlagt i tillæg 1 til bilag VI i arrangementet.</w:t>
      </w:r>
    </w:p>
  </w:footnote>
  <w:footnote w:id="4">
    <w:p>
      <w:pPr>
        <w:pStyle w:val="FootnoteText"/>
        <w:rPr>
          <w:sz w:val="18"/>
          <w:szCs w:val="18"/>
        </w:rPr>
      </w:pPr>
      <w:r>
        <w:rPr>
          <w:rStyle w:val="FootnoteReference"/>
        </w:rPr>
        <w:footnoteRef/>
      </w:r>
      <w:r>
        <w:tab/>
        <w:t xml:space="preserve">Uanset denne tærskel finder de relevante bestemmelser for deltagelse i kommercielle minimumslån til transaktioner i markedsbenchmarklande, som benytter betingelserne i bilag V (jernbane) eller bilag VI (projektfinansiering), anvendelse ifølge de pågældende bilag. </w:t>
      </w:r>
    </w:p>
  </w:footnote>
  <w:footnote w:id="5">
    <w:p>
      <w:pPr>
        <w:pStyle w:val="FootnoteText"/>
      </w:pPr>
      <w:r>
        <w:rPr>
          <w:rStyle w:val="FootnoteReference"/>
        </w:rPr>
        <w:footnoteRef/>
      </w:r>
      <w:r>
        <w:tab/>
        <w:t xml:space="preserve">Denne del af 25 %-kriteriet kan opfyldes, når den ikkepekuniære betalingsdel af en transaktion, som involverer en enkelt bank, der modtager ECA-dækning, omfatter en udækket del på mindst 25 %. Sådanne transaktioner skal opfylde alle de øvrige kriterier i afsnit 1, herunder </w:t>
      </w:r>
      <w:r>
        <w:rPr>
          <w:i/>
        </w:rPr>
        <w:t>pari passu</w:t>
      </w:r>
      <w:r>
        <w:t xml:space="preserve">-bestemmelserne i dette led. </w:t>
      </w:r>
    </w:p>
  </w:footnote>
  <w:footnote w:id="6">
    <w:p>
      <w:pPr>
        <w:pStyle w:val="FootnoteText"/>
      </w:pPr>
      <w:r>
        <w:rPr>
          <w:rStyle w:val="FootnoteReference"/>
        </w:rPr>
        <w:footnoteRef/>
      </w:r>
      <w:r>
        <w:tab/>
        <w:t>Sekretariatet skal udarbejde og vedligeholde en liste over sådanne akkrediterede kreditvurderingsbureauer.</w:t>
      </w:r>
    </w:p>
  </w:footnote>
  <w:footnote w:id="7">
    <w:p>
      <w:pPr>
        <w:pStyle w:val="FootnoteText"/>
      </w:pPr>
      <w:r>
        <w:rPr>
          <w:rStyle w:val="FootnoteReference"/>
        </w:rPr>
        <w:footnoteRef/>
      </w:r>
      <w:r>
        <w:tab/>
        <w:t xml:space="preserve">Når debitoren/garanten vurderes af mere end ét akkrediteret CRA, er CRA-vurderingen den bedste tilgængelige kreditvurdering vedrørende udenlandsk valuta på et ikke-efterstillet, usikret grundlag for debitor (eller garant). </w:t>
      </w:r>
    </w:p>
  </w:footnote>
  <w:footnote w:id="8">
    <w:p>
      <w:pPr>
        <w:pStyle w:val="FootnoteText"/>
      </w:pPr>
      <w:r>
        <w:rPr>
          <w:rStyle w:val="FootnoteReference"/>
        </w:rPr>
        <w:footnoteRef/>
      </w:r>
      <w:r>
        <w:tab/>
        <w:t>I tilfælde af at den relevante navnespecifikke markedsprisenhed ikke er vurderet af et akkrediteret CRA, skal markedsprisen anses for at ligge under den tilsvarende TCMB-sats og skal være omfattet af forhåndsmeddelelse i henhold til artikel 48.</w:t>
      </w:r>
    </w:p>
  </w:footnote>
  <w:footnote w:id="9">
    <w:p>
      <w:pPr>
        <w:pStyle w:val="FootnoteText"/>
      </w:pPr>
      <w:r>
        <w:rPr>
          <w:rStyle w:val="FootnoteReference"/>
        </w:rPr>
        <w:footnoteRef/>
      </w:r>
      <w:r>
        <w:tab/>
        <w:t>De præmiesatser, der opkræves for transaktioner med garanti fra tredjepart fra en debitor i et OECD-højindkomstland eller et højindkomstland i euroområdet, er underlagt de krav, som er fastlagt i artikel 24, litra c).</w:t>
      </w:r>
    </w:p>
  </w:footnote>
  <w:footnote w:id="10">
    <w:p>
      <w:pPr>
        <w:pStyle w:val="FootnoteText"/>
      </w:pPr>
      <w:r>
        <w:rPr>
          <w:rStyle w:val="FootnoteReference"/>
        </w:rPr>
        <w:footnoteRef/>
      </w:r>
      <w:r>
        <w:tab/>
        <w:t>Er der tale om en garanti fra tredjepart, skal den relevante klassificering af landerisiko og køberrisikokategori vedrøre den samme enhed,</w:t>
      </w:r>
      <w:r>
        <w:rPr>
          <w:i/>
        </w:rPr>
        <w:t xml:space="preserve"> </w:t>
      </w:r>
      <w:r>
        <w:t>dvs. enten kreditor eller garant.</w:t>
      </w:r>
    </w:p>
  </w:footnote>
  <w:footnote w:id="11">
    <w:p>
      <w:pPr>
        <w:pStyle w:val="FootnoteText"/>
      </w:pPr>
      <w:r>
        <w:rPr>
          <w:rStyle w:val="FootnoteReference"/>
        </w:rPr>
        <w:footnoteRef/>
      </w:r>
      <w:r>
        <w:tab/>
        <w:t>Af administrative årsager klassificeres visse lande, som er berettiget til at blive klassificeret i en af de otte landerisikokategorier, ikke, hvis de som hovedregel ikke modtager offentligt støttede eksportkreditter. For sådanne ikke-klassificerede lande kan deltagerne frit anvende den landerisikoklassificering, de finder passende.</w:t>
      </w:r>
    </w:p>
  </w:footnote>
  <w:footnote w:id="12">
    <w:p>
      <w:pPr>
        <w:pStyle w:val="FootnoteText"/>
      </w:pPr>
      <w:r>
        <w:rPr>
          <w:rStyle w:val="FootnoteReference"/>
        </w:rPr>
        <w:footnoteRef/>
      </w:r>
      <w:r>
        <w:tab/>
        <w:t>Reglerne for klassificering af købere skal forstås således, at de fastsætter den mest fordelagtige klassificering, der kan anvendes,</w:t>
      </w:r>
      <w:r>
        <w:rPr>
          <w:i/>
        </w:rPr>
        <w:t xml:space="preserve"> </w:t>
      </w:r>
      <w:r>
        <w:t xml:space="preserve">f.eks. kan en statslig køber gives en mindre fordelagtig klassificering af køberrisiko. </w:t>
      </w:r>
    </w:p>
  </w:footnote>
  <w:footnote w:id="13">
    <w:p>
      <w:pPr>
        <w:pStyle w:val="FootnoteText"/>
      </w:pPr>
      <w:r>
        <w:rPr>
          <w:rStyle w:val="FootnoteReference"/>
        </w:rPr>
        <w:footnoteRef/>
      </w:r>
      <w:r>
        <w:tab/>
        <w:t>De MPR, der tilknyttes køberrisikokategorien "bedre end statslig" (SOV+) er 10 % lavere end de MPR, der tilknyttes køberrisikokategorien (CC0) for statslige låntagere.</w:t>
      </w:r>
    </w:p>
  </w:footnote>
  <w:footnote w:id="14">
    <w:p>
      <w:pPr>
        <w:pStyle w:val="FootnoteText"/>
      </w:pPr>
      <w:r>
        <w:rPr>
          <w:rStyle w:val="FootnoteReference"/>
        </w:rPr>
        <w:footnoteRef/>
      </w:r>
      <w:r>
        <w:tab/>
        <w:t>Er en ikkestatslig låntager vurderet af mere end ét akkrediteret kreditvurderingsbureau, kræves der kun underretning, såfremt køberrisikovurderingen er gunstigere end den gunstigste CRA-vurdering.</w:t>
      </w:r>
    </w:p>
  </w:footnote>
  <w:footnote w:id="15">
    <w:p>
      <w:pPr>
        <w:pStyle w:val="FootnoteText"/>
      </w:pPr>
      <w:r>
        <w:rPr>
          <w:rStyle w:val="FootnoteReference"/>
        </w:rPr>
        <w:footnoteRef/>
      </w:r>
      <w:r>
        <w:tab/>
        <w:t>Hvad angår køberrisiko, klassificeres multilaterale og regionale institutioner i køberrisikokategori SOV/CC0.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FF29B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14ED9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8A6A7B6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E6C38C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9EE36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754767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B1E606E"/>
    <w:lvl w:ilvl="0">
      <w:start w:val="1"/>
      <w:numFmt w:val="decimal"/>
      <w:pStyle w:val="ListNumber"/>
      <w:lvlText w:val="%1."/>
      <w:lvlJc w:val="left"/>
      <w:pPr>
        <w:tabs>
          <w:tab w:val="num" w:pos="360"/>
        </w:tabs>
        <w:ind w:left="360" w:hanging="360"/>
      </w:pPr>
    </w:lvl>
  </w:abstractNum>
  <w:abstractNum w:abstractNumId="7">
    <w:nsid w:val="FFFFFF89"/>
    <w:multiLevelType w:val="singleLevel"/>
    <w:tmpl w:val="43987DF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lvlOverride w:ilvl="0">
      <w:startOverride w:val="1"/>
    </w:lvlOverride>
  </w:num>
  <w:num w:numId="6">
    <w:abstractNumId w:val="20"/>
    <w:lvlOverride w:ilvl="0">
      <w:startOverride w:val="1"/>
    </w:lvlOverride>
  </w:num>
  <w:num w:numId="7">
    <w:abstractNumId w:val="11"/>
    <w:lvlOverride w:ilvl="0">
      <w:startOverride w:val="1"/>
    </w:lvlOverride>
  </w:num>
  <w:num w:numId="8">
    <w:abstractNumId w:val="6"/>
  </w:num>
  <w:num w:numId="9">
    <w:abstractNumId w:val="2"/>
  </w:num>
  <w:num w:numId="10">
    <w:abstractNumId w:val="1"/>
  </w:num>
  <w:num w:numId="11">
    <w:abstractNumId w:val="0"/>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hideSpellingErrors/>
  <w:hideGrammaticalErrors/>
  <w:attachedTemplate r:id="rId1"/>
  <w:revisionView w:markup="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6 08:10: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til"/>
    <w:docVar w:name="LW_ACCOMPAGNANT.CP" w:val="til"/>
    <w:docVar w:name="LW_ANNEX_NBR_FIRST" w:val="1"/>
    <w:docVar w:name="LW_ANNEX_NBR_LAST" w:val="1"/>
    <w:docVar w:name="LW_CONFIDENCE" w:val=" "/>
    <w:docVar w:name="LW_CONST_RESTREINT_UE" w:val="RESTREINT UE"/>
    <w:docVar w:name="LW_CORRIGENDUM" w:val="&lt;UNUSED&gt;"/>
    <w:docVar w:name="LW_COVERPAGE_GUID" w:val="DCC69556A06F4C2CA24992002290C663"/>
    <w:docVar w:name="LW_CROSSREFERENCE" w:val="&lt;UNUSED&gt;"/>
    <w:docVar w:name="LW_DocType" w:val="ANNEX"/>
    <w:docVar w:name="LW_EMISSION" w:val="8.12.2016"/>
    <w:docVar w:name="LW_EMISSION_ISODATE" w:val="2016-12-08"/>
    <w:docVar w:name="LW_EMISSION_LOCATION" w:val="BRX"/>
    <w:docVar w:name="LW_EMISSION_PREFIX" w:val="Bruxelles, den"/>
    <w:docVar w:name="LW_EMISSION_SUFFIX" w:val=" "/>
    <w:docVar w:name="LW_ID_DOCSTRUCTURE" w:val="COM/ANNEX"/>
    <w:docVar w:name="LW_ID_DOCTYPE" w:val="SG-017"/>
    <w:docVar w:name="LW_LANGUE" w:val="DA"/>
    <w:docVar w:name="LW_MARKING" w:val="&lt;UNUSED&gt;"/>
    <w:docVar w:name="LW_NOM.INST" w:val="EUROPA-KOMMISSIONEN"/>
    <w:docVar w:name="LW_NOM.INST_JOINTDOC" w:val="&lt;EMPTY&gt;"/>
    <w:docVar w:name="LW_OBJETACTEPRINCIPAL" w:val="om den holdning, Unionen skal indtage i arbejdsgruppen for deltagerne i OECD-arrangementet om offentligt støttede eksportkreditter med hensyn til regler for værdiansættelse i henhold til markedsbenchmarks"/>
    <w:docVar w:name="LW_OBJETACTEPRINCIPAL.CP" w:val="om den holdning, Unionen skal indtage i arbejdsgruppen for deltagerne i OECD-arrangementet om offentligt støttede eksportkreditter med hensyn til regler for værdiansættelse i henhold til markedsbenchmarks"/>
    <w:docVar w:name="LW_PART_NBR" w:val="1"/>
    <w:docVar w:name="LW_PART_NBR_TOTAL" w:val="1"/>
    <w:docVar w:name="LW_REF.INST.NEW" w:val="COM"/>
    <w:docVar w:name="LW_REF.INST.NEW_ADOPTED" w:val="final"/>
    <w:docVar w:name="LW_REF.INST.NEW_TEXT" w:val="(2016) 779"/>
    <w:docVar w:name="LW_REF.INTERNE" w:val="&lt;UNUSED&gt;"/>
    <w:docVar w:name="LW_SUPERTITRE" w:val="&lt;UNUSED&gt;"/>
    <w:docVar w:name="LW_TITRE.OBJ.CP" w:val="&lt;UNUSED&gt;"/>
    <w:docVar w:name="LW_TYPE.DOC" w:val="ANNEX"/>
    <w:docVar w:name="LW_TYPE.DOC.CP" w:val="BILAG"/>
    <w:docVar w:name="LW_TYPEACTEPRINCIPAL" w:val="Forslag til Rådets afgørelse"/>
    <w:docVar w:name="LW_TYPEACTEPRINCIPAL.CP" w:val="Forslag til Rådets afgørels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106A8-70D4-42B8-9CEC-E78EB90B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19</Pages>
  <Words>5461</Words>
  <Characters>34681</Characters>
  <Application>Microsoft Office Word</Application>
  <DocSecurity>0</DocSecurity>
  <Lines>654</Lines>
  <Paragraphs>329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cp:lastPrinted>2016-11-25T11:22:00Z</cp:lastPrinted>
  <dcterms:created xsi:type="dcterms:W3CDTF">2016-11-28T15:00:00Z</dcterms:created>
  <dcterms:modified xsi:type="dcterms:W3CDTF">2016-12-06T07:10:00Z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