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82" w:rsidRDefault="00CC1D78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2ABE33C458C4E59A74582666E226332" style="width:450.75pt;height:333.75pt">
            <v:imagedata r:id="rId9" o:title=""/>
          </v:shape>
        </w:pict>
      </w:r>
    </w:p>
    <w:bookmarkEnd w:id="0"/>
    <w:p w:rsidR="00645082" w:rsidRDefault="00645082">
      <w:pPr>
        <w:spacing w:after="0"/>
        <w:rPr>
          <w:noProof/>
        </w:rPr>
        <w:sectPr w:rsidR="006450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645082" w:rsidRDefault="00CC1D78">
      <w:pPr>
        <w:pStyle w:val="Heading1"/>
        <w:numPr>
          <w:ilvl w:val="0"/>
          <w:numId w:val="0"/>
        </w:numPr>
        <w:spacing w:before="120"/>
        <w:ind w:left="360" w:hanging="360"/>
        <w:rPr>
          <w:noProof/>
        </w:rPr>
      </w:pPr>
      <w:r>
        <w:rPr>
          <w:noProof/>
        </w:rPr>
        <w:lastRenderedPageBreak/>
        <w:t>Bevezetés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 xml:space="preserve">Az energia mindennapi életünk elengedhetetlen eleme. Szükségünk van rá a fűtéshez, a </w:t>
      </w:r>
      <w:r>
        <w:rPr>
          <w:noProof/>
          <w:color w:val="000000"/>
        </w:rPr>
        <w:t>hűtéshez, a világításhoz és a helyváltoztatáshoz; fontos otthonaink, irodáink, munkahelyeink és az egész gazdaság működése szempontjából. Jelentősége miatt az energiához való hozzáférés politikailag érzékeny téma. Ez az egyik indoka a Bizottság által javas</w:t>
      </w:r>
      <w:r>
        <w:rPr>
          <w:noProof/>
          <w:color w:val="000000"/>
        </w:rPr>
        <w:t>olt energiaunió-stratégiának. Az energia ára szintén érzékeny kérdés. Az alacsony árak egyfelől előnyösek lehetnek – növelik vásárlóerőnket és életszínvonalunkat, valamint csökkentik vállalkozásaink költségeit, ezáltal fokozva versenyképességüket. Ugyanakk</w:t>
      </w:r>
      <w:r>
        <w:rPr>
          <w:noProof/>
          <w:color w:val="000000"/>
        </w:rPr>
        <w:t>or, mivel az energiát piaci úton szolgáltatják, az energiaszolgáltatóknak olyan árakra van szükségük, amelyek fedezik költségeiket, illetve a jövőbeli energiaszolgáltatás biztosítását szolgáló beruházások finanszírozását. A magas árak arra utaló jelek, hog</w:t>
      </w:r>
      <w:r>
        <w:rPr>
          <w:noProof/>
          <w:color w:val="000000"/>
        </w:rPr>
        <w:t>y csökkenteni kell a magas szén-dioxid</w:t>
      </w:r>
      <w:r>
        <w:rPr>
          <w:noProof/>
        </w:rPr>
        <w:noBreakHyphen/>
      </w:r>
      <w:r>
        <w:rPr>
          <w:noProof/>
          <w:color w:val="000000"/>
        </w:rPr>
        <w:t>kibocsátású energia felhasználását, vagy hogy ösztönözni kell az energiahatékonyságot és az innovatív ökológiai tervezésű termékek és tiszta technológiák használatát.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 energiaárak és energiaköltségek történetét jele</w:t>
      </w:r>
      <w:r>
        <w:rPr>
          <w:noProof/>
          <w:color w:val="000000"/>
        </w:rPr>
        <w:t>ntős változások és jelentős hatások jellemzik. Az 1970-es és az 1980-as években az olajszállítók korlátozásai megnövelték az árakat és gazdasági megrázkódtatásokat okoztak. A közelmúltban az új energiaellátási csatornák és az alternatív energiaforrások egy</w:t>
      </w:r>
      <w:r>
        <w:rPr>
          <w:noProof/>
          <w:color w:val="000000"/>
        </w:rPr>
        <w:t>re fokozódó igénybevétele bővítette a kínálatot, miközben az energiahatékonyságot szolgáló intézkedések és az alacsony növekedés csökkentették a keresletet és lenyomták a nagykereskedelmi árakat. Az EU azt állapította meg, hogy minél versengőbb és likvideb</w:t>
      </w:r>
      <w:r>
        <w:rPr>
          <w:noProof/>
          <w:color w:val="000000"/>
        </w:rPr>
        <w:t>b az energiapiac, annál változatosabb és nagyobb számú energiaforrást és szolgáltatást tudunk elérni, és annál kevésbé vagyunk kitéve az ilyen ingadozásnak.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 Európai Bizottság 2014-ben terjesztette elő első jelentését az energiaárakról és költségekről.</w:t>
      </w:r>
      <w:r>
        <w:rPr>
          <w:rStyle w:val="FootnoteReference"/>
          <w:noProof/>
          <w:color w:val="000000"/>
        </w:rPr>
        <w:footnoteReference w:id="1"/>
      </w:r>
      <w:r>
        <w:rPr>
          <w:noProof/>
          <w:color w:val="000000"/>
        </w:rPr>
        <w:t xml:space="preserve"> </w:t>
      </w:r>
      <w:r>
        <w:rPr>
          <w:noProof/>
          <w:color w:val="000000"/>
        </w:rPr>
        <w:t>Ez globálisan magas energiaárakról számolt be, azzal, hogy az árak jelentősen eltérnek az uniós tagállamok között, és érzékelhetően magasabbak Európában, mint nemzetközi kereskedelmi partnereinél, különösen az Egyesült Államokban. A kiskereskedelmi árak jo</w:t>
      </w:r>
      <w:r>
        <w:rPr>
          <w:noProof/>
          <w:color w:val="000000"/>
        </w:rPr>
        <w:t>bban nőttek, mint a nagykereskedelmi árak, a hálózati árösszetevő, illetve az adók és díjak növekedése miatt. Az adatok hiányosságai miatt született meg az arra vonatkozó ajánlás, hogy fokozni kell az energiaárakkal kapcsolatos adatok részletességét, átlát</w:t>
      </w:r>
      <w:r>
        <w:rPr>
          <w:noProof/>
          <w:color w:val="000000"/>
        </w:rPr>
        <w:t>hatóságát, illetve az adatgyűjtés következetességét</w:t>
      </w:r>
      <w:r>
        <w:rPr>
          <w:rStyle w:val="FootnoteReference"/>
          <w:noProof/>
          <w:color w:val="000000"/>
        </w:rPr>
        <w:footnoteReference w:id="2"/>
      </w:r>
      <w:r>
        <w:rPr>
          <w:noProof/>
          <w:color w:val="000000"/>
        </w:rPr>
        <w:t>. A jelentés szakpolitikai következtetései szerint az ismertetett adatok és bizonyítékok az energia belső piacának részleges fejlődését mutatták, valamint azt támasztották alá, hogy további intézkedésekre</w:t>
      </w:r>
      <w:r>
        <w:rPr>
          <w:noProof/>
          <w:color w:val="000000"/>
        </w:rPr>
        <w:t xml:space="preserve"> van szükség Európa energiahatékonyságának, illetve az alacsony szén-dioxid</w:t>
      </w:r>
      <w:r>
        <w:rPr>
          <w:noProof/>
        </w:rPr>
        <w:noBreakHyphen/>
      </w:r>
      <w:r>
        <w:rPr>
          <w:noProof/>
          <w:color w:val="000000"/>
        </w:rPr>
        <w:t xml:space="preserve">kibocsátású energia biztonságának és diverzitásának fokozása érdekében. </w:t>
      </w:r>
      <w:r>
        <w:rPr>
          <w:noProof/>
        </w:rPr>
        <w:t xml:space="preserve">Az energiaunió-keretstratégia és ütemterve határozzák meg e munka előmozdításának kétéves keretét, 2016-tól </w:t>
      </w:r>
      <w:r>
        <w:rPr>
          <w:noProof/>
        </w:rPr>
        <w:t>kezdődően.</w:t>
      </w:r>
      <w:r>
        <w:rPr>
          <w:rStyle w:val="FootnoteReference"/>
          <w:noProof/>
          <w:color w:val="000000"/>
        </w:rPr>
        <w:footnoteReference w:id="3"/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Ez a második jelentés számos módon teszi naprakésszé az elemzést. Először, a tagállamok statisztikai hivatalaival végzett kiterjedt eseti adatgyűjtés eredményeként az energiaárakkal kapcsolatos adatok minősége jelentős mértékben javult, így a l</w:t>
      </w:r>
      <w:r>
        <w:rPr>
          <w:noProof/>
          <w:color w:val="000000"/>
        </w:rPr>
        <w:t>evonható következtetések még részletesebbek és egyértelműbbek. Az adatokat tovább frissítették, így az elérhető legnaprakészebb képet mutatják az energiaárak állását illetően a villamos energia, a gáz és a kőolajtermékek ágazataiban. Ezenkívül javult az ös</w:t>
      </w:r>
      <w:r>
        <w:rPr>
          <w:noProof/>
          <w:color w:val="000000"/>
        </w:rPr>
        <w:t>szesített adatok és az esettanulmányokra vonatkozó adatok elemzése, ami lehetővé teszi számunkra, hogy mélyebben feltárjuk az energiaárakkal kapcsolatos trendeket és hatásokat, mind a háztartások (különösen az alacsony jövedelemmel rendelkező háztartások),</w:t>
      </w:r>
      <w:r>
        <w:rPr>
          <w:noProof/>
          <w:color w:val="000000"/>
        </w:rPr>
        <w:t xml:space="preserve"> mind az ipar (különösen az energiaigényes iparágak) tekintetében. Az </w:t>
      </w:r>
      <w:r>
        <w:rPr>
          <w:i/>
          <w:noProof/>
          <w:color w:val="000000"/>
        </w:rPr>
        <w:t>energiaköltségek</w:t>
      </w:r>
      <w:r>
        <w:rPr>
          <w:noProof/>
          <w:color w:val="000000"/>
        </w:rPr>
        <w:t xml:space="preserve"> vizsgálata segítséget nyújt annak megértésében is, hogy miként tudunk reagálni az energiaárakra, gyakran az energia hatékonyabb felhasználása révén. </w:t>
      </w:r>
      <w:r>
        <w:rPr>
          <w:noProof/>
          <w:color w:val="000000"/>
        </w:rPr>
        <w:lastRenderedPageBreak/>
        <w:t>A jelentés a csatolt</w:t>
      </w:r>
      <w:r>
        <w:rPr>
          <w:noProof/>
          <w:color w:val="000000"/>
        </w:rPr>
        <w:t xml:space="preserve"> munkadokumentumban található, illetve a Bizottság részéről készített tanulmányokban szereplő bizonyítékokra épül.</w:t>
      </w:r>
    </w:p>
    <w:p w:rsidR="00645082" w:rsidRDefault="00CC1D78">
      <w:pPr>
        <w:spacing w:before="0" w:after="200"/>
        <w:jc w:val="left"/>
        <w:rPr>
          <w:noProof/>
          <w:color w:val="000000"/>
        </w:rPr>
      </w:pPr>
      <w:r>
        <w:rPr>
          <w:noProof/>
        </w:rPr>
        <w:br w:type="page"/>
      </w:r>
    </w:p>
    <w:p w:rsidR="00645082" w:rsidRDefault="00CC1D78">
      <w:pPr>
        <w:pStyle w:val="Heading1"/>
        <w:spacing w:before="120"/>
        <w:rPr>
          <w:noProof/>
        </w:rPr>
      </w:pPr>
      <w:r>
        <w:rPr>
          <w:noProof/>
        </w:rPr>
        <w:t>Az uniós energiaimport költsége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 importált energia jelentős aránya miatt az árak és energiafogyasztásunk hatása erőteljesen megjelenik az</w:t>
      </w:r>
      <w:r>
        <w:rPr>
          <w:noProof/>
          <w:color w:val="000000"/>
        </w:rPr>
        <w:t xml:space="preserve"> EU fosszilistüzelőanyag-importjának költségeiben. Ez mutatja, hogy mennyire ki van szolgáltatva az Unió gazdasága az energiaárak globális trendjeinek, valamint emlékeztet bennünket arra, hogy ahhoz, hogy csökkenthessük importköltségeinket, mérsékelnünk ke</w:t>
      </w:r>
      <w:r>
        <w:rPr>
          <w:noProof/>
          <w:color w:val="000000"/>
        </w:rPr>
        <w:t>ll fosszilistüzelőanyag-fogyasztásunkat a fokozott energiahatékonyság és a költséghatékony belső alternatív energiaforrások révén.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 energiaimport költsége a 2005-ös 238 milliárd EUR-ról 2013-ra 403 milliárd EUR-ra nőtt. Az energetikai termékek árai csökk</w:t>
      </w:r>
      <w:r>
        <w:rPr>
          <w:noProof/>
          <w:color w:val="000000"/>
        </w:rPr>
        <w:t>enéseinek és a fogyasztás visszaesésének eredményeként ez az összeg 2015-ben 261 milliárd EUR-ra csökkent, mintegy 35%-kal a 2013-as szint alá. Az árak esése volt a csökkenés fő tényezője, mivel annak ellenére, hogy mindhárom fosszilis tüzelőanyag fogyaszt</w:t>
      </w:r>
      <w:r>
        <w:rPr>
          <w:noProof/>
          <w:color w:val="000000"/>
        </w:rPr>
        <w:t>ása csökken, e tüzelőanyagok uniós termelése is egyre kisebb lett, így a nettó import (és az EU fosszilistüzelőanyag</w:t>
      </w:r>
      <w:r>
        <w:rPr>
          <w:noProof/>
        </w:rPr>
        <w:noBreakHyphen/>
      </w:r>
      <w:r>
        <w:rPr>
          <w:noProof/>
          <w:color w:val="000000"/>
        </w:rPr>
        <w:t>importtól való függősége) fokozódott.</w:t>
      </w: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1. ábra:</w:t>
      </w:r>
      <w:r>
        <w:rPr>
          <w:noProof/>
        </w:rPr>
        <w:tab/>
      </w:r>
      <w:r>
        <w:rPr>
          <w:b/>
          <w:noProof/>
          <w:color w:val="000000"/>
        </w:rPr>
        <w:t>Az EU fosszilistüzelőanyag</w:t>
      </w:r>
      <w:r>
        <w:rPr>
          <w:noProof/>
        </w:rPr>
        <w:noBreakHyphen/>
      </w:r>
      <w:r>
        <w:rPr>
          <w:b/>
          <w:noProof/>
          <w:color w:val="000000"/>
        </w:rPr>
        <w:t>importjának becsült költsége</w:t>
      </w: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831840" cy="3232174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23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 xml:space="preserve">Forrás: A Bizottság saját </w:t>
      </w:r>
      <w:r>
        <w:rPr>
          <w:noProof/>
          <w:color w:val="000000"/>
          <w:sz w:val="16"/>
        </w:rPr>
        <w:t>számítása</w:t>
      </w:r>
    </w:p>
    <w:p w:rsidR="00645082" w:rsidRDefault="00645082">
      <w:pPr>
        <w:spacing w:before="0" w:after="0"/>
        <w:rPr>
          <w:noProof/>
          <w:color w:val="000000"/>
        </w:rPr>
      </w:pPr>
    </w:p>
    <w:p w:rsidR="00645082" w:rsidRDefault="00CC1D78">
      <w:pPr>
        <w:spacing w:before="0" w:after="0"/>
        <w:rPr>
          <w:noProof/>
        </w:rPr>
      </w:pPr>
      <w:r>
        <w:rPr>
          <w:noProof/>
          <w:color w:val="000000"/>
        </w:rPr>
        <w:t xml:space="preserve">Valamennyi fosszilis tüzelőanyag ára csökkent (legfőképpen az olajé). </w:t>
      </w:r>
      <w:r>
        <w:rPr>
          <w:noProof/>
        </w:rPr>
        <w:t>Ennek oka a kínálat növekedése (az USA-ból származó olajpala és palagáz, a kanadai olajhomok, a jelentős OPEC termelés, a megnövekedett globális gáz- [beleértve a cseppfolyósí</w:t>
      </w:r>
      <w:r>
        <w:rPr>
          <w:noProof/>
        </w:rPr>
        <w:t>tott földgázt is] és szénkitermelés), valamint az alacsonyabb kereslet (lassabb globális növekedés, különösen Kínában, de a keresleti oldal olyan strukturális változásai is, mint az épületek és gépjárművek energiahatékonyságát célzó szakpolitikáknak köszön</w:t>
      </w:r>
      <w:r>
        <w:rPr>
          <w:noProof/>
        </w:rPr>
        <w:t>hető energiahatékonyság-növekedés vagy az alternatív tüzelőanyagok térnyerése a lakásszektorban és a közlekedés területén).</w:t>
      </w:r>
    </w:p>
    <w:p w:rsidR="00CC1D78" w:rsidRDefault="00CC1D78">
      <w:pPr>
        <w:spacing w:after="0"/>
        <w:rPr>
          <w:noProof/>
        </w:rPr>
      </w:pPr>
      <w:r>
        <w:rPr>
          <w:noProof/>
        </w:rPr>
        <w:t>Ahogy csökkent az importált fosszilis tüzelőanyagok ára a benzinkutakon, úgy nőtt a háztartások rendelkezésére álló jövedelem. Hason</w:t>
      </w:r>
      <w:r>
        <w:rPr>
          <w:noProof/>
        </w:rPr>
        <w:t>ló hatások figyelhetők meg számos ágazatban, többek között a közlekedésben és az energiaigényes iparágakban. A folyamatosan visszafogott gazdasági növekedés időszakában ez egyszeri lökést adott az EU gazdaságának, amelynek hatását 2015-ben 0,8%-os, 2016-ba</w:t>
      </w:r>
      <w:r>
        <w:rPr>
          <w:noProof/>
        </w:rPr>
        <w:t>n pedig 0,5%-os potenciális GDP növekedésnek megfelelő mértékűre becsülik.</w:t>
      </w:r>
      <w:r>
        <w:rPr>
          <w:rStyle w:val="FootnoteReference"/>
          <w:noProof/>
        </w:rPr>
        <w:footnoteReference w:id="4"/>
      </w:r>
    </w:p>
    <w:p w:rsidR="00CC1D78" w:rsidRDefault="00CC1D78" w:rsidP="00CC1D78">
      <w:pPr>
        <w:rPr>
          <w:noProof/>
        </w:rPr>
      </w:pPr>
      <w:r>
        <w:rPr>
          <w:noProof/>
        </w:rPr>
        <w:br w:type="page"/>
      </w:r>
    </w:p>
    <w:p w:rsidR="00645082" w:rsidRDefault="00CC1D78">
      <w:pPr>
        <w:pStyle w:val="Heading1"/>
        <w:spacing w:before="120"/>
        <w:ind w:left="567" w:hanging="567"/>
        <w:rPr>
          <w:noProof/>
        </w:rPr>
      </w:pPr>
      <w:r>
        <w:rPr>
          <w:noProof/>
        </w:rPr>
        <w:t>Villamosenergia-árak Európában</w:t>
      </w:r>
    </w:p>
    <w:p w:rsidR="00645082" w:rsidRDefault="00CC1D78">
      <w:pPr>
        <w:pStyle w:val="Heading2"/>
        <w:spacing w:before="120"/>
        <w:ind w:left="567" w:hanging="567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/>
          <w:noProof/>
          <w:color w:val="auto"/>
        </w:rPr>
        <w:t xml:space="preserve">2.1. </w:t>
      </w:r>
      <w:r>
        <w:rPr>
          <w:noProof/>
        </w:rPr>
        <w:tab/>
      </w:r>
      <w:r>
        <w:rPr>
          <w:rFonts w:ascii="Times New Roman" w:hAnsi="Times New Roman"/>
          <w:noProof/>
          <w:color w:val="auto"/>
        </w:rPr>
        <w:t>Nagykereskedelmi árak</w:t>
      </w:r>
    </w:p>
    <w:p w:rsidR="00645082" w:rsidRDefault="00CC1D78">
      <w:pPr>
        <w:spacing w:after="0"/>
        <w:rPr>
          <w:noProof/>
          <w:szCs w:val="24"/>
        </w:rPr>
      </w:pPr>
      <w:r>
        <w:rPr>
          <w:noProof/>
        </w:rPr>
        <w:t>A belső piac fejlődésének eredményeként a villamos energia európai nagykereskedelmi piacai jelentős változásokon estek á</w:t>
      </w:r>
      <w:r>
        <w:rPr>
          <w:noProof/>
        </w:rPr>
        <w:t>t az elmúlt években. A villamos energia nagykereskedelmi tőzsdéi szinte valamennyi tagállamban kialakultak, hogy utat nyissanak a másnapi, határidős és napon belüli kereskedelemnek. A rugalmas és likvid piacok lehetővé tehetik a kínálat és a kereslet haték</w:t>
      </w:r>
      <w:r>
        <w:rPr>
          <w:noProof/>
        </w:rPr>
        <w:t>onyabb összekapcsolását, ami csökkenti az előállítási költségeket és ezáltal az árakat. A legérettebb piacokon az ilyen ügyleteknek kell meghatározniuk a tőzsdén kívüli kétoldalú szerződéses árakat is.</w:t>
      </w:r>
    </w:p>
    <w:p w:rsidR="00645082" w:rsidRDefault="00CC1D78">
      <w:pPr>
        <w:spacing w:after="0"/>
        <w:rPr>
          <w:noProof/>
          <w:szCs w:val="24"/>
        </w:rPr>
      </w:pPr>
      <w:r>
        <w:rPr>
          <w:noProof/>
        </w:rPr>
        <w:t>Ezek az elkülönült nemzeti nagykereskedelmi piacok fok</w:t>
      </w:r>
      <w:r>
        <w:rPr>
          <w:noProof/>
        </w:rPr>
        <w:t>ozatosan összekapcsolódnak a szomszédos piacokkal, és – az egyre nagyobb számban összekötött átviteli hálózatokkal együttesen – likvidebb és hatékonyabb piacokat alkotnak.</w:t>
      </w:r>
    </w:p>
    <w:p w:rsidR="00645082" w:rsidRDefault="00CC1D78">
      <w:pPr>
        <w:spacing w:after="0"/>
        <w:rPr>
          <w:noProof/>
          <w:szCs w:val="24"/>
        </w:rPr>
      </w:pPr>
      <w:r>
        <w:rPr>
          <w:noProof/>
        </w:rPr>
        <w:t xml:space="preserve"> Az árakra különböző tényezők hatnak, beleértve az energiaszerkezetet, a határokon á</w:t>
      </w:r>
      <w:r>
        <w:rPr>
          <w:noProof/>
        </w:rPr>
        <w:t>tnyúló összekötéseket, a piac</w:t>
      </w:r>
      <w:r>
        <w:rPr>
          <w:noProof/>
        </w:rPr>
        <w:noBreakHyphen/>
        <w:t>összekapcsolásokat, a piaci szolgáltatók koncentrációját és az időjárási körülményeket. Ehhez hasonlóan, a fogyasztói és az ipari kereslet, a keresletszabályozás, az energiahatékonyság és az időjárás befolyásolja a piac „keres</w:t>
      </w:r>
      <w:r>
        <w:rPr>
          <w:noProof/>
        </w:rPr>
        <w:t>leti oldalát”.</w:t>
      </w: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2. ábra:</w:t>
      </w:r>
      <w:r>
        <w:rPr>
          <w:noProof/>
        </w:rPr>
        <w:tab/>
      </w:r>
      <w:r>
        <w:rPr>
          <w:b/>
          <w:noProof/>
          <w:color w:val="000000"/>
        </w:rPr>
        <w:t>Az EU nagykereskedelmi villamosenergia-árainak trendjei</w:t>
      </w:r>
    </w:p>
    <w:p w:rsidR="00645082" w:rsidRDefault="00CC1D78">
      <w:pPr>
        <w:spacing w:after="0"/>
        <w:rPr>
          <w:noProof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831840" cy="3428379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42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>Forrás: Platts és európai energiatőzsdék</w:t>
      </w:r>
    </w:p>
    <w:p w:rsidR="00645082" w:rsidRDefault="00CC1D78">
      <w:pPr>
        <w:spacing w:after="0"/>
        <w:rPr>
          <w:noProof/>
          <w:szCs w:val="24"/>
        </w:rPr>
      </w:pPr>
      <w:r>
        <w:rPr>
          <w:noProof/>
        </w:rPr>
        <w:t>Az európai nagykereskedelmi villamosenergia-árak 2008 harmadik negyedévében tetőztek, és azóta egy rövid 2011-es emelkedéstől eltekin</w:t>
      </w:r>
      <w:r>
        <w:rPr>
          <w:noProof/>
        </w:rPr>
        <w:t>tve folyamatosan csökkennek. Az árak 2008 óta csaknem 70%-kal csökkentek, 2011 óta pedig 55%-kal,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és 2016-ban 12 éve nem tapasztalt szintre értek.</w:t>
      </w:r>
    </w:p>
    <w:p w:rsidR="00645082" w:rsidRDefault="00CC1D78">
      <w:pPr>
        <w:pStyle w:val="ListParagraph"/>
        <w:spacing w:before="120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 csökkent szén- és gázárak hatása más tényezőkkel együtt döntő befolyást gyakorol a villamosenergia-árakra:</w:t>
      </w:r>
    </w:p>
    <w:p w:rsidR="00645082" w:rsidRDefault="00CC1D78">
      <w:pPr>
        <w:pStyle w:val="ListParagraph"/>
        <w:numPr>
          <w:ilvl w:val="0"/>
          <w:numId w:val="9"/>
        </w:numPr>
        <w:spacing w:before="60"/>
        <w:ind w:left="426" w:hanging="42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 w:val="24"/>
        </w:rPr>
        <w:t>az ökonometriai elemzések azt mutatják, hogy a fosszilis tüzelőanyagok (szén, gáz és olaj) energiatermelésben képviselt arányának 1%-os emelkedésével egyidejűleg a regionális piactól függően 0,2–1,3 EUR/MWh-val nő a villamos energia nagykereskedelmi ára;</w:t>
      </w:r>
    </w:p>
    <w:p w:rsidR="00645082" w:rsidRDefault="00CC1D78">
      <w:pPr>
        <w:pStyle w:val="ListParagraph"/>
        <w:numPr>
          <w:ilvl w:val="0"/>
          <w:numId w:val="9"/>
        </w:numPr>
        <w:spacing w:before="60"/>
        <w:ind w:left="426" w:hanging="42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 w:val="24"/>
        </w:rPr>
        <w:t>piac</w:t>
      </w:r>
      <w:r>
        <w:rPr>
          <w:noProof/>
        </w:rPr>
        <w:noBreakHyphen/>
      </w:r>
      <w:r>
        <w:rPr>
          <w:rFonts w:ascii="Times New Roman" w:hAnsi="Times New Roman"/>
          <w:noProof/>
          <w:sz w:val="24"/>
        </w:rPr>
        <w:t>összekapcsolás: az egy vagy több összekapcsolt területben részt vevő országok esetében erősebb az árkonvergencia a szomszédos piacokkal, és ezekre alacsonyabb árkülönbség jellemző;</w:t>
      </w:r>
    </w:p>
    <w:p w:rsidR="00645082" w:rsidRDefault="00CC1D78">
      <w:pPr>
        <w:pStyle w:val="ListParagraph"/>
        <w:numPr>
          <w:ilvl w:val="0"/>
          <w:numId w:val="9"/>
        </w:numPr>
        <w:spacing w:before="60"/>
        <w:ind w:left="426" w:hanging="42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 w:val="24"/>
        </w:rPr>
        <w:t>növekvő összekapcsolási kapacitás: a 10% alatti összekapcsolhatósággal</w:t>
      </w:r>
      <w:r>
        <w:rPr>
          <w:rFonts w:ascii="Times New Roman" w:hAnsi="Times New Roman"/>
          <w:noProof/>
          <w:sz w:val="24"/>
        </w:rPr>
        <w:t xml:space="preserve"> rendelkező piacokon enyhén magasabbak voltak az árak, mint a 10% feletti összekapcsolhatósággal rendelkező piacokon. Ez rámutat arra, hogy fontos a belső villamosenergia-piac és a határokon átnyúló összekapcsolhatóság további fejlesztése;</w:t>
      </w:r>
    </w:p>
    <w:p w:rsidR="00645082" w:rsidRDefault="00CC1D78">
      <w:pPr>
        <w:pStyle w:val="ListParagraph"/>
        <w:numPr>
          <w:ilvl w:val="0"/>
          <w:numId w:val="9"/>
        </w:numPr>
        <w:spacing w:before="6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több piacon az a</w:t>
      </w:r>
      <w:r>
        <w:rPr>
          <w:rFonts w:ascii="Times New Roman" w:hAnsi="Times New Roman"/>
          <w:noProof/>
          <w:sz w:val="24"/>
        </w:rPr>
        <w:t>lacsony határköltségű nap</w:t>
      </w:r>
      <w:r>
        <w:rPr>
          <w:noProof/>
        </w:rPr>
        <w:noBreakHyphen/>
      </w:r>
      <w:r>
        <w:rPr>
          <w:rFonts w:ascii="Times New Roman" w:hAnsi="Times New Roman"/>
          <w:noProof/>
          <w:sz w:val="24"/>
        </w:rPr>
        <w:t xml:space="preserve"> és szélenergiából előállított villamos energia csökkenti a nagykereskedelmi árakat. Az ökonometriai elemzés arra utal, hogy a megújuló energiaforrások arányának minden 1 százalékpontos növekedése átlagosan 0,4 EUR/MWh-val csökken</w:t>
      </w:r>
      <w:r>
        <w:rPr>
          <w:rFonts w:ascii="Times New Roman" w:hAnsi="Times New Roman"/>
          <w:noProof/>
          <w:sz w:val="24"/>
        </w:rPr>
        <w:t>ti a nagykereskedelmi villamosenergia-árakat az EU-ban; a tényleges csökkenés a regionális piactól és attól a tüzelőanyag-forrástól is függ, amelyet a megújuló energiaforrások felváltanak. A megújuló energiaforrások hatása nagyobb (0,6</w:t>
      </w:r>
      <w:r>
        <w:rPr>
          <w:noProof/>
        </w:rPr>
        <w:noBreakHyphen/>
      </w:r>
      <w:r>
        <w:rPr>
          <w:rFonts w:ascii="Times New Roman" w:hAnsi="Times New Roman"/>
          <w:noProof/>
          <w:sz w:val="24"/>
        </w:rPr>
        <w:t>0,8 EUR/MWh) Északny</w:t>
      </w:r>
      <w:r>
        <w:rPr>
          <w:rFonts w:ascii="Times New Roman" w:hAnsi="Times New Roman"/>
          <w:noProof/>
          <w:sz w:val="24"/>
        </w:rPr>
        <w:t>ugat</w:t>
      </w:r>
      <w:r>
        <w:rPr>
          <w:noProof/>
        </w:rPr>
        <w:noBreakHyphen/>
      </w:r>
      <w:r>
        <w:rPr>
          <w:rFonts w:ascii="Times New Roman" w:hAnsi="Times New Roman"/>
          <w:noProof/>
          <w:sz w:val="24"/>
        </w:rPr>
        <w:t>Európában, a Baltikumban, valamint Közép- és Kelet-Európában;</w:t>
      </w:r>
    </w:p>
    <w:p w:rsidR="00645082" w:rsidRDefault="00CC1D78">
      <w:pPr>
        <w:pStyle w:val="ListParagraph"/>
        <w:numPr>
          <w:ilvl w:val="0"/>
          <w:numId w:val="9"/>
        </w:numPr>
        <w:spacing w:before="60"/>
        <w:ind w:left="426" w:hanging="42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 w:val="24"/>
        </w:rPr>
        <w:t>a visszafogott gazdasági növekedéshez kapcsolódó alacsonyabb kereslet, a kapacitások bővülésével együttesen többletkapacitást eredményezett több országban; valamint</w:t>
      </w:r>
    </w:p>
    <w:p w:rsidR="00645082" w:rsidRDefault="00CC1D78">
      <w:pPr>
        <w:pStyle w:val="ListParagraph"/>
        <w:numPr>
          <w:ilvl w:val="0"/>
          <w:numId w:val="9"/>
        </w:numPr>
        <w:spacing w:before="60"/>
        <w:ind w:left="426" w:hanging="42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 w:val="24"/>
        </w:rPr>
        <w:t>a CO</w:t>
      </w:r>
      <w:r>
        <w:rPr>
          <w:rFonts w:ascii="Times New Roman" w:hAnsi="Times New Roman"/>
          <w:noProof/>
          <w:sz w:val="24"/>
          <w:vertAlign w:val="subscript"/>
        </w:rPr>
        <w:t>2</w:t>
      </w:r>
      <w:r>
        <w:rPr>
          <w:rFonts w:ascii="Times New Roman" w:hAnsi="Times New Roman"/>
          <w:noProof/>
          <w:sz w:val="24"/>
        </w:rPr>
        <w:t>-kibocsátási egység</w:t>
      </w:r>
      <w:r>
        <w:rPr>
          <w:rFonts w:ascii="Times New Roman" w:hAnsi="Times New Roman"/>
          <w:noProof/>
          <w:sz w:val="24"/>
        </w:rPr>
        <w:t>ek iránti csökkent kereslet és a nemzetközi kreditek (CDM) erős kínálata jelentős többletet eredményezett a kibocsátáskereskedelmi piacon, minek folytán csökkentek a CO</w:t>
      </w:r>
      <w:r>
        <w:rPr>
          <w:rFonts w:ascii="Times New Roman" w:hAnsi="Times New Roman"/>
          <w:noProof/>
          <w:sz w:val="24"/>
          <w:vertAlign w:val="subscript"/>
        </w:rPr>
        <w:t>2</w:t>
      </w:r>
      <w:r>
        <w:rPr>
          <w:rFonts w:ascii="Times New Roman" w:hAnsi="Times New Roman"/>
          <w:noProof/>
          <w:sz w:val="24"/>
        </w:rPr>
        <w:t>-árak, ez pedig begyűrűzött a nagykereskedelmi árakba is.</w:t>
      </w:r>
    </w:p>
    <w:p w:rsidR="00645082" w:rsidRDefault="00CC1D78">
      <w:pPr>
        <w:pStyle w:val="Heading2"/>
        <w:spacing w:before="120"/>
        <w:ind w:left="567" w:hanging="567"/>
        <w:rPr>
          <w:b w:val="0"/>
          <w:noProof/>
          <w:color w:val="000000" w:themeColor="text1"/>
        </w:rPr>
      </w:pPr>
      <w:r>
        <w:rPr>
          <w:noProof/>
          <w:color w:val="000000" w:themeColor="text1"/>
        </w:rPr>
        <w:t xml:space="preserve">2.2. </w:t>
      </w:r>
      <w:r>
        <w:rPr>
          <w:noProof/>
        </w:rPr>
        <w:tab/>
      </w:r>
      <w:r>
        <w:rPr>
          <w:noProof/>
          <w:color w:val="000000" w:themeColor="text1"/>
        </w:rPr>
        <w:t>Kiskereskedelmi villamo</w:t>
      </w:r>
      <w:r>
        <w:rPr>
          <w:noProof/>
          <w:color w:val="000000" w:themeColor="text1"/>
        </w:rPr>
        <w:t>senergia-árak Európában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 tökéletesen versengő piacokon a nagykereskedelmi piacokon bekövetkező változások gyorsan és teljes körűen begyűrűznek a kiskereskedelmi piacokra. Európában azonban különböző tényezők korlátozzák ez a begyűrűzést.</w:t>
      </w:r>
      <w:r>
        <w:rPr>
          <w:rStyle w:val="FootnoteReference"/>
          <w:noProof/>
          <w:color w:val="000000"/>
        </w:rPr>
        <w:footnoteReference w:id="6"/>
      </w:r>
      <w:r>
        <w:rPr>
          <w:noProof/>
          <w:color w:val="000000"/>
        </w:rPr>
        <w:t xml:space="preserve"> Ezenfelül a kisk</w:t>
      </w:r>
      <w:r>
        <w:rPr>
          <w:noProof/>
          <w:color w:val="000000"/>
        </w:rPr>
        <w:t>ereskedelmi árak jelentős része adók és díjak, illetve szabályozott hálózati árak formáját öltő szabályozás eredménye.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b/>
          <w:noProof/>
        </w:rPr>
        <w:t>A villamos energia háztartási átlagára</w:t>
      </w:r>
      <w:r>
        <w:rPr>
          <w:rStyle w:val="FootnoteReference"/>
          <w:b/>
          <w:noProof/>
        </w:rPr>
        <w:footnoteReference w:id="7"/>
      </w:r>
      <w:r>
        <w:rPr>
          <w:b/>
          <w:noProof/>
        </w:rPr>
        <w:t xml:space="preserve"> 2015-ben 208,7</w:t>
      </w:r>
      <w:r>
        <w:rPr>
          <w:b/>
          <w:noProof/>
          <w:color w:val="000000"/>
        </w:rPr>
        <w:t> EUR</w:t>
      </w:r>
      <w:r>
        <w:rPr>
          <w:noProof/>
          <w:color w:val="000000"/>
        </w:rPr>
        <w:t>/</w:t>
      </w:r>
      <w:r>
        <w:rPr>
          <w:b/>
          <w:noProof/>
        </w:rPr>
        <w:t xml:space="preserve">MWh volt. </w:t>
      </w:r>
      <w:r>
        <w:rPr>
          <w:noProof/>
        </w:rPr>
        <w:t>A nagykereskedelmi árral ellentétben az átlagár évente átlagosan 3,2</w:t>
      </w:r>
      <w:r>
        <w:rPr>
          <w:noProof/>
        </w:rPr>
        <w:t xml:space="preserve">%-kal emelkedett 2008 és 2015 között. Annak érdekében, hogy jobban megérthessük az ezen trend mögötti mozgatórugókat, részletesen meg kell vizsgálni a különböző árösszetevőket. A 3. ábrán a villamos energia uniós súlyozott háztartási átlagárának alakulása </w:t>
      </w:r>
      <w:r>
        <w:rPr>
          <w:noProof/>
        </w:rPr>
        <w:t>szerepel, három fő tényezőjére bontva (energia, hálózat, valamint adók és díjak).</w:t>
      </w: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3. ábra:</w:t>
      </w:r>
      <w:r>
        <w:rPr>
          <w:noProof/>
        </w:rPr>
        <w:tab/>
      </w:r>
      <w:r>
        <w:rPr>
          <w:b/>
          <w:noProof/>
          <w:color w:val="000000"/>
        </w:rPr>
        <w:t>A villamos energia uniós háztartási kiskereskedelmi átlagárának összetevői</w:t>
      </w:r>
    </w:p>
    <w:p w:rsidR="00645082" w:rsidRDefault="00CC1D78">
      <w:pPr>
        <w:spacing w:after="0"/>
        <w:rPr>
          <w:b/>
          <w:noProof/>
          <w:color w:val="000000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419725" cy="20955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>Forrás: Tagállamok, bizottsági adatgyűjtés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 xml:space="preserve">Az </w:t>
      </w:r>
      <w:r>
        <w:rPr>
          <w:b/>
          <w:noProof/>
          <w:color w:val="000000"/>
        </w:rPr>
        <w:t>energia összetevő</w:t>
      </w:r>
      <w:r>
        <w:rPr>
          <w:noProof/>
          <w:color w:val="000000"/>
        </w:rPr>
        <w:t xml:space="preserve"> (az ár villamosenergia-kiskereskedő részére fizetett része) mértéke 2008-tól 2015-ig 15%-kal csökkent. Ez a nagykereskedelmi árak jelentős változásaival összehasonlítva csekély változás arra utal, hogy a kiskereskedelmi piacokon nem lehet teljesen hatékon</w:t>
      </w:r>
      <w:r>
        <w:rPr>
          <w:noProof/>
          <w:color w:val="000000"/>
        </w:rPr>
        <w:t>y a verseny. Az elemzés azt mutatja, hogy az energia összetevő hatását befolyásolja a piacon fennálló verseny mértéke, valamint a piaci árak szabályozása. Amennyiben szabályozzák a kiskereskedelmi árakat, azok – logikus módon – kevésbé reagálnak a nagykere</w:t>
      </w:r>
      <w:r>
        <w:rPr>
          <w:noProof/>
          <w:color w:val="000000"/>
        </w:rPr>
        <w:t>skedelmi árak csökkenésére (a változás mértéke és sebessége szempontjából is). Ezenfelül, az energia összetevő tagállamonkénti eltérésének mértéke 19%-kal csökkent 2008 és 2015 között, ami azt jelzi, hogy a belső piac fejlődése hatást gyakorolt a nagykeres</w:t>
      </w:r>
      <w:r>
        <w:rPr>
          <w:noProof/>
          <w:color w:val="000000"/>
        </w:rPr>
        <w:t>kedelmi árkonvergenciára, illetve az árkonvergencia kiskereskedelmi árakba való begyűrűzésére. Mindez összességében arra utal, hogy bár van valamilyen hatása a nagykereskedelmi árak változásának, az ár energia összetevője erősebben is reagálhatna a belső p</w:t>
      </w:r>
      <w:r>
        <w:rPr>
          <w:noProof/>
          <w:color w:val="000000"/>
        </w:rPr>
        <w:t>iacon.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 xml:space="preserve">Ahogy azonban a 3. ábrából kitűnik, az egyéb tényezőket jelentősebb változás érintette. A </w:t>
      </w:r>
      <w:r>
        <w:rPr>
          <w:b/>
          <w:noProof/>
          <w:color w:val="000000"/>
        </w:rPr>
        <w:t>hálózati összetevő</w:t>
      </w:r>
      <w:r>
        <w:rPr>
          <w:noProof/>
          <w:color w:val="000000"/>
        </w:rPr>
        <w:t xml:space="preserve"> mértéke évente átlagosan 3,3%-kal nőtt. Az </w:t>
      </w:r>
      <w:r>
        <w:rPr>
          <w:b/>
          <w:noProof/>
          <w:color w:val="000000"/>
        </w:rPr>
        <w:t>adók és díjak</w:t>
      </w:r>
      <w:r>
        <w:rPr>
          <w:noProof/>
          <w:color w:val="000000"/>
        </w:rPr>
        <w:t xml:space="preserve"> összetevő mértéke szintén jelentősen nőtt, az átlagárban képviselt részesedése pedi</w:t>
      </w:r>
      <w:r>
        <w:rPr>
          <w:noProof/>
          <w:color w:val="000000"/>
        </w:rPr>
        <w:t>g 28%-ról 38%-ra nőtt.</w:t>
      </w: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4. ábra:</w:t>
      </w:r>
      <w:r>
        <w:rPr>
          <w:noProof/>
        </w:rPr>
        <w:tab/>
      </w:r>
      <w:r>
        <w:rPr>
          <w:b/>
          <w:noProof/>
          <w:color w:val="000000"/>
        </w:rPr>
        <w:t>Nemzeti háztartási kiskereskedelmi villamosenergia-árak 2015-ben</w:t>
      </w:r>
    </w:p>
    <w:p w:rsidR="00645082" w:rsidRDefault="00CC1D78">
      <w:pPr>
        <w:spacing w:before="0" w:after="0"/>
        <w:rPr>
          <w:noProof/>
          <w:color w:val="000000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831840" cy="278148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78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>Forrás: Tagállamok, bizottsági adatgyűjtés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 Bizottság elemzése az adók és díjak összetevőt 10 alkomponensre</w:t>
      </w:r>
      <w:r>
        <w:rPr>
          <w:rStyle w:val="FootnoteReference"/>
          <w:noProof/>
          <w:color w:val="000000"/>
        </w:rPr>
        <w:footnoteReference w:id="8"/>
      </w:r>
      <w:r>
        <w:rPr>
          <w:noProof/>
          <w:color w:val="000000"/>
        </w:rPr>
        <w:t xml:space="preserve"> bontja, amelyekkel megpróbálja következetesen s</w:t>
      </w:r>
      <w:r>
        <w:rPr>
          <w:noProof/>
          <w:color w:val="000000"/>
        </w:rPr>
        <w:t>zemléltetni, illetve kezelni a tagállamok által a háztartási villamosenergia-árakra kivetett különböző adókat és díjakat. A díjakat meghatározott szakpolitikák támogatására szedik be, noha nem jelentik az adott szakpolitikára fordított valamennyi kormányza</w:t>
      </w:r>
      <w:r>
        <w:rPr>
          <w:noProof/>
          <w:color w:val="000000"/>
        </w:rPr>
        <w:t>ti kiadást. Az adókat rendszerint nem rendelik meghatározott szakpolitikákhoz.</w:t>
      </w:r>
    </w:p>
    <w:p w:rsidR="00645082" w:rsidRDefault="00645082">
      <w:pPr>
        <w:spacing w:after="0"/>
        <w:rPr>
          <w:noProof/>
          <w:color w:val="000000"/>
        </w:rPr>
      </w:pPr>
    </w:p>
    <w:p w:rsidR="00645082" w:rsidRDefault="00CC1D78">
      <w:pPr>
        <w:spacing w:before="0" w:after="0"/>
        <w:ind w:left="1134" w:hanging="1134"/>
        <w:jc w:val="left"/>
        <w:rPr>
          <w:b/>
          <w:noProof/>
          <w:color w:val="000000"/>
        </w:rPr>
      </w:pPr>
      <w:r>
        <w:rPr>
          <w:b/>
          <w:noProof/>
          <w:color w:val="000000"/>
        </w:rPr>
        <w:t>5. ábra:</w:t>
      </w:r>
      <w:r>
        <w:rPr>
          <w:noProof/>
        </w:rPr>
        <w:tab/>
      </w:r>
      <w:r>
        <w:rPr>
          <w:b/>
          <w:noProof/>
          <w:color w:val="000000"/>
        </w:rPr>
        <w:t>A villamosenergia-árak adók és díjak összetevőjének felbontása</w:t>
      </w:r>
    </w:p>
    <w:p w:rsidR="00645082" w:rsidRDefault="00CC1D78">
      <w:pPr>
        <w:spacing w:before="0" w:after="0"/>
        <w:rPr>
          <w:noProof/>
          <w:color w:val="000000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305425" cy="26574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b/>
          <w:noProof/>
          <w:color w:val="000000"/>
        </w:rPr>
      </w:pPr>
      <w:r>
        <w:rPr>
          <w:noProof/>
          <w:color w:val="000000"/>
          <w:sz w:val="16"/>
        </w:rPr>
        <w:t>Forrás: Tagállamok, bizottsági adatgyűjtés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</w:rPr>
        <w:t xml:space="preserve">A héa a legjelentősebb alkomponens, amely 2015-ben az adók </w:t>
      </w:r>
      <w:r>
        <w:rPr>
          <w:noProof/>
        </w:rPr>
        <w:t>és díjak összetevő 37%-át tette ki, a 2008-as 48%-hoz képest csökkenve. Értékarányos adóként a héa előnye, hogy nem csökkenti a nagykereskedelmi árak árjelzéseit a kiskereskedelmi árakban. Az energiapolitikai szempontból legjelentősebb figyelembe vett alko</w:t>
      </w:r>
      <w:r>
        <w:rPr>
          <w:noProof/>
        </w:rPr>
        <w:t>mponenst a „megújuló energia, valamint kapcsolt villamosenergia- és hőtermelés” támogatását szolgáló díjak jelentik. Ez a 2008-as 14%-ról 2015-re a teljes összetevő 33%-ára nőtt</w:t>
      </w:r>
      <w:r>
        <w:rPr>
          <w:noProof/>
          <w:color w:val="000000"/>
        </w:rPr>
        <w:t>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 uniós háztartási átlagár ezen elemzése elfedi az Európában fennálló jelent</w:t>
      </w:r>
      <w:r>
        <w:rPr>
          <w:noProof/>
          <w:color w:val="000000"/>
        </w:rPr>
        <w:t xml:space="preserve">ős különbségeket. Az árak a legolcsóbb és a legdrágább ország között a háromból egy tényezőben térnek el. </w:t>
      </w:r>
      <w:r>
        <w:rPr>
          <w:noProof/>
        </w:rPr>
        <w:t xml:space="preserve">A tagállamok fiskális szükségletei és szakpolitikához kapcsolódó díjai az adók és díjak arányának jelentős eltéréseit eredményezik a végső árakban: a </w:t>
      </w:r>
      <w:r>
        <w:rPr>
          <w:noProof/>
        </w:rPr>
        <w:t>héa és az egyéb adók vonatkozásában e részesedés 59%-tól (DK) 5%-ig (MT) terjed; a megújuló energiaforrásokhoz és a kapcsolt villamosenergia- és hőtermeléshez kapcsolódó díjak átlagosan 12%-ot jelentenek,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de ezek aránya 22-23%-tól (PT, DE) 0-2%-ig (HU, IE</w:t>
      </w:r>
      <w:r>
        <w:rPr>
          <w:noProof/>
        </w:rPr>
        <w:t>) terjed.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 xml:space="preserve">Az </w:t>
      </w:r>
      <w:r>
        <w:rPr>
          <w:i/>
          <w:noProof/>
          <w:color w:val="000000"/>
        </w:rPr>
        <w:t>ipari</w:t>
      </w:r>
      <w:r>
        <w:rPr>
          <w:rStyle w:val="FootnoteReference"/>
          <w:noProof/>
          <w:color w:val="000000"/>
        </w:rPr>
        <w:footnoteReference w:id="10"/>
      </w:r>
      <w:r>
        <w:rPr>
          <w:noProof/>
          <w:color w:val="000000"/>
        </w:rPr>
        <w:t xml:space="preserve"> villamosenergia-árak adatai kisebb növekedéseket mutatnak; az átlagos éves növekedés az EU-ban 0,8% és 3,1% közötti</w:t>
      </w:r>
      <w:r>
        <w:rPr>
          <w:rStyle w:val="FootnoteReference"/>
          <w:noProof/>
          <w:color w:val="000000"/>
        </w:rPr>
        <w:footnoteReference w:id="11"/>
      </w:r>
      <w:r>
        <w:rPr>
          <w:noProof/>
          <w:color w:val="000000"/>
        </w:rPr>
        <w:t xml:space="preserve"> volt a 2008–2015-ös időszakban. A 6. ábra reprezentatív ipari fogyasztási sávot használ (2 000–20 000 MWh/év). A </w:t>
      </w:r>
      <w:r>
        <w:rPr>
          <w:i/>
          <w:noProof/>
          <w:color w:val="000000"/>
        </w:rPr>
        <w:t>nagy</w:t>
      </w:r>
      <w:r>
        <w:rPr>
          <w:noProof/>
          <w:color w:val="000000"/>
        </w:rPr>
        <w:t xml:space="preserve"> e</w:t>
      </w:r>
      <w:r>
        <w:rPr>
          <w:noProof/>
          <w:color w:val="000000"/>
        </w:rPr>
        <w:t>nergiafogyasztók, beleértve több villamosenergia-igényes iparágat is, adott esetben maguk termelik saját áramukat, hosszú távú energiaszolgáltatási szerződésekkel rendelkeznek, vagy gyakran alacsonyabb hálózati árakat, adókat és díjakat fizetnek, ami 50%-k</w:t>
      </w:r>
      <w:r>
        <w:rPr>
          <w:noProof/>
          <w:color w:val="000000"/>
        </w:rPr>
        <w:t>al alacsonyabb árakat eredményezhet, mint az ugyanazon országban található egyéb ipari fogyasztók esetében.</w:t>
      </w:r>
    </w:p>
    <w:p w:rsidR="00645082" w:rsidRDefault="00645082">
      <w:pPr>
        <w:spacing w:after="0"/>
        <w:ind w:left="1134" w:hanging="1134"/>
        <w:rPr>
          <w:b/>
          <w:noProof/>
          <w:color w:val="000000"/>
        </w:rPr>
      </w:pPr>
    </w:p>
    <w:p w:rsidR="00645082" w:rsidRDefault="00645082">
      <w:pPr>
        <w:spacing w:after="0"/>
        <w:rPr>
          <w:b/>
          <w:noProof/>
          <w:color w:val="000000"/>
        </w:rPr>
      </w:pPr>
    </w:p>
    <w:p w:rsidR="00CC1D78" w:rsidRDefault="00CC1D78">
      <w:pPr>
        <w:spacing w:after="0"/>
        <w:ind w:left="1134" w:hanging="1134"/>
        <w:rPr>
          <w:b/>
          <w:noProof/>
          <w:color w:val="000000"/>
        </w:rPr>
      </w:pPr>
    </w:p>
    <w:p w:rsidR="00CC1D78" w:rsidRDefault="00CC1D78">
      <w:pPr>
        <w:spacing w:after="0"/>
        <w:ind w:left="1134" w:hanging="1134"/>
        <w:rPr>
          <w:b/>
          <w:noProof/>
          <w:color w:val="000000"/>
        </w:rPr>
      </w:pPr>
    </w:p>
    <w:p w:rsidR="00CC1D78" w:rsidRDefault="00CC1D78">
      <w:pPr>
        <w:spacing w:after="0"/>
        <w:ind w:left="1134" w:hanging="1134"/>
        <w:rPr>
          <w:b/>
          <w:noProof/>
          <w:color w:val="000000"/>
        </w:rPr>
      </w:pPr>
    </w:p>
    <w:p w:rsidR="00645082" w:rsidRDefault="00CC1D78" w:rsidP="00CC1D78">
      <w:pPr>
        <w:keepNext/>
        <w:spacing w:after="0"/>
        <w:ind w:left="1134" w:hanging="1134"/>
        <w:rPr>
          <w:noProof/>
          <w:color w:val="000000"/>
        </w:rPr>
      </w:pPr>
      <w:r>
        <w:rPr>
          <w:b/>
          <w:noProof/>
          <w:color w:val="000000"/>
        </w:rPr>
        <w:t>6. ábra:</w:t>
      </w:r>
      <w:r>
        <w:rPr>
          <w:noProof/>
        </w:rPr>
        <w:tab/>
      </w:r>
      <w:r>
        <w:rPr>
          <w:b/>
          <w:noProof/>
          <w:color w:val="000000"/>
        </w:rPr>
        <w:t>A villamos energia uniós ipari kiskereskedelmi átlagárának összetevői</w:t>
      </w:r>
    </w:p>
    <w:p w:rsidR="00645082" w:rsidRDefault="00CC1D78" w:rsidP="00CC1D78">
      <w:pPr>
        <w:keepNext/>
        <w:spacing w:before="0" w:after="0"/>
        <w:rPr>
          <w:noProof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18352926" wp14:editId="4A78627B">
            <wp:extent cx="4981575" cy="27432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645082">
      <w:pPr>
        <w:spacing w:before="0" w:after="0"/>
        <w:jc w:val="right"/>
        <w:rPr>
          <w:noProof/>
          <w:color w:val="000000"/>
          <w:sz w:val="16"/>
          <w:szCs w:val="16"/>
        </w:rPr>
      </w:pP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>Forrás: Tagállamok, bizottsági adatgyűjtés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 xml:space="preserve">A háztartási </w:t>
      </w:r>
      <w:r>
        <w:rPr>
          <w:noProof/>
          <w:color w:val="000000"/>
        </w:rPr>
        <w:t>villamosenergia-árakhoz hasonlóan fennmaradtak az eltérések a tagállamok között; az árak eltérési tényezője 2,75.</w:t>
      </w:r>
    </w:p>
    <w:p w:rsidR="00645082" w:rsidRDefault="00CC1D78">
      <w:pPr>
        <w:spacing w:before="0" w:after="200" w:line="276" w:lineRule="auto"/>
        <w:jc w:val="left"/>
        <w:rPr>
          <w:b/>
          <w:noProof/>
          <w:color w:val="000000"/>
        </w:rPr>
      </w:pPr>
      <w:r>
        <w:rPr>
          <w:noProof/>
        </w:rPr>
        <w:br w:type="page"/>
      </w:r>
    </w:p>
    <w:p w:rsidR="00645082" w:rsidRDefault="00CC1D78" w:rsidP="00CC1D78">
      <w:pPr>
        <w:keepNext/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7. ábra:</w:t>
      </w:r>
      <w:r>
        <w:rPr>
          <w:noProof/>
        </w:rPr>
        <w:tab/>
      </w:r>
      <w:r>
        <w:rPr>
          <w:b/>
          <w:noProof/>
          <w:color w:val="000000"/>
        </w:rPr>
        <w:t>A villamos energia ipari kiskereskedelmi átlagárai 2015-ben</w:t>
      </w:r>
    </w:p>
    <w:p w:rsidR="00645082" w:rsidRDefault="00CC1D78" w:rsidP="00CC1D78">
      <w:pPr>
        <w:keepNext/>
        <w:spacing w:before="0" w:after="0"/>
        <w:rPr>
          <w:b/>
          <w:noProof/>
          <w:color w:val="000000"/>
        </w:rPr>
      </w:pPr>
      <w:r>
        <w:rPr>
          <w:noProof/>
          <w:lang w:val="en-GB" w:eastAsia="en-GB" w:bidi="ar-SA"/>
        </w:rPr>
        <w:drawing>
          <wp:inline distT="0" distB="0" distL="0" distR="0" wp14:anchorId="7581AB79" wp14:editId="0A9C2C7C">
            <wp:extent cx="5831840" cy="2564229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56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645082">
      <w:pPr>
        <w:spacing w:before="0" w:after="0"/>
        <w:jc w:val="right"/>
        <w:rPr>
          <w:noProof/>
          <w:color w:val="000000"/>
          <w:sz w:val="16"/>
          <w:szCs w:val="16"/>
        </w:rPr>
      </w:pP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>Forrás: Tagállamok, bizottsági adatgyűjtés</w:t>
      </w:r>
    </w:p>
    <w:p w:rsidR="00645082" w:rsidRDefault="00CC1D78">
      <w:pPr>
        <w:spacing w:after="0"/>
        <w:rPr>
          <w:noProof/>
        </w:rPr>
      </w:pPr>
      <w:r>
        <w:rPr>
          <w:noProof/>
          <w:color w:val="000000"/>
        </w:rPr>
        <w:t xml:space="preserve">A villamos energia ipari </w:t>
      </w:r>
      <w:r>
        <w:rPr>
          <w:noProof/>
          <w:color w:val="000000"/>
        </w:rPr>
        <w:t xml:space="preserve">átlagára </w:t>
      </w:r>
      <w:r>
        <w:rPr>
          <w:b/>
          <w:noProof/>
          <w:color w:val="000000"/>
        </w:rPr>
        <w:t>energia összetevőjének</w:t>
      </w:r>
      <w:r>
        <w:rPr>
          <w:noProof/>
          <w:color w:val="000000"/>
        </w:rPr>
        <w:t xml:space="preserve"> mértéke 2008 és 2015 között évi 2,8%-kal csökkent. Ezen összetevő tagállamonkénti eltérése szintén csökkent 12%-kal. E részleges árkonvergencia arra utal, hogy </w:t>
      </w:r>
      <w:r>
        <w:rPr>
          <w:noProof/>
        </w:rPr>
        <w:t xml:space="preserve">a piac-összekapcsolásból és a határokon átnyúló kereskedelemből </w:t>
      </w:r>
      <w:r>
        <w:rPr>
          <w:noProof/>
        </w:rPr>
        <w:t>következő fokozott versenyt előmozdító uniós energiapolitikák pozitív hatással járnak. Ezzel együtt hét tagállamban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az energia összetevő ténylegesen </w:t>
      </w:r>
      <w:r>
        <w:rPr>
          <w:i/>
          <w:noProof/>
        </w:rPr>
        <w:t>növekedett</w:t>
      </w:r>
      <w:r>
        <w:rPr>
          <w:noProof/>
        </w:rPr>
        <w:t xml:space="preserve"> az időszak során, ami egyes esetekben a nem megfelelő árverseny jele lehet kiskereskedelmi szin</w:t>
      </w:r>
      <w:r>
        <w:rPr>
          <w:noProof/>
        </w:rPr>
        <w:t>ten, amely lehetővé teszi a szolgáltatók számára, hogy elkerüljék az alacsonyabb nagykereskedelmi árak továbbhárítását.</w:t>
      </w:r>
    </w:p>
    <w:p w:rsidR="00645082" w:rsidRDefault="00CC1D78">
      <w:pPr>
        <w:spacing w:after="0"/>
        <w:rPr>
          <w:noProof/>
        </w:rPr>
      </w:pPr>
      <w:r>
        <w:rPr>
          <w:noProof/>
        </w:rPr>
        <w:t xml:space="preserve">Az ipari árak </w:t>
      </w:r>
      <w:r>
        <w:rPr>
          <w:b/>
          <w:noProof/>
        </w:rPr>
        <w:t>hálózati összetevője</w:t>
      </w:r>
      <w:r>
        <w:rPr>
          <w:noProof/>
        </w:rPr>
        <w:t xml:space="preserve"> évi 3,2%-kal nőtt az időszak során, az </w:t>
      </w:r>
      <w:r>
        <w:rPr>
          <w:b/>
          <w:noProof/>
        </w:rPr>
        <w:t>adók és díjak összetevő</w:t>
      </w:r>
      <w:r>
        <w:rPr>
          <w:noProof/>
        </w:rPr>
        <w:t xml:space="preserve"> részesedése pedig jelentősen nőtt, az </w:t>
      </w:r>
      <w:r>
        <w:rPr>
          <w:noProof/>
        </w:rPr>
        <w:t>ár 12%-áról annak 32%-ára. Átlagosan a hálózati árösszetevő csaknem kétharmada az elosztó hálózatoknak tulajdonítható, de a tagállamok eltérő számítási módszerei miatt az adatok továbbra is gyengék. A háztartási árakhoz hasonlóan az ipari adatok adók és dí</w:t>
      </w:r>
      <w:r>
        <w:rPr>
          <w:noProof/>
        </w:rPr>
        <w:t>jak összetevőjét alkomponensekre bontottuk.</w:t>
      </w:r>
      <w:r>
        <w:rPr>
          <w:noProof/>
          <w:vertAlign w:val="superscript"/>
        </w:rPr>
        <w:t>7</w:t>
      </w:r>
      <w:r>
        <w:rPr>
          <w:noProof/>
        </w:rPr>
        <w:t xml:space="preserve"> Mivel egyes alkomponenseket (héa és bizonyos egyéb adók) visszatérítenek az iparágnak, ez az összetevő jelentősen alacsonyabb, mint a háztartások esetében: míg az iparág MWh-ként 34 EUR-t fizet, addig a háztartá</w:t>
      </w:r>
      <w:r>
        <w:rPr>
          <w:noProof/>
        </w:rPr>
        <w:t>sok 79 EUR-t.</w:t>
      </w:r>
    </w:p>
    <w:p w:rsidR="00645082" w:rsidRDefault="00645082">
      <w:pPr>
        <w:spacing w:after="0"/>
        <w:rPr>
          <w:b/>
          <w:noProof/>
        </w:rPr>
      </w:pPr>
    </w:p>
    <w:p w:rsidR="00645082" w:rsidRDefault="00CC1D78">
      <w:pPr>
        <w:spacing w:before="0" w:after="200" w:line="276" w:lineRule="auto"/>
        <w:jc w:val="left"/>
        <w:rPr>
          <w:b/>
          <w:noProof/>
        </w:rPr>
      </w:pPr>
      <w:r>
        <w:rPr>
          <w:noProof/>
        </w:rPr>
        <w:br w:type="page"/>
      </w:r>
    </w:p>
    <w:p w:rsidR="00645082" w:rsidRDefault="00CC1D78">
      <w:pPr>
        <w:spacing w:after="0"/>
        <w:rPr>
          <w:b/>
          <w:noProof/>
        </w:rPr>
      </w:pPr>
      <w:r>
        <w:rPr>
          <w:b/>
          <w:noProof/>
        </w:rPr>
        <w:t>Nemzetközi villamosenergia-árak</w:t>
      </w:r>
    </w:p>
    <w:p w:rsidR="00645082" w:rsidRDefault="00CC1D78">
      <w:pPr>
        <w:spacing w:after="0"/>
        <w:rPr>
          <w:noProof/>
        </w:rPr>
      </w:pPr>
      <w:r>
        <w:rPr>
          <w:noProof/>
        </w:rPr>
        <w:t>Bár egyértelmű, hogy az EU ipari villamosenergia-árai jelentősen eltérnek az egyes tagállamokban és ágazatokban, mindazonáltal fontos figyelembe venni az eltérő átlagtrendeket a világban.</w:t>
      </w: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8. ábra:</w:t>
      </w:r>
      <w:r>
        <w:rPr>
          <w:noProof/>
        </w:rPr>
        <w:tab/>
      </w:r>
      <w:r>
        <w:rPr>
          <w:b/>
          <w:noProof/>
          <w:color w:val="000000"/>
        </w:rPr>
        <w:t>A villamos</w:t>
      </w:r>
      <w:r>
        <w:rPr>
          <w:b/>
          <w:noProof/>
          <w:color w:val="000000"/>
        </w:rPr>
        <w:t xml:space="preserve"> energia ipari átlagára az EU-ban és a jelentős kereskedelmi partnereknél</w:t>
      </w:r>
    </w:p>
    <w:p w:rsidR="00645082" w:rsidRDefault="00CC1D78">
      <w:pPr>
        <w:spacing w:before="0" w:after="0"/>
        <w:jc w:val="left"/>
        <w:rPr>
          <w:i/>
          <w:iCs/>
          <w:noProof/>
          <w:sz w:val="16"/>
          <w:szCs w:val="16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831840" cy="3590953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59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left"/>
        <w:rPr>
          <w:noProof/>
          <w:sz w:val="16"/>
          <w:szCs w:val="16"/>
        </w:rPr>
      </w:pPr>
      <w:r>
        <w:rPr>
          <w:i/>
          <w:noProof/>
          <w:sz w:val="16"/>
        </w:rPr>
        <w:t>Forrás:</w:t>
      </w:r>
      <w:r>
        <w:rPr>
          <w:noProof/>
          <w:sz w:val="16"/>
        </w:rPr>
        <w:t xml:space="preserve"> Brazil bányászati és energiaügyi minisztérium, kínai árellenőrzési központ, NDRC, indonéziai állami villamosenergia-társaság, orosz szövetségi statisztikai szolgálat; EIA adatok Törökország, Dél-Korea, Japán, az USA és Mexikó esetében.</w:t>
      </w:r>
    </w:p>
    <w:p w:rsidR="00645082" w:rsidRDefault="00CC1D78">
      <w:pPr>
        <w:spacing w:after="0"/>
        <w:rPr>
          <w:noProof/>
        </w:rPr>
      </w:pPr>
      <w:r>
        <w:rPr>
          <w:noProof/>
        </w:rPr>
        <w:t>Az elemzés azt muta</w:t>
      </w:r>
      <w:r>
        <w:rPr>
          <w:noProof/>
        </w:rPr>
        <w:t>tja, hogy a villamos energia ipari átlagára az EU-ban lényegesen alacsonyabb, mint Japánban, többé-kevésbé megegyezik a brazíliai, kínai és törökországi árral, és magasabb, mint Koreában, az Egyesült Államokban, Oroszországban és Indonéziában. 2008 és 2015</w:t>
      </w:r>
      <w:r>
        <w:rPr>
          <w:noProof/>
        </w:rPr>
        <w:t xml:space="preserve"> között az uniós árak 17%-kal növekedtek, az áremelkedések azonban sokkal magasabbak voltak Kínában (66%), Indonéziában (41%), Japánban (34%) és az USA-ban (32%). Az elemzés tartalmazza az átváltási árfolyamok hatását, amely bizonyos esetekben jelentős (pé</w:t>
      </w:r>
      <w:r>
        <w:rPr>
          <w:noProof/>
        </w:rPr>
        <w:t>ldául a jüan árfolyama magyarázza a kínai növekedést; az árak a nemzeti valutában csak kis mértékben emelkedtek). Az 1. táblázat az uniós árak arányának alakulását mutatja kereskedelmi partnereinek áraihoz képest.</w:t>
      </w:r>
    </w:p>
    <w:p w:rsidR="00645082" w:rsidRDefault="00CC1D78">
      <w:pPr>
        <w:pStyle w:val="Caption"/>
        <w:keepNext/>
        <w:spacing w:before="120"/>
        <w:ind w:left="1134" w:hanging="1134"/>
        <w:rPr>
          <w:rFonts w:ascii="Times New Roman" w:hAnsi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fldChar w:fldCharType="begin"/>
      </w:r>
      <w:r>
        <w:rPr>
          <w:rFonts w:ascii="Times New Roman" w:hAnsi="Times New Roman"/>
          <w:noProof/>
          <w:color w:val="auto"/>
          <w:sz w:val="24"/>
          <w:szCs w:val="24"/>
        </w:rPr>
        <w:instrText xml:space="preserve"> SEQ Table \* ARABIC </w:instrText>
      </w:r>
      <w:r>
        <w:rPr>
          <w:rFonts w:ascii="Times New Roman" w:hAnsi="Times New Roman"/>
          <w:noProof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auto"/>
          <w:sz w:val="24"/>
          <w:szCs w:val="24"/>
        </w:rPr>
        <w:t>1</w:t>
      </w:r>
      <w:r>
        <w:rPr>
          <w:rFonts w:ascii="Times New Roman" w:hAnsi="Times New Roman"/>
          <w:noProof/>
          <w:color w:val="auto"/>
          <w:sz w:val="24"/>
          <w:szCs w:val="24"/>
        </w:rPr>
        <w:fldChar w:fldCharType="end"/>
      </w:r>
      <w:r>
        <w:rPr>
          <w:rFonts w:ascii="Times New Roman" w:hAnsi="Times New Roman"/>
          <w:noProof/>
          <w:color w:val="auto"/>
          <w:sz w:val="24"/>
        </w:rPr>
        <w:t>. táblázat:</w:t>
      </w:r>
      <w:r>
        <w:rPr>
          <w:noProof/>
        </w:rPr>
        <w:tab/>
      </w:r>
      <w:r>
        <w:rPr>
          <w:rFonts w:ascii="Times New Roman" w:hAnsi="Times New Roman"/>
          <w:noProof/>
          <w:color w:val="auto"/>
          <w:sz w:val="24"/>
        </w:rPr>
        <w:t>Az EU</w:t>
      </w:r>
      <w:r>
        <w:rPr>
          <w:rFonts w:ascii="Times New Roman" w:hAnsi="Times New Roman"/>
          <w:noProof/>
          <w:color w:val="auto"/>
          <w:sz w:val="24"/>
        </w:rPr>
        <w:t xml:space="preserve"> ipari villamosenergia-árai más országokéhoz képest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56"/>
        <w:gridCol w:w="1027"/>
        <w:gridCol w:w="1214"/>
        <w:gridCol w:w="1027"/>
        <w:gridCol w:w="1027"/>
        <w:gridCol w:w="1027"/>
      </w:tblGrid>
      <w:tr w:rsidR="00645082">
        <w:trPr>
          <w:jc w:val="center"/>
        </w:trPr>
        <w:tc>
          <w:tcPr>
            <w:tcW w:w="1271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Tárgyév</w:t>
            </w:r>
          </w:p>
        </w:tc>
        <w:tc>
          <w:tcPr>
            <w:tcW w:w="1256" w:type="dxa"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Egyesült Államok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Japán</w:t>
            </w:r>
          </w:p>
        </w:tc>
        <w:tc>
          <w:tcPr>
            <w:tcW w:w="1214" w:type="dxa"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Brazília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Kína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Török-</w:t>
            </w:r>
            <w:r>
              <w:rPr>
                <w:b/>
                <w:noProof/>
              </w:rPr>
              <w:br/>
              <w:t>ország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Orosz-</w:t>
            </w:r>
            <w:r>
              <w:rPr>
                <w:b/>
                <w:noProof/>
              </w:rPr>
              <w:br/>
              <w:t>ország</w:t>
            </w:r>
          </w:p>
        </w:tc>
      </w:tr>
      <w:tr w:rsidR="00645082">
        <w:trPr>
          <w:jc w:val="center"/>
        </w:trPr>
        <w:tc>
          <w:tcPr>
            <w:tcW w:w="1271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2012</w:t>
            </w:r>
          </w:p>
        </w:tc>
        <w:tc>
          <w:tcPr>
            <w:tcW w:w="1256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2,2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1214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2,1</w:t>
            </w:r>
          </w:p>
        </w:tc>
      </w:tr>
      <w:tr w:rsidR="00645082">
        <w:trPr>
          <w:jc w:val="center"/>
        </w:trPr>
        <w:tc>
          <w:tcPr>
            <w:tcW w:w="1271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2013</w:t>
            </w:r>
          </w:p>
        </w:tc>
        <w:tc>
          <w:tcPr>
            <w:tcW w:w="1256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1,9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1214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2,2</w:t>
            </w:r>
          </w:p>
        </w:tc>
      </w:tr>
      <w:tr w:rsidR="00645082">
        <w:trPr>
          <w:jc w:val="center"/>
        </w:trPr>
        <w:tc>
          <w:tcPr>
            <w:tcW w:w="1271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2014</w:t>
            </w:r>
          </w:p>
        </w:tc>
        <w:tc>
          <w:tcPr>
            <w:tcW w:w="1256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1,3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0,4</w:t>
            </w:r>
          </w:p>
        </w:tc>
        <w:tc>
          <w:tcPr>
            <w:tcW w:w="1214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2,6</w:t>
            </w:r>
          </w:p>
        </w:tc>
      </w:tr>
      <w:tr w:rsidR="00645082">
        <w:trPr>
          <w:jc w:val="center"/>
        </w:trPr>
        <w:tc>
          <w:tcPr>
            <w:tcW w:w="1271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2015</w:t>
            </w:r>
          </w:p>
        </w:tc>
        <w:tc>
          <w:tcPr>
            <w:tcW w:w="1256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1,7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214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n. a.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1027" w:type="dxa"/>
          </w:tcPr>
          <w:p w:rsidR="00645082" w:rsidRDefault="00CC1D78">
            <w:pPr>
              <w:spacing w:before="0"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3,5</w:t>
            </w:r>
          </w:p>
        </w:tc>
      </w:tr>
    </w:tbl>
    <w:p w:rsidR="00645082" w:rsidRDefault="00CC1D78">
      <w:pPr>
        <w:spacing w:after="0"/>
        <w:rPr>
          <w:noProof/>
          <w:sz w:val="16"/>
          <w:szCs w:val="16"/>
        </w:rPr>
      </w:pPr>
      <w:r>
        <w:rPr>
          <w:i/>
          <w:noProof/>
          <w:sz w:val="16"/>
        </w:rPr>
        <w:t>Forrás:</w:t>
      </w:r>
      <w:r>
        <w:rPr>
          <w:noProof/>
          <w:sz w:val="16"/>
        </w:rPr>
        <w:t xml:space="preserve"> EIA, Platts, brazil bányászati és energiaügyi minisztérium, kínai árellenőrzési központ, orosz szövetségi statisztikai szolgálat;</w:t>
      </w:r>
    </w:p>
    <w:p w:rsidR="00645082" w:rsidRDefault="00CC1D78">
      <w:pPr>
        <w:spacing w:before="0" w:after="0"/>
        <w:rPr>
          <w:noProof/>
          <w:sz w:val="16"/>
          <w:szCs w:val="16"/>
        </w:rPr>
      </w:pPr>
      <w:r>
        <w:rPr>
          <w:noProof/>
          <w:sz w:val="16"/>
        </w:rPr>
        <w:t>például az uniós árak az USA árainak 2,2-szeresét tették ki, majd 1,7-szeresére csökkentek</w:t>
      </w:r>
    </w:p>
    <w:p w:rsidR="00645082" w:rsidRDefault="00CC1D78">
      <w:pPr>
        <w:pStyle w:val="Heading1"/>
        <w:spacing w:before="120"/>
        <w:ind w:left="567" w:hanging="567"/>
        <w:rPr>
          <w:noProof/>
        </w:rPr>
      </w:pPr>
      <w:r>
        <w:rPr>
          <w:noProof/>
        </w:rPr>
        <w:t>Gázárak Európában</w:t>
      </w:r>
    </w:p>
    <w:p w:rsidR="00645082" w:rsidRDefault="00CC1D78">
      <w:pPr>
        <w:spacing w:after="0"/>
        <w:rPr>
          <w:noProof/>
        </w:rPr>
      </w:pPr>
      <w:r>
        <w:rPr>
          <w:noProof/>
        </w:rPr>
        <w:t xml:space="preserve">A gáz képviseli </w:t>
      </w:r>
      <w:r>
        <w:rPr>
          <w:noProof/>
        </w:rPr>
        <w:t>az EU elsődleges energiafogyasztásának 23%-át. A gázból származik villamos energiánk 15%-a, és az elégíti ki a háztartások és az ipar végső energiaszükségletének majdnem a harmadát. Az EU ugyanakkor egyre inkább importálni kényszerül a gázt,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korlátozott s</w:t>
      </w:r>
      <w:r>
        <w:rPr>
          <w:noProof/>
        </w:rPr>
        <w:t>zámú szállítótól. Ezért az árak még inkább ki vannak téve a nemzetközi trendeknek, és még fontosabbak a megfelelően működő piacok, illetve infrastruktúra.</w:t>
      </w:r>
    </w:p>
    <w:p w:rsidR="00645082" w:rsidRDefault="00645082">
      <w:pPr>
        <w:spacing w:after="0"/>
        <w:rPr>
          <w:noProof/>
        </w:rPr>
      </w:pPr>
    </w:p>
    <w:p w:rsidR="00645082" w:rsidRDefault="00645082">
      <w:pPr>
        <w:spacing w:after="0"/>
        <w:rPr>
          <w:noProof/>
        </w:rPr>
      </w:pP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9. ábra:</w:t>
      </w:r>
      <w:r>
        <w:rPr>
          <w:noProof/>
        </w:rPr>
        <w:tab/>
      </w:r>
      <w:r>
        <w:rPr>
          <w:b/>
          <w:noProof/>
          <w:color w:val="000000"/>
        </w:rPr>
        <w:t>Az EU nagykereskedelmi gázárainak trendjei</w:t>
      </w:r>
    </w:p>
    <w:p w:rsidR="00645082" w:rsidRDefault="00CC1D78">
      <w:pPr>
        <w:spacing w:after="0"/>
        <w:rPr>
          <w:b/>
          <w:noProof/>
          <w:color w:val="000000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831840" cy="3119579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11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>Forrás: Platts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 EU nagykereskedelmi gázárai</w:t>
      </w:r>
      <w:r>
        <w:rPr>
          <w:noProof/>
          <w:color w:val="000000"/>
        </w:rPr>
        <w:t xml:space="preserve"> 2013-ig nőttek, de azóta több mint 50%-kal csökkentek. A villamos energiához képest sokkal jellemzőbb, hogy az európai nagykereskedelmi gázárak közelmúltban történt csökkenéseit globális fejlemények eredményezték. A lassú gazdasági fellendülésből és egyes</w:t>
      </w:r>
      <w:r>
        <w:rPr>
          <w:noProof/>
          <w:color w:val="000000"/>
        </w:rPr>
        <w:t xml:space="preserve"> japán atomerőművek újraindításából következő gyenge globális kereslet, a (csökkenő) olajárakhoz indexált gázszállítási szerződések és a cseppfolyósított földgáz kínálatának jelentős emelkedése lefelé irányuló nyomást váltott ki, és a nagykereskedelmi gázá</w:t>
      </w:r>
      <w:r>
        <w:rPr>
          <w:noProof/>
          <w:color w:val="000000"/>
        </w:rPr>
        <w:t>rak konvergenciáját eredményezte.</w:t>
      </w:r>
    </w:p>
    <w:p w:rsidR="00645082" w:rsidRDefault="00CC1D78">
      <w:pPr>
        <w:spacing w:after="0"/>
        <w:rPr>
          <w:b/>
          <w:noProof/>
        </w:rPr>
      </w:pPr>
      <w:r>
        <w:rPr>
          <w:b/>
          <w:noProof/>
        </w:rPr>
        <w:t>Kiskereskedelmi gázárak Európában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 EU háztartási gázárai 2008 óta csaknem évi 2%-kal nőttek. Az árak ebben az időszakban jelentősen közeledtek, de a legmagasabb árak (SE) még mindig majdnem négyszeresét jelentik a legala</w:t>
      </w:r>
      <w:r>
        <w:rPr>
          <w:noProof/>
          <w:color w:val="000000"/>
        </w:rPr>
        <w:t>csonyabb áraknak (RO).</w:t>
      </w:r>
    </w:p>
    <w:p w:rsidR="00645082" w:rsidRDefault="00645082">
      <w:pPr>
        <w:spacing w:after="0"/>
        <w:rPr>
          <w:noProof/>
          <w:color w:val="000000"/>
        </w:rPr>
      </w:pPr>
    </w:p>
    <w:p w:rsidR="00CC1D78" w:rsidRDefault="00CC1D78">
      <w:pPr>
        <w:spacing w:before="0" w:after="200" w:line="276" w:lineRule="auto"/>
        <w:jc w:val="left"/>
        <w:rPr>
          <w:b/>
          <w:noProof/>
          <w:color w:val="000000"/>
        </w:rPr>
      </w:pPr>
      <w:r>
        <w:rPr>
          <w:b/>
          <w:noProof/>
          <w:color w:val="000000"/>
        </w:rPr>
        <w:br w:type="page"/>
      </w:r>
    </w:p>
    <w:p w:rsidR="00645082" w:rsidRDefault="00CC1D78" w:rsidP="00CC1D78">
      <w:pPr>
        <w:keepNext/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10. ábra:</w:t>
      </w:r>
      <w:r>
        <w:rPr>
          <w:noProof/>
        </w:rPr>
        <w:tab/>
      </w:r>
      <w:r>
        <w:rPr>
          <w:b/>
          <w:noProof/>
          <w:color w:val="000000"/>
        </w:rPr>
        <w:t>A gáz uniós háztartási kiskereskedelmi átlagárának összetevői</w:t>
      </w:r>
    </w:p>
    <w:p w:rsidR="00645082" w:rsidRDefault="00CC1D78" w:rsidP="00CC1D78">
      <w:pPr>
        <w:keepNext/>
        <w:spacing w:after="0"/>
        <w:rPr>
          <w:b/>
          <w:noProof/>
          <w:color w:val="000000"/>
        </w:rPr>
      </w:pPr>
      <w:r>
        <w:rPr>
          <w:noProof/>
          <w:lang w:val="en-GB" w:eastAsia="en-GB" w:bidi="ar-SA"/>
        </w:rPr>
        <w:drawing>
          <wp:inline distT="0" distB="0" distL="0" distR="0" wp14:anchorId="248B7E26" wp14:editId="167343EF">
            <wp:extent cx="5353050" cy="20097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>Forrás: Tagállamok, bizottsági adatgyűjtés</w:t>
      </w:r>
    </w:p>
    <w:p w:rsidR="00645082" w:rsidRDefault="00CC1D78">
      <w:pPr>
        <w:spacing w:before="0" w:after="200" w:line="276" w:lineRule="auto"/>
        <w:jc w:val="left"/>
        <w:rPr>
          <w:b/>
          <w:noProof/>
          <w:color w:val="000000"/>
        </w:rPr>
      </w:pPr>
      <w:r>
        <w:rPr>
          <w:noProof/>
        </w:rPr>
        <w:br w:type="page"/>
      </w: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11. ábra:</w:t>
      </w:r>
      <w:r>
        <w:rPr>
          <w:noProof/>
        </w:rPr>
        <w:tab/>
      </w:r>
      <w:r>
        <w:rPr>
          <w:b/>
          <w:noProof/>
          <w:color w:val="000000"/>
        </w:rPr>
        <w:t>A gáz háztartási kiskereskedelmi átlagárai 2015-ben</w:t>
      </w:r>
    </w:p>
    <w:p w:rsidR="00645082" w:rsidRDefault="00CC1D78">
      <w:pPr>
        <w:spacing w:before="0" w:after="0"/>
        <w:rPr>
          <w:noProof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353050" cy="2133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>Forrás: Tagállamok, bizottsági adatgyűjtés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</w:rPr>
        <w:t>2008 é</w:t>
      </w:r>
      <w:r>
        <w:rPr>
          <w:noProof/>
        </w:rPr>
        <w:t xml:space="preserve">s 2015 között az </w:t>
      </w:r>
      <w:r>
        <w:rPr>
          <w:b/>
          <w:noProof/>
        </w:rPr>
        <w:t>energia összetevő</w:t>
      </w:r>
      <w:r>
        <w:rPr>
          <w:noProof/>
        </w:rPr>
        <w:t xml:space="preserve"> évi 0,3%-kal nőtt, noha ingadozások jellemezték ezen időszak folyamán. A </w:t>
      </w:r>
      <w:r>
        <w:rPr>
          <w:b/>
          <w:noProof/>
        </w:rPr>
        <w:t>hálózati összetevő</w:t>
      </w:r>
      <w:r>
        <w:rPr>
          <w:noProof/>
        </w:rPr>
        <w:t xml:space="preserve"> növekedése évi 2,5%-os volt, és jelentősen hozzájárult a háztartásokat érintő összesített áremelkedéshez.Az </w:t>
      </w:r>
      <w:r>
        <w:rPr>
          <w:b/>
          <w:noProof/>
        </w:rPr>
        <w:t>adók és díjak összete</w:t>
      </w:r>
      <w:r>
        <w:rPr>
          <w:b/>
          <w:noProof/>
        </w:rPr>
        <w:t>vő</w:t>
      </w:r>
      <w:r>
        <w:rPr>
          <w:noProof/>
        </w:rPr>
        <w:t xml:space="preserve"> évi 4,2%-kal nőtt, 15,6 EUR/MWh-ra. Ez utóbbi összetevő növekedése jelentős részben általános adókra vezethető vissza. (Az alkomponensek, melyeket a szolgálati munkadokumentum tárgyal, nem jelentősek.) </w:t>
      </w:r>
    </w:p>
    <w:p w:rsidR="00645082" w:rsidRDefault="00CC1D78">
      <w:pPr>
        <w:spacing w:after="0"/>
        <w:rPr>
          <w:noProof/>
        </w:rPr>
      </w:pPr>
      <w:r>
        <w:rPr>
          <w:noProof/>
        </w:rPr>
        <w:t>A nagy ipari fogyasztók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esetében a gázárak 2015-b</w:t>
      </w:r>
      <w:r>
        <w:rPr>
          <w:noProof/>
        </w:rPr>
        <w:t>en alacsonyabbak voltak a 2008. évieknél. Az energia összetevő továbbra is messzemenően a legjelentősebb komponens, és így az árak meghatározásának elsődleges faktora. Az adók és díjak hatása alacsony, csak az ár 8%-át teszi ki. Az ipari gázárakat inkább a</w:t>
      </w:r>
      <w:r>
        <w:rPr>
          <w:noProof/>
        </w:rPr>
        <w:t xml:space="preserve"> nemzetközi nyersanyagárak befolyásolják, mintsem a jelentős mértékben eltérő nemzeti adók és díjak, így a nagy ipari fogyasztók tekintetében az árak viszonylag kis mértékben különböznek Európában. A nagy ipari fogyasztók tekintetében alkalmazott árak össz</w:t>
      </w:r>
      <w:r>
        <w:rPr>
          <w:noProof/>
        </w:rPr>
        <w:t>etétele meglehetősen stabil maradt az idők során. Az ipari gázárak esetében hat ki leginkább a nagykereskedelmi ár a kiskereskedelmi árra, és a nemzeti gázpiacok árai 2008 óta 58%-os konvergenciát mutattak, ami arra utal, hogy az EU gázpiacai integráltabba</w:t>
      </w:r>
      <w:r>
        <w:rPr>
          <w:noProof/>
        </w:rPr>
        <w:t>k és versengőbbek, mint korábban.</w:t>
      </w:r>
    </w:p>
    <w:p w:rsidR="00645082" w:rsidRDefault="00645082">
      <w:pPr>
        <w:spacing w:before="0" w:after="200"/>
        <w:jc w:val="left"/>
        <w:rPr>
          <w:b/>
          <w:noProof/>
          <w:color w:val="000000"/>
        </w:rPr>
      </w:pP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12. ábra:</w:t>
      </w:r>
      <w:r>
        <w:rPr>
          <w:noProof/>
        </w:rPr>
        <w:tab/>
      </w:r>
      <w:r>
        <w:rPr>
          <w:b/>
          <w:noProof/>
          <w:color w:val="000000"/>
        </w:rPr>
        <w:t>A nagyipari kiskereskedelmi gázárak átlagos összetevői az EU-ban</w:t>
      </w:r>
    </w:p>
    <w:p w:rsidR="00645082" w:rsidRDefault="00CC1D78">
      <w:pPr>
        <w:spacing w:before="0" w:after="0"/>
        <w:rPr>
          <w:noProof/>
          <w:color w:val="000000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831840" cy="2722155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72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>Forrás: Tagállamok, bizottsági adatgyűjtés</w:t>
      </w:r>
    </w:p>
    <w:p w:rsidR="00645082" w:rsidRDefault="00CC1D78">
      <w:pPr>
        <w:spacing w:before="0" w:after="200" w:line="276" w:lineRule="auto"/>
        <w:jc w:val="left"/>
        <w:rPr>
          <w:b/>
          <w:noProof/>
          <w:color w:val="000000"/>
        </w:rPr>
      </w:pPr>
      <w:r>
        <w:rPr>
          <w:noProof/>
        </w:rPr>
        <w:br w:type="page"/>
      </w: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13. ábra:</w:t>
      </w:r>
      <w:r>
        <w:rPr>
          <w:noProof/>
        </w:rPr>
        <w:tab/>
      </w:r>
      <w:r>
        <w:rPr>
          <w:b/>
          <w:noProof/>
          <w:color w:val="000000"/>
        </w:rPr>
        <w:t>A gáz nagyipari kiskereskedelmi átlagárai 2015-ben</w:t>
      </w: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629275" cy="27432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 xml:space="preserve">Forrás: Tagállamok, bizottsági </w:t>
      </w:r>
      <w:r>
        <w:rPr>
          <w:noProof/>
          <w:color w:val="000000"/>
          <w:sz w:val="16"/>
        </w:rPr>
        <w:t>adatgyűjtés</w:t>
      </w:r>
    </w:p>
    <w:p w:rsidR="00645082" w:rsidRDefault="00645082">
      <w:pPr>
        <w:spacing w:before="0" w:after="0"/>
        <w:ind w:left="1134" w:hanging="1134"/>
        <w:jc w:val="left"/>
        <w:rPr>
          <w:b/>
          <w:noProof/>
          <w:color w:val="000000"/>
        </w:rPr>
      </w:pPr>
    </w:p>
    <w:p w:rsidR="00645082" w:rsidRDefault="00CC1D78">
      <w:pPr>
        <w:spacing w:before="0" w:after="0"/>
        <w:ind w:left="1134" w:hanging="1134"/>
        <w:jc w:val="left"/>
        <w:rPr>
          <w:b/>
          <w:noProof/>
        </w:rPr>
      </w:pPr>
      <w:r>
        <w:rPr>
          <w:b/>
          <w:noProof/>
          <w:color w:val="000000"/>
        </w:rPr>
        <w:t>14. ábra:</w:t>
      </w:r>
      <w:r>
        <w:rPr>
          <w:noProof/>
        </w:rPr>
        <w:tab/>
      </w:r>
      <w:r>
        <w:rPr>
          <w:b/>
          <w:noProof/>
        </w:rPr>
        <w:t>Nemzetközi gázárak</w:t>
      </w:r>
    </w:p>
    <w:p w:rsidR="00645082" w:rsidRDefault="00CC1D78">
      <w:pPr>
        <w:spacing w:before="0" w:after="0"/>
        <w:jc w:val="left"/>
        <w:rPr>
          <w:noProof/>
          <w:color w:val="000000"/>
          <w:sz w:val="16"/>
          <w:szCs w:val="16"/>
        </w:rPr>
      </w:pPr>
      <w:r>
        <w:rPr>
          <w:noProof/>
        </w:rPr>
        <w:t xml:space="preserve"> </w:t>
      </w:r>
      <w:r>
        <w:rPr>
          <w:noProof/>
          <w:lang w:val="en-GB" w:eastAsia="en-GB" w:bidi="ar-SA"/>
        </w:rPr>
        <w:drawing>
          <wp:inline distT="0" distB="0" distL="0" distR="0">
            <wp:extent cx="5831840" cy="271447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71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>Forrás: Platts, ThomsonReuters</w:t>
      </w:r>
    </w:p>
    <w:p w:rsidR="00645082" w:rsidRDefault="00CC1D78">
      <w:pPr>
        <w:tabs>
          <w:tab w:val="num" w:pos="720"/>
        </w:tabs>
        <w:spacing w:after="0"/>
        <w:rPr>
          <w:noProof/>
        </w:rPr>
      </w:pPr>
      <w:r>
        <w:rPr>
          <w:noProof/>
        </w:rPr>
        <w:t>A nemzetközi gázárak jelentős konvergenciát mutattak 2014-ben és 2015 elején. Az EU gázárainak az USA gázáraihoz viszonyított aránya kedvezően alakult az elmúlt két évben. Az uniós</w:t>
      </w:r>
      <w:r>
        <w:rPr>
          <w:noProof/>
        </w:rPr>
        <w:t xml:space="preserve"> gázárak átlagosan az USA gázárainak két és félszeresét tették ki 2015-ben, míg ez az arány 2012-ben 3 és 5 között volt. Ezt olyan tényezők mozgatták, mint a gáz növekvő globális kínálata és az európai hozzáférés a cseppfolyósított földgázhoz, a gyengébb e</w:t>
      </w:r>
      <w:r>
        <w:rPr>
          <w:noProof/>
        </w:rPr>
        <w:t xml:space="preserve">urópai és ázsiai kereslet, valamint az olajárakhoz indexált gázárak. A cseppfolyósított földgáz ázsiai árai 2014-ben jelentősen csökkentek, és 2015 elején az európai árakhoz közelítettek. </w:t>
      </w:r>
    </w:p>
    <w:p w:rsidR="00CC1D78" w:rsidRDefault="00CC1D78">
      <w:pPr>
        <w:spacing w:before="0" w:after="200" w:line="276" w:lineRule="auto"/>
        <w:jc w:val="left"/>
        <w:rPr>
          <w:rFonts w:eastAsia="Calibri"/>
          <w:b/>
          <w:bCs/>
          <w:noProof/>
          <w:szCs w:val="24"/>
        </w:rPr>
      </w:pPr>
      <w:r>
        <w:rPr>
          <w:noProof/>
          <w:szCs w:val="24"/>
        </w:rPr>
        <w:br w:type="page"/>
      </w:r>
    </w:p>
    <w:p w:rsidR="00645082" w:rsidRDefault="00CC1D78">
      <w:pPr>
        <w:pStyle w:val="Caption"/>
        <w:keepNext/>
        <w:spacing w:before="120"/>
        <w:ind w:left="1134" w:hanging="1134"/>
        <w:rPr>
          <w:rFonts w:ascii="Times New Roman" w:hAnsi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fldChar w:fldCharType="begin"/>
      </w:r>
      <w:r>
        <w:rPr>
          <w:rFonts w:ascii="Times New Roman" w:hAnsi="Times New Roman"/>
          <w:noProof/>
          <w:color w:val="auto"/>
          <w:sz w:val="24"/>
          <w:szCs w:val="24"/>
        </w:rPr>
        <w:instrText xml:space="preserve"> SEQ Table \* ARABIC </w:instrText>
      </w:r>
      <w:r>
        <w:rPr>
          <w:rFonts w:ascii="Times New Roman" w:hAnsi="Times New Roman"/>
          <w:noProof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auto"/>
          <w:sz w:val="24"/>
          <w:szCs w:val="24"/>
        </w:rPr>
        <w:t>2</w:t>
      </w:r>
      <w:r>
        <w:rPr>
          <w:rFonts w:ascii="Times New Roman" w:hAnsi="Times New Roman"/>
          <w:noProof/>
          <w:color w:val="auto"/>
          <w:sz w:val="24"/>
          <w:szCs w:val="24"/>
        </w:rPr>
        <w:fldChar w:fldCharType="end"/>
      </w:r>
      <w:r>
        <w:rPr>
          <w:rFonts w:ascii="Times New Roman" w:hAnsi="Times New Roman"/>
          <w:noProof/>
          <w:color w:val="auto"/>
          <w:sz w:val="24"/>
        </w:rPr>
        <w:t>. táblázat:</w:t>
      </w:r>
      <w:r>
        <w:rPr>
          <w:noProof/>
        </w:rPr>
        <w:tab/>
      </w:r>
      <w:r>
        <w:rPr>
          <w:rFonts w:ascii="Times New Roman" w:hAnsi="Times New Roman"/>
          <w:noProof/>
          <w:color w:val="auto"/>
          <w:sz w:val="24"/>
        </w:rPr>
        <w:t xml:space="preserve">Az EU ipari gázárai más </w:t>
      </w:r>
      <w:r>
        <w:rPr>
          <w:rFonts w:ascii="Times New Roman" w:hAnsi="Times New Roman"/>
          <w:noProof/>
          <w:color w:val="auto"/>
          <w:sz w:val="24"/>
        </w:rPr>
        <w:t>országokéhoz képest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1193"/>
        <w:gridCol w:w="1027"/>
        <w:gridCol w:w="1027"/>
        <w:gridCol w:w="1027"/>
        <w:gridCol w:w="1104"/>
        <w:gridCol w:w="1027"/>
      </w:tblGrid>
      <w:tr w:rsidR="00645082">
        <w:trPr>
          <w:jc w:val="center"/>
        </w:trPr>
        <w:tc>
          <w:tcPr>
            <w:tcW w:w="1130" w:type="dxa"/>
            <w:noWrap/>
            <w:hideMark/>
          </w:tcPr>
          <w:p w:rsidR="00645082" w:rsidRDefault="00CC1D78">
            <w:pPr>
              <w:spacing w:before="0" w:after="0"/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Tárgyév</w:t>
            </w:r>
          </w:p>
        </w:tc>
        <w:tc>
          <w:tcPr>
            <w:tcW w:w="1193" w:type="dxa"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Egyesült Államok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Japán</w:t>
            </w:r>
          </w:p>
        </w:tc>
        <w:tc>
          <w:tcPr>
            <w:tcW w:w="1027" w:type="dxa"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Orosz-</w:t>
            </w:r>
            <w:r>
              <w:rPr>
                <w:b/>
                <w:noProof/>
              </w:rPr>
              <w:br/>
              <w:t>ország</w:t>
            </w:r>
          </w:p>
        </w:tc>
        <w:tc>
          <w:tcPr>
            <w:tcW w:w="1027" w:type="dxa"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Kína</w:t>
            </w:r>
          </w:p>
        </w:tc>
        <w:tc>
          <w:tcPr>
            <w:tcW w:w="1104" w:type="dxa"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Brazília</w:t>
            </w:r>
          </w:p>
        </w:tc>
        <w:tc>
          <w:tcPr>
            <w:tcW w:w="1027" w:type="dxa"/>
            <w:hideMark/>
          </w:tcPr>
          <w:p w:rsidR="00645082" w:rsidRDefault="00CC1D78">
            <w:pPr>
              <w:spacing w:before="0"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Török-</w:t>
            </w:r>
            <w:r>
              <w:rPr>
                <w:b/>
                <w:noProof/>
              </w:rPr>
              <w:br/>
              <w:t>ország</w:t>
            </w:r>
          </w:p>
        </w:tc>
      </w:tr>
      <w:tr w:rsidR="00645082">
        <w:trPr>
          <w:jc w:val="center"/>
        </w:trPr>
        <w:tc>
          <w:tcPr>
            <w:tcW w:w="1130" w:type="dxa"/>
            <w:noWrap/>
            <w:hideMark/>
          </w:tcPr>
          <w:p w:rsidR="00645082" w:rsidRDefault="00CC1D78">
            <w:pPr>
              <w:spacing w:before="0"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2012</w:t>
            </w:r>
          </w:p>
        </w:tc>
        <w:tc>
          <w:tcPr>
            <w:tcW w:w="1193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3,3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1104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1,2</w:t>
            </w:r>
          </w:p>
        </w:tc>
      </w:tr>
      <w:tr w:rsidR="00645082">
        <w:trPr>
          <w:jc w:val="center"/>
        </w:trPr>
        <w:tc>
          <w:tcPr>
            <w:tcW w:w="1130" w:type="dxa"/>
            <w:noWrap/>
            <w:hideMark/>
          </w:tcPr>
          <w:p w:rsidR="00645082" w:rsidRDefault="00CC1D78">
            <w:pPr>
              <w:spacing w:before="0"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2013</w:t>
            </w:r>
          </w:p>
        </w:tc>
        <w:tc>
          <w:tcPr>
            <w:tcW w:w="1193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2,7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4,1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1104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1,2</w:t>
            </w:r>
          </w:p>
        </w:tc>
      </w:tr>
      <w:tr w:rsidR="00645082">
        <w:trPr>
          <w:jc w:val="center"/>
        </w:trPr>
        <w:tc>
          <w:tcPr>
            <w:tcW w:w="1130" w:type="dxa"/>
            <w:noWrap/>
            <w:hideMark/>
          </w:tcPr>
          <w:p w:rsidR="00645082" w:rsidRDefault="00CC1D78">
            <w:pPr>
              <w:spacing w:before="0"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2014</w:t>
            </w:r>
          </w:p>
        </w:tc>
        <w:tc>
          <w:tcPr>
            <w:tcW w:w="1193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1,9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0,6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4,3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1104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1,3</w:t>
            </w:r>
          </w:p>
        </w:tc>
      </w:tr>
      <w:tr w:rsidR="00645082">
        <w:trPr>
          <w:jc w:val="center"/>
        </w:trPr>
        <w:tc>
          <w:tcPr>
            <w:tcW w:w="1130" w:type="dxa"/>
            <w:noWrap/>
            <w:hideMark/>
          </w:tcPr>
          <w:p w:rsidR="00645082" w:rsidRDefault="00CC1D78">
            <w:pPr>
              <w:spacing w:before="0"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2015</w:t>
            </w:r>
          </w:p>
        </w:tc>
        <w:tc>
          <w:tcPr>
            <w:tcW w:w="1193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0,9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5,1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0,7</w:t>
            </w:r>
          </w:p>
        </w:tc>
        <w:tc>
          <w:tcPr>
            <w:tcW w:w="1104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n. a.</w:t>
            </w:r>
          </w:p>
        </w:tc>
        <w:tc>
          <w:tcPr>
            <w:tcW w:w="1027" w:type="dxa"/>
            <w:noWrap/>
            <w:hideMark/>
          </w:tcPr>
          <w:p w:rsidR="00645082" w:rsidRDefault="00CC1D78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1,2</w:t>
            </w:r>
          </w:p>
        </w:tc>
      </w:tr>
    </w:tbl>
    <w:p w:rsidR="00645082" w:rsidRDefault="00CC1D78">
      <w:pPr>
        <w:spacing w:after="0"/>
        <w:rPr>
          <w:noProof/>
          <w:sz w:val="16"/>
          <w:szCs w:val="16"/>
        </w:rPr>
      </w:pPr>
      <w:r>
        <w:rPr>
          <w:i/>
          <w:noProof/>
          <w:sz w:val="16"/>
        </w:rPr>
        <w:t>Forrás:</w:t>
      </w:r>
      <w:r>
        <w:rPr>
          <w:noProof/>
          <w:sz w:val="16"/>
        </w:rPr>
        <w:t xml:space="preserve"> EIA, Platts, brazil bányászati és energiaügyi minisztérium, kínai árellenőrzési központ, orosz szövetségi statisztikai szolgálat. Az USA és Japán esetében a nagykereskedelmi és cseppfolyósítottföldgáz-importárakat a nyugat-európai cseppfolyósítottföldgáz-</w:t>
      </w:r>
      <w:r>
        <w:rPr>
          <w:noProof/>
          <w:sz w:val="16"/>
        </w:rPr>
        <w:t>importárakkal vetettük össze.</w:t>
      </w:r>
    </w:p>
    <w:p w:rsidR="00645082" w:rsidRDefault="00CC1D78">
      <w:pPr>
        <w:spacing w:before="0" w:after="0"/>
        <w:rPr>
          <w:noProof/>
          <w:sz w:val="16"/>
          <w:szCs w:val="16"/>
        </w:rPr>
      </w:pPr>
      <w:r>
        <w:rPr>
          <w:noProof/>
          <w:sz w:val="16"/>
        </w:rPr>
        <w:t>Például az uniós árak az USA árainak 3,3-szeresét jelentették, és 2,5-szeresére csökkentek.</w:t>
      </w:r>
    </w:p>
    <w:p w:rsidR="00645082" w:rsidRDefault="00CC1D78">
      <w:pPr>
        <w:spacing w:before="0" w:after="200" w:line="276" w:lineRule="auto"/>
        <w:jc w:val="left"/>
        <w:rPr>
          <w:noProof/>
          <w:sz w:val="16"/>
          <w:szCs w:val="16"/>
        </w:rPr>
      </w:pPr>
      <w:r>
        <w:rPr>
          <w:noProof/>
        </w:rPr>
        <w:br w:type="page"/>
      </w:r>
    </w:p>
    <w:p w:rsidR="00645082" w:rsidRDefault="00645082">
      <w:pPr>
        <w:spacing w:before="0" w:after="0"/>
        <w:rPr>
          <w:noProof/>
          <w:sz w:val="16"/>
          <w:szCs w:val="16"/>
        </w:rPr>
      </w:pPr>
    </w:p>
    <w:p w:rsidR="00645082" w:rsidRDefault="00CC1D78">
      <w:pPr>
        <w:pStyle w:val="Heading1"/>
        <w:spacing w:before="120"/>
        <w:ind w:left="567" w:hanging="567"/>
        <w:rPr>
          <w:noProof/>
        </w:rPr>
      </w:pPr>
      <w:r>
        <w:rPr>
          <w:noProof/>
        </w:rPr>
        <w:t>Kőolajtermékek ára Európában</w:t>
      </w:r>
    </w:p>
    <w:p w:rsidR="00645082" w:rsidRDefault="00CC1D78">
      <w:pPr>
        <w:spacing w:after="0"/>
        <w:rPr>
          <w:noProof/>
        </w:rPr>
      </w:pPr>
      <w:r>
        <w:rPr>
          <w:noProof/>
        </w:rPr>
        <w:t>A nyersolajárak 2014 közepe óta csökkennek a gyenge kereslet és a kínálat jelentős növekedésének eredm</w:t>
      </w:r>
      <w:r>
        <w:rPr>
          <w:noProof/>
        </w:rPr>
        <w:t>ényeként. A 2014. júniusi 115 USD/ hordós csúcsértékről a Brent-index 2016. január 20-ra 26 USD/hordóra csökkent, ami 2003 óta a legalacsonyabb szint. Ez azt jelenti, hogy az ár 19 hónap alatt 77%-kal csökkent. 2016. júniusra az árak ismét 50 USD/hordóra n</w:t>
      </w:r>
      <w:r>
        <w:rPr>
          <w:noProof/>
        </w:rPr>
        <w:t>őttek, és azóta a 40</w:t>
      </w:r>
      <w:r>
        <w:rPr>
          <w:noProof/>
        </w:rPr>
        <w:noBreakHyphen/>
        <w:t>50 USD/hordós tartományban mozognak.</w:t>
      </w:r>
    </w:p>
    <w:p w:rsidR="00645082" w:rsidRDefault="00CC1D78">
      <w:pPr>
        <w:spacing w:after="0"/>
        <w:rPr>
          <w:noProof/>
        </w:rPr>
      </w:pPr>
      <w:r>
        <w:rPr>
          <w:noProof/>
        </w:rPr>
        <w:t>Az olajárak erőteljes esése begyűrűzött a kiskereskedelmi piacokra, de hatásait enyhítette az euró leértékelődése, valamint az olajtermékeket terhelő magas jövedéki adó, amely a fogyasztói ár jelent</w:t>
      </w:r>
      <w:r>
        <w:rPr>
          <w:noProof/>
        </w:rPr>
        <w:t>ős hányadát teszi ki. A benzin és a gázolaj fogyasztói ára (adókat és illetékeket beleértve) ennek ellenére 24%-kal, illetve 28%-kal csökkent 2014. június vége és 2016. február közepe között, amikor a kiskereskedelmi árak a legalacsonyabbak voltak, és a mo</w:t>
      </w:r>
      <w:r>
        <w:rPr>
          <w:noProof/>
        </w:rPr>
        <w:t>tor-üzemanyagok európai fogyasztói átlagára a legalacsonyabb volt 2009 óta.</w:t>
      </w:r>
    </w:p>
    <w:p w:rsidR="00645082" w:rsidRDefault="00CC1D78">
      <w:pPr>
        <w:spacing w:after="0"/>
        <w:rPr>
          <w:noProof/>
        </w:rPr>
      </w:pPr>
      <w:r>
        <w:rPr>
          <w:noProof/>
        </w:rPr>
        <w:t>A benzint és a gépjármű-gázolajat terhelő adók és díjak magasak, de az idők során alakultak. Az EU energiaadó-irányelve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minimum jövedékiadó-mértékeket határoz meg, de csaknem vala</w:t>
      </w:r>
      <w:r>
        <w:rPr>
          <w:noProof/>
        </w:rPr>
        <w:t>mennyi tagállam magasabb kulcsok alkalmazása mellett dönt. A benzint terhelő jövedéki adók a bulgáriai 0,36 EUR/litertől (minimummérték) a hollandiai 0,77 EUR/literig terjednek. A környezetvédelmi, gazdasági és adózási okok kombinációja folytán a benzin és</w:t>
      </w:r>
      <w:r>
        <w:rPr>
          <w:noProof/>
        </w:rPr>
        <w:t xml:space="preserve"> a gázolaj fontos adóalapot jelent a tagállamok számára. 2015-ben az adók a benzin kiskereskedelmi átlagárának 63%-át, a gázolaj árának pedig 57%-át tették ki.</w:t>
      </w:r>
    </w:p>
    <w:p w:rsidR="00645082" w:rsidRDefault="00645082">
      <w:pPr>
        <w:spacing w:before="0" w:after="200"/>
        <w:jc w:val="left"/>
        <w:rPr>
          <w:b/>
          <w:noProof/>
          <w:color w:val="000000"/>
        </w:rPr>
      </w:pPr>
    </w:p>
    <w:p w:rsidR="00645082" w:rsidRDefault="00CC1D78">
      <w:pPr>
        <w:ind w:left="1134" w:hanging="1134"/>
        <w:jc w:val="left"/>
        <w:rPr>
          <w:b/>
          <w:noProof/>
          <w:color w:val="000000"/>
        </w:rPr>
      </w:pPr>
      <w:r>
        <w:rPr>
          <w:b/>
          <w:noProof/>
          <w:color w:val="000000"/>
        </w:rPr>
        <w:t>15. ábra:</w:t>
      </w:r>
      <w:r>
        <w:rPr>
          <w:noProof/>
        </w:rPr>
        <w:tab/>
      </w:r>
      <w:r>
        <w:rPr>
          <w:b/>
          <w:noProof/>
        </w:rPr>
        <w:t>A benzinárak tagállamonkénti bontásban</w:t>
      </w:r>
      <w:r>
        <w:rPr>
          <w:noProof/>
        </w:rPr>
        <w:t xml:space="preserve"> (</w:t>
      </w:r>
      <w:r>
        <w:rPr>
          <w:b/>
          <w:noProof/>
        </w:rPr>
        <w:t>2015)</w:t>
      </w:r>
    </w:p>
    <w:p w:rsidR="00645082" w:rsidRDefault="00CC1D78">
      <w:pPr>
        <w:spacing w:before="0" w:after="0"/>
        <w:jc w:val="center"/>
        <w:rPr>
          <w:noProof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831840" cy="3210983"/>
            <wp:effectExtent l="0" t="0" r="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21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  <w:sz w:val="16"/>
          <w:szCs w:val="16"/>
        </w:rPr>
      </w:pPr>
      <w:r>
        <w:rPr>
          <w:noProof/>
          <w:color w:val="000000"/>
          <w:sz w:val="16"/>
        </w:rPr>
        <w:t>Forrás: Európai Bizottság</w:t>
      </w:r>
    </w:p>
    <w:p w:rsidR="00645082" w:rsidRDefault="00CC1D78">
      <w:pPr>
        <w:pStyle w:val="Heading1"/>
        <w:spacing w:before="120"/>
        <w:ind w:left="567" w:hanging="567"/>
        <w:rPr>
          <w:noProof/>
        </w:rPr>
      </w:pPr>
      <w:r>
        <w:rPr>
          <w:noProof/>
        </w:rPr>
        <w:t>Energiaköltségek Európában</w:t>
      </w:r>
    </w:p>
    <w:p w:rsidR="00645082" w:rsidRDefault="00CC1D78">
      <w:pPr>
        <w:rPr>
          <w:noProof/>
        </w:rPr>
      </w:pPr>
      <w:r>
        <w:rPr>
          <w:noProof/>
          <w:color w:val="000000"/>
        </w:rPr>
        <w:t>A fentiekben kifejtettek alapján egyértelmű, hogy a villamos energia, a gáz és a kőolaj nagykereskedelmi ára számos tényező (például a növekvő kínálat és a csökkenő kereslet) miatt csökken. Ez a kőolajtermékek kiskereskedelmi ára</w:t>
      </w:r>
      <w:r>
        <w:rPr>
          <w:noProof/>
          <w:color w:val="000000"/>
        </w:rPr>
        <w:t xml:space="preserve">inak csökkenését eredményezte. A kiskereskedelmi villamosenergia- és gázárak azonban stabilak maradtak vagy enyhén nőttek, mivel a hálózati költségek, adók és díjak elnyelték a nagykereskedelmi árak ilyen csökkenéseit. Ezek az ártrendek </w:t>
      </w:r>
      <w:r>
        <w:rPr>
          <w:i/>
          <w:noProof/>
          <w:color w:val="000000"/>
        </w:rPr>
        <w:t>energiafogyasztásun</w:t>
      </w:r>
      <w:r>
        <w:rPr>
          <w:i/>
          <w:noProof/>
          <w:color w:val="000000"/>
        </w:rPr>
        <w:t>kkal</w:t>
      </w:r>
      <w:r>
        <w:rPr>
          <w:noProof/>
          <w:color w:val="000000"/>
        </w:rPr>
        <w:t xml:space="preserve"> együtt fontos elemei a háztartási és ipar energiaköltségekre gyakorolt hatás értékelésének.</w:t>
      </w:r>
    </w:p>
    <w:p w:rsidR="00645082" w:rsidRDefault="00CC1D78">
      <w:pPr>
        <w:pStyle w:val="Heading2"/>
        <w:spacing w:before="120"/>
        <w:ind w:left="567" w:hanging="567"/>
        <w:rPr>
          <w:b w:val="0"/>
          <w:noProof/>
          <w:color w:val="000000" w:themeColor="text1"/>
        </w:rPr>
      </w:pPr>
      <w:r>
        <w:rPr>
          <w:noProof/>
          <w:color w:val="000000" w:themeColor="text1"/>
        </w:rPr>
        <w:t xml:space="preserve">5.1. </w:t>
      </w:r>
      <w:r>
        <w:rPr>
          <w:noProof/>
        </w:rPr>
        <w:tab/>
      </w:r>
      <w:r>
        <w:rPr>
          <w:noProof/>
          <w:color w:val="000000" w:themeColor="text1"/>
        </w:rPr>
        <w:t>Háztartási energiakiadások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 xml:space="preserve">A háztartások esetében a villamos energia, a gáz és a fűtőolaj végső energiafogyasztása csak kis mértékben nőtt vagy csökkent 2008 óta. A villamos energia és a gáz </w:t>
      </w:r>
      <w:r>
        <w:rPr>
          <w:i/>
          <w:noProof/>
          <w:color w:val="000000"/>
        </w:rPr>
        <w:t>kiskereskedelmi</w:t>
      </w:r>
      <w:r>
        <w:rPr>
          <w:noProof/>
          <w:color w:val="000000"/>
        </w:rPr>
        <w:t xml:space="preserve"> árainak növekedése azonban azt jelentette, hogy az EU-ban a háztartások ener</w:t>
      </w:r>
      <w:r>
        <w:rPr>
          <w:noProof/>
          <w:color w:val="000000"/>
        </w:rPr>
        <w:t>giakiadásai (a külön számított közlekedés [kőolaj] nélkül) a háztartások 2008-as kiadásainak 5,3%-áról 2014-ben 5,8%-ra nőttek. Ezzel egyidejűleg a kőolajtermékek csökkenő kiskereskedelmi árai hozzájárultak a közlekedési üzemanyag-kiadások csökkenéséhez, a</w:t>
      </w:r>
      <w:r>
        <w:rPr>
          <w:noProof/>
          <w:color w:val="000000"/>
        </w:rPr>
        <w:t xml:space="preserve">melyek a háztartási kiadások 4,3%-áról azok 3,9%-ára estek. </w:t>
      </w:r>
    </w:p>
    <w:p w:rsidR="00645082" w:rsidRDefault="00CC1D78">
      <w:pPr>
        <w:spacing w:after="0"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16. ábra:</w:t>
      </w:r>
      <w:r>
        <w:rPr>
          <w:noProof/>
        </w:rPr>
        <w:tab/>
      </w:r>
      <w:r>
        <w:rPr>
          <w:b/>
          <w:noProof/>
          <w:color w:val="000000"/>
        </w:rPr>
        <w:t>Különböző fogyasztási javak a háztartási fogyasztási kiadásokban (2014)</w:t>
      </w:r>
    </w:p>
    <w:p w:rsidR="00645082" w:rsidRDefault="00CC1D78">
      <w:pPr>
        <w:spacing w:before="0" w:after="0"/>
        <w:rPr>
          <w:noProof/>
          <w:sz w:val="20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831840" cy="29219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9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sz w:val="16"/>
          <w:szCs w:val="16"/>
        </w:rPr>
      </w:pPr>
      <w:r>
        <w:rPr>
          <w:noProof/>
          <w:sz w:val="16"/>
        </w:rPr>
        <w:t>Forrás: Európai Bizottság, nemzeti statisztikai intézmények és saját számítás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 háztartási energiakiadások (köz</w:t>
      </w:r>
      <w:r>
        <w:rPr>
          <w:noProof/>
          <w:color w:val="000000"/>
        </w:rPr>
        <w:t>lekedés nélkül számított) átlagos értéke mögött jelentős eltérések húzódnak meg a (gazdagabb és kevésbé gazdag, melegebb és hidegebb éghajlatú) tagállamok, illetve a tagállamokon belül a jövedelmi csoportok között. Az arány a máltai 3%-tól a szlovákiai 14,</w:t>
      </w:r>
      <w:r>
        <w:rPr>
          <w:noProof/>
          <w:color w:val="000000"/>
        </w:rPr>
        <w:t>5%-ig terjed. A különböző háztartási típusok elemzése azt támasztja alá, hogy a szegényebb háztartások jövedelmük nagyobb hányadát költik energiára, mint a gazdagabb háztartások.</w:t>
      </w:r>
    </w:p>
    <w:p w:rsidR="00CC1D78" w:rsidRDefault="00CC1D78">
      <w:pPr>
        <w:spacing w:before="0" w:after="200" w:line="276" w:lineRule="auto"/>
        <w:jc w:val="left"/>
        <w:rPr>
          <w:b/>
          <w:noProof/>
          <w:color w:val="000000"/>
        </w:rPr>
      </w:pPr>
      <w:r>
        <w:rPr>
          <w:b/>
          <w:noProof/>
          <w:color w:val="000000"/>
        </w:rPr>
        <w:br w:type="page"/>
      </w:r>
    </w:p>
    <w:p w:rsidR="00645082" w:rsidRDefault="00CC1D78" w:rsidP="00CC1D78">
      <w:pPr>
        <w:keepNext/>
        <w:ind w:left="1134" w:hanging="1134"/>
        <w:rPr>
          <w:noProof/>
        </w:rPr>
      </w:pPr>
      <w:r>
        <w:rPr>
          <w:b/>
          <w:noProof/>
          <w:color w:val="000000"/>
        </w:rPr>
        <w:t>17. ábra: A háztartási energiakiadások aránya jövedelmi csoportonként (2014)</w:t>
      </w:r>
    </w:p>
    <w:p w:rsidR="00645082" w:rsidRDefault="00CC1D78" w:rsidP="00CC1D78">
      <w:pPr>
        <w:keepNext/>
        <w:spacing w:before="0" w:after="0"/>
        <w:rPr>
          <w:noProof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5EE32E03" wp14:editId="4C691044">
            <wp:extent cx="5831840" cy="298339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9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sz w:val="16"/>
          <w:szCs w:val="16"/>
        </w:rPr>
      </w:pPr>
      <w:r>
        <w:rPr>
          <w:noProof/>
          <w:sz w:val="16"/>
        </w:rPr>
        <w:t>Forrás: Európai Bizottság, nemzeti statisztikai intézmények és saját számítás</w:t>
      </w:r>
    </w:p>
    <w:p w:rsidR="00645082" w:rsidRDefault="00CC1D78">
      <w:pPr>
        <w:spacing w:after="0"/>
        <w:rPr>
          <w:noProof/>
        </w:rPr>
      </w:pPr>
      <w:r>
        <w:rPr>
          <w:noProof/>
        </w:rPr>
        <w:t>A háztartások átlagos energiakiadása a legszegényebb háztartások esetében 8,6%-ot tett ki (2004-ben ez 5,7% volt), a közepes jövedelmű háztartások esetében 6,2%-ot, a magas jöv</w:t>
      </w:r>
      <w:r>
        <w:rPr>
          <w:noProof/>
        </w:rPr>
        <w:t>edelmű háztartásoknál pedig 4,3%-ot. Ez azt mutatja, hogy a kiszolgáltatott helyzetben lévő fogyasztókat, különösen alacsony gazdasági növekedés idején, viszonylag jobban érintik az áremelkedések, mint az átlagos háztartásokat, ami arra utal, hogy az energ</w:t>
      </w:r>
      <w:r>
        <w:rPr>
          <w:noProof/>
        </w:rPr>
        <w:t>iaszegénység kezelése érdekében a kiszolgáltatott fogyasztókra szabott szociális intézkedésekre van szükség.</w:t>
      </w:r>
    </w:p>
    <w:p w:rsidR="00645082" w:rsidRDefault="00CC1D78">
      <w:pPr>
        <w:spacing w:after="0"/>
        <w:rPr>
          <w:noProof/>
        </w:rPr>
      </w:pPr>
      <w:r>
        <w:rPr>
          <w:noProof/>
        </w:rPr>
        <w:t>Az elemzésből az is kitűnik, hogy egyes tagállamokban a háztartások úgy reagáltak a növekvő energiaárakra és költségekre, hogy csökkentették energi</w:t>
      </w:r>
      <w:r>
        <w:rPr>
          <w:noProof/>
        </w:rPr>
        <w:t>afogyasztásukat (lásd a 18. ábrát). Az EU háztartási energiafogyasztása (a közlekedés nélkül) a tárgyidőszakban a háztartások számának és méretének növekedése ellenére körülbelül 4%-kal csökkent. Ezt nagyrészt az energiatakarékosság eredményezte. A csökken</w:t>
      </w:r>
      <w:r>
        <w:rPr>
          <w:noProof/>
        </w:rPr>
        <w:t>és sok esetben a fokozott lakóhelyi energiahatékonyság eredménye, de egyes országokban a vásárlóerő korlátai is okozhatták a fogyasztás drasztikus visszaesését.</w:t>
      </w:r>
    </w:p>
    <w:p w:rsidR="00645082" w:rsidRDefault="00645082">
      <w:pPr>
        <w:spacing w:before="0" w:after="200"/>
        <w:jc w:val="left"/>
        <w:rPr>
          <w:b/>
          <w:noProof/>
          <w:color w:val="000000"/>
        </w:rPr>
      </w:pPr>
    </w:p>
    <w:p w:rsidR="00CC1D78" w:rsidRDefault="00CC1D78">
      <w:pPr>
        <w:spacing w:before="0" w:after="200" w:line="276" w:lineRule="auto"/>
        <w:jc w:val="left"/>
        <w:rPr>
          <w:b/>
          <w:noProof/>
          <w:color w:val="000000"/>
        </w:rPr>
      </w:pPr>
      <w:r>
        <w:rPr>
          <w:b/>
          <w:noProof/>
          <w:color w:val="000000"/>
        </w:rPr>
        <w:br w:type="page"/>
      </w:r>
    </w:p>
    <w:p w:rsidR="00645082" w:rsidRDefault="00CC1D78" w:rsidP="00CC1D78">
      <w:pPr>
        <w:keepNext/>
        <w:ind w:left="1134" w:hanging="1134"/>
        <w:rPr>
          <w:b/>
          <w:noProof/>
          <w:color w:val="000000"/>
        </w:rPr>
      </w:pPr>
      <w:r>
        <w:rPr>
          <w:b/>
          <w:noProof/>
          <w:color w:val="000000"/>
        </w:rPr>
        <w:t>18. ábra:</w:t>
      </w:r>
      <w:r>
        <w:rPr>
          <w:noProof/>
        </w:rPr>
        <w:tab/>
      </w:r>
      <w:r>
        <w:rPr>
          <w:b/>
          <w:noProof/>
          <w:color w:val="000000"/>
        </w:rPr>
        <w:t>Az energiafogyasztás változásai egyes tagállamokban (2004</w:t>
      </w:r>
      <w:r>
        <w:rPr>
          <w:noProof/>
        </w:rPr>
        <w:noBreakHyphen/>
      </w:r>
      <w:r>
        <w:rPr>
          <w:b/>
          <w:noProof/>
          <w:color w:val="000000"/>
        </w:rPr>
        <w:t>2013)</w:t>
      </w:r>
    </w:p>
    <w:p w:rsidR="00645082" w:rsidRDefault="00CC1D78" w:rsidP="00CC1D78">
      <w:pPr>
        <w:keepNext/>
        <w:spacing w:before="0" w:after="0"/>
        <w:rPr>
          <w:noProof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52FC079D" wp14:editId="29BCEF53">
            <wp:extent cx="5831840" cy="3160871"/>
            <wp:effectExtent l="0" t="0" r="0" b="1905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16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2" w:rsidRDefault="00CC1D78">
      <w:pPr>
        <w:spacing w:before="0" w:after="0"/>
        <w:jc w:val="right"/>
        <w:rPr>
          <w:noProof/>
          <w:color w:val="000000"/>
        </w:rPr>
      </w:pPr>
      <w:r>
        <w:rPr>
          <w:noProof/>
          <w:sz w:val="16"/>
        </w:rPr>
        <w:t xml:space="preserve">Forrás: ODYSSEE </w:t>
      </w:r>
      <w:r>
        <w:rPr>
          <w:noProof/>
          <w:sz w:val="16"/>
        </w:rPr>
        <w:t>adatbázis</w:t>
      </w:r>
    </w:p>
    <w:p w:rsidR="00645082" w:rsidRDefault="00CC1D78">
      <w:pPr>
        <w:pStyle w:val="Heading2"/>
        <w:spacing w:before="120"/>
        <w:ind w:left="567" w:hanging="567"/>
        <w:rPr>
          <w:b w:val="0"/>
          <w:noProof/>
          <w:color w:val="000000" w:themeColor="text1"/>
        </w:rPr>
      </w:pPr>
      <w:r>
        <w:rPr>
          <w:noProof/>
          <w:color w:val="000000" w:themeColor="text1"/>
        </w:rPr>
        <w:t xml:space="preserve">5.2. </w:t>
      </w:r>
      <w:r>
        <w:rPr>
          <w:noProof/>
        </w:rPr>
        <w:tab/>
      </w:r>
      <w:r>
        <w:rPr>
          <w:noProof/>
          <w:color w:val="000000" w:themeColor="text1"/>
        </w:rPr>
        <w:t>Ipari energiaköltségek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 elmúlt évek energiaárakat érintő fejleményei nem növelték az európai vállalkozások termelési költségeiben az energiaköltségek hányadát, amely kevesebb mint 2%. Ugyanakkor az ipar energiaköltségeinek csökkentése érd</w:t>
      </w:r>
      <w:r>
        <w:rPr>
          <w:noProof/>
          <w:color w:val="000000"/>
        </w:rPr>
        <w:t xml:space="preserve">ekében a tagállamok kormányainak többsége az energiaadók és -díjak (például megújuló energiával vagy energiahatékonysággal kapcsolatos díjak vagy hálózati díjak) alóli mentességek és kedvezmények formájában támogatásokat nyújt. A vállalkozás, jellemzőitől </w:t>
      </w:r>
      <w:r>
        <w:rPr>
          <w:noProof/>
          <w:color w:val="000000"/>
        </w:rPr>
        <w:t>és a székhelye szerinti tagállamtól függően, 50%-kal alacsonyabb energiaárakat is élvezhet, mint ugyanazon ágazat egy másik vállalata.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Ezzel együtt, bizonyos olyan iparágak esetében, amelyeknél az energiaköltségek jelentősebbek és a nemzetközi versenynek v</w:t>
      </w:r>
      <w:r>
        <w:rPr>
          <w:noProof/>
          <w:color w:val="000000"/>
        </w:rPr>
        <w:t>aló kitettség magas, közelebbről is meg kell vizsgálni az energiaköltségeket. Olyan energiaigényes iparágakról van szó, amelyekre bizonyos mértékű gazdasági jelentőség, valamint a kereskedelemnek való kitettség jellemző (amelyeknél az energiaköltségek a te</w:t>
      </w:r>
      <w:r>
        <w:rPr>
          <w:noProof/>
          <w:color w:val="000000"/>
        </w:rPr>
        <w:t>ljes termelési költségnek legalább 3%-át, egyes esetekben átlagosan 40%-át vagy még nagyobb hányadát teszik ki). A Bizottság által végzett elemzés szerint a 14 kiválasztott ágazatnál a legtöbb esetben az energiaköltségek hányada és abszolút értéke is csökk</w:t>
      </w:r>
      <w:r>
        <w:rPr>
          <w:noProof/>
          <w:color w:val="000000"/>
        </w:rPr>
        <w:t>ent 2008 és 2013 között. Ez az energiaárak csökkenésének, az adómentességeknek és -kedvezményeknek, a lecsökkent termelési szintekhez kapcsolódó alacsonyabb energiafogyasztásnak, a kevésbé energiaigényes termékek gyártására való átállásnak, az energiahaték</w:t>
      </w:r>
      <w:r>
        <w:rPr>
          <w:noProof/>
          <w:color w:val="000000"/>
        </w:rPr>
        <w:t>ony intézkedések átvételének és az egyéb gyártásiköltség-tényezők lassabb csökkenéseinek az eredménye.</w:t>
      </w:r>
    </w:p>
    <w:p w:rsidR="00645082" w:rsidRDefault="00CC1D78">
      <w:pPr>
        <w:spacing w:after="0"/>
        <w:rPr>
          <w:b/>
          <w:noProof/>
          <w:color w:val="000000"/>
        </w:rPr>
      </w:pPr>
      <w:r>
        <w:rPr>
          <w:b/>
          <w:noProof/>
          <w:color w:val="000000"/>
        </w:rPr>
        <w:t>Az energiaköltségek nemzetközi összehasonlítása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 európai gazdaság összességében nem magas energiaigényű gazdaság. Az EU a változó belső és globális pia</w:t>
      </w:r>
      <w:r>
        <w:rPr>
          <w:noProof/>
          <w:color w:val="000000"/>
        </w:rPr>
        <w:t>cokkal, valamint az eltérő áruk és egyre inkább növekvő mértékben szolgáltatások iránti kereslettel szembesülve évtizedek alatt átalakította gazdaságszerkezetét. A szerkezetátalakítás az erőforrások elérhetőségével kapcsolatos változásoknak, az árjelzésekn</w:t>
      </w:r>
      <w:r>
        <w:rPr>
          <w:noProof/>
          <w:color w:val="000000"/>
        </w:rPr>
        <w:t>ek és a technológiai fejlődésnek is köszönhető. Ahogy azonban fent megjegyeztük, egyes energiaigényes iparágak nemzetközi versennyel szembesülnek. Ezért fontos, hogy megvizsgáljuk, hogy miként viszonyul az energiaárak és költségek uniós alakulása a nemzetk</w:t>
      </w:r>
      <w:r>
        <w:rPr>
          <w:noProof/>
          <w:color w:val="000000"/>
        </w:rPr>
        <w:t>özi fejleményekhez.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Ahogy korábban már megjegyeztük, a villamos energia és a gáz uniós ipari átlagára viszonylag mérsékelten nőtt 2008-tól 2015-ig, az ázsiai országok (különösen Kína, Dél-Korea és Japán) ára ugyanakkor jelentősen gyorsabban nőtt.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 xml:space="preserve">A világ </w:t>
      </w:r>
      <w:r>
        <w:rPr>
          <w:noProof/>
          <w:color w:val="000000"/>
        </w:rPr>
        <w:t>ipara energiaköltségeinek és energiaigényének összehasonlítása céljából (korlátozottan) rendelkezésre álló adatok</w:t>
      </w:r>
      <w:r>
        <w:rPr>
          <w:rStyle w:val="FootnoteReference"/>
          <w:noProof/>
          <w:color w:val="000000"/>
        </w:rPr>
        <w:footnoteReference w:id="16"/>
      </w:r>
      <w:r>
        <w:rPr>
          <w:noProof/>
          <w:color w:val="000000"/>
        </w:rPr>
        <w:t xml:space="preserve"> arra utalnak, hogy a kínai energiaigényes iparágak sokkal energiaigényesebbek, mint az USA és Európa iparágai</w:t>
      </w:r>
      <w:r>
        <w:rPr>
          <w:rStyle w:val="FootnoteReference"/>
          <w:noProof/>
          <w:color w:val="000000"/>
        </w:rPr>
        <w:footnoteReference w:id="17"/>
      </w:r>
      <w:r>
        <w:rPr>
          <w:noProof/>
          <w:color w:val="000000"/>
        </w:rPr>
        <w:t>. Ezzel szemben egyes európai i</w:t>
      </w:r>
      <w:r>
        <w:rPr>
          <w:noProof/>
          <w:color w:val="000000"/>
        </w:rPr>
        <w:t>pari ágazatok nagyobb energiaigényűnek tűnnek, mint amerikai megfelelőik. Ennek ellenére a legtöbb esetben az energia az EU energiaigényes iparágaiban láthatóan alacsonyabb hányadát teszi ki a termelési költségeknek, mint az USA hasonló szektoraiban, és ma</w:t>
      </w:r>
      <w:r>
        <w:rPr>
          <w:noProof/>
          <w:color w:val="000000"/>
        </w:rPr>
        <w:t xml:space="preserve">gasabb hányadát, mint Japánban. Az energiaköltségek hányada azonban 2008 óta gyorsabban csökkent Amerikában, mint az EU-ban, ami arra utal, hogy az USA alacsonyabb energiaárain túl az amerikai energiaigényes ipar is „felzárkózhat”. </w:t>
      </w:r>
      <w:r>
        <w:rPr>
          <w:noProof/>
        </w:rPr>
        <w:t>2008 óta az egyes európa</w:t>
      </w:r>
      <w:r>
        <w:rPr>
          <w:noProof/>
        </w:rPr>
        <w:t>i energiaigényes iparágak energiahatékonysági fejlesztéseire vonatkozó bizonyítékok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 azt mutatják, hogy ezek lelassultak vagy akár le is álltak. Ezt olyan tényezők magyarázhatják, mint a technikai fejlesztés vélhetően korlátozott hatóköre, a csökkent kapac</w:t>
      </w:r>
      <w:r>
        <w:rPr>
          <w:noProof/>
        </w:rPr>
        <w:t>itáskihasználási ráták, illetve a befektetésre alkalmas tőke elégtelen elérhetősége.</w:t>
      </w:r>
    </w:p>
    <w:p w:rsidR="00645082" w:rsidRDefault="00CC1D78">
      <w:pPr>
        <w:pStyle w:val="Heading1"/>
        <w:spacing w:before="120"/>
        <w:ind w:left="567" w:hanging="567"/>
        <w:rPr>
          <w:noProof/>
        </w:rPr>
      </w:pPr>
      <w:r>
        <w:rPr>
          <w:noProof/>
        </w:rPr>
        <w:t>Energiatámogatások és kormányzati bevételek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Egy versengő és megfelelően működő energiapiac várhatóan a legköltséghatékonyabb módon szállítja a háztartások és az ipar által</w:t>
      </w:r>
      <w:r>
        <w:rPr>
          <w:noProof/>
          <w:color w:val="000000"/>
        </w:rPr>
        <w:t xml:space="preserve"> igényelt energiát. Minél egyértelműbb az árjelzés és minél jobban illeszkednek egymáshoz az árak és a termelési költségek, annál hatékonyabb lesz az energia-előállítás és -fogyasztás. Az energiapiac azonban több szempontból nem működik megfelelően. Számos</w:t>
      </w:r>
      <w:r>
        <w:rPr>
          <w:noProof/>
          <w:color w:val="000000"/>
        </w:rPr>
        <w:t xml:space="preserve"> piaci és szabályozási kudarc eredményeként a kormányok az évek során különböző módokon avatkoztak be annak érdekében, hogy irányítsák az energiaágazat fejlődését. Az energiatermelőket vagy a fogyasztókat érintő szabályozási vagy pénzügyi intézkedéseket ol</w:t>
      </w:r>
      <w:r>
        <w:rPr>
          <w:noProof/>
          <w:color w:val="000000"/>
        </w:rPr>
        <w:t>yan szakpolitikai célok elérése érdekében vezették be, mint a környezetszennyezés és az üvegházhatású gázok kibocsátásának csökkentése, az energiaellátás biztonságának javítása vagy az energia költsége által a szegény háztartások vagy a kiszolgáltatott vál</w:t>
      </w:r>
      <w:r>
        <w:rPr>
          <w:noProof/>
          <w:color w:val="000000"/>
        </w:rPr>
        <w:t>lalkozások számára jelentett teher csökkentése. Az ilyen intézkedések gyakran támogatják az energiatermelést és fogyasztást, valamint adott esetben korrigálhatják az árjelzéseket annak érdekében, hogy tükrözzék a piaci kudarcokat. Ezek közé tartozhatnak az</w:t>
      </w:r>
      <w:r>
        <w:rPr>
          <w:noProof/>
          <w:color w:val="000000"/>
        </w:rPr>
        <w:t xml:space="preserve"> árakban megjelenő közvetlen intézkedések, ahogy az a fent tárgyalt energiaadók és -díjak alkomponensekben is látszik. Egyes intézkedések (például bizonyos energiakeresletre vonatkozó intézkedések vagy a költségek alatt rögzített árak) azonban tompíthatják</w:t>
      </w:r>
      <w:r>
        <w:rPr>
          <w:noProof/>
          <w:color w:val="000000"/>
        </w:rPr>
        <w:t xml:space="preserve"> is azokat az árjelzéseket, amelyek egyébként irányítanák az energiafogyasztást és -termelést, az energiahatékonyságot és a beruházásokat. A fosszilis tüzelőanyagok támogatásai különösen problémásak, mivel hátrányt jelentenek a tiszta energia számára, és a</w:t>
      </w:r>
      <w:r>
        <w:rPr>
          <w:noProof/>
          <w:color w:val="000000"/>
        </w:rPr>
        <w:t>kadályozzák az áttérést az alacsony szén-dioxid-kibocsátású gazdaságra.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2014-ben a Bizottság átfogó tanulmányt készített az európai energiaköltségek és -támogatások jellegéről</w:t>
      </w:r>
      <w:r>
        <w:rPr>
          <w:rStyle w:val="FootnoteReference"/>
          <w:noProof/>
          <w:color w:val="000000"/>
        </w:rPr>
        <w:footnoteReference w:id="19"/>
      </w:r>
      <w:r>
        <w:rPr>
          <w:noProof/>
          <w:color w:val="000000"/>
        </w:rPr>
        <w:t>. Ebben megállapította, hogy a kormányzati beavatkozások széles köre nyújtott je</w:t>
      </w:r>
      <w:r>
        <w:rPr>
          <w:noProof/>
          <w:color w:val="000000"/>
        </w:rPr>
        <w:t xml:space="preserve">lentős, 2012-ben 113 milliárd eurós támogatást az energiaágazat számára (a közlekedés nélkül), amelyből körülbelül 17,2 milliárdot a villamosságot és fűtést biztosító fosszilis tüzelőanyagok </w:t>
      </w:r>
      <w:r>
        <w:rPr>
          <w:i/>
          <w:noProof/>
          <w:color w:val="000000"/>
        </w:rPr>
        <w:t>közvetlen</w:t>
      </w:r>
      <w:r>
        <w:rPr>
          <w:noProof/>
          <w:color w:val="000000"/>
        </w:rPr>
        <w:t xml:space="preserve"> támogatására biztosítottak</w:t>
      </w:r>
      <w:r>
        <w:rPr>
          <w:rStyle w:val="FootnoteReference"/>
          <w:noProof/>
          <w:color w:val="000000"/>
        </w:rPr>
        <w:footnoteReference w:id="20"/>
      </w:r>
      <w:r>
        <w:rPr>
          <w:noProof/>
          <w:color w:val="000000"/>
        </w:rPr>
        <w:t>; a közlekedést szolgáló fos</w:t>
      </w:r>
      <w:r>
        <w:rPr>
          <w:noProof/>
          <w:color w:val="000000"/>
        </w:rPr>
        <w:t xml:space="preserve">szilis tüzelőanyagok támogatását ettől elkülönülten 24,7 milliárd EUR-ra becsülték. </w:t>
      </w:r>
      <w:r>
        <w:rPr>
          <w:noProof/>
        </w:rPr>
        <w:t>Amennyiben olyan, szélesebb nemzetközi (IMF) meghatározásokat alkalmazunk, amelyek a külső költségeket is tartalmazzák, a fosszilis tüzelőanyagok támogatása 300 milliárd EU</w:t>
      </w:r>
      <w:r>
        <w:rPr>
          <w:noProof/>
        </w:rPr>
        <w:t>R-ra nő</w:t>
      </w:r>
      <w:r>
        <w:rPr>
          <w:rStyle w:val="FootnoteReference"/>
          <w:noProof/>
        </w:rPr>
        <w:footnoteReference w:id="21"/>
      </w:r>
      <w:r>
        <w:rPr>
          <w:noProof/>
        </w:rPr>
        <w:t xml:space="preserve"> mind Európában, mind Oroszországban, 250 milliárd EUR-ra Indiában, több mint 2050 milliárdra Kínában és 630 milliárd EUR-ra az USA-ban. </w:t>
      </w:r>
      <w:r>
        <w:rPr>
          <w:noProof/>
          <w:color w:val="000000"/>
        </w:rPr>
        <w:t>Az EU elkötelezett a fosszilis tüzelőanyagokat érintő és a környezetvédelmi szempontból káros támogatások megsz</w:t>
      </w:r>
      <w:r>
        <w:rPr>
          <w:noProof/>
          <w:color w:val="000000"/>
        </w:rPr>
        <w:t>üntetése mellett annak érdekében, hogy az energiapiac versengőbbé váljon, az árjelzések pedig jobban segítsék elő az erőforrások hatékonyabb elosztását az EU éghajlatváltozás elleni küzdelmet célzó kötelezettségvállalásainak megfelelően. Az energiaárak köz</w:t>
      </w:r>
      <w:r>
        <w:rPr>
          <w:noProof/>
          <w:color w:val="000000"/>
        </w:rPr>
        <w:t>elmúltban történt viszonylagos csökkenése szükségképpen könnyebbé teszi a kormányzatok számára, hogy megszüntessék az adómentességeket, illetve az egyéb ár- és energiakereslet-támogatásokat. Ez ezenkívül hozzájárulna a költségvetési konszolidációhoz is.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</w:t>
      </w:r>
      <w:r>
        <w:rPr>
          <w:noProof/>
          <w:color w:val="000000"/>
        </w:rPr>
        <w:t xml:space="preserve"> energiapiaci beavatkozás egy másik általános formája az energia adóztatása. Ahogy fent említettük, erre sor kerülhet a piaci kudarcok korrekciója érdekében, de a kormányok gyakran széles és stabil adóalapokat keresnek annak érdekében, hogy stabil állami b</w:t>
      </w:r>
      <w:r>
        <w:rPr>
          <w:noProof/>
          <w:color w:val="000000"/>
        </w:rPr>
        <w:t>evételeket biztosítsanak a kormányzati kiadások finanszírozására. Az energiafogyasztás hosszú ideje ilyen adóalapot jelent. 2014-ben az uniós tagállamok által beszedett energiaadók</w:t>
      </w:r>
      <w:r>
        <w:rPr>
          <w:rStyle w:val="FootnoteReference"/>
          <w:noProof/>
          <w:color w:val="000000"/>
        </w:rPr>
        <w:footnoteReference w:id="22"/>
      </w:r>
      <w:r>
        <w:rPr>
          <w:noProof/>
          <w:color w:val="000000"/>
        </w:rPr>
        <w:t xml:space="preserve"> teljes összege 263 milliárd EUR volt, ami az uniós GDP 1,88%-ának felel me</w:t>
      </w:r>
      <w:r>
        <w:rPr>
          <w:noProof/>
          <w:color w:val="000000"/>
        </w:rPr>
        <w:t>g. A jövedéki adók teszik az energiaadók legnagyobb részét. 2015-ben csak a jövedékiadó-bevételek 227 milliárd EUR-t tettek ki. Az energiatermékek lecsökkent fogyasztása a jövedékiadó-bevételek csökkenését eredményezte volna, de a tagállamok gyakran megeme</w:t>
      </w:r>
      <w:r>
        <w:rPr>
          <w:noProof/>
          <w:color w:val="000000"/>
        </w:rPr>
        <w:t>lték a jövedéki adó mértékét. Ily módon az energiafogyasztás továbbra is fontos adóalapja az állami bevételeknek, és segíti a tagállamokat a nehéz költségvetési helyzetek konszolidációjában. Általában véve az energiaadóztatás – szemben a munka és a beruház</w:t>
      </w:r>
      <w:r>
        <w:rPr>
          <w:noProof/>
          <w:color w:val="000000"/>
        </w:rPr>
        <w:t xml:space="preserve">ások adóztatásával – kedvező hatást gyakorolhat a növekedésre. 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 energiaárak továbbá az infláció révén hatással vannak az EU gazdaságának szélesebb makroökonómiai vetületeire is. Az energia egyértelmű szerepet játszik a háztartási kiadásokban és az ipari</w:t>
      </w:r>
      <w:r>
        <w:rPr>
          <w:noProof/>
          <w:color w:val="000000"/>
        </w:rPr>
        <w:t xml:space="preserve"> költségekben, valamit a kőolajárak révén különösen a közlekedési ágazatban. Ezért az energiaárak az inflációt érintő fontos tényezőt jelentenek. Az energiaárak 2008-ban érték el csúcspontjukat, és még 2011-ben is 1%-kal járultak hozzá az akkori uniós infl</w:t>
      </w:r>
      <w:r>
        <w:rPr>
          <w:noProof/>
          <w:color w:val="000000"/>
        </w:rPr>
        <w:t>ációhoz, ugyanúgy, ahogy jelenleg az alacsonyabb árak deflációs hatást gyakorolnak az EU gazdaságára.</w:t>
      </w:r>
    </w:p>
    <w:p w:rsidR="00CC1D78" w:rsidRDefault="00CC1D78">
      <w:pPr>
        <w:spacing w:before="0" w:after="200" w:line="276" w:lineRule="auto"/>
        <w:jc w:val="left"/>
        <w:rPr>
          <w:b/>
          <w:noProof/>
          <w:color w:val="000000"/>
        </w:rPr>
      </w:pPr>
      <w:r>
        <w:rPr>
          <w:b/>
          <w:noProof/>
          <w:color w:val="000000"/>
        </w:rPr>
        <w:br w:type="page"/>
      </w:r>
    </w:p>
    <w:p w:rsidR="00645082" w:rsidRDefault="00CC1D78" w:rsidP="00CC1D78">
      <w:pPr>
        <w:keepNext/>
        <w:ind w:left="1134" w:hanging="1134"/>
        <w:rPr>
          <w:b/>
          <w:noProof/>
          <w:color w:val="000000"/>
        </w:rPr>
      </w:pPr>
      <w:bookmarkStart w:id="1" w:name="_GoBack"/>
      <w:r>
        <w:rPr>
          <w:b/>
          <w:noProof/>
          <w:color w:val="000000"/>
        </w:rPr>
        <w:t>19. ábra:</w:t>
      </w:r>
      <w:r>
        <w:rPr>
          <w:noProof/>
        </w:rPr>
        <w:tab/>
      </w:r>
      <w:r>
        <w:rPr>
          <w:b/>
          <w:noProof/>
          <w:color w:val="000000"/>
        </w:rPr>
        <w:t xml:space="preserve">Az energiaárak hatása az inflációra az EU-ban </w:t>
      </w:r>
    </w:p>
    <w:p w:rsidR="00645082" w:rsidRDefault="00CC1D78" w:rsidP="00CC1D78">
      <w:pPr>
        <w:keepNext/>
        <w:spacing w:before="0" w:after="0"/>
        <w:rPr>
          <w:noProof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05CFA8D0" wp14:editId="0A8BF833">
            <wp:extent cx="5831840" cy="2795741"/>
            <wp:effectExtent l="0" t="0" r="0" b="508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79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645082" w:rsidRDefault="00CC1D78">
      <w:pPr>
        <w:spacing w:before="0" w:after="0"/>
        <w:jc w:val="right"/>
        <w:rPr>
          <w:noProof/>
          <w:sz w:val="16"/>
          <w:szCs w:val="16"/>
        </w:rPr>
      </w:pPr>
      <w:r>
        <w:rPr>
          <w:noProof/>
          <w:sz w:val="16"/>
        </w:rPr>
        <w:t>Forrás: Eurostat</w:t>
      </w:r>
    </w:p>
    <w:p w:rsidR="00645082" w:rsidRDefault="00CC1D78">
      <w:pPr>
        <w:pStyle w:val="Heading1"/>
        <w:numPr>
          <w:ilvl w:val="0"/>
          <w:numId w:val="0"/>
        </w:numPr>
        <w:spacing w:before="120"/>
        <w:rPr>
          <w:noProof/>
        </w:rPr>
      </w:pPr>
      <w:r>
        <w:rPr>
          <w:noProof/>
          <w:color w:val="000000"/>
        </w:rPr>
        <w:t>Következtetés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 másodlagos energiahordozók árainak az utóbbi években tapasztal</w:t>
      </w:r>
      <w:r>
        <w:rPr>
          <w:noProof/>
          <w:color w:val="000000"/>
        </w:rPr>
        <w:t>ható gyors esése (különösen az olaj, de a gáz esetében is), a technológiai változásból, illetve a piaci és geopolitikai fejleményekből fakad. Ez drasztikusan megváltoztatta az energiával kapcsolatos képet. A jelentős energiaimportőrnek számító Európában üd</w:t>
      </w:r>
      <w:r>
        <w:rPr>
          <w:noProof/>
          <w:color w:val="000000"/>
        </w:rPr>
        <w:t>vözölték a nehéz gazdasági helyzetben lévő háztartások és vállalkozások terheinek időszakos enyhülését, és az árcsökkenés „egyszeri” lökést adott a gazdaságnak. Ez mutatja az fejlődő globális piacok jelentőségét az energia szempontjából, főként egy olyan e</w:t>
      </w:r>
      <w:r>
        <w:rPr>
          <w:noProof/>
          <w:color w:val="000000"/>
        </w:rPr>
        <w:t>nergiaimportőr régió esetében, mint Európa, valamint csökkenti a más régiókkal szemben fennálló árkülönbségeket. Mindez különösen érvényes a gázra, amelynek esetében a cseppfolyósított földgáz piacainak globális fejlődése és az új ellátási források lehetős</w:t>
      </w:r>
      <w:r>
        <w:rPr>
          <w:noProof/>
          <w:color w:val="000000"/>
        </w:rPr>
        <w:t>égeket teremtenek Európa számára, ami elősegítheti a gáz árát érintően a világ más régióihoz (mint például az USA-hoz) képest fennálló eltérés mérséklését, valamint a dekarbonizáció szempontjából javítja a gáz versenyhelyzetét a szénhez viszonyítva.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Az ala</w:t>
      </w:r>
      <w:r>
        <w:rPr>
          <w:noProof/>
          <w:color w:val="000000"/>
        </w:rPr>
        <w:t>csonyabb árak azonban elvonhatják a figyelmet azokról az energetikai kihívásokról, amelyekkel az energiabiztonság, a versenyképesség és az éghajlatváltozás területén szembesülünk. Ezek a kihívások nem tűntek el. Az ebben a jelentésben szereplő adatok és el</w:t>
      </w:r>
      <w:r>
        <w:rPr>
          <w:noProof/>
          <w:color w:val="000000"/>
        </w:rPr>
        <w:t>emzés valójában sokkal árnyaltabb képet mutatnak, és segítséget nyújthatnak a helyes megközelítések és szakpolitikák kialakításában, annak érdekében, hogy fejleszteni tudjuk az energiauniót ebben a változó energetikai környezetben. Az alacsony árakat nem s</w:t>
      </w:r>
      <w:r>
        <w:rPr>
          <w:noProof/>
          <w:color w:val="000000"/>
        </w:rPr>
        <w:t>zabad adottnak venni. E jelentés adataiból kitűnik, hogy a kínálat és a kereslet hirtelen változhat. Ez még inkább érvényes abban az esetben, amikor az olyan új források, mint a palagáz- és olajkutak, gyorsan kimerülnek, és állandó pótló beruházásokat igén</w:t>
      </w:r>
      <w:r>
        <w:rPr>
          <w:noProof/>
          <w:color w:val="000000"/>
        </w:rPr>
        <w:t xml:space="preserve">yelnek a termelés fenntartása érdekében. 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Bár a legtöbb üzleti tevékenység esetében az energiaköltségek csak kis hányadát teszik ki a teljes termelési költségnek, Európa energiaigényes iparágai továbbra is érzékenyek az áremelkedésekre. Az energiaintenzitá</w:t>
      </w:r>
      <w:r>
        <w:rPr>
          <w:noProof/>
          <w:color w:val="000000"/>
        </w:rPr>
        <w:t xml:space="preserve">s mérésén alapuló bizonyítékok arra utalnak, hogy az USA energiaigényes iparágai energiahatékonysági szempontból bizonyos ágazatokban felzárkózhatnak az EU-hoz. Ezt elősegítheti az energiahatékonyságot szolgáló beruházások fokozása és a nagyobb hozzáadott </w:t>
      </w:r>
      <w:r>
        <w:rPr>
          <w:noProof/>
          <w:color w:val="000000"/>
        </w:rPr>
        <w:t>értékkel rendelkező innovatív temékekre történő áttérés. Egyes energiaigényes iparágak – a különböző tagállamokban igen eltérő módon – jelentős adókedvezményekben és -mentességekben részesülnek. Ilyen támogatásokat csak akkor szabad nyújtani, ha egyenlőtle</w:t>
      </w:r>
      <w:r>
        <w:rPr>
          <w:noProof/>
          <w:color w:val="000000"/>
        </w:rPr>
        <w:t>n nemzetközi verseny esetén az európai ipar támogatása érdekében erre szükség van, és ezzel egyidejűleg minimalizálni lehet az ártorzulást. Tágabb értelemben, a tagállamoknak ki kell használniuk a jelenlegi alacsonyabb energiaárakat annak érdekében, hogy m</w:t>
      </w:r>
      <w:r>
        <w:rPr>
          <w:noProof/>
          <w:color w:val="000000"/>
        </w:rPr>
        <w:t>egszüntessék a nem megfelelő támogatásokat és adómentességeket, amelyek eltorzítják az árjelzést és késleltetik az áttérést az alacsony szén-dioxid-kibocsátású gazdaságra.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Számos tényező befolyásolja az energiaárakat és a költségtrendeket Európában. E jele</w:t>
      </w:r>
      <w:r>
        <w:rPr>
          <w:noProof/>
          <w:color w:val="000000"/>
        </w:rPr>
        <w:t>ntés egyik egyértelmű megállapítása a nagykereskedelmi és a kiskereskedelmi villamosenergia-árak alakulásának eltérése. Míg a nagykereskedelmi árak 2016-ban 12 év óta a legalacsonyabb szintet érték el, addig a háztartási árak évente átlagosan 2-3%-kal növe</w:t>
      </w:r>
      <w:r>
        <w:rPr>
          <w:noProof/>
          <w:color w:val="000000"/>
        </w:rPr>
        <w:t>kedtek.</w:t>
      </w:r>
      <w:r>
        <w:rPr>
          <w:rStyle w:val="FootnoteReference"/>
          <w:noProof/>
          <w:color w:val="000000"/>
        </w:rPr>
        <w:footnoteReference w:id="23"/>
      </w:r>
      <w:r>
        <w:rPr>
          <w:noProof/>
          <w:color w:val="000000"/>
        </w:rPr>
        <w:t xml:space="preserve"> Ez a piaci működés piaci kudarcokkal keveredő javulásának, valamint az adók és díjak növekedésének az eredménye.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 xml:space="preserve">A nagykereskedelmi árak csökkenése a másodlagos energiahordozók árának csökkenéséhez, a visszaesett kereslethez és a </w:t>
      </w:r>
      <w:r>
        <w:rPr>
          <w:noProof/>
          <w:color w:val="000000"/>
        </w:rPr>
        <w:t>piac-összekapcsolás révén megjavult piaci működéshez kapcsolódik. A regionális piactól függően villamosenergia-termelési többletkapacitás is fennáll, és az új kapacitás nem biztosított addig, amíg a régebbi kapacitás elhagyja a piacot. A kapacitási mechani</w:t>
      </w:r>
      <w:r>
        <w:rPr>
          <w:noProof/>
          <w:color w:val="000000"/>
        </w:rPr>
        <w:t>zmusokhoz és a megújuló energia támogatásához hasonló nemzeti intézkedések szintén lenyomják a nagykereskedelmi árakat, tovább csökkentve ezáltal a bevételeket és ellensúlyozva a piac beépített árjelzéseit. Figyelemmel arra, hogy az ellátásbiztonsági, vers</w:t>
      </w:r>
      <w:r>
        <w:rPr>
          <w:noProof/>
          <w:color w:val="000000"/>
        </w:rPr>
        <w:t xml:space="preserve">enyképességi és dekarbonizációs célok elérése érdekében hosszú távon jelentős beruházás szükséges a termelési kapacitásba, az EU-nak piaci mechanizmusokon alapuló piaci szerkezetre és energiapolitikai keretre van szüksége, amely lehetővé teszi az alacsony </w:t>
      </w:r>
      <w:r>
        <w:rPr>
          <w:noProof/>
          <w:color w:val="000000"/>
        </w:rPr>
        <w:t>szén-dioxid-kibocsátású és rugalmas, keresletoldali irányítású termelésbe való beruházást, ideértve a tárolást és a határokon átnyúló összekapcsolást is.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A nagykereskedelmi árak csökkenése csak lassan és részlegesen hat ki a kiskereskedelmi fogyasztókra, m</w:t>
      </w:r>
      <w:r>
        <w:rPr>
          <w:noProof/>
          <w:color w:val="000000"/>
        </w:rPr>
        <w:t>íg gyorsabban ér el az ipari fogyasztókhoz. Ez arra utal, hogy a kiskereskedelmi piacokon tovább javulhat a verseny. Ezenfelül a hálózati tarifák, adók és díjak emelkedése javarészt ellensúlyozta a nagykereskedelmi árak csökkenését. Az ilyen emelkedések le</w:t>
      </w:r>
      <w:r>
        <w:rPr>
          <w:noProof/>
          <w:color w:val="000000"/>
        </w:rPr>
        <w:t>hetnek a hatékonyságot, a belső piacot és az energiabiztonságot előnyösen befolyásoló határokon átnyúló összekapcsolásokhoz és intelligens hálózatokhoz szükséges beruházások eredményei. Az adó- és díjemeléseket a piaci kudarcok korrekciója érdekében, által</w:t>
      </w:r>
      <w:r>
        <w:rPr>
          <w:noProof/>
          <w:color w:val="000000"/>
        </w:rPr>
        <w:t>ános költségvetési okokból, illetve az energiatermelésbe irányuló beruházások közvetlen finanszírozása céljából is bevezethetik. (Lényeges, hogy az energiarendszer költségeit teljes mértékben fedezzék az ágazaton belül a fogyasztók, valamint hogy ne váljon</w:t>
      </w:r>
      <w:r>
        <w:rPr>
          <w:noProof/>
          <w:color w:val="000000"/>
        </w:rPr>
        <w:t xml:space="preserve"> lehetővé a díjdeficitek halmozódása.) Ugyanakkor ezek nem mérsékelhetik az energiatermelők beruházási hajlandóságát. A nagykereskedelmi árak kiskereskedelmi árakra gyakorolt kismértékű kihatása, illetve a háztartások és az ipar árérzékenysége miatt az EU-</w:t>
      </w:r>
      <w:r>
        <w:rPr>
          <w:noProof/>
          <w:color w:val="000000"/>
        </w:rPr>
        <w:t>nak tovább kell mozdítania a belső energiapiac fejlődését, különösen egy működőképes villamosenergia-piaci szerkezet révén. Az EU-n belül versengő piacoknak kell kialakulniuk, amelyek mind a fogyasztók, mind a termelők képesek rugalmasan reagálni mind a na</w:t>
      </w:r>
      <w:r>
        <w:rPr>
          <w:noProof/>
          <w:color w:val="000000"/>
        </w:rPr>
        <w:t>gykereskedelmi, mind a kiskereskedelmi árjelzésekre. Ha az energiaágazatba való beruházást a piaci erőkre hagyjuk, a beruházási és működési költségeket teljes mértékben fedező nagykereskedelmi energiaárakra van szükség.</w:t>
      </w:r>
    </w:p>
    <w:p w:rsidR="00645082" w:rsidRDefault="00CC1D78">
      <w:pPr>
        <w:spacing w:after="0"/>
        <w:rPr>
          <w:noProof/>
          <w:color w:val="000000"/>
        </w:rPr>
      </w:pPr>
      <w:r>
        <w:rPr>
          <w:noProof/>
          <w:color w:val="000000"/>
        </w:rPr>
        <w:t>Mindezek figyelembevételével a Bizot</w:t>
      </w:r>
      <w:r>
        <w:rPr>
          <w:noProof/>
          <w:color w:val="000000"/>
        </w:rPr>
        <w:t>tság piacszerkezetről, kiskereskedelmi piacokról, megújuló energiáról és szabályozásról szóló készülő javaslatai döntő fontosságúak egy olyan innovatív és versengő energiaágazat létrehozása szempontjából, amely elérhető áron képes energiát szolgáltatni Eur</w:t>
      </w:r>
      <w:r>
        <w:rPr>
          <w:noProof/>
          <w:color w:val="000000"/>
        </w:rPr>
        <w:t xml:space="preserve">ópa háztartásainak és iparának, lehetővé téve az európai ipar számára, hogy hatékonyan versenyezzen a globális gazdaságban. </w:t>
      </w:r>
    </w:p>
    <w:sectPr w:rsidR="0064508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1361" w:bottom="567" w:left="1361" w:header="284" w:footer="454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82" w:rsidRDefault="00CC1D78">
      <w:pPr>
        <w:spacing w:before="0" w:after="0"/>
      </w:pPr>
      <w:r>
        <w:separator/>
      </w:r>
    </w:p>
  </w:endnote>
  <w:endnote w:type="continuationSeparator" w:id="0">
    <w:p w:rsidR="00645082" w:rsidRDefault="00CC1D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82" w:rsidRDefault="00645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82" w:rsidRDefault="00CC1D78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82" w:rsidRDefault="00645082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82" w:rsidRDefault="0064508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9972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45082" w:rsidRDefault="00CC1D78">
        <w:pPr>
          <w:pStyle w:val="Footer"/>
          <w:spacing w:before="240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24</w:t>
        </w:r>
        <w:r>
          <w:rPr>
            <w:sz w:val="16"/>
            <w:szCs w:val="16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82" w:rsidRDefault="00645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82" w:rsidRDefault="00CC1D78">
      <w:pPr>
        <w:spacing w:before="0" w:after="0"/>
      </w:pPr>
      <w:r>
        <w:separator/>
      </w:r>
    </w:p>
  </w:footnote>
  <w:footnote w:type="continuationSeparator" w:id="0">
    <w:p w:rsidR="00645082" w:rsidRDefault="00CC1D78">
      <w:pPr>
        <w:spacing w:before="0" w:after="0"/>
      </w:pPr>
      <w:r>
        <w:continuationSeparator/>
      </w:r>
    </w:p>
  </w:footnote>
  <w:footnote w:id="1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rPr>
          <w:rStyle w:val="FootnoteReference"/>
        </w:rPr>
        <w:t>.</w:t>
      </w:r>
      <w:r>
        <w:tab/>
        <w:t>COM(2014) 21 /2.</w:t>
      </w:r>
    </w:p>
  </w:footnote>
  <w:footnote w:id="2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Ez vezetett a bizottsági javaslathoz és a földgáz- és villamosenergia-</w:t>
      </w:r>
      <w:r>
        <w:t>árakra vonatkozó európai statisztikáról szóló európai parlamenti és tanácsi rendelet (a 2016. október 26-i (EU) 2016/1952 rendelet) elfogadásához.</w:t>
      </w:r>
    </w:p>
  </w:footnote>
  <w:footnote w:id="3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Lásd az energiaunió-keretstratégia 8. intézkedési pontjában (2015. február), valamint az energiaunió frissí</w:t>
      </w:r>
      <w:r>
        <w:t>tett ütemtervében (2015. november).</w:t>
      </w:r>
    </w:p>
  </w:footnote>
  <w:footnote w:id="4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Az Európai Bizottság 2015. téli időjárás-szimulációi.</w:t>
      </w:r>
    </w:p>
  </w:footnote>
  <w:footnote w:id="5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Súlyozott európai villamosenergia-átlagár, forrás: Platts.</w:t>
      </w:r>
    </w:p>
  </w:footnote>
  <w:footnote w:id="6">
    <w:p w:rsidR="00645082" w:rsidRDefault="00CC1D78">
      <w:pPr>
        <w:pStyle w:val="FootnoteText"/>
      </w:pPr>
      <w:r>
        <w:rPr>
          <w:rStyle w:val="FootnoteReference"/>
        </w:rPr>
        <w:footnoteRef/>
      </w:r>
      <w:r>
        <w:t xml:space="preserve"> Például az inkumbens vállalkozások piaci ereje, a piacra lépési akadályok és az adminisztratív módon</w:t>
      </w:r>
      <w:r>
        <w:t xml:space="preserve"> szabályozott árak.</w:t>
      </w:r>
    </w:p>
  </w:footnote>
  <w:footnote w:id="7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Az átlagárak a súlyozott EU</w:t>
      </w:r>
      <w:r>
        <w:noBreakHyphen/>
        <w:t>28 átlagárakra utalnak.</w:t>
      </w:r>
    </w:p>
  </w:footnote>
  <w:footnote w:id="8">
    <w:p w:rsidR="00645082" w:rsidRDefault="00CC1D78">
      <w:pPr>
        <w:spacing w:before="0" w:after="0"/>
        <w:ind w:left="284" w:hanging="284"/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</w:t>
      </w:r>
      <w:r>
        <w:tab/>
      </w:r>
      <w:r>
        <w:rPr>
          <w:sz w:val="20"/>
        </w:rPr>
        <w:t>1. Megújuló energia, valamint kapcsolt villamosenergia- és hőtermelés;</w:t>
      </w:r>
      <w:r>
        <w:tab/>
      </w:r>
      <w:r>
        <w:rPr>
          <w:sz w:val="20"/>
        </w:rPr>
        <w:br/>
        <w:t xml:space="preserve">2. Szociális elemek (kiszolgáltatott fogyasztók, szociális tarifák, hálózathoz nem kapcsolódó rendszerek, </w:t>
      </w:r>
      <w:r>
        <w:rPr>
          <w:sz w:val="20"/>
        </w:rPr>
        <w:t xml:space="preserve">végső menedékes szolgáltatás, nyugdíjalapok, foglalkoztatáspolitika); </w:t>
      </w:r>
      <w:r>
        <w:tab/>
      </w:r>
      <w:r>
        <w:rPr>
          <w:sz w:val="20"/>
        </w:rPr>
        <w:br/>
        <w:t xml:space="preserve">3. A nukleáris ágazat támogatása; </w:t>
      </w:r>
      <w:r>
        <w:tab/>
      </w:r>
      <w:r>
        <w:rPr>
          <w:sz w:val="20"/>
        </w:rPr>
        <w:br/>
        <w:t xml:space="preserve">4. Energiahatékonyság; </w:t>
      </w:r>
      <w:r>
        <w:tab/>
      </w:r>
      <w:r>
        <w:rPr>
          <w:sz w:val="20"/>
        </w:rPr>
        <w:br/>
        <w:t>5. Ellátásbiztonság (az ellátáspolitika biztonsága, a belső villamosenergia-előállítás/tüzelőanyag-gyártás támogatása, vész</w:t>
      </w:r>
      <w:r>
        <w:rPr>
          <w:sz w:val="20"/>
        </w:rPr>
        <w:t xml:space="preserve">helyzeti készletek díjai); </w:t>
      </w:r>
      <w:r>
        <w:tab/>
      </w:r>
      <w:r>
        <w:rPr>
          <w:sz w:val="20"/>
        </w:rPr>
        <w:br/>
        <w:t xml:space="preserve">6. Koncessziós díjak (főként a közterület-foglalásért); </w:t>
      </w:r>
      <w:r>
        <w:tab/>
      </w:r>
      <w:r>
        <w:rPr>
          <w:sz w:val="20"/>
        </w:rPr>
        <w:br/>
        <w:t xml:space="preserve">7. Nemzeti szabályozó hatóság és piac (a nemzeti szabályozó vagy piacüzemeltető finanszírozása); </w:t>
      </w:r>
      <w:r>
        <w:tab/>
      </w:r>
      <w:r>
        <w:rPr>
          <w:sz w:val="20"/>
        </w:rPr>
        <w:br/>
        <w:t>8. Egyéb díjak (beleérve a kutatás-fejlesztést, a deficitjáradékokat é</w:t>
      </w:r>
      <w:r>
        <w:rPr>
          <w:sz w:val="20"/>
        </w:rPr>
        <w:t xml:space="preserve">s a köztelevíziós díjakat); </w:t>
      </w:r>
      <w:r>
        <w:tab/>
      </w:r>
      <w:r>
        <w:rPr>
          <w:sz w:val="20"/>
        </w:rPr>
        <w:br/>
        <w:t xml:space="preserve">9. Héa; </w:t>
      </w:r>
      <w:r>
        <w:tab/>
      </w:r>
      <w:r>
        <w:rPr>
          <w:sz w:val="20"/>
        </w:rPr>
        <w:br/>
        <w:t xml:space="preserve">10. Egyéb adók (jövedéki adók [ezeket egyes tagállamok villamosenergia-adóként, földgázadóként, energiafogyasztási adóként, végső energiafogyasztási adóként, különleges energiafogyasztási adóként, környezetvédelmi </w:t>
      </w:r>
      <w:r>
        <w:rPr>
          <w:sz w:val="20"/>
        </w:rPr>
        <w:t>adóként sorolják fel], valamint olyan adók, mint az elosztási, átviteli és üvegházhatásúgáz-kibocsátási adók).</w:t>
      </w:r>
    </w:p>
  </w:footnote>
  <w:footnote w:id="9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2015-ben az EU villamosenergia-termelésének 28%-a származott megújuló forrásokból.</w:t>
      </w:r>
    </w:p>
  </w:footnote>
  <w:footnote w:id="10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Az ipari fogyasztók esetében a végső kiskereskedelmi ára</w:t>
      </w:r>
      <w:r>
        <w:t>k nem tartalmazzák a héát, mivel az visszatéríthető.</w:t>
      </w:r>
    </w:p>
  </w:footnote>
  <w:footnote w:id="11">
    <w:p w:rsidR="00645082" w:rsidRDefault="00CC1D78">
      <w:pPr>
        <w:pStyle w:val="CommentText"/>
        <w:spacing w:before="0" w:after="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Az iparban a nagy energiafogyasztók (70 000-150 000 MWh/év; vagyis az Eurostat IF fogyasztási sávja) esetében az árak évi 0,8%-kal nőttek; a közepes fogyasztók </w:t>
      </w:r>
      <w:r>
        <w:rPr>
          <w:color w:val="000000"/>
        </w:rPr>
        <w:t>(2 000–20 000 MWh/év vagyis az ID sáv) e</w:t>
      </w:r>
      <w:r>
        <w:rPr>
          <w:color w:val="000000"/>
        </w:rPr>
        <w:t xml:space="preserve">setében évi 2,3%-kal; a </w:t>
      </w:r>
      <w:r>
        <w:t xml:space="preserve">kis fogyasztók (20-500 MWh/év; vagyis az IB sáv) esetében pedig évi 3,1%-kal. </w:t>
      </w:r>
      <w:r>
        <w:rPr>
          <w:color w:val="000000"/>
        </w:rPr>
        <w:t>Az összesített adatok nem tükrözik az egyes vállalatok valamennyi árváltozását.</w:t>
      </w:r>
    </w:p>
  </w:footnote>
  <w:footnote w:id="12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HR, FR, IE, LV, PL, PT és UK.</w:t>
      </w:r>
    </w:p>
  </w:footnote>
  <w:footnote w:id="13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2015-ben a gáz tekintetében az </w:t>
      </w:r>
      <w:r>
        <w:t>importfüggőség 69%-os volt.</w:t>
      </w:r>
    </w:p>
  </w:footnote>
  <w:footnote w:id="14">
    <w:p w:rsidR="00645082" w:rsidRDefault="00CC1D78">
      <w:pPr>
        <w:spacing w:before="0" w:after="0"/>
        <w:ind w:left="284" w:hanging="284"/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</w:t>
      </w:r>
      <w:r>
        <w:tab/>
      </w:r>
      <w:r>
        <w:rPr>
          <w:sz w:val="20"/>
        </w:rPr>
        <w:t>Az 1-4 millió GJ éves fogyasztással rendelkező ipari fogyasztókat (I5 sáv) jelenti.</w:t>
      </w:r>
    </w:p>
  </w:footnote>
  <w:footnote w:id="15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 Tanács 2003/96/EK irányelve (2003. október 27.) az energiatermékek és a villamos energia közösségi adóztatási keretének átszervezéséről </w:t>
      </w:r>
      <w:r>
        <w:t>(HL L 283., 2003.10.31., 51. o.).</w:t>
      </w:r>
    </w:p>
  </w:footnote>
  <w:footnote w:id="16">
    <w:p w:rsidR="00645082" w:rsidRDefault="00CC1D78">
      <w:pPr>
        <w:pStyle w:val="FootnoteText"/>
      </w:pPr>
      <w:r>
        <w:rPr>
          <w:rStyle w:val="FootnoteReference"/>
        </w:rPr>
        <w:footnoteRef/>
      </w:r>
      <w:r>
        <w:t xml:space="preserve"> Az energiaintenzitást a bruttó hozzáadott-értékhez felhasznált energia alapján határozzák meg. Az energiaintenzitás a technikai energiahatékonyság indikátoraként használható, de befolyásolják olyan gazdasági tényezők, am</w:t>
      </w:r>
      <w:r>
        <w:t xml:space="preserve">elyek kihatnak a bruttó hozzáadott-értékre. </w:t>
      </w:r>
    </w:p>
  </w:footnote>
  <w:footnote w:id="17">
    <w:p w:rsidR="00645082" w:rsidRDefault="00CC1D78">
      <w:pPr>
        <w:pStyle w:val="FootnoteText"/>
      </w:pPr>
      <w:r>
        <w:rPr>
          <w:rStyle w:val="FootnoteReference"/>
        </w:rPr>
        <w:footnoteRef/>
      </w:r>
      <w:r>
        <w:t xml:space="preserve"> A vegyi alapanyagok, az acél és az alumínium tekintetében az elérhető adatok nem reprezentatívak. </w:t>
      </w:r>
    </w:p>
  </w:footnote>
  <w:footnote w:id="18">
    <w:p w:rsidR="00645082" w:rsidRDefault="00CC1D78">
      <w:pPr>
        <w:pStyle w:val="FootnoteText"/>
      </w:pPr>
      <w:r>
        <w:rPr>
          <w:rStyle w:val="FootnoteReference"/>
        </w:rPr>
        <w:footnoteRef/>
      </w:r>
      <w:r>
        <w:t xml:space="preserve"> A fizikai termelési egységenként felhasznált energia.</w:t>
      </w:r>
    </w:p>
  </w:footnote>
  <w:footnote w:id="19">
    <w:p w:rsidR="00645082" w:rsidRDefault="00CC1D78">
      <w:pPr>
        <w:pStyle w:val="FootnoteText"/>
      </w:pPr>
      <w:r>
        <w:rPr>
          <w:rStyle w:val="FootnoteReference"/>
        </w:rPr>
        <w:footnoteRef/>
      </w:r>
      <w:r>
        <w:t>http://ec.europa.eu/energy/sites/ener/files/documents</w:t>
      </w:r>
      <w:r>
        <w:t>/ECOFYS%202014%20Subsidies%20and%20costs%20of%20EU%20energy_11_Nov.pdf</w:t>
      </w:r>
    </w:p>
  </w:footnote>
  <w:footnote w:id="20">
    <w:p w:rsidR="00645082" w:rsidRDefault="00CC1D78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>
        <w:t>Ez magában foglalja a szén 9,7 milliárd eurós és a gáz 6,6 milliárd eurós támogatását; a támogatások a történeti beruházási támogatások maradványai: fosszilis tüzelőanyagokkal kapcsol</w:t>
      </w:r>
      <w:r>
        <w:t>atos beruházási támogatások, betáplálási tarifák, üzemanyagadó alóli mentességek, villamosenergia-termelés, leszerelés és hulladékkezelés. (Forrás:</w:t>
      </w:r>
      <w:r>
        <w:rPr>
          <w:sz w:val="16"/>
        </w:rPr>
        <w:t xml:space="preserve"> 2014. évi tanulmány az energiaköltségekről és -támogatásokról, a közlekedés kapcsán (kőolaj-támogatás) idézi</w:t>
      </w:r>
      <w:r>
        <w:rPr>
          <w:sz w:val="16"/>
        </w:rPr>
        <w:t xml:space="preserve"> az OECD 2013-as beszámolóját.</w:t>
      </w:r>
      <w:r>
        <w:t xml:space="preserve"> </w:t>
      </w:r>
      <w:hyperlink r:id="rId1">
        <w:r>
          <w:rPr>
            <w:sz w:val="12"/>
          </w:rPr>
          <w:t>https://ec.europa.eu/energy/sites/ener/files/documents/ECOFYS%202014%20Subsidies%</w:t>
        </w:r>
        <w:r>
          <w:rPr>
            <w:sz w:val="12"/>
          </w:rPr>
          <w:t>20and%20costs%20of%20EU%20energy_11_Nov.pdf</w:t>
        </w:r>
      </w:hyperlink>
      <w:r>
        <w:t>).</w:t>
      </w:r>
    </w:p>
  </w:footnote>
  <w:footnote w:id="21">
    <w:p w:rsidR="00645082" w:rsidRDefault="00CC1D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2015. évi becslések </w:t>
      </w:r>
      <w:r>
        <w:rPr>
          <w:sz w:val="12"/>
        </w:rPr>
        <w:t>(</w:t>
      </w:r>
      <w:hyperlink r:id="rId2">
        <w:r>
          <w:rPr>
            <w:rStyle w:val="Hyperlink"/>
            <w:sz w:val="12"/>
          </w:rPr>
          <w:t>https://www.imf.org/external/pubs/ft/wp/2015/wp15105.pdf</w:t>
        </w:r>
      </w:hyperlink>
      <w:r>
        <w:rPr>
          <w:sz w:val="16"/>
        </w:rPr>
        <w:t>)</w:t>
      </w:r>
      <w:r>
        <w:t>.</w:t>
      </w:r>
    </w:p>
  </w:footnote>
  <w:footnote w:id="22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Energiával kapcsolatos környezetvédelmi adók, aho</w:t>
      </w:r>
      <w:r>
        <w:t>gy azt az európai környezeti-gazdasági számlákról szóló 691/2011/EU rendelet meghatározza; ezek nem tartalmazzák az energiatermékeket terhelő héát.</w:t>
      </w:r>
    </w:p>
  </w:footnote>
  <w:footnote w:id="23">
    <w:p w:rsidR="00645082" w:rsidRDefault="00CC1D7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Az ipari villamosenergia-árak körülbelül 2%-kal növekedtek; az ipari </w:t>
      </w:r>
      <w:r>
        <w:rPr>
          <w:i/>
        </w:rPr>
        <w:t>gázárak</w:t>
      </w:r>
      <w:r>
        <w:t xml:space="preserve"> stabilak maradtak vagy csökk</w:t>
      </w:r>
      <w:r>
        <w:t>entek.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82" w:rsidRDefault="00645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82" w:rsidRDefault="00645082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82" w:rsidRDefault="00645082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82" w:rsidRDefault="0064508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82" w:rsidRDefault="0064508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82" w:rsidRDefault="006450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1DB"/>
    <w:multiLevelType w:val="hybridMultilevel"/>
    <w:tmpl w:val="BEA68590"/>
    <w:lvl w:ilvl="0" w:tplc="8A6E44B8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C1CC7"/>
    <w:multiLevelType w:val="hybridMultilevel"/>
    <w:tmpl w:val="5A60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01DA"/>
    <w:multiLevelType w:val="hybridMultilevel"/>
    <w:tmpl w:val="4A2A9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416C3"/>
    <w:multiLevelType w:val="hybridMultilevel"/>
    <w:tmpl w:val="EA3C8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446B5"/>
    <w:multiLevelType w:val="hybridMultilevel"/>
    <w:tmpl w:val="83B2E460"/>
    <w:lvl w:ilvl="0" w:tplc="E8604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6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41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A2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E5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0C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E1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E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ED2C7E"/>
    <w:multiLevelType w:val="hybridMultilevel"/>
    <w:tmpl w:val="2DC6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26B3F"/>
    <w:multiLevelType w:val="hybridMultilevel"/>
    <w:tmpl w:val="46EC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738B3"/>
    <w:multiLevelType w:val="hybridMultilevel"/>
    <w:tmpl w:val="F092BE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B9108E"/>
    <w:multiLevelType w:val="hybridMultilevel"/>
    <w:tmpl w:val="8E2EE4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A2ABE33C458C4E59A74582666E226332"/>
    <w:docVar w:name="LW_CROSSREFERENCE" w:val="{SWD(2016) 420 final}"/>
    <w:docVar w:name="LW_DocType" w:val="NORMAL"/>
    <w:docVar w:name="LW_EMISSION" w:val="2016.11.30."/>
    <w:docVar w:name="LW_EMISSION_ISODATE" w:val="2016-11-30"/>
    <w:docVar w:name="LW_EMISSION_LOCATION" w:val="BRX"/>
    <w:docVar w:name="LW_EMISSION_PREFIX" w:val="Brüsszel, "/>
    <w:docVar w:name="LW_EMISSION_SUFFIX" w:val=" "/>
    <w:docVar w:name="LW_ID_DOCTYPE_NONLW" w:val="CP-008"/>
    <w:docVar w:name="LW_LANGUE" w:val="HU"/>
    <w:docVar w:name="LW_MARKING" w:val="&lt;UNUSED&gt;"/>
    <w:docVar w:name="LW_NOM.INST" w:val="EURÓPAI BIZOTTSÁG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769"/>
    <w:docVar w:name="LW_REF.INTERNE" w:val="&lt;UNUSED&gt;"/>
    <w:docVar w:name="LW_SOUS.TITRE.OBJ.CP" w:val="&lt;UNUSED&gt;"/>
    <w:docVar w:name="LW_SUPERTITRE" w:val="&lt;UNUSED&gt;"/>
    <w:docVar w:name="LW_TITRE.OBJ.CP" w:val="Energiaárak és -költségek Európában"/>
    <w:docVar w:name="LW_TYPE.DOC.CP" w:val="A BIZOTTSÁG JELENTÉSE AZ EURÓPAI PARLAMENTNEK, A TANÁCSNAK, AZ EURÓPAI GAZDASÁGI ÉS SZOCIÁLIS BIZOTTSÁGNAK ÉS A RÉGIÓK BIZOTTSÁGÁNAK"/>
    <w:docVar w:name="Stamp" w:val="\\dossiers.dgt.cec.eu.int\dossiers\ENER\ENER-2016-00959\ENER-2016-00959-00-00-EN-REV-00.201610171506240327231.DOCX"/>
  </w:docVars>
  <w:rsids>
    <w:rsidRoot w:val="00645082"/>
    <w:rsid w:val="00645082"/>
    <w:rsid w:val="00C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pPr>
      <w:numPr>
        <w:numId w:val="4"/>
      </w:numPr>
      <w:outlineLvl w:val="0"/>
    </w:pPr>
    <w:rPr>
      <w:rFonts w:ascii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decouverture">
    <w:name w:val="Page de couverture"/>
    <w:basedOn w:val="Normal"/>
    <w:next w:val="Normal"/>
    <w:link w:val="PagedecouvertureChar"/>
    <w:pPr>
      <w:spacing w:before="0" w:after="0"/>
    </w:pPr>
  </w:style>
  <w:style w:type="paragraph" w:styleId="ListParagraph">
    <w:name w:val="List Paragraph"/>
    <w:basedOn w:val="Normal"/>
    <w:link w:val="ListParagraphChar"/>
    <w:uiPriority w:val="34"/>
    <w:qFormat/>
    <w:pPr>
      <w:spacing w:before="0" w:after="0"/>
      <w:ind w:left="720"/>
      <w:jc w:val="left"/>
    </w:pPr>
    <w:rPr>
      <w:rFonts w:ascii="Calibri" w:eastAsiaTheme="minorHAnsi" w:hAnsi="Calibri"/>
      <w:sz w:val="22"/>
      <w:szCs w:val="22"/>
    </w:rPr>
  </w:style>
  <w:style w:type="paragraph" w:styleId="FootnoteText">
    <w:name w:val="footnote text"/>
    <w:aliases w:val="Footnote text,Fußnote,Fu§notentext Char,Fu§notentext Char1 Char1,Fu§notentext Char Char Char Char,Fu§notentext Char1 Char Char Char,Fu§notentext Char Char,Fu§notentext Char Char Char Char Char Char,Footnote Text Char Char,stile 1,Footnot"/>
    <w:basedOn w:val="Normal"/>
    <w:uiPriority w:val="99"/>
    <w:unhideWhenUsed/>
    <w:qFormat/>
    <w:pPr>
      <w:spacing w:before="0" w:after="0"/>
    </w:pPr>
    <w:rPr>
      <w:sz w:val="20"/>
    </w:rPr>
  </w:style>
  <w:style w:type="character" w:customStyle="1" w:styleId="FootnoteTextChar">
    <w:name w:val="Footnote Text Char"/>
    <w:aliases w:val="Footnote text Char,Fußnote Char,Fu§notentext Char Char1,Fu§notentext Char1 Char1 Char,Fu§notentext Char Char Char Char Char,Fu§notentext Char1 Char Char Char Char,Fu§notentext Char Char Char,Footnote Text Char Char Char,stile 1 Char"/>
    <w:basedOn w:val="DefaultParagraphFont"/>
    <w:uiPriority w:val="9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aliases w:val="SUPERS,Footnote symbol,Footnote,Voetnootverwijzing,Footnote number,fr,o,Footnotemark,FR,Footnotemark1,Footnotemark2,FR1,Footnotemark3,FR2,Footnotemark4,FR3,Footnotemark5,FR4,Footnotemark6,Footnotemark7,Footnotemark8,FR5,Footnotemark11"/>
    <w:basedOn w:val="DefaultParagraphFont"/>
    <w:uiPriority w:val="99"/>
    <w:unhideWhenUsed/>
    <w:qFormat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sz w:val="32"/>
      <w:szCs w:val="32"/>
      <w:lang w:eastAsia="hu-HU"/>
    </w:rPr>
  </w:style>
  <w:style w:type="paragraph" w:styleId="Caption">
    <w:name w:val="caption"/>
    <w:basedOn w:val="Normal"/>
    <w:next w:val="Normal"/>
    <w:uiPriority w:val="35"/>
    <w:unhideWhenUsed/>
    <w:qFormat/>
    <w:pPr>
      <w:spacing w:before="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 w:cs="Times New Roman"/>
      <w:lang w:eastAsia="hu-HU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PagedecouvertureChar">
    <w:name w:val="Page de couverture Char"/>
    <w:basedOn w:val="DefaultParagraphFont"/>
    <w:link w:val="Pagedecouvertur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oterCoverPageChar">
    <w:name w:val="Footer Cover Page Char"/>
    <w:basedOn w:val="PagedecouvertureChar"/>
    <w:link w:val="FooterCoverPag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PagedecouvertureChar"/>
    <w:link w:val="HeaderCoverPag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pPr>
      <w:numPr>
        <w:numId w:val="4"/>
      </w:numPr>
      <w:outlineLvl w:val="0"/>
    </w:pPr>
    <w:rPr>
      <w:rFonts w:ascii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decouverture">
    <w:name w:val="Page de couverture"/>
    <w:basedOn w:val="Normal"/>
    <w:next w:val="Normal"/>
    <w:link w:val="PagedecouvertureChar"/>
    <w:pPr>
      <w:spacing w:before="0" w:after="0"/>
    </w:pPr>
  </w:style>
  <w:style w:type="paragraph" w:styleId="ListParagraph">
    <w:name w:val="List Paragraph"/>
    <w:basedOn w:val="Normal"/>
    <w:link w:val="ListParagraphChar"/>
    <w:uiPriority w:val="34"/>
    <w:qFormat/>
    <w:pPr>
      <w:spacing w:before="0" w:after="0"/>
      <w:ind w:left="720"/>
      <w:jc w:val="left"/>
    </w:pPr>
    <w:rPr>
      <w:rFonts w:ascii="Calibri" w:eastAsiaTheme="minorHAnsi" w:hAnsi="Calibri"/>
      <w:sz w:val="22"/>
      <w:szCs w:val="22"/>
    </w:rPr>
  </w:style>
  <w:style w:type="paragraph" w:styleId="FootnoteText">
    <w:name w:val="footnote text"/>
    <w:aliases w:val="Footnote text,Fußnote,Fu§notentext Char,Fu§notentext Char1 Char1,Fu§notentext Char Char Char Char,Fu§notentext Char1 Char Char Char,Fu§notentext Char Char,Fu§notentext Char Char Char Char Char Char,Footnote Text Char Char,stile 1,Footnot"/>
    <w:basedOn w:val="Normal"/>
    <w:uiPriority w:val="99"/>
    <w:unhideWhenUsed/>
    <w:qFormat/>
    <w:pPr>
      <w:spacing w:before="0" w:after="0"/>
    </w:pPr>
    <w:rPr>
      <w:sz w:val="20"/>
    </w:rPr>
  </w:style>
  <w:style w:type="character" w:customStyle="1" w:styleId="FootnoteTextChar">
    <w:name w:val="Footnote Text Char"/>
    <w:aliases w:val="Footnote text Char,Fußnote Char,Fu§notentext Char Char1,Fu§notentext Char1 Char1 Char,Fu§notentext Char Char Char Char Char,Fu§notentext Char1 Char Char Char Char,Fu§notentext Char Char Char,Footnote Text Char Char Char,stile 1 Char"/>
    <w:basedOn w:val="DefaultParagraphFont"/>
    <w:uiPriority w:val="9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aliases w:val="SUPERS,Footnote symbol,Footnote,Voetnootverwijzing,Footnote number,fr,o,Footnotemark,FR,Footnotemark1,Footnotemark2,FR1,Footnotemark3,FR2,Footnotemark4,FR3,Footnotemark5,FR4,Footnotemark6,Footnotemark7,Footnotemark8,FR5,Footnotemark11"/>
    <w:basedOn w:val="DefaultParagraphFont"/>
    <w:uiPriority w:val="99"/>
    <w:unhideWhenUsed/>
    <w:qFormat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sz w:val="32"/>
      <w:szCs w:val="32"/>
      <w:lang w:eastAsia="hu-HU"/>
    </w:rPr>
  </w:style>
  <w:style w:type="paragraph" w:styleId="Caption">
    <w:name w:val="caption"/>
    <w:basedOn w:val="Normal"/>
    <w:next w:val="Normal"/>
    <w:uiPriority w:val="35"/>
    <w:unhideWhenUsed/>
    <w:qFormat/>
    <w:pPr>
      <w:spacing w:before="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 w:cs="Times New Roman"/>
      <w:lang w:eastAsia="hu-HU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PagedecouvertureChar">
    <w:name w:val="Page de couverture Char"/>
    <w:basedOn w:val="DefaultParagraphFont"/>
    <w:link w:val="Pagedecouvertur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oterCoverPageChar">
    <w:name w:val="Footer Cover Page Char"/>
    <w:basedOn w:val="PagedecouvertureChar"/>
    <w:link w:val="FooterCoverPag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PagedecouvertureChar"/>
    <w:link w:val="HeaderCoverPag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9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09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79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image" Target="media/image20.e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footer" Target="footer4.xml"/><Relationship Id="rId40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mf.org/external/pubs/ft/wp/2015/wp15105.pdf" TargetMode="External"/><Relationship Id="rId1" Type="http://schemas.openxmlformats.org/officeDocument/2006/relationships/hyperlink" Target="https://ec.europa.eu/energy/sites/ener/files/documents/ECOFYS%202014%20Subsidies%20and%20costs%20of%20EU%20energy_11_No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26C7-14E0-4A4B-B436-A4B437F2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</Pages>
  <Words>6354</Words>
  <Characters>36219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22</cp:revision>
  <cp:lastPrinted>2016-11-16T14:09:00Z</cp:lastPrinted>
  <dcterms:created xsi:type="dcterms:W3CDTF">2016-11-25T07:54:00Z</dcterms:created>
  <dcterms:modified xsi:type="dcterms:W3CDTF">2016-12-12T07:06:00Z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