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5CC1B023A8054DCFBC6BD99A965561EB" style="width:450.8pt;height:388.8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299"/>
        </w:sectPr>
      </w:pPr>
    </w:p>
    <w:p>
      <w:pPr>
        <w:pStyle w:val="NoteHead"/>
        <w:spacing w:before="600" w:after="600"/>
        <w:rPr>
          <w:rFonts w:ascii="Times New Roman" w:hAnsi="Times New Roman" w:cs="Times New Roman"/>
          <w:noProof/>
          <w:sz w:val="24"/>
          <w:szCs w:val="24"/>
        </w:rPr>
      </w:pPr>
      <w:bookmarkStart w:id="1" w:name="_GoBack"/>
      <w:bookmarkEnd w:id="1"/>
      <w:r>
        <w:rPr>
          <w:rFonts w:ascii="Times New Roman" w:hAnsi="Times New Roman"/>
          <w:noProof/>
          <w:sz w:val="24"/>
        </w:rPr>
        <w:lastRenderedPageBreak/>
        <w:t>Príloha</w:t>
      </w:r>
    </w:p>
    <w:p>
      <w:pPr>
        <w:pStyle w:val="Heading2"/>
        <w:numPr>
          <w:ilvl w:val="0"/>
          <w:numId w:val="0"/>
        </w:numPr>
        <w:ind w:left="1200"/>
        <w:jc w:val="center"/>
        <w:rPr>
          <w:rFonts w:ascii="Times New Roman" w:hAnsi="Times New Roman" w:cs="Times New Roman"/>
          <w:bCs/>
          <w:smallCaps/>
          <w:noProof/>
          <w:sz w:val="24"/>
        </w:rPr>
      </w:pPr>
      <w:r>
        <w:rPr>
          <w:rFonts w:ascii="Times New Roman" w:hAnsi="Times New Roman"/>
          <w:smallCaps/>
          <w:noProof/>
          <w:sz w:val="24"/>
        </w:rPr>
        <w:t>Opis štyroch oblastí technologického záujmu</w:t>
      </w:r>
    </w:p>
    <w:p>
      <w:pPr>
        <w:shd w:val="clear" w:color="auto" w:fill="EEECE1" w:themeFill="background2"/>
        <w:jc w:val="both"/>
        <w:rPr>
          <w:noProof/>
        </w:rPr>
      </w:pPr>
      <w:r>
        <w:rPr>
          <w:noProof/>
        </w:rPr>
        <w:t>Integrácia inteligentných, špičkových digitálnych technológií, spolu s ich rôznymi aplikáciami, do všetkých aspektov energetického systému je predpokladom zachovania si postavenia na čele prechodu k modelu viac spotrebiteľsky orientovaných produktov a služieb, ktorý bude hybnou silou budúcej vlny inovácií v odvetví energie z obnoviteľných zdrojov, riešeniach uskladnenia, elektromobilite, vyspelých budovách a v celom energetickom odvetví.</w:t>
      </w:r>
    </w:p>
    <w:p>
      <w:pPr>
        <w:shd w:val="clear" w:color="auto" w:fill="EEECE1" w:themeFill="background2"/>
        <w:rPr>
          <w:noProof/>
        </w:rPr>
      </w:pPr>
      <w:r>
        <w:rPr>
          <w:noProof/>
        </w:rPr>
        <w:t>a) Dekarbonizácia fondu budov EÚ do roku 2050: od budov s takmer nulovou potrebou energie k obvodom s pozitívnou energetickou bilanciou.</w:t>
      </w:r>
    </w:p>
    <w:p>
      <w:pPr>
        <w:shd w:val="clear" w:color="auto" w:fill="EEECE1" w:themeFill="background2"/>
        <w:jc w:val="both"/>
        <w:rPr>
          <w:noProof/>
        </w:rPr>
      </w:pPr>
      <w:r>
        <w:rPr>
          <w:noProof/>
        </w:rPr>
        <w:t>Fond budov EÚ predstavuje celkovú podlahovú plochu asi 25 miliárd m². 40 % konečnej spotreby energie v EÚ pripadá na budovy, čo je viac ako v ktoromkoľvek inom sektore. Budovy však predstavujú aj veľký potenciál úspor energie a po obnove a modernizácii môžu pomôcť vyrábať prebytok elektriny alebo poskytnúť hlavné kapacity uskladňovania energie. Ako sa upozorňuje v iniciatíve Komisie pre európske budovy</w:t>
      </w:r>
      <w:r>
        <w:rPr>
          <w:noProof/>
          <w:vertAlign w:val="superscript"/>
        </w:rPr>
        <w:footnoteReference w:id="1"/>
      </w:r>
      <w:r>
        <w:rPr>
          <w:noProof/>
        </w:rPr>
        <w:t>, EÚ je už teraz svetovým lídrom v inovačných systémoch pre budovy, výskum a inovácie však musia zostať najvyššou prioritou, aby sa toto vedúce postavenie v budúcnosti budovalo a ďalej rozširovalo. Transformácia fondu budov EÚ (minimalizácia environmentálnych vplyvov počas celého životného cyklu) prinesie lepšie prostredie na život, vytvorí nové pracovné miesta a rast a pomôže dosiahnuť ciele obehového hospodárstva. Na dosiahnutie týchto cieľov je naliehavo potrebné aspoň zdvojnásobiť súčasnú mieru obnovy budov (ktorá dosahuje len 0,4 % – 1,2 %, čo je príliš málo)</w:t>
      </w:r>
      <w:r>
        <w:rPr>
          <w:rStyle w:val="FootnoteReference"/>
          <w:noProof/>
        </w:rPr>
        <w:footnoteReference w:id="2"/>
      </w:r>
      <w:r>
        <w:rPr>
          <w:noProof/>
        </w:rPr>
        <w:t xml:space="preserve"> a potrebné sú hlbšie a dôkladnejšie projekty obnovy s využitím výhľadovo orientovaných právnych predpisov, noriem, inovačných technológií a obchodných modelov, ako aj rozvoja nových zručností a kompetencií.</w:t>
      </w:r>
    </w:p>
    <w:p>
      <w:pPr>
        <w:shd w:val="clear" w:color="auto" w:fill="EEECE1" w:themeFill="background2"/>
        <w:jc w:val="both"/>
        <w:rPr>
          <w:rFonts w:cstheme="minorHAnsi"/>
          <w:noProof/>
          <w:spacing w:val="-2"/>
          <w:sz w:val="20"/>
        </w:rPr>
      </w:pPr>
      <w:r>
        <w:rPr>
          <w:noProof/>
          <w:spacing w:val="-2"/>
        </w:rPr>
        <w:t>Na vytvorenie významného vplyvu musia byť inovačné riešenia ambicióznejšie ako dnešné koncepcie takmer nulovej potreby energie. Mali by sa venovať všetkým technickým aspektom (vrátane domácej výroby elektriny z obnoviteľných zdrojov, koncepcií optimalizovaného životného cyklu energií a materiálov, digitálnych systémov riadenia a kontroly a integrácie energetického systému), ako aj regulačným, normotvorným, finančným, riadiacim a iným sociálno-ekonomickým otázkam. Musia preukázať uskutočniteľnosť obvodov s pozitívnou energetickou bilanciou v rôznych klimatických regiónoch a hospodárskych súvislostiach pri zahrnutí integrovaného riadenia súvisiacich otázok životného prostredia (akými sú voda a odpad)</w:t>
      </w:r>
      <w:r>
        <w:rPr>
          <w:rStyle w:val="FootnoteReference"/>
          <w:noProof/>
          <w:spacing w:val="-2"/>
        </w:rPr>
        <w:footnoteReference w:id="3"/>
      </w:r>
      <w:r>
        <w:rPr>
          <w:noProof/>
          <w:spacing w:val="-2"/>
        </w:rPr>
        <w:t>.</w:t>
      </w:r>
    </w:p>
    <w:p>
      <w:pPr>
        <w:shd w:val="clear" w:color="auto" w:fill="EEECE1" w:themeFill="background2"/>
        <w:jc w:val="both"/>
        <w:rPr>
          <w:noProof/>
        </w:rPr>
      </w:pPr>
      <w:r>
        <w:rPr>
          <w:noProof/>
        </w:rPr>
        <w:t>b) Posilnenie vedúcej úlohy EÚ v oblasti obnoviteľných zdrojov energie.</w:t>
      </w:r>
    </w:p>
    <w:p>
      <w:pPr>
        <w:shd w:val="clear" w:color="auto" w:fill="EEECE1" w:themeFill="background2"/>
        <w:jc w:val="both"/>
        <w:rPr>
          <w:noProof/>
        </w:rPr>
      </w:pPr>
      <w:r>
        <w:rPr>
          <w:noProof/>
        </w:rPr>
        <w:t xml:space="preserve">Na to, aby sa obnoviteľné zdroje energie stali prevládajúcim zdrojom výroby primárnej energie a výroby elektriny, je potrebná ďalšia integrácia systému a vývoj ďalšej generácie technológií energie z obnoviteľných zdrojov vrátane potenciálnych prevratných zmien. </w:t>
      </w:r>
      <w:r>
        <w:rPr>
          <w:noProof/>
        </w:rPr>
        <w:footnoteReference w:id="4"/>
      </w:r>
      <w:r>
        <w:rPr>
          <w:noProof/>
        </w:rPr>
        <w:t xml:space="preserve"> Je tiež predpokladom transformácie odvetví s vysokými emisiami CO</w:t>
      </w:r>
      <w:r>
        <w:rPr>
          <w:noProof/>
          <w:vertAlign w:val="subscript"/>
        </w:rPr>
        <w:t>2</w:t>
      </w:r>
      <w:r>
        <w:rPr>
          <w:noProof/>
        </w:rPr>
        <w:t>, ako je doprava,</w:t>
      </w:r>
      <w:r>
        <w:rPr>
          <w:noProof/>
        </w:rPr>
        <w:footnoteReference w:id="5"/>
      </w:r>
      <w:r>
        <w:rPr>
          <w:noProof/>
        </w:rPr>
        <w:t xml:space="preserve"> kde sú potrebné silné stimuly pre inovácie v oblasti alternatívnych foriem energie (napr. elektrina z obnoviteľných zdrojov, moderné biopalivá). To zahŕňa špecifickú podporu pre výskum a inovácie v úzkej spolupráci s priemyslom, aby si Európa zachovala svoje globálne vedúce postavenie v oblasti technológií energie z obnoviteľných zdrojov.</w:t>
      </w:r>
    </w:p>
    <w:p>
      <w:pPr>
        <w:shd w:val="clear" w:color="auto" w:fill="EEECE1" w:themeFill="background2"/>
        <w:jc w:val="both"/>
        <w:rPr>
          <w:noProof/>
        </w:rPr>
      </w:pPr>
      <w:r>
        <w:rPr>
          <w:noProof/>
        </w:rPr>
        <w:t>Podpora sa zameria na: 1) urýchlenie vývoja riešení pre budovy v oblasti energie z obnoviteľných zdrojov, ako je fotovoltika na výrobu energie integrovaná do budov a technológie obnoviteľných zdrojov energie na vykurovanie a chladenie s cieľom umožniť hromadnú výstavbu budov s takmer nulovou potrebou energie; 2) výskum optimalizácie a znižovania nákladov na výrobu energie z obnoviteľných zdrojov, najmä pokiaľ ide o veternú energiu na mori, s cieľom urýchliť potenciál využívania veternej energie a 3) zintenzívnenie vývoja riešení na zvýšenie výroby a integrácie obnoviteľných zdrojov energie, najmä variabilných obnoviteľných zdrojov energie, do energetického systému vrátane odvetvia dopravy prostredníctvom termálneho a chemického uskladňovania (technológie konverzie elektriny na plynné palivá a kvapalné palivá).</w:t>
      </w:r>
    </w:p>
    <w:p>
      <w:pPr>
        <w:shd w:val="clear" w:color="auto" w:fill="EEECE1" w:themeFill="background2"/>
        <w:jc w:val="both"/>
        <w:rPr>
          <w:noProof/>
          <w:spacing w:val="-4"/>
        </w:rPr>
      </w:pPr>
      <w:r>
        <w:rPr>
          <w:noProof/>
          <w:spacing w:val="-4"/>
        </w:rPr>
        <w:t>Väčšie synergie medzi výrobou, distribúciou a spotrebou energie z obnoviteľných zdrojov posilní postavenie spotrebiteľov – občanov, komunít a podnikov – a podporí zavádzanie nových služieb, ktoré uspokojujú ich meniace sa potreby a preferencie, pričom zároveň zvýši flexibilitu systému, aby bolo možné doň začleniť veľké objemy decentralizovanej variabilnej energie z obnoviteľných zdrojov.</w:t>
      </w:r>
    </w:p>
    <w:p>
      <w:pPr>
        <w:shd w:val="clear" w:color="auto" w:fill="EEECE1" w:themeFill="background2"/>
        <w:jc w:val="both"/>
        <w:rPr>
          <w:noProof/>
        </w:rPr>
      </w:pPr>
      <w:r>
        <w:rPr>
          <w:noProof/>
        </w:rPr>
        <w:t>Týka sa to najmä trhového uplatnenia a efektívnej integrácie vyspelejších technológií (napr. veternej energie, fotovoltiky a bioenergie) do systému v spojení s uskladňovaním energie alebo inými pokročilými riešeniami, ako je digitálna integrácia s elektomobilitou a inteligentné siete, na zvládnutie postupného zavádzania kolísavých obnoviteľných zdrojov energie. Zrýchliť sa musí aj pokrok v zvyšovaní nákladovej konkurencieschopnosti a efektívnosti menej vyspelých technológií energie z obnoviteľných zdrojov pripojiteľných do siete (napr. flexibilná vodná energia, energia z oceánov a geotermálna energia, koncentrovaná solárna energia alebo pokročilá, udržateľná bioenergia) ako prostriedok na poskytnutie nízkouhlíkovej energie pre základný odber a zálohy.</w:t>
      </w:r>
    </w:p>
    <w:p>
      <w:pPr>
        <w:shd w:val="clear" w:color="auto" w:fill="EEECE1" w:themeFill="background2"/>
        <w:jc w:val="both"/>
        <w:rPr>
          <w:noProof/>
        </w:rPr>
      </w:pPr>
      <w:r>
        <w:rPr>
          <w:noProof/>
        </w:rPr>
        <w:t>c) Rozvoj cenovo dostupných a integrovaných riešení uskladňovania energie.</w:t>
      </w:r>
    </w:p>
    <w:p>
      <w:pPr>
        <w:shd w:val="clear" w:color="auto" w:fill="EEECE1" w:themeFill="background2"/>
        <w:jc w:val="both"/>
        <w:rPr>
          <w:noProof/>
        </w:rPr>
      </w:pPr>
      <w:r>
        <w:rPr>
          <w:noProof/>
        </w:rPr>
        <w:t>Na uľahčenie a umožnenie prechodu na nízkouhlíkový energetický systém (vrátane dopravy) založený najmä na obnoviteľných zdrojoch energie musí EÚ urýchliť úplnú integráciu zariadení na uskladňovanie do energetického systému na domácej a komerčnej úrovni, ako aj na úrovni podnikov poskytujúcich verejnoprospešné služby</w:t>
      </w:r>
      <w:r>
        <w:rPr>
          <w:rStyle w:val="FootnoteReference"/>
          <w:noProof/>
        </w:rPr>
        <w:footnoteReference w:id="6"/>
      </w:r>
      <w:r>
        <w:rPr>
          <w:noProof/>
        </w:rPr>
        <w:t>. Batérie, vodík a ďalšie aplikácie uskladňovania – mobilné aj stacionárne – sú z krátkodobého hľadiska kľúčové pre elektromobilitu, ale zohrávajú väčšiu systémovú úlohu pri integrácii obnoviteľných zdrojov energie a optimalizácii prevádzkových činností. Výskum v tejto oblasti otvorí cestu pre následnú priemyselnú výrobu, presadzovanie nových obchodných modelov a ďalšie znižovanie nákladov, čo prinesie EÚ potenciálne veľké výhody z hľadiska rastu a zamestnanosti.</w:t>
      </w:r>
    </w:p>
    <w:p>
      <w:pPr>
        <w:shd w:val="clear" w:color="auto" w:fill="EEECE1" w:themeFill="background2"/>
        <w:jc w:val="both"/>
        <w:rPr>
          <w:noProof/>
        </w:rPr>
      </w:pPr>
      <w:r>
        <w:rPr>
          <w:noProof/>
        </w:rPr>
        <w:t>Opätovné začatie výroby batériových článkov v Európe má zásadný význam, keďže z toho plynú viacnásobné výhody z hľadiska konkurencieschopnosti priemyslu, odborných znalostí v pokročilej výrobe, bezpečnosti dodávok energie a podielu Európy v globálnych hodnotových reťazcoch. Lacnejšie, ľahšie, bezpečnejšie batérie s vyšším výkonom, spolu s rýchlejšími riešeniami nabíjania, sú kľúčovou požiadavkou pre prechod na plnú elektromobilitu, ako aj na zvyšovanie kapacít uskladňovania energie v domácnostiach (so súvisiacimi výhodami z hľadiska stability a flexibility elektrizačnej sústavy). Táto iniciatíva bude zahŕňať aj výskum materiálov, hardvérové a softvérové riadenie, kontrolu a integráciu zariadení na uskladňovanie do energetického systému, prepojenie inteligentných elektrizačných sústav a vozidlových batérií a pokročilé výrobné postupy. Zlepší výkon a zníži náklady na silovú elektroniku potrebnú na udržanie efektívnosti systému uskladňovania na konkurenčnej úrovni. Bude sa týkať aj vytvorenia priaznivých trhových podmienok na väčšie rozšírenie riešení uskladňovania na úrovni spotrebiteľov aj na úrovni sietí vrátane budovania spojení medzi elektrizačnou sústavou, plynovodnou sieťou a dopravným systémom ako predpokladu pre dodávku energie vyrábanej v plnej miere z obnoviteľných zdrojov. Bude klásť osobitný dôraz na nové toky odpadu z premeny energie (batérie, solárne panely atď.) v súlade so zásadami obehového hospodárstva.</w:t>
      </w:r>
    </w:p>
    <w:p>
      <w:pPr>
        <w:shd w:val="clear" w:color="auto" w:fill="EEECE1" w:themeFill="background2"/>
        <w:jc w:val="both"/>
        <w:rPr>
          <w:noProof/>
        </w:rPr>
      </w:pPr>
      <w:r>
        <w:rPr>
          <w:noProof/>
        </w:rPr>
        <w:t>d) Elektromobilita a integrovanejší mestský dopravný systém.</w:t>
      </w:r>
    </w:p>
    <w:p>
      <w:pPr>
        <w:shd w:val="clear" w:color="auto" w:fill="EEECE1" w:themeFill="background2"/>
        <w:jc w:val="both"/>
        <w:rPr>
          <w:rFonts w:cs="Times New Roman"/>
          <w:noProof/>
          <w:spacing w:val="-2"/>
        </w:rPr>
      </w:pPr>
      <w:r>
        <w:rPr>
          <w:noProof/>
          <w:spacing w:val="-2"/>
        </w:rPr>
        <w:t>Elektrické vozidlá ďalšej generácie založené na vyspelých batériách a nových hnacích sústavách je pevne ukotvená v inovačných infraštruktúrach a riešeniach nabíjania. Vývoj lacnejších, ľahších, bezpečnejších batérií poskytujúcich dlhší dojazd, ako aj rýchlejšie a na zákazníka orientované technológie a riešenia nabíjania preto predstavujú priority výskumu a inovácií v oblasti dopravy, ako aj potenciálne konkurenčné výhody pre odvetvie dopravy EÚ. Digitalizácia umožňujúca prepojené a automatizované služby v oblasti dopravy a inteligentnej mobility, ktoré sú v súčasnosti v demonštračnej fáze riešenia technických a legislatívnych výziev, poskytne ďalšie príležitosti.</w:t>
      </w:r>
    </w:p>
    <w:p>
      <w:pPr>
        <w:shd w:val="clear" w:color="auto" w:fill="EEECE1" w:themeFill="background2"/>
        <w:jc w:val="both"/>
        <w:rPr>
          <w:noProof/>
        </w:rPr>
      </w:pPr>
      <w:r>
        <w:rPr>
          <w:noProof/>
        </w:rPr>
        <w:t>V rámci strategického programu pre výskum a inovácie v oblasti dopravy sa vypracovala prvá dlhodobá strategická koncepcia prípravy plánovanej zmeny dopravného systému prostredníctvom výskumu a inovácií spájajúcich inovačné nízkouhlíkové technológie, prepojené a automatizované služby v oblasti dopravy a inteligentnej mobility, s využitím nových technológií, ako sú európske globálne navigačné satelitné systémy (Galileo a </w:t>
      </w:r>
      <w:r>
        <w:rPr>
          <w:rStyle w:val="tgc"/>
          <w:noProof/>
        </w:rPr>
        <w:t>Európska geostacionárna navigačná prekrývacia služba</w:t>
      </w:r>
      <w:r>
        <w:rPr>
          <w:noProof/>
        </w:rPr>
        <w:t>). Určila sa tiež potreba umožňujúcich činiteľov a rámcových podmienok, najmä infraštruktúry, verejnej akceptácie a väčšej orientácie na potreby používateľov. Nevyhnutnými podmienkami na dosiahnutie vyššej efektívnosti a dekarbonizácie dopravného systému je prechod k autonómnejšej a prepojenejšej doprave, podporovanej stratégiou kooperatívnych inteligentných dopravných systémov (C-ITS)</w:t>
      </w:r>
      <w:r>
        <w:rPr>
          <w:rStyle w:val="FootnoteReference"/>
          <w:noProof/>
        </w:rPr>
        <w:footnoteReference w:id="7"/>
      </w:r>
      <w:r>
        <w:rPr>
          <w:noProof/>
        </w:rPr>
        <w:t xml:space="preserve"> – najmä v mestských oblastiach – a transformácia mobility na službu a lepšia logistika „od dverí k dverám“.</w:t>
      </w:r>
    </w:p>
    <w:p>
      <w:pPr>
        <w:shd w:val="clear" w:color="auto" w:fill="EEECE1" w:themeFill="background2"/>
        <w:jc w:val="both"/>
        <w:rPr>
          <w:noProof/>
          <w:spacing w:val="-4"/>
        </w:rPr>
      </w:pPr>
      <w:r>
        <w:rPr>
          <w:noProof/>
          <w:spacing w:val="-4"/>
        </w:rPr>
        <w:t>Rôzne politické opatrenia (napr. revízia nariadení, ktorými sa stanovujú emisné normy skleníkových plynov pre automobily a dodávky, preskúmanie smernice o ekologických vozidlách), finančné opatrenia (napríklad financovanie EIB), ako aj koncepcia špecializovanej platformy na lepšiu výmenu informácií a zosúladenie investičných opatrení musia odstrániť nejednotnosť v rozvoji nového trhu s nízkoemisnými dopravnými technológiami a podporiť intenzívnejšie zavádzanie inovácií.</w:t>
      </w:r>
    </w:p>
    <w:sectPr>
      <w:headerReference w:type="even" r:id="rId16"/>
      <w:headerReference w:type="default" r:id="rId17"/>
      <w:footerReference w:type="even" r:id="rId18"/>
      <w:footerReference w:type="default" r:id="rId19"/>
      <w:headerReference w:type="first" r:id="rId20"/>
      <w:footerReference w:type="first" r:id="rId21"/>
      <w:pgSz w:w="11906" w:h="16838"/>
      <w:pgMar w:top="1020" w:right="1558" w:bottom="1020" w:left="1587" w:header="601" w:footer="1077"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open_sansregular">
    <w:altName w:val="Times New Roman"/>
    <w:charset w:val="00"/>
    <w:family w:val="auto"/>
    <w:pitch w:val="default"/>
  </w:font>
  <w:font w:name="Times">
    <w:panose1 w:val="020206030504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SK</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SK</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3922089"/>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spacing w:after="0"/>
        <w:ind w:left="0" w:firstLine="0"/>
        <w:rPr>
          <w:rFonts w:cs="Times New Roman"/>
        </w:rPr>
      </w:pPr>
      <w:r>
        <w:rPr>
          <w:rStyle w:val="FootnoteReference"/>
        </w:rPr>
        <w:footnoteRef/>
      </w:r>
      <w:r>
        <w:t xml:space="preserve"> COM(2016) 860, Príloha I.</w:t>
      </w:r>
    </w:p>
  </w:footnote>
  <w:footnote w:id="2">
    <w:p>
      <w:pPr>
        <w:pStyle w:val="FootnoteText"/>
        <w:spacing w:after="0"/>
        <w:ind w:left="0" w:firstLine="0"/>
        <w:rPr>
          <w:rFonts w:cs="Times New Roman"/>
        </w:rPr>
      </w:pPr>
      <w:r>
        <w:rPr>
          <w:rStyle w:val="FootnoteReference"/>
        </w:rPr>
        <w:footnoteRef/>
      </w:r>
      <w:r>
        <w:t xml:space="preserve"> Asi 75 % fondu budov EÚ má veľmi nízku energetickú hospodárnosť. Pri súčasnej miere obnovy by ich modernizácia podľa najnovších noriem trvala asi jedno storočie.</w:t>
      </w:r>
    </w:p>
  </w:footnote>
  <w:footnote w:id="3">
    <w:p>
      <w:pPr>
        <w:pStyle w:val="FootnoteText"/>
        <w:spacing w:after="0"/>
        <w:ind w:left="0" w:firstLine="0"/>
        <w:rPr>
          <w:rFonts w:cs="Times New Roman"/>
        </w:rPr>
      </w:pPr>
      <w:r>
        <w:rPr>
          <w:rStyle w:val="FootnoteReference"/>
        </w:rPr>
        <w:footnoteRef/>
      </w:r>
      <w:r>
        <w:t xml:space="preserve"> Uplatňovanie zásad obehového hospodárstva na posudzovanie environmentálnych vlastností budov; pozri </w:t>
      </w:r>
      <w:hyperlink r:id="rId1">
        <w:r>
          <w:rPr>
            <w:rStyle w:val="Hyperlink"/>
            <w:rFonts w:asciiTheme="minorHAnsi" w:hAnsiTheme="minorHAnsi"/>
          </w:rPr>
          <w:t>http://susproc.jrc.ec.europa.eu/Efficient_Buildings/</w:t>
        </w:r>
      </w:hyperlink>
      <w:r>
        <w:t>.</w:t>
      </w:r>
    </w:p>
  </w:footnote>
  <w:footnote w:id="4">
    <w:p>
      <w:pPr>
        <w:pStyle w:val="FootnoteText"/>
        <w:spacing w:after="0"/>
        <w:ind w:left="0" w:firstLine="0"/>
        <w:rPr>
          <w:rFonts w:cs="Times New Roman"/>
        </w:rPr>
      </w:pPr>
      <w:r>
        <w:rPr>
          <w:rStyle w:val="FootnoteReference"/>
        </w:rPr>
        <w:footnoteRef/>
      </w:r>
      <w:r>
        <w:t xml:space="preserve"> Pozri scenár vysokého podielu obnoviteľných zdrojov energie v dokumente: </w:t>
      </w:r>
      <w:hyperlink r:id="rId2">
        <w:r>
          <w:rPr>
            <w:rStyle w:val="Hyperlink"/>
            <w:rFonts w:asciiTheme="minorHAnsi" w:hAnsiTheme="minorHAnsi"/>
            <w:i/>
          </w:rPr>
          <w:t>Posúdenie vplyvu plánu do roku 2050,</w:t>
        </w:r>
        <w:r>
          <w:rPr>
            <w:rStyle w:val="Hyperlink"/>
            <w:rFonts w:asciiTheme="minorHAnsi" w:hAnsiTheme="minorHAnsi"/>
          </w:rPr>
          <w:t xml:space="preserve"> SEC(2011) 1565/2, časť ½</w:t>
        </w:r>
      </w:hyperlink>
      <w:r>
        <w:rPr>
          <w:rStyle w:val="Hyperlink"/>
          <w:rFonts w:asciiTheme="minorHAnsi" w:hAnsiTheme="minorHAnsi"/>
        </w:rPr>
        <w:t>.</w:t>
      </w:r>
    </w:p>
  </w:footnote>
  <w:footnote w:id="5">
    <w:p>
      <w:pPr>
        <w:pStyle w:val="FootnoteText"/>
        <w:spacing w:after="0"/>
        <w:ind w:left="0" w:firstLine="0"/>
        <w:rPr>
          <w:rFonts w:cs="Times New Roman"/>
        </w:rPr>
      </w:pPr>
      <w:r>
        <w:rPr>
          <w:rStyle w:val="FootnoteReference"/>
        </w:rPr>
        <w:footnoteRef/>
      </w:r>
      <w:r>
        <w:t xml:space="preserve"> Pozri </w:t>
      </w:r>
      <w:r>
        <w:rPr>
          <w:i/>
        </w:rPr>
        <w:t>oznámenie „Európska stratégia pre nízkoemisnú mobilitu“,</w:t>
      </w:r>
      <w:r>
        <w:t xml:space="preserve"> </w:t>
      </w:r>
      <w:hyperlink r:id="rId3">
        <w:r>
          <w:rPr>
            <w:rStyle w:val="Hyperlink"/>
            <w:rFonts w:asciiTheme="minorHAnsi" w:hAnsiTheme="minorHAnsi"/>
          </w:rPr>
          <w:t>COM(2016) 501 final</w:t>
        </w:r>
      </w:hyperlink>
      <w:r>
        <w:rPr>
          <w:rStyle w:val="Hyperlink"/>
          <w:rFonts w:asciiTheme="minorHAnsi" w:hAnsiTheme="minorHAnsi"/>
        </w:rPr>
        <w:t>.</w:t>
      </w:r>
    </w:p>
  </w:footnote>
  <w:footnote w:id="6">
    <w:p>
      <w:pPr>
        <w:pStyle w:val="FootnoteText"/>
        <w:spacing w:after="0"/>
        <w:ind w:left="0" w:firstLine="0"/>
        <w:rPr>
          <w:rFonts w:cs="Times New Roman"/>
        </w:rPr>
      </w:pPr>
      <w:r>
        <w:rPr>
          <w:rStyle w:val="FootnoteReference"/>
        </w:rPr>
        <w:footnoteRef/>
      </w:r>
      <w:r>
        <w:t xml:space="preserve"> Súčasná podpora EÚ určená na výskum a inovácie súvisiace s uskladňovaním sa poskytuje najmä ako súčasť činností v oblasti inteligentných sietí v rámci Európskeho strategického plánu pre energetické technológie a v kontexte spoločného podniku pre palivové články a vodík.</w:t>
      </w:r>
    </w:p>
  </w:footnote>
  <w:footnote w:id="7">
    <w:p>
      <w:pPr>
        <w:pStyle w:val="FootnoteText"/>
        <w:spacing w:after="0"/>
        <w:ind w:left="0" w:firstLine="0"/>
        <w:rPr>
          <w:rFonts w:cs="Times New Roman"/>
        </w:rPr>
      </w:pPr>
      <w:r>
        <w:rPr>
          <w:rStyle w:val="FootnoteReference"/>
        </w:rPr>
        <w:footnoteRef/>
      </w:r>
      <w:r>
        <w:t xml:space="preserve"> COM(2016) 766.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FFFFFF89"/>
    <w:multiLevelType w:val="singleLevel"/>
    <w:tmpl w:val="FB2213C8"/>
    <w:lvl w:ilvl="0">
      <w:start w:val="1"/>
      <w:numFmt w:val="bullet"/>
      <w:lvlText w:val=""/>
      <w:lvlJc w:val="left"/>
      <w:pPr>
        <w:tabs>
          <w:tab w:val="num" w:pos="360"/>
        </w:tabs>
        <w:ind w:left="360" w:hanging="360"/>
      </w:pPr>
      <w:rPr>
        <w:rFonts w:ascii="Symbol" w:hAnsi="Symbol" w:hint="default"/>
      </w:rPr>
    </w:lvl>
  </w:abstractNum>
  <w:abstractNum w:abstractNumId="3">
    <w:nsid w:val="08DE61A8"/>
    <w:multiLevelType w:val="hybridMultilevel"/>
    <w:tmpl w:val="686A40CA"/>
    <w:name w:val="LegalNumParListTemplate3"/>
    <w:lvl w:ilvl="0" w:tplc="A588FCC0">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C395EFD"/>
    <w:multiLevelType w:val="hybridMultilevel"/>
    <w:tmpl w:val="AA0619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C8F5480"/>
    <w:multiLevelType w:val="hybridMultilevel"/>
    <w:tmpl w:val="D328308A"/>
    <w:lvl w:ilvl="0" w:tplc="08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nsid w:val="1F734306"/>
    <w:multiLevelType w:val="multilevel"/>
    <w:tmpl w:val="8E026B5A"/>
    <w:lvl w:ilvl="0">
      <w:start w:val="1"/>
      <w:numFmt w:val="decimal"/>
      <w:pStyle w:val="Heading1"/>
      <w:lvlText w:val="%1."/>
      <w:lvlJc w:val="left"/>
      <w:pPr>
        <w:tabs>
          <w:tab w:val="num" w:pos="480"/>
        </w:tabs>
        <w:ind w:left="480" w:hanging="480"/>
      </w:pPr>
      <w:rPr>
        <w:rFonts w:ascii="Times New Roman" w:hAnsi="Times New Roman" w:cs="Times New Roman" w:hint="default"/>
        <w:b/>
      </w:r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6996849"/>
    <w:multiLevelType w:val="hybridMultilevel"/>
    <w:tmpl w:val="02142C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1">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4">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A93545"/>
    <w:multiLevelType w:val="hybridMultilevel"/>
    <w:tmpl w:val="8E5CF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7">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8">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9">
    <w:nsid w:val="506C15F8"/>
    <w:multiLevelType w:val="hybridMultilevel"/>
    <w:tmpl w:val="03B69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1">
    <w:nsid w:val="58114AC4"/>
    <w:multiLevelType w:val="hybridMultilevel"/>
    <w:tmpl w:val="2B105528"/>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4">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5">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6">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72934FAF"/>
    <w:multiLevelType w:val="hybridMultilevel"/>
    <w:tmpl w:val="F01616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4704D9B"/>
    <w:multiLevelType w:val="hybridMultilevel"/>
    <w:tmpl w:val="14E05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E849B9"/>
    <w:multiLevelType w:val="hybridMultilevel"/>
    <w:tmpl w:val="135609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7C6B63E6"/>
    <w:multiLevelType w:val="singleLevel"/>
    <w:tmpl w:val="0292EEF0"/>
    <w:name w:val="LegalNumParListTemplate"/>
    <w:lvl w:ilvl="0">
      <w:start w:val="1"/>
      <w:numFmt w:val="decimal"/>
      <w:lvlText w:val="%1."/>
      <w:lvlJc w:val="left"/>
      <w:pPr>
        <w:tabs>
          <w:tab w:val="num" w:pos="476"/>
        </w:tabs>
        <w:ind w:left="476" w:hanging="476"/>
      </w:pPr>
    </w:lvl>
  </w:abstractNum>
  <w:num w:numId="1">
    <w:abstractNumId w:val="1"/>
  </w:num>
  <w:num w:numId="2">
    <w:abstractNumId w:val="0"/>
  </w:num>
  <w:num w:numId="3">
    <w:abstractNumId w:val="7"/>
  </w:num>
  <w:num w:numId="4">
    <w:abstractNumId w:val="17"/>
  </w:num>
  <w:num w:numId="5">
    <w:abstractNumId w:val="10"/>
  </w:num>
  <w:num w:numId="6">
    <w:abstractNumId w:val="16"/>
  </w:num>
  <w:num w:numId="7">
    <w:abstractNumId w:val="24"/>
  </w:num>
  <w:num w:numId="8">
    <w:abstractNumId w:val="25"/>
  </w:num>
  <w:num w:numId="9">
    <w:abstractNumId w:val="13"/>
  </w:num>
  <w:num w:numId="10">
    <w:abstractNumId w:val="23"/>
  </w:num>
  <w:num w:numId="11">
    <w:abstractNumId w:val="22"/>
  </w:num>
  <w:num w:numId="12">
    <w:abstractNumId w:val="18"/>
  </w:num>
  <w:num w:numId="13">
    <w:abstractNumId w:val="20"/>
  </w:num>
  <w:num w:numId="14">
    <w:abstractNumId w:val="8"/>
  </w:num>
  <w:num w:numId="15">
    <w:abstractNumId w:val="14"/>
  </w:num>
  <w:num w:numId="16">
    <w:abstractNumId w:val="4"/>
  </w:num>
  <w:num w:numId="17">
    <w:abstractNumId w:val="11"/>
  </w:num>
  <w:num w:numId="18">
    <w:abstractNumId w:val="26"/>
  </w:num>
  <w:num w:numId="19">
    <w:abstractNumId w:val="12"/>
  </w:num>
  <w:num w:numId="20">
    <w:abstractNumId w:val="30"/>
  </w:num>
  <w:num w:numId="21">
    <w:abstractNumId w:val="3"/>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5"/>
  </w:num>
  <w:num w:numId="29">
    <w:abstractNumId w:val="28"/>
  </w:num>
  <w:num w:numId="30">
    <w:abstractNumId w:val="27"/>
  </w:num>
  <w:num w:numId="31">
    <w:abstractNumId w:val="19"/>
  </w:num>
  <w:num w:numId="32">
    <w:abstractNumId w:val="9"/>
  </w:num>
  <w:num w:numId="33">
    <w:abstractNumId w:val="5"/>
  </w:num>
  <w:num w:numId="34">
    <w:abstractNumId w:val="21"/>
  </w:num>
  <w:num w:numId="35">
    <w:abstractNumId w:val="29"/>
  </w:num>
  <w:num w:numId="36">
    <w:abstractNumId w:val="6"/>
  </w:num>
  <w:num w:numId="37">
    <w:abstractNumId w:val="7"/>
  </w:num>
  <w:num w:numId="38">
    <w:abstractNumId w:val="7"/>
  </w:num>
  <w:num w:numId="39">
    <w:abstractNumId w:val="7"/>
  </w:num>
  <w:num w:numId="40">
    <w:abstractNumId w:val="7"/>
  </w:num>
  <w:num w:numId="41">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k "/>
    <w:docVar w:name="LW_ANNEX_NBR_FIRST" w:val="1"/>
    <w:docVar w:name="LW_ANNEX_NBR_LAST" w:val="1"/>
    <w:docVar w:name="LW_CONFIDENCE" w:val=" "/>
    <w:docVar w:name="LW_CONST_RESTREINT_UE" w:val="RESTREINT UE"/>
    <w:docVar w:name="LW_CORRIGENDUM" w:val="&lt;UNUSED&gt;"/>
    <w:docVar w:name="LW_COVERPAGE_GUID" w:val="5CC1B023A8054DCFBC6BD99A965561EB"/>
    <w:docVar w:name="LW_CROSSREFERENCE" w:val="&lt;UNUSED&gt;"/>
    <w:docVar w:name="LW_DocType" w:val="REP"/>
    <w:docVar w:name="LW_EMISSION" w:val="30. 11. 2016"/>
    <w:docVar w:name="LW_EMISSION_ISODATE" w:val="2016-11-30"/>
    <w:docVar w:name="LW_EMISSION_LOCATION" w:val="BRX"/>
    <w:docVar w:name="LW_EMISSION_PREFIX" w:val="V Bruseli"/>
    <w:docVar w:name="LW_EMISSION_SUFFIX" w:val=" "/>
    <w:docVar w:name="LW_ID_DOCTYPE_NONLW" w:val="CP-039"/>
    <w:docVar w:name="LW_LANGUE" w:val="SK"/>
    <w:docVar w:name="LW_MARKING" w:val="&lt;UNUSED&gt;"/>
    <w:docVar w:name="LW_NOM.INST" w:val="EURÓPSKA KOMISIA"/>
    <w:docVar w:name="LW_NOM.INST_JOINTDOC" w:val="&lt;EMPTY&gt;"/>
    <w:docVar w:name="LW_OBJETACTEPRINCIPAL.CP" w:val="&lt;UNUSED&gt;"/>
    <w:docVar w:name="LW_PART_NBR" w:val="1"/>
    <w:docVar w:name="LW_PART_NBR_TOTAL" w:val="1"/>
    <w:docVar w:name="LW_REF.INST.NEW" w:val="COM"/>
    <w:docVar w:name="LW_REF.INST.NEW_ADOPTED" w:val="final"/>
    <w:docVar w:name="LW_REF.INST.NEW_TEXT" w:val="(2016) 763"/>
    <w:docVar w:name="LW_REF.INTERNE" w:val="&lt;UNUSED&gt;"/>
    <w:docVar w:name="LW_SUPERTITRE" w:val="&lt;UNUSED&gt;"/>
    <w:docVar w:name="LW_TITRE.OBJ.CP" w:val="&lt;UNUSED&gt;"/>
    <w:docVar w:name="LW_TYPE.DOC.CP" w:val="PRÍLOHA_x000b_"/>
    <w:docVar w:name="LW_TYPEACTEPRINCIPAL.CP" w:val="OZNÁMENIU KOMISIE EURÓPSKEMU PARLAMENTU, RADE, EURÓPSKEMU HOSPODÁRSKEMU A SOCIÁLNEMU VÝBORU, VÝBORU REGIÓNOV A EURÓPSKEJ INVESTI\u268?NEJ BANKE_x000b__x000b_Urýchlenie inovácií v oblasti \u269?istej energie"/>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sk-SK"/>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0" w:uiPriority="35" w:unhideWhenUsed="0" w:qFormat="1"/>
    <w:lsdException w:name="footnote reference"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link w:val="Heading2Char"/>
    <w:uiPriority w:val="9"/>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rPr>
  </w:style>
  <w:style w:type="paragraph" w:styleId="Heading6">
    <w:name w:val="heading 6"/>
    <w:basedOn w:val="Normal"/>
    <w:next w:val="Normal"/>
    <w:qFormat/>
    <w:pPr>
      <w:tabs>
        <w:tab w:val="num" w:pos="0"/>
      </w:tabs>
      <w:spacing w:before="240" w:after="60"/>
      <w:outlineLvl w:val="5"/>
    </w:pPr>
    <w:rPr>
      <w:rFonts w:ascii="Arial" w:hAnsi="Arial"/>
      <w:i/>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pPr>
  </w:style>
  <w:style w:type="paragraph" w:customStyle="1" w:styleId="AddressTL">
    <w:name w:val="AddressTL"/>
    <w:basedOn w:val="Normal"/>
    <w:next w:val="Normal"/>
    <w:pPr>
      <w:spacing w:after="720"/>
    </w:pPr>
  </w:style>
  <w:style w:type="paragraph" w:customStyle="1" w:styleId="AddressTR">
    <w:name w:val="AddressTR"/>
    <w:basedOn w:val="Normal"/>
    <w:next w:val="Normal"/>
    <w:pPr>
      <w:spacing w:after="720"/>
      <w:ind w:left="5103"/>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rPr>
      <w:sz w:val="20"/>
    </w:rPr>
  </w:style>
  <w:style w:type="paragraph" w:styleId="Date">
    <w:name w:val="Date"/>
    <w:basedOn w:val="Normal"/>
    <w:next w:val="References"/>
    <w:pPr>
      <w:spacing w:after="0"/>
      <w:ind w:left="5103" w:right="-567"/>
    </w:pPr>
  </w:style>
  <w:style w:type="paragraph" w:customStyle="1" w:styleId="References">
    <w:name w:val="References"/>
    <w:basedOn w:val="Normal"/>
    <w:next w:val="AddressTR"/>
    <w:pPr>
      <w:ind w:left="5103"/>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pPr>
  </w:style>
  <w:style w:type="paragraph" w:customStyle="1" w:styleId="Enclosures">
    <w:name w:val="Enclosures"/>
    <w:basedOn w:val="Normal"/>
    <w:pPr>
      <w:keepNext/>
      <w:keepLines/>
      <w:tabs>
        <w:tab w:val="left" w:pos="5642"/>
      </w:tabs>
      <w:spacing w:before="480" w:after="0"/>
      <w:ind w:left="1191" w:hanging="1191"/>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pPr>
    <w:rPr>
      <w:rFonts w:ascii="Arial" w:hAnsi="Arial"/>
      <w:sz w:val="16"/>
    </w:rPr>
  </w:style>
  <w:style w:type="paragraph" w:styleId="FootnoteText">
    <w:name w:val="footnote text"/>
    <w:aliases w:val="Fußnote,Fu§notentext Char,Fu§notentext Char1 Char1,Fu§notentext Char Char Char Char,Fu§notentext Char1 Char Char Char,Fu§notentext Char Char,Fu§notentext Char Char Char Char Char Char,Footnote Text Char Char,stile 1,Footnot,Char,fn,f,ft"/>
    <w:basedOn w:val="Normal"/>
    <w:link w:val="FootnoteTextChar"/>
    <w:uiPriority w:val="99"/>
    <w:qFormat/>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pPr>
    <w:rPr>
      <w:b/>
    </w:rPr>
  </w:style>
  <w:style w:type="paragraph" w:customStyle="1" w:styleId="NoteList">
    <w:name w:val="NoteList"/>
    <w:basedOn w:val="Normal"/>
    <w:next w:val="Subject"/>
    <w:pPr>
      <w:tabs>
        <w:tab w:val="left" w:pos="5823"/>
      </w:tabs>
      <w:spacing w:before="720" w:after="720"/>
      <w:ind w:left="5104" w:hanging="3119"/>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pPr>
  </w:style>
  <w:style w:type="paragraph" w:customStyle="1" w:styleId="LegalNumPar2">
    <w:name w:val="LegalNumPar2"/>
    <w:basedOn w:val="Normal"/>
    <w:pPr>
      <w:numPr>
        <w:ilvl w:val="1"/>
        <w:numId w:val="27"/>
      </w:numPr>
      <w:spacing w:line="360" w:lineRule="auto"/>
      <w:ind w:left="952" w:hanging="476"/>
    </w:pPr>
  </w:style>
  <w:style w:type="paragraph" w:customStyle="1" w:styleId="LegalNumPar3">
    <w:name w:val="LegalNumPar3"/>
    <w:basedOn w:val="Normal"/>
    <w:pPr>
      <w:numPr>
        <w:ilvl w:val="2"/>
        <w:numId w:val="27"/>
      </w:numPr>
      <w:spacing w:line="360" w:lineRule="auto"/>
    </w:pPr>
  </w:style>
  <w:style w:type="character" w:customStyle="1" w:styleId="FooterChar">
    <w:name w:val="Footer Char"/>
    <w:basedOn w:val="DefaultParagraphFont"/>
    <w:link w:val="Footer"/>
    <w:uiPriority w:val="99"/>
    <w:rPr>
      <w:rFonts w:ascii="Arial" w:hAnsi="Arial"/>
      <w:sz w:val="16"/>
      <w:lang w:eastAsia="sk-SK"/>
    </w:rPr>
  </w:style>
  <w:style w:type="character" w:customStyle="1" w:styleId="HeaderChar">
    <w:name w:val="Header Char"/>
    <w:basedOn w:val="DefaultParagraphFont"/>
    <w:link w:val="Header"/>
    <w:uiPriority w:val="99"/>
    <w:rPr>
      <w:sz w:val="24"/>
      <w:lang w:eastAsia="sk-SK"/>
    </w:rPr>
  </w:style>
  <w:style w:type="character" w:customStyle="1" w:styleId="FootnoteTextChar">
    <w:name w:val="Footnote Text Char"/>
    <w:aliases w:val="Fußnote Char,Fu§notentext Char Char1,Fu§notentext Char1 Char1 Char,Fu§notentext Char Char Char Char Char,Fu§notentext Char1 Char Char Char Char,Fu§notentext Char Char Char,Fu§notentext Char Char Char Char Char Char Char,stile 1 Char"/>
    <w:basedOn w:val="DefaultParagraphFont"/>
    <w:link w:val="FootnoteText"/>
    <w:uiPriority w:val="99"/>
    <w:rPr>
      <w:lang w:eastAsia="sk-SK"/>
    </w:rPr>
  </w:style>
  <w:style w:type="character" w:styleId="FootnoteReference">
    <w:name w:val="footnote reference"/>
    <w:aliases w:val="Footnote Reference Superscript,note TESI,Ref,de nota al pie,fr,SUPERS,Footnote symbol,Footnote number,o,Source Reference,number,Footnote reference number,-E Fußnotenzeichen,Times 10 Point,Exposant 3 Point,EN Footnote Reference,BVI fn"/>
    <w:basedOn w:val="DefaultParagraphFont"/>
    <w:link w:val="SUPERSChar"/>
    <w:uiPriority w:val="99"/>
    <w:unhideWhenUsed/>
    <w:qFormat/>
    <w:rPr>
      <w:vertAlign w:val="superscript"/>
    </w:rPr>
  </w:style>
  <w:style w:type="character" w:customStyle="1" w:styleId="Heading2Char">
    <w:name w:val="Heading 2 Char"/>
    <w:basedOn w:val="DefaultParagraphFont"/>
    <w:link w:val="Heading2"/>
    <w:uiPriority w:val="9"/>
    <w:rPr>
      <w:b/>
      <w:sz w:val="24"/>
      <w:lang w:eastAsia="sk-SK"/>
    </w:rPr>
  </w:style>
  <w:style w:type="paragraph" w:styleId="ListParagraph">
    <w:name w:val="List Paragraph"/>
    <w:aliases w:val="Yellow Bullet,Normal bullet 2,Table/Figure Heading,Listeafsnit,Dot pt,No Spacing1,List Paragraph Char Char Char,Indicator Text,Numbered Para 1,List Paragraph1,Bullet Points,MAIN CONTENT,List Paragraph12,List Paragraph11,OBC Bullet"/>
    <w:basedOn w:val="Normal"/>
    <w:link w:val="ListParagraphChar"/>
    <w:uiPriority w:val="34"/>
    <w:qFormat/>
    <w:pPr>
      <w:ind w:left="720"/>
      <w:contextualSpacing/>
    </w:pPr>
  </w:style>
  <w:style w:type="character" w:styleId="Hyperlink">
    <w:name w:val="Hyperlink"/>
    <w:basedOn w:val="DefaultParagraphFont"/>
    <w:uiPriority w:val="99"/>
    <w:unhideWhenUsed/>
    <w:rPr>
      <w:rFonts w:ascii="open_sansregular" w:hAnsi="open_sansregular" w:hint="default"/>
      <w:b w:val="0"/>
      <w:bCs w:val="0"/>
      <w:strike w:val="0"/>
      <w:dstrike w:val="0"/>
      <w:color w:val="2873E6"/>
      <w:u w:val="none"/>
      <w:effect w:val="none"/>
      <w:shd w:val="clear" w:color="auto" w:fill="auto"/>
    </w:rPr>
  </w:style>
  <w:style w:type="character" w:customStyle="1" w:styleId="tgc">
    <w:name w:val="_tgc"/>
    <w:basedOn w:val="DefaultParagraphFont"/>
  </w:style>
  <w:style w:type="paragraph" w:customStyle="1" w:styleId="SUPERSChar">
    <w:name w:val="SUPERS Char"/>
    <w:aliases w:val="EN Footnote Reference Char"/>
    <w:basedOn w:val="Normal"/>
    <w:link w:val="FootnoteReference"/>
    <w:uiPriority w:val="99"/>
    <w:pPr>
      <w:widowControl w:val="0"/>
      <w:adjustRightInd w:val="0"/>
      <w:spacing w:after="160" w:line="240" w:lineRule="exact"/>
      <w:jc w:val="both"/>
    </w:pPr>
    <w:rPr>
      <w:rFonts w:ascii="Times New Roman" w:eastAsia="Times New Roman" w:hAnsi="Times New Roman" w:cs="Times New Roman"/>
      <w:sz w:val="20"/>
      <w:szCs w:val="20"/>
      <w:vertAlign w:val="superscript"/>
    </w:rPr>
  </w:style>
  <w:style w:type="paragraph" w:customStyle="1" w:styleId="Default">
    <w:name w:val="Default"/>
    <w:pPr>
      <w:autoSpaceDE w:val="0"/>
      <w:autoSpaceDN w:val="0"/>
      <w:adjustRightInd w:val="0"/>
    </w:pPr>
    <w:rPr>
      <w:rFonts w:eastAsiaTheme="minorHAnsi"/>
      <w:color w:val="000000"/>
      <w:sz w:val="24"/>
      <w:szCs w:val="24"/>
    </w:rPr>
  </w:style>
  <w:style w:type="character" w:customStyle="1" w:styleId="ListParagraphChar">
    <w:name w:val="List Paragraph Char"/>
    <w:aliases w:val="Yellow Bullet Char,Normal bullet 2 Char,Table/Figure Heading Char,Listeafsnit Char,Dot pt Char,No Spacing1 Char,List Paragraph Char Char Char Char,Indicator Text Char,Numbered Para 1 Char,List Paragraph1 Char,Bullet Points Char"/>
    <w:link w:val="ListParagraph"/>
    <w:uiPriority w:val="34"/>
    <w:qFormat/>
    <w:locked/>
    <w:rPr>
      <w:rFonts w:asciiTheme="minorHAnsi" w:eastAsiaTheme="minorHAnsi" w:hAnsiTheme="minorHAnsi" w:cstheme="minorBidi"/>
      <w:sz w:val="22"/>
      <w:szCs w:val="22"/>
      <w:lang w:eastAsia="sk-SK"/>
    </w:rPr>
  </w:style>
  <w:style w:type="character" w:customStyle="1" w:styleId="s12">
    <w:name w:val="s12"/>
    <w:basedOn w:val="DefaultParagraphFont"/>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eastAsiaTheme="minorHAnsi"/>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eastAsiaTheme="minorHAnsi"/>
      <w:sz w:val="24"/>
      <w:szCs w:val="2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HAnsi" w:hAnsi="Tahoma" w:cs="Tahoma"/>
      <w:sz w:val="16"/>
      <w:szCs w:val="16"/>
      <w:lang w:eastAsia="sk-SK"/>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pPr>
      <w:spacing w:line="240" w:lineRule="auto"/>
    </w:pPr>
    <w:rPr>
      <w:b/>
      <w:bCs/>
      <w:szCs w:val="20"/>
    </w:rPr>
  </w:style>
  <w:style w:type="character" w:customStyle="1" w:styleId="CommentTextChar">
    <w:name w:val="Comment Text Char"/>
    <w:basedOn w:val="DefaultParagraphFont"/>
    <w:link w:val="CommentText"/>
    <w:uiPriority w:val="99"/>
    <w:rPr>
      <w:rFonts w:asciiTheme="minorHAnsi" w:eastAsiaTheme="minorHAnsi" w:hAnsiTheme="minorHAnsi" w:cstheme="minorBidi"/>
      <w:szCs w:val="22"/>
      <w:lang w:eastAsia="sk-SK"/>
    </w:rPr>
  </w:style>
  <w:style w:type="character" w:customStyle="1" w:styleId="CommentSubjectChar">
    <w:name w:val="Comment Subject Char"/>
    <w:basedOn w:val="CommentTextChar"/>
    <w:link w:val="CommentSubject"/>
    <w:uiPriority w:val="99"/>
    <w:semiHidden/>
    <w:rPr>
      <w:rFonts w:asciiTheme="minorHAnsi" w:eastAsiaTheme="minorHAnsi" w:hAnsiTheme="minorHAnsi" w:cstheme="minorBidi"/>
      <w:b/>
      <w:bCs/>
      <w:szCs w:val="22"/>
      <w:lang w:eastAsia="sk-SK"/>
    </w:rPr>
  </w:style>
  <w:style w:type="paragraph" w:styleId="Revision">
    <w:name w:val="Revision"/>
    <w:hidden/>
    <w:uiPriority w:val="99"/>
    <w:semiHidden/>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unhideWhenUsed/>
    <w:pPr>
      <w:spacing w:before="100" w:beforeAutospacing="1" w:after="100" w:afterAutospacing="1" w:line="240" w:lineRule="auto"/>
    </w:pPr>
    <w:rPr>
      <w:rFonts w:ascii="Times" w:eastAsia="Times New Roman" w:hAnsi="Times" w:cs="Times New Roman"/>
      <w:sz w:val="20"/>
      <w:szCs w:val="20"/>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sk-SK"/>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0" w:uiPriority="35" w:unhideWhenUsed="0" w:qFormat="1"/>
    <w:lsdException w:name="footnote reference"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link w:val="Heading2Char"/>
    <w:uiPriority w:val="9"/>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rPr>
  </w:style>
  <w:style w:type="paragraph" w:styleId="Heading6">
    <w:name w:val="heading 6"/>
    <w:basedOn w:val="Normal"/>
    <w:next w:val="Normal"/>
    <w:qFormat/>
    <w:pPr>
      <w:tabs>
        <w:tab w:val="num" w:pos="0"/>
      </w:tabs>
      <w:spacing w:before="240" w:after="60"/>
      <w:outlineLvl w:val="5"/>
    </w:pPr>
    <w:rPr>
      <w:rFonts w:ascii="Arial" w:hAnsi="Arial"/>
      <w:i/>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pPr>
  </w:style>
  <w:style w:type="paragraph" w:customStyle="1" w:styleId="AddressTL">
    <w:name w:val="AddressTL"/>
    <w:basedOn w:val="Normal"/>
    <w:next w:val="Normal"/>
    <w:pPr>
      <w:spacing w:after="720"/>
    </w:pPr>
  </w:style>
  <w:style w:type="paragraph" w:customStyle="1" w:styleId="AddressTR">
    <w:name w:val="AddressTR"/>
    <w:basedOn w:val="Normal"/>
    <w:next w:val="Normal"/>
    <w:pPr>
      <w:spacing w:after="720"/>
      <w:ind w:left="5103"/>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rPr>
      <w:sz w:val="20"/>
    </w:rPr>
  </w:style>
  <w:style w:type="paragraph" w:styleId="Date">
    <w:name w:val="Date"/>
    <w:basedOn w:val="Normal"/>
    <w:next w:val="References"/>
    <w:pPr>
      <w:spacing w:after="0"/>
      <w:ind w:left="5103" w:right="-567"/>
    </w:pPr>
  </w:style>
  <w:style w:type="paragraph" w:customStyle="1" w:styleId="References">
    <w:name w:val="References"/>
    <w:basedOn w:val="Normal"/>
    <w:next w:val="AddressTR"/>
    <w:pPr>
      <w:ind w:left="5103"/>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pPr>
  </w:style>
  <w:style w:type="paragraph" w:customStyle="1" w:styleId="Enclosures">
    <w:name w:val="Enclosures"/>
    <w:basedOn w:val="Normal"/>
    <w:pPr>
      <w:keepNext/>
      <w:keepLines/>
      <w:tabs>
        <w:tab w:val="left" w:pos="5642"/>
      </w:tabs>
      <w:spacing w:before="480" w:after="0"/>
      <w:ind w:left="1191" w:hanging="1191"/>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pPr>
    <w:rPr>
      <w:rFonts w:ascii="Arial" w:hAnsi="Arial"/>
      <w:sz w:val="16"/>
    </w:rPr>
  </w:style>
  <w:style w:type="paragraph" w:styleId="FootnoteText">
    <w:name w:val="footnote text"/>
    <w:aliases w:val="Fußnote,Fu§notentext Char,Fu§notentext Char1 Char1,Fu§notentext Char Char Char Char,Fu§notentext Char1 Char Char Char,Fu§notentext Char Char,Fu§notentext Char Char Char Char Char Char,Footnote Text Char Char,stile 1,Footnot,Char,fn,f,ft"/>
    <w:basedOn w:val="Normal"/>
    <w:link w:val="FootnoteTextChar"/>
    <w:uiPriority w:val="99"/>
    <w:qFormat/>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pPr>
    <w:rPr>
      <w:b/>
    </w:rPr>
  </w:style>
  <w:style w:type="paragraph" w:customStyle="1" w:styleId="NoteList">
    <w:name w:val="NoteList"/>
    <w:basedOn w:val="Normal"/>
    <w:next w:val="Subject"/>
    <w:pPr>
      <w:tabs>
        <w:tab w:val="left" w:pos="5823"/>
      </w:tabs>
      <w:spacing w:before="720" w:after="720"/>
      <w:ind w:left="5104" w:hanging="3119"/>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pPr>
  </w:style>
  <w:style w:type="paragraph" w:customStyle="1" w:styleId="LegalNumPar2">
    <w:name w:val="LegalNumPar2"/>
    <w:basedOn w:val="Normal"/>
    <w:pPr>
      <w:numPr>
        <w:ilvl w:val="1"/>
        <w:numId w:val="27"/>
      </w:numPr>
      <w:spacing w:line="360" w:lineRule="auto"/>
      <w:ind w:left="952" w:hanging="476"/>
    </w:pPr>
  </w:style>
  <w:style w:type="paragraph" w:customStyle="1" w:styleId="LegalNumPar3">
    <w:name w:val="LegalNumPar3"/>
    <w:basedOn w:val="Normal"/>
    <w:pPr>
      <w:numPr>
        <w:ilvl w:val="2"/>
        <w:numId w:val="27"/>
      </w:numPr>
      <w:spacing w:line="360" w:lineRule="auto"/>
    </w:pPr>
  </w:style>
  <w:style w:type="character" w:customStyle="1" w:styleId="FooterChar">
    <w:name w:val="Footer Char"/>
    <w:basedOn w:val="DefaultParagraphFont"/>
    <w:link w:val="Footer"/>
    <w:uiPriority w:val="99"/>
    <w:rPr>
      <w:rFonts w:ascii="Arial" w:hAnsi="Arial"/>
      <w:sz w:val="16"/>
      <w:lang w:eastAsia="sk-SK"/>
    </w:rPr>
  </w:style>
  <w:style w:type="character" w:customStyle="1" w:styleId="HeaderChar">
    <w:name w:val="Header Char"/>
    <w:basedOn w:val="DefaultParagraphFont"/>
    <w:link w:val="Header"/>
    <w:uiPriority w:val="99"/>
    <w:rPr>
      <w:sz w:val="24"/>
      <w:lang w:eastAsia="sk-SK"/>
    </w:rPr>
  </w:style>
  <w:style w:type="character" w:customStyle="1" w:styleId="FootnoteTextChar">
    <w:name w:val="Footnote Text Char"/>
    <w:aliases w:val="Fußnote Char,Fu§notentext Char Char1,Fu§notentext Char1 Char1 Char,Fu§notentext Char Char Char Char Char,Fu§notentext Char1 Char Char Char Char,Fu§notentext Char Char Char,Fu§notentext Char Char Char Char Char Char Char,stile 1 Char"/>
    <w:basedOn w:val="DefaultParagraphFont"/>
    <w:link w:val="FootnoteText"/>
    <w:uiPriority w:val="99"/>
    <w:rPr>
      <w:lang w:eastAsia="sk-SK"/>
    </w:rPr>
  </w:style>
  <w:style w:type="character" w:styleId="FootnoteReference">
    <w:name w:val="footnote reference"/>
    <w:aliases w:val="Footnote Reference Superscript,note TESI,Ref,de nota al pie,fr,SUPERS,Footnote symbol,Footnote number,o,Source Reference,number,Footnote reference number,-E Fußnotenzeichen,Times 10 Point,Exposant 3 Point,EN Footnote Reference,BVI fn"/>
    <w:basedOn w:val="DefaultParagraphFont"/>
    <w:link w:val="SUPERSChar"/>
    <w:uiPriority w:val="99"/>
    <w:unhideWhenUsed/>
    <w:qFormat/>
    <w:rPr>
      <w:vertAlign w:val="superscript"/>
    </w:rPr>
  </w:style>
  <w:style w:type="character" w:customStyle="1" w:styleId="Heading2Char">
    <w:name w:val="Heading 2 Char"/>
    <w:basedOn w:val="DefaultParagraphFont"/>
    <w:link w:val="Heading2"/>
    <w:uiPriority w:val="9"/>
    <w:rPr>
      <w:b/>
      <w:sz w:val="24"/>
      <w:lang w:eastAsia="sk-SK"/>
    </w:rPr>
  </w:style>
  <w:style w:type="paragraph" w:styleId="ListParagraph">
    <w:name w:val="List Paragraph"/>
    <w:aliases w:val="Yellow Bullet,Normal bullet 2,Table/Figure Heading,Listeafsnit,Dot pt,No Spacing1,List Paragraph Char Char Char,Indicator Text,Numbered Para 1,List Paragraph1,Bullet Points,MAIN CONTENT,List Paragraph12,List Paragraph11,OBC Bullet"/>
    <w:basedOn w:val="Normal"/>
    <w:link w:val="ListParagraphChar"/>
    <w:uiPriority w:val="34"/>
    <w:qFormat/>
    <w:pPr>
      <w:ind w:left="720"/>
      <w:contextualSpacing/>
    </w:pPr>
  </w:style>
  <w:style w:type="character" w:styleId="Hyperlink">
    <w:name w:val="Hyperlink"/>
    <w:basedOn w:val="DefaultParagraphFont"/>
    <w:uiPriority w:val="99"/>
    <w:unhideWhenUsed/>
    <w:rPr>
      <w:rFonts w:ascii="open_sansregular" w:hAnsi="open_sansregular" w:hint="default"/>
      <w:b w:val="0"/>
      <w:bCs w:val="0"/>
      <w:strike w:val="0"/>
      <w:dstrike w:val="0"/>
      <w:color w:val="2873E6"/>
      <w:u w:val="none"/>
      <w:effect w:val="none"/>
      <w:shd w:val="clear" w:color="auto" w:fill="auto"/>
    </w:rPr>
  </w:style>
  <w:style w:type="character" w:customStyle="1" w:styleId="tgc">
    <w:name w:val="_tgc"/>
    <w:basedOn w:val="DefaultParagraphFont"/>
  </w:style>
  <w:style w:type="paragraph" w:customStyle="1" w:styleId="SUPERSChar">
    <w:name w:val="SUPERS Char"/>
    <w:aliases w:val="EN Footnote Reference Char"/>
    <w:basedOn w:val="Normal"/>
    <w:link w:val="FootnoteReference"/>
    <w:uiPriority w:val="99"/>
    <w:pPr>
      <w:widowControl w:val="0"/>
      <w:adjustRightInd w:val="0"/>
      <w:spacing w:after="160" w:line="240" w:lineRule="exact"/>
      <w:jc w:val="both"/>
    </w:pPr>
    <w:rPr>
      <w:rFonts w:ascii="Times New Roman" w:eastAsia="Times New Roman" w:hAnsi="Times New Roman" w:cs="Times New Roman"/>
      <w:sz w:val="20"/>
      <w:szCs w:val="20"/>
      <w:vertAlign w:val="superscript"/>
    </w:rPr>
  </w:style>
  <w:style w:type="paragraph" w:customStyle="1" w:styleId="Default">
    <w:name w:val="Default"/>
    <w:pPr>
      <w:autoSpaceDE w:val="0"/>
      <w:autoSpaceDN w:val="0"/>
      <w:adjustRightInd w:val="0"/>
    </w:pPr>
    <w:rPr>
      <w:rFonts w:eastAsiaTheme="minorHAnsi"/>
      <w:color w:val="000000"/>
      <w:sz w:val="24"/>
      <w:szCs w:val="24"/>
    </w:rPr>
  </w:style>
  <w:style w:type="character" w:customStyle="1" w:styleId="ListParagraphChar">
    <w:name w:val="List Paragraph Char"/>
    <w:aliases w:val="Yellow Bullet Char,Normal bullet 2 Char,Table/Figure Heading Char,Listeafsnit Char,Dot pt Char,No Spacing1 Char,List Paragraph Char Char Char Char,Indicator Text Char,Numbered Para 1 Char,List Paragraph1 Char,Bullet Points Char"/>
    <w:link w:val="ListParagraph"/>
    <w:uiPriority w:val="34"/>
    <w:qFormat/>
    <w:locked/>
    <w:rPr>
      <w:rFonts w:asciiTheme="minorHAnsi" w:eastAsiaTheme="minorHAnsi" w:hAnsiTheme="minorHAnsi" w:cstheme="minorBidi"/>
      <w:sz w:val="22"/>
      <w:szCs w:val="22"/>
      <w:lang w:eastAsia="sk-SK"/>
    </w:rPr>
  </w:style>
  <w:style w:type="character" w:customStyle="1" w:styleId="s12">
    <w:name w:val="s12"/>
    <w:basedOn w:val="DefaultParagraphFont"/>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eastAsiaTheme="minorHAnsi"/>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eastAsiaTheme="minorHAnsi"/>
      <w:sz w:val="24"/>
      <w:szCs w:val="2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HAnsi" w:hAnsi="Tahoma" w:cs="Tahoma"/>
      <w:sz w:val="16"/>
      <w:szCs w:val="16"/>
      <w:lang w:eastAsia="sk-SK"/>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pPr>
      <w:spacing w:line="240" w:lineRule="auto"/>
    </w:pPr>
    <w:rPr>
      <w:b/>
      <w:bCs/>
      <w:szCs w:val="20"/>
    </w:rPr>
  </w:style>
  <w:style w:type="character" w:customStyle="1" w:styleId="CommentTextChar">
    <w:name w:val="Comment Text Char"/>
    <w:basedOn w:val="DefaultParagraphFont"/>
    <w:link w:val="CommentText"/>
    <w:uiPriority w:val="99"/>
    <w:rPr>
      <w:rFonts w:asciiTheme="minorHAnsi" w:eastAsiaTheme="minorHAnsi" w:hAnsiTheme="minorHAnsi" w:cstheme="minorBidi"/>
      <w:szCs w:val="22"/>
      <w:lang w:eastAsia="sk-SK"/>
    </w:rPr>
  </w:style>
  <w:style w:type="character" w:customStyle="1" w:styleId="CommentSubjectChar">
    <w:name w:val="Comment Subject Char"/>
    <w:basedOn w:val="CommentTextChar"/>
    <w:link w:val="CommentSubject"/>
    <w:uiPriority w:val="99"/>
    <w:semiHidden/>
    <w:rPr>
      <w:rFonts w:asciiTheme="minorHAnsi" w:eastAsiaTheme="minorHAnsi" w:hAnsiTheme="minorHAnsi" w:cstheme="minorBidi"/>
      <w:b/>
      <w:bCs/>
      <w:szCs w:val="22"/>
      <w:lang w:eastAsia="sk-SK"/>
    </w:rPr>
  </w:style>
  <w:style w:type="paragraph" w:styleId="Revision">
    <w:name w:val="Revision"/>
    <w:hidden/>
    <w:uiPriority w:val="99"/>
    <w:semiHidden/>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unhideWhenUsed/>
    <w:pPr>
      <w:spacing w:before="100" w:beforeAutospacing="1" w:after="100" w:afterAutospacing="1" w:line="240" w:lineRule="auto"/>
    </w:pPr>
    <w:rPr>
      <w:rFonts w:ascii="Times" w:eastAsia="Times New Roman" w:hAnsi="Times" w:cs="Times New Roman"/>
      <w:sz w:val="20"/>
      <w:szCs w:val="20"/>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7795">
      <w:bodyDiv w:val="1"/>
      <w:marLeft w:val="0"/>
      <w:marRight w:val="0"/>
      <w:marTop w:val="0"/>
      <w:marBottom w:val="0"/>
      <w:divBdr>
        <w:top w:val="none" w:sz="0" w:space="0" w:color="auto"/>
        <w:left w:val="none" w:sz="0" w:space="0" w:color="auto"/>
        <w:bottom w:val="none" w:sz="0" w:space="0" w:color="auto"/>
        <w:right w:val="none" w:sz="0" w:space="0" w:color="auto"/>
      </w:divBdr>
    </w:div>
    <w:div w:id="260572690">
      <w:bodyDiv w:val="1"/>
      <w:marLeft w:val="0"/>
      <w:marRight w:val="0"/>
      <w:marTop w:val="0"/>
      <w:marBottom w:val="0"/>
      <w:divBdr>
        <w:top w:val="none" w:sz="0" w:space="0" w:color="auto"/>
        <w:left w:val="none" w:sz="0" w:space="0" w:color="auto"/>
        <w:bottom w:val="none" w:sz="0" w:space="0" w:color="auto"/>
        <w:right w:val="none" w:sz="0" w:space="0" w:color="auto"/>
      </w:divBdr>
    </w:div>
    <w:div w:id="363678888">
      <w:bodyDiv w:val="1"/>
      <w:marLeft w:val="0"/>
      <w:marRight w:val="0"/>
      <w:marTop w:val="0"/>
      <w:marBottom w:val="0"/>
      <w:divBdr>
        <w:top w:val="none" w:sz="0" w:space="0" w:color="auto"/>
        <w:left w:val="none" w:sz="0" w:space="0" w:color="auto"/>
        <w:bottom w:val="none" w:sz="0" w:space="0" w:color="auto"/>
        <w:right w:val="none" w:sz="0" w:space="0" w:color="auto"/>
      </w:divBdr>
    </w:div>
    <w:div w:id="860515542">
      <w:bodyDiv w:val="1"/>
      <w:marLeft w:val="0"/>
      <w:marRight w:val="0"/>
      <w:marTop w:val="0"/>
      <w:marBottom w:val="0"/>
      <w:divBdr>
        <w:top w:val="none" w:sz="0" w:space="0" w:color="auto"/>
        <w:left w:val="none" w:sz="0" w:space="0" w:color="auto"/>
        <w:bottom w:val="none" w:sz="0" w:space="0" w:color="auto"/>
        <w:right w:val="none" w:sz="0" w:space="0" w:color="auto"/>
      </w:divBdr>
    </w:div>
    <w:div w:id="1166047473">
      <w:bodyDiv w:val="1"/>
      <w:marLeft w:val="0"/>
      <w:marRight w:val="0"/>
      <w:marTop w:val="0"/>
      <w:marBottom w:val="0"/>
      <w:divBdr>
        <w:top w:val="none" w:sz="0" w:space="0" w:color="auto"/>
        <w:left w:val="none" w:sz="0" w:space="0" w:color="auto"/>
        <w:bottom w:val="none" w:sz="0" w:space="0" w:color="auto"/>
        <w:right w:val="none" w:sz="0" w:space="0" w:color="auto"/>
      </w:divBdr>
      <w:divsChild>
        <w:div w:id="2026201226">
          <w:marLeft w:val="0"/>
          <w:marRight w:val="0"/>
          <w:marTop w:val="0"/>
          <w:marBottom w:val="0"/>
          <w:divBdr>
            <w:top w:val="none" w:sz="0" w:space="0" w:color="auto"/>
            <w:left w:val="none" w:sz="0" w:space="0" w:color="auto"/>
            <w:bottom w:val="none" w:sz="0" w:space="0" w:color="auto"/>
            <w:right w:val="none" w:sz="0" w:space="0" w:color="auto"/>
          </w:divBdr>
          <w:divsChild>
            <w:div w:id="2063360036">
              <w:marLeft w:val="0"/>
              <w:marRight w:val="0"/>
              <w:marTop w:val="0"/>
              <w:marBottom w:val="0"/>
              <w:divBdr>
                <w:top w:val="none" w:sz="0" w:space="0" w:color="auto"/>
                <w:left w:val="none" w:sz="0" w:space="0" w:color="auto"/>
                <w:bottom w:val="none" w:sz="0" w:space="0" w:color="auto"/>
                <w:right w:val="none" w:sz="0" w:space="0" w:color="auto"/>
              </w:divBdr>
              <w:divsChild>
                <w:div w:id="256838003">
                  <w:marLeft w:val="0"/>
                  <w:marRight w:val="0"/>
                  <w:marTop w:val="0"/>
                  <w:marBottom w:val="0"/>
                  <w:divBdr>
                    <w:top w:val="none" w:sz="0" w:space="0" w:color="auto"/>
                    <w:left w:val="none" w:sz="0" w:space="0" w:color="auto"/>
                    <w:bottom w:val="none" w:sz="0" w:space="0" w:color="auto"/>
                    <w:right w:val="none" w:sz="0" w:space="0" w:color="auto"/>
                  </w:divBdr>
                  <w:divsChild>
                    <w:div w:id="12727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158889">
      <w:bodyDiv w:val="1"/>
      <w:marLeft w:val="0"/>
      <w:marRight w:val="0"/>
      <w:marTop w:val="0"/>
      <w:marBottom w:val="0"/>
      <w:divBdr>
        <w:top w:val="none" w:sz="0" w:space="0" w:color="auto"/>
        <w:left w:val="none" w:sz="0" w:space="0" w:color="auto"/>
        <w:bottom w:val="none" w:sz="0" w:space="0" w:color="auto"/>
        <w:right w:val="none" w:sz="0" w:space="0" w:color="auto"/>
      </w:divBdr>
    </w:div>
    <w:div w:id="1659188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transparency/regdoc/rep/1/2016/SK/1-2016-501-SK-F1-1.PDF" TargetMode="External"/><Relationship Id="rId2" Type="http://schemas.openxmlformats.org/officeDocument/2006/relationships/hyperlink" Target="http://ec.europa.eu/energy/sites/ener/files/documents/sec_2011_1565_part1.pdf" TargetMode="External"/><Relationship Id="rId1" Type="http://schemas.openxmlformats.org/officeDocument/2006/relationships/hyperlink" Target="http://susproc.jrc.ec.europa.eu/Efficient_Building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3B77A-6DF4-461B-83DC-59C20170C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39</TotalTime>
  <Pages>5</Pages>
  <Words>1256</Words>
  <Characters>8495</Characters>
  <Application>Microsoft Office Word</Application>
  <DocSecurity>0</DocSecurity>
  <PresentationFormat>Microsoft Word 14.0</PresentationFormat>
  <Lines>113</Lines>
  <Paragraphs>20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Philippe.TULKENS@ec.europa.eu</dc:creator>
  <cp:keywords>EL4</cp:keywords>
  <cp:lastModifiedBy>DIGIT/A3</cp:lastModifiedBy>
  <cp:revision>14</cp:revision>
  <cp:lastPrinted>2016-11-23T14:17:00Z</cp:lastPrinted>
  <dcterms:created xsi:type="dcterms:W3CDTF">2016-11-25T08:53:00Z</dcterms:created>
  <dcterms:modified xsi:type="dcterms:W3CDTF">2016-12-21T19:30:00Z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4.6.5.0000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rep.dot</vt:lpwstr>
  </property>
  <property fmtid="{D5CDD505-2E9C-101B-9397-08002B2CF9AE}" pid="6" name="Created using">
    <vt:lpwstr>EL 4.6 Build 50000</vt:lpwstr>
  </property>
  <property fmtid="{D5CDD505-2E9C-101B-9397-08002B2CF9AE}" pid="7" name="Formatting">
    <vt:lpwstr>4.1</vt:lpwstr>
  </property>
  <property fmtid="{D5CDD505-2E9C-101B-9397-08002B2CF9AE}" pid="8" name="Last edited using">
    <vt:lpwstr>EL </vt:lpwstr>
  </property>
  <property fmtid="{D5CDD505-2E9C-101B-9397-08002B2CF9AE}" pid="9" name="EL_Author">
    <vt:lpwstr>Robert-Jan SMITS</vt:lpwstr>
  </property>
  <property fmtid="{D5CDD505-2E9C-101B-9397-08002B2CF9AE}" pid="10" name="Type">
    <vt:lpwstr>Eurolook Report</vt:lpwstr>
  </property>
  <property fmtid="{D5CDD505-2E9C-101B-9397-08002B2CF9AE}" pid="11" name="Language">
    <vt:lpwstr>EN</vt:lpwstr>
  </property>
  <property fmtid="{D5CDD505-2E9C-101B-9397-08002B2CF9AE}" pid="12" name="EL_Language">
    <vt:lpwstr>EN</vt:lpwstr>
  </property>
  <property fmtid="{D5CDD505-2E9C-101B-9397-08002B2CF9AE}" pid="13" name="Part">
    <vt:lpwstr>1</vt:lpwstr>
  </property>
  <property fmtid="{D5CDD505-2E9C-101B-9397-08002B2CF9AE}" pid="14" name="Total parts">
    <vt:lpwstr>1</vt:lpwstr>
  </property>
  <property fmtid="{D5CDD505-2E9C-101B-9397-08002B2CF9AE}" pid="15" name="Classification">
    <vt:lpwstr> </vt:lpwstr>
  </property>
  <property fmtid="{D5CDD505-2E9C-101B-9397-08002B2CF9AE}" pid="16" name="First annex">
    <vt:lpwstr>1</vt:lpwstr>
  </property>
  <property fmtid="{D5CDD505-2E9C-101B-9397-08002B2CF9AE}" pid="17" name="Last annex">
    <vt:lpwstr>1</vt:lpwstr>
  </property>
  <property fmtid="{D5CDD505-2E9C-101B-9397-08002B2CF9AE}" pid="18" name="DocStatus">
    <vt:lpwstr>Green</vt:lpwstr>
  </property>
</Properties>
</file>