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1EBB8B61F694D5099609E1F43B0979C" style="width:450.8pt;height:320.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numPr>
          <w:ilvl w:val="0"/>
          <w:numId w:val="26"/>
        </w:numPr>
        <w:spacing w:after="240" w:line="240" w:lineRule="auto"/>
        <w:ind w:left="567" w:hanging="425"/>
        <w:jc w:val="both"/>
        <w:rPr>
          <w:rFonts w:ascii="Times New Roman" w:hAnsi="Times New Roman" w:cs="Times New Roman"/>
          <w:b/>
          <w:noProof/>
          <w:sz w:val="24"/>
          <w:szCs w:val="24"/>
        </w:rPr>
      </w:pPr>
      <w:bookmarkStart w:id="1" w:name="_Toc450908463"/>
      <w:bookmarkStart w:id="2" w:name="_GoBack"/>
      <w:bookmarkEnd w:id="2"/>
      <w:r>
        <w:rPr>
          <w:rFonts w:ascii="Times New Roman Bold" w:eastAsiaTheme="majorEastAsia" w:hAnsi="Times New Roman Bold"/>
          <w:b/>
          <w:smallCaps/>
          <w:noProof/>
          <w:spacing w:val="5"/>
          <w:sz w:val="24"/>
        </w:rPr>
        <w:lastRenderedPageBreak/>
        <w:t>INTRODUCERE</w:t>
      </w:r>
    </w:p>
    <w:p>
      <w:pPr>
        <w:spacing w:after="240" w:line="240" w:lineRule="auto"/>
        <w:jc w:val="both"/>
        <w:rPr>
          <w:rFonts w:ascii="Times New Roman" w:hAnsi="Times New Roman" w:cs="Times New Roman"/>
          <w:noProof/>
          <w:sz w:val="24"/>
          <w:szCs w:val="24"/>
        </w:rPr>
      </w:pPr>
      <w:r>
        <w:rPr>
          <w:rFonts w:ascii="Times New Roman" w:hAnsi="Times New Roman"/>
          <w:noProof/>
          <w:sz w:val="24"/>
        </w:rPr>
        <w:t>Problema fraudării documentelor de călătorie, fenomen care ia o amploare din ce în ce mai mare, a fost adusă în centrul atenției în contextul atacurilor teroriste recente din Europa și al fluxurilor de migrație actuale. Fraudarea documentelor a devenit un factor care favorizează terorismul și criminalitatea organizată și este strâns legată de traficul de persoane</w:t>
      </w:r>
      <w:r>
        <w:rPr>
          <w:rStyle w:val="FootnoteReference"/>
          <w:rFonts w:ascii="Times New Roman" w:hAnsi="Times New Roman"/>
          <w:noProof/>
          <w:sz w:val="24"/>
        </w:rPr>
        <w:footnoteReference w:id="1"/>
      </w:r>
      <w:r>
        <w:rPr>
          <w:rFonts w:ascii="Times New Roman" w:hAnsi="Times New Roman"/>
          <w:noProof/>
          <w:sz w:val="24"/>
        </w:rPr>
        <w:t xml:space="preserve"> și de introducerea ilegală de migranți. Este esențial să consolidăm securitatea documentelor de călătorie, inclusiv infrastructura subiacentă de gestionare a identității.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În comunicarea sa intitulată </w:t>
      </w:r>
      <w:r>
        <w:rPr>
          <w:rFonts w:ascii="Times New Roman" w:hAnsi="Times New Roman"/>
          <w:i/>
          <w:noProof/>
          <w:sz w:val="24"/>
        </w:rPr>
        <w:t>Creșterea nivelului de securitate într-o lume a mobilității: îmbunătățirea schimbului de informații în cadrul combaterii terorismului și consolidarea frontierelor externe</w:t>
      </w:r>
      <w:r>
        <w:rPr>
          <w:rStyle w:val="FootnoteReference"/>
          <w:rFonts w:ascii="Times New Roman" w:hAnsi="Times New Roman"/>
          <w:noProof/>
          <w:sz w:val="24"/>
        </w:rPr>
        <w:footnoteReference w:id="2"/>
      </w:r>
      <w:r>
        <w:rPr>
          <w:rFonts w:ascii="Times New Roman" w:hAnsi="Times New Roman"/>
          <w:noProof/>
          <w:sz w:val="24"/>
        </w:rPr>
        <w:t>, Comisia a subliniat faptul că securitatea documentelor de călătorie și de identitate este esențială ori de câte ori este necesar ca identitatea unei persoane să fie stabilită cu certitudine și a anunțat că va prezenta un plan de acțiune pentru combaterea fenomenului fraudării documentelor de călătorie. O abordare îmbunătățită se va baza pe sisteme solide de prevenire a abuzurilor și a amenințărilor la adresa securității interne, generate de deficiențele în materie de securitate a documentelor.</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Cel mai adesea, documentele de călătorie se prezintă sub forma pașapoartelor, dar includ, de asemenea, cărțile de identitate naționale și permisele de ședere pentru resortisanții țărilor terțe (atunci când sunt utilizate în zona fără controale la frontierele interne). Cetățenii UE pot intra și ieși din UE, din spațiul Schengen și din anumite țări terțe cu o carte de identitate națională eliberată de statele membre. Acest lucru înseamnă, de exemplu, că luptătorii teroriști străini pot călători între UE și Turcia doar pe baza cărților lor de identitate naționale.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Documentele de călătorie din UE sunt foarte solicitate în rândul infractorilor care fraudează documente. Cel puțin trei sferturi din documentele frauduloase depistate la frontierele externe, dar și în zonele fără controale la frontierele interne, indicau că ar fi fost eliberate de statele membre ale UE și de țările asociate la spațiul Schengen</w:t>
      </w:r>
      <w:r>
        <w:rPr>
          <w:rStyle w:val="FootnoteReference"/>
          <w:rFonts w:ascii="Times New Roman" w:hAnsi="Times New Roman"/>
          <w:noProof/>
          <w:sz w:val="24"/>
        </w:rPr>
        <w:footnoteReference w:id="3"/>
      </w:r>
      <w:r>
        <w:rPr>
          <w:noProof/>
        </w:rPr>
        <w:t>.</w:t>
      </w:r>
      <w:r>
        <w:rPr>
          <w:rFonts w:ascii="Times New Roman" w:hAnsi="Times New Roman"/>
          <w:noProof/>
          <w:sz w:val="24"/>
        </w:rPr>
        <w:t xml:space="preserve"> Conform unor rapoarte recente ale poliției de frontieră și ale gărzii de coastă la nivel european, cărțile de identitate naționale mai puțin sigure eliberate de statele membre sunt documentele false depistate cel mai frecvent, utilizate pentru călătorii în interiorul spațiului Schengen. „Frauda de asemănare” (atunci când deținătorul unui document pur și simplu seamănă cu titularul real al acestuia) continuă să crească, rămânând totodată tipul de fraudă cel mai frecvent raportat în al doilea trimestru din 2016. Obținerea de documente autentice pe baza unor documente „de origine” false (certificate de naștere, de căsătorie și de deces) rămâne una dintre cele mai mari amenințări, întrucât este foarte greu de depistat.</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acest context, este esențial ca UE și, în special, statele membre să își intensifice eforturile pentru a îmbunătăți securitatea documentelor de călătorie eliberate resortisanților UE și ai țărilor terțe. Securitatea documentelor de călătorie este un factor important pentru o mai bună protecție a frontierelor și pentru o mai bună gestionare a migrației, precum și pentru a deschide calea către o uniune a securității efectivă și autentică</w:t>
      </w:r>
      <w:r>
        <w:rPr>
          <w:rStyle w:val="FootnoteReference"/>
          <w:rFonts w:ascii="Times New Roman" w:hAnsi="Times New Roman"/>
          <w:noProof/>
          <w:sz w:val="24"/>
        </w:rPr>
        <w:footnoteReference w:id="4"/>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Natura fraudării documentelor de călătorie evoluează rapid. Rețelele infracționale implicate în falsificarea și contrafacerea documentelor de călătorie sunt în prezent mai specializate și elaborează în mod constant noi forme de falsificare, cum ar fi manipularea unor dispozitive de combatere a falsificării și utilizarea unor tehnici de eludare a verificărilor biometrice, și noi moduri de operare.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Introducerea unor caracteristici de securitate, a unor metode de producere și a unor sisteme de verificare a documentelor mai sofisticate îngreunează falsificarea sau contrafacerea documentelor de identitate și de călătorie. Însă, ca răspuns la aceste măsuri, infractorii care fraudează documente evoluează tot mai mult de la frauda „tradițională” – care se axează pe documentul fizic, de exemplu prin modificarea datei de valabilitate a unui pașaport (falsificare) sau prin producerea unui document complet fals (contrafacere) – la alte tipuri de fraudare a documentelor, cum ar fi frauda de asemănare. De asemenea, acești infractori vizează și alte tipuri de documente, cum ar fi documentele „de origine”, utilizate ca acte justificative pentru cererile de documente de călătorie autentice.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Conform raportului pentru 2016 elaborat de poliția de frontieră și garda de coastă la nivel european</w:t>
      </w:r>
      <w:r>
        <w:rPr>
          <w:rStyle w:val="FootnoteReference"/>
          <w:rFonts w:ascii="Times New Roman" w:hAnsi="Times New Roman"/>
          <w:noProof/>
          <w:sz w:val="24"/>
        </w:rPr>
        <w:footnoteReference w:id="5"/>
      </w:r>
      <w:r>
        <w:rPr>
          <w:rFonts w:ascii="Times New Roman" w:hAnsi="Times New Roman"/>
          <w:noProof/>
          <w:sz w:val="24"/>
        </w:rPr>
        <w:t xml:space="preserve">, numărul fraudelor prin impostură și al cazurilor de obținere frauduloasă a unor documente autentice a crescut cu 4 % și, respectiv, cu 76 % între primul trimestru din 2015 și primul trimestru din 2016, în timp ce numărul fraudelor cu documente contrafăcute a scăzut  (-8 %). </w:t>
      </w:r>
    </w:p>
    <w:p>
      <w:pPr>
        <w:spacing w:after="240" w:line="240" w:lineRule="auto"/>
        <w:jc w:val="both"/>
        <w:rPr>
          <w:rFonts w:ascii="Times New Roman" w:hAnsi="Times New Roman" w:cs="Times New Roman"/>
          <w:noProof/>
          <w:sz w:val="24"/>
          <w:szCs w:val="24"/>
        </w:rPr>
      </w:pPr>
      <w:r>
        <w:rPr>
          <w:rFonts w:ascii="Times New Roman" w:hAnsi="Times New Roman"/>
          <w:noProof/>
          <w:sz w:val="24"/>
        </w:rPr>
        <w:t>Prezenta comunicare stabilește un plan de acțiune pentru a îmbunătăți securitatea documentelor de călătorie. Standardele de securitate pentru documentele de călătorie și cerințele în materie de control la frontiere</w:t>
      </w:r>
      <w:r>
        <w:rPr>
          <w:rStyle w:val="FootnoteReference"/>
          <w:rFonts w:ascii="Times New Roman" w:hAnsi="Times New Roman"/>
          <w:noProof/>
          <w:sz w:val="24"/>
        </w:rPr>
        <w:footnoteReference w:id="6"/>
      </w:r>
      <w:r>
        <w:rPr>
          <w:rFonts w:ascii="Times New Roman" w:hAnsi="Times New Roman"/>
          <w:noProof/>
          <w:sz w:val="24"/>
        </w:rPr>
        <w:t xml:space="preserve"> sunt stabilite la nivelul UE, însă statele membre răspund în totalitate de documentele de origine, precum și de producerea efectivă și de eliberarea documentelor de călătorie. Planul de acțiune stabilește măsurile pe care Comisia le va lua și formulează recomandări referitoare la acțiunile pe care statele membre ar trebui să le întreprindă în cadrul politicilor naționale privind toate aspectele securității documentelor de călătorie.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Comisia și statele membre trebuie să se asigure că drepturile fundamentale, în special dreptul la protecția datelor cu caracter personal, vor fi garantate în cadrul tuturor măsurilor menționate în prezentul plan de acțiune.</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calitate de gardian al tratatelor, Comisia va continua să monitorizeze punerea corectă în aplicare a dreptului UE și își va utiliza competențele pentru a asigura punerea în aplicare corectă a acestuia, atunci când este adecvat și necesar.</w:t>
      </w:r>
    </w:p>
    <w:p>
      <w:pPr>
        <w:spacing w:after="240" w:line="240" w:lineRule="auto"/>
        <w:ind w:left="567" w:hanging="567"/>
        <w:contextualSpacing/>
        <w:jc w:val="both"/>
        <w:rPr>
          <w:rFonts w:ascii="Times New Roman" w:hAnsi="Times New Roman" w:cs="Times New Roman"/>
          <w:noProof/>
          <w:sz w:val="24"/>
          <w:szCs w:val="24"/>
        </w:rPr>
      </w:pPr>
      <w:bookmarkStart w:id="3" w:name="_Toc450908472"/>
      <w:bookmarkEnd w:id="1"/>
      <w:r>
        <w:rPr>
          <w:rFonts w:ascii="Times New Roman Bold" w:eastAsiaTheme="majorEastAsia" w:hAnsi="Times New Roman Bold"/>
          <w:b/>
          <w:smallCaps/>
          <w:noProof/>
          <w:spacing w:val="5"/>
          <w:sz w:val="24"/>
        </w:rPr>
        <w:t>II.</w:t>
      </w:r>
      <w:r>
        <w:rPr>
          <w:noProof/>
        </w:rPr>
        <w:tab/>
      </w:r>
      <w:bookmarkEnd w:id="3"/>
      <w:r>
        <w:rPr>
          <w:rFonts w:ascii="Times New Roman Bold" w:eastAsiaTheme="majorEastAsia" w:hAnsi="Times New Roman Bold"/>
          <w:b/>
          <w:smallCaps/>
          <w:noProof/>
          <w:spacing w:val="5"/>
          <w:sz w:val="24"/>
        </w:rPr>
        <w:t>PLAN DE ACȚIUNE</w:t>
      </w:r>
    </w:p>
    <w:p>
      <w:pPr>
        <w:pStyle w:val="ListParagraph"/>
        <w:spacing w:after="240" w:line="240" w:lineRule="auto"/>
        <w:ind w:left="567" w:hanging="567"/>
        <w:jc w:val="both"/>
        <w:rPr>
          <w:rFonts w:ascii="Times New Roman" w:hAnsi="Times New Roman" w:cs="Times New Roman"/>
          <w:b/>
          <w:i/>
          <w:noProof/>
          <w:sz w:val="24"/>
          <w:szCs w:val="24"/>
        </w:rPr>
      </w:pPr>
      <w:r>
        <w:rPr>
          <w:rFonts w:ascii="Times New Roman" w:hAnsi="Times New Roman"/>
          <w:b/>
          <w:noProof/>
          <w:sz w:val="24"/>
        </w:rPr>
        <w:t xml:space="preserve">1. </w:t>
      </w:r>
      <w:bookmarkStart w:id="4" w:name="_Toc449427125"/>
      <w:bookmarkStart w:id="5" w:name="_Toc450908474"/>
      <w:r>
        <w:rPr>
          <w:noProof/>
        </w:rPr>
        <w:tab/>
      </w:r>
      <w:r>
        <w:rPr>
          <w:rFonts w:ascii="Times New Roman" w:hAnsi="Times New Roman"/>
          <w:b/>
          <w:noProof/>
          <w:sz w:val="24"/>
        </w:rPr>
        <w:t>Înregistrarea identității</w:t>
      </w:r>
    </w:p>
    <w:p>
      <w:pPr>
        <w:spacing w:after="240" w:line="240" w:lineRule="auto"/>
        <w:jc w:val="both"/>
        <w:rPr>
          <w:rFonts w:ascii="Times New Roman" w:hAnsi="Times New Roman" w:cs="Times New Roman"/>
          <w:noProof/>
          <w:sz w:val="24"/>
          <w:szCs w:val="24"/>
        </w:rPr>
      </w:pPr>
      <w:r>
        <w:rPr>
          <w:rFonts w:ascii="Times New Roman" w:hAnsi="Times New Roman"/>
          <w:noProof/>
          <w:sz w:val="24"/>
        </w:rPr>
        <w:t>Documentele autentice eliberate pe baza unei identități false sunt foarte greu de depistat la trecerea frontierei sau pe teritoriul unui stat membru. Identitatea persoanelor ar trebui stabilită și „documentele de origine”</w:t>
      </w:r>
      <w:r>
        <w:rPr>
          <w:rStyle w:val="FootnoteReference"/>
          <w:rFonts w:ascii="Times New Roman" w:hAnsi="Times New Roman"/>
          <w:noProof/>
          <w:sz w:val="24"/>
        </w:rPr>
        <w:footnoteReference w:id="7"/>
      </w:r>
      <w:r>
        <w:rPr>
          <w:rFonts w:ascii="Times New Roman" w:hAnsi="Times New Roman"/>
          <w:noProof/>
          <w:sz w:val="24"/>
        </w:rPr>
        <w:t xml:space="preserve"> ar trebui eliberate pe baza registrelor de evidență a populației, care conțin date istorice, sociale și geografice relevante actualizate. Țările care dețin un registru biometric de evidență a populației sau o bază de date privind documentele de călătorie biometrice pot verifica identitatea unei persoane de fiecare dată când aceasta solicită un nou document de călătorie, astfel încât o persoană nu poate solicita un document autentic utilizând un document de origine fals.</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Deși poate fi legal ca o persoană să își schimbe numele, este necesar să se acorde o atenție specială acestui proces și procedurile trebuie să fie stricte. În cazul în care adulții se înregistrează sau solicită un pașaport pentru prima dată (de exemplu, în urma naturalizării) și nu sunt disponibile date de înregistrare fiabile, autoritățile responsabile ar trebui să efectueze interviuri față în față și, după caz, să solicite dovezi suplimentare cu privire la faptul că persoana respectivă utilizează în mod real identitatea pretinsă, de exemplu pe baza listelor electorale, a evidențelor de asigurări sociale etc. </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plus, documentele de origine ar trebui să aibă un nivel minim de securitate pentru prevenirea falsificării. UE a contribuit cu o sumă totală de 16 milioane EUR la inițiative în materie de cercetare și dezvoltare</w:t>
      </w:r>
      <w:r>
        <w:rPr>
          <w:rFonts w:ascii="Times New Roman" w:hAnsi="Times New Roman"/>
          <w:noProof/>
          <w:sz w:val="24"/>
          <w:vertAlign w:val="superscript"/>
        </w:rPr>
        <w:footnoteReference w:id="8"/>
      </w:r>
      <w:r>
        <w:rPr>
          <w:rFonts w:ascii="Times New Roman" w:hAnsi="Times New Roman"/>
          <w:noProof/>
          <w:sz w:val="24"/>
        </w:rPr>
        <w:t>, pentru a asigura documente de origine mai sigure. Viitoarele programe de lucru Orizont 2020 privind societățile sigure pentru perioada 2018</w:t>
      </w:r>
      <w:r>
        <w:rPr>
          <w:rFonts w:ascii="Times New Roman" w:hAnsi="Times New Roman" w:cs="Times New Roman"/>
          <w:noProof/>
          <w:sz w:val="24"/>
        </w:rPr>
        <w:t>­</w:t>
      </w:r>
      <w:r>
        <w:rPr>
          <w:rFonts w:ascii="Times New Roman" w:hAnsi="Times New Roman"/>
          <w:noProof/>
          <w:sz w:val="24"/>
        </w:rPr>
        <w:t>2020 vor sprijini activitățile de cercetare și dezvoltare (C&amp;D) referitoare la securitatea documentelor.</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afara granițelor UE se derulează proiecte în contextul noului parteneriat-cadru bazat pe Agenda europeană privind migrația care vizează dezvoltarea unor baze de date de înregistrare biometrice în principalele țări terțe partenere, în măsură să asigure buna funcționare a registrelor de stare civilă și digitalizarea amprentelor digitale sau digitalizarea biometrică.</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Europol a finanțat elaborarea unui manual privind depistarea documentelor de origine false. Acesta conține exemple și scurte descrieri ale documentelor de identitate și de origine europene, însă nu este atât de utilizat pe cât ar trebui.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Identificarea electronică și serviciile de încredere pentru tranzacțiile electronice</w:t>
      </w:r>
      <w:r>
        <w:rPr>
          <w:rFonts w:ascii="Times New Roman" w:hAnsi="Times New Roman"/>
          <w:noProof/>
          <w:sz w:val="24"/>
          <w:vertAlign w:val="superscript"/>
        </w:rPr>
        <w:footnoteReference w:id="9"/>
      </w:r>
      <w:r>
        <w:rPr>
          <w:rFonts w:ascii="Times New Roman" w:hAnsi="Times New Roman"/>
          <w:noProof/>
          <w:sz w:val="24"/>
        </w:rPr>
        <w:t xml:space="preserve"> pot contribui, de asemenea, la depistarea documentelor false și pot consolida securitatea documentelor electronice prin furnizarea de dovezi ale identității și prin prevenirea fraudării identității prin intermediul validării online reciproce a datelor de identitate. De asemenea, acestea ar contribui la facilitarea introducerii în condiții de siguranță a cererilor online de reînnoire a documentelor de călătorie.</w:t>
      </w:r>
    </w:p>
    <w:p>
      <w:pPr>
        <w:spacing w:after="240" w:line="240" w:lineRule="auto"/>
        <w:jc w:val="both"/>
        <w:rPr>
          <w:rFonts w:ascii="Times New Roman" w:hAnsi="Times New Roman" w:cs="Times New Roman"/>
          <w:noProof/>
          <w:sz w:val="24"/>
          <w:szCs w:val="24"/>
        </w:rPr>
      </w:pPr>
      <w:r>
        <w:rPr>
          <w:rFonts w:ascii="Times New Roman" w:hAnsi="Times New Roman"/>
          <w:noProof/>
          <w:sz w:val="24"/>
        </w:rPr>
        <w:t>Un regulament adoptat recent, care simplifică circulația documentelor oficiale în Uniune</w:t>
      </w:r>
      <w:r>
        <w:rPr>
          <w:rFonts w:ascii="Times New Roman" w:hAnsi="Times New Roman"/>
          <w:noProof/>
          <w:sz w:val="24"/>
          <w:vertAlign w:val="superscript"/>
        </w:rPr>
        <w:footnoteReference w:id="10"/>
      </w:r>
      <w:r>
        <w:rPr>
          <w:rFonts w:ascii="Times New Roman" w:hAnsi="Times New Roman"/>
          <w:noProof/>
          <w:sz w:val="24"/>
        </w:rPr>
        <w:t>, stabilește că certificatele de naștere și de căsătorie eliberate într-un stat membru pot fi acceptate ca fiind autentice într-un alt stat membru fără o ștampilă de autentificare. Acest fapt consolidează combaterea fraudei prin introducerea unei cooperări administrative în cadrul căreia statele membre comunică între ele prin intermediul Sistemului de informare al pieței interne (IMI), în cazul în care există îndoieli cu privire la autenticitatea unui document oficial, de exemplu pentru a verifica autenticitatea documentelor de origine.</w:t>
      </w:r>
    </w:p>
    <w:tbl>
      <w:tblPr>
        <w:tblStyle w:val="TableGrid"/>
        <w:tblW w:w="0" w:type="auto"/>
        <w:tblInd w:w="108" w:type="dxa"/>
        <w:tblLook w:val="04A0" w:firstRow="1" w:lastRow="0" w:firstColumn="1" w:lastColumn="0" w:noHBand="0" w:noVBand="1"/>
      </w:tblPr>
      <w:tblGrid>
        <w:gridCol w:w="9072"/>
      </w:tblGrid>
      <w:tr>
        <w:tc>
          <w:tcPr>
            <w:tcW w:w="9072" w:type="dxa"/>
            <w:tcBorders>
              <w:bottom w:val="single" w:sz="24" w:space="0" w:color="808080" w:themeColor="background1" w:themeShade="80"/>
            </w:tcBorders>
            <w:shd w:val="clear" w:color="auto" w:fill="F2F2F2" w:themeFill="background1" w:themeFillShade="F2"/>
            <w:vAlign w:val="center"/>
          </w:tcPr>
          <w:p>
            <w:pPr>
              <w:spacing w:before="120" w:after="120"/>
              <w:jc w:val="center"/>
              <w:rPr>
                <w:rFonts w:ascii="Times New Roman" w:hAnsi="Times New Roman" w:cs="Times New Roman"/>
                <w:noProof/>
                <w:sz w:val="24"/>
                <w:szCs w:val="24"/>
              </w:rPr>
            </w:pPr>
            <w:r>
              <w:rPr>
                <w:rFonts w:ascii="Times New Roman" w:hAnsi="Times New Roman"/>
                <w:noProof/>
                <w:sz w:val="24"/>
              </w:rPr>
              <w:t>Acțiuni specifice</w:t>
            </w:r>
          </w:p>
        </w:tc>
      </w:tr>
      <w:tr>
        <w:tc>
          <w:tcPr>
            <w:tcW w:w="9072" w:type="dxa"/>
            <w:tcBorders>
              <w:top w:val="single" w:sz="24" w:space="0" w:color="808080" w:themeColor="background1" w:themeShade="80"/>
            </w:tcBorders>
            <w:shd w:val="clear" w:color="auto" w:fill="D9D9D9" w:themeFill="background1" w:themeFillShade="D9"/>
            <w:vAlign w:val="center"/>
          </w:tcPr>
          <w:p>
            <w:pPr>
              <w:spacing w:after="120" w:line="276" w:lineRule="auto"/>
              <w:jc w:val="both"/>
              <w:rPr>
                <w:rFonts w:ascii="Times New Roman" w:hAnsi="Times New Roman" w:cs="Times New Roman"/>
                <w:i/>
                <w:noProof/>
                <w:sz w:val="24"/>
                <w:szCs w:val="24"/>
              </w:rPr>
            </w:pPr>
            <w:r>
              <w:rPr>
                <w:rFonts w:ascii="Times New Roman" w:hAnsi="Times New Roman"/>
                <w:i/>
                <w:noProof/>
                <w:sz w:val="24"/>
              </w:rPr>
              <w:t>Statele membre ar trebui:</w:t>
            </w:r>
          </w:p>
          <w:p>
            <w:pPr>
              <w:keepNext/>
              <w:keepLines/>
              <w:numPr>
                <w:ilvl w:val="0"/>
                <w:numId w:val="14"/>
              </w:numPr>
              <w:spacing w:after="120" w:line="276" w:lineRule="auto"/>
              <w:ind w:left="714" w:hanging="357"/>
              <w:jc w:val="both"/>
              <w:outlineLvl w:val="8"/>
              <w:rPr>
                <w:rFonts w:ascii="Times New Roman" w:hAnsi="Times New Roman" w:cs="Times New Roman"/>
                <w:noProof/>
                <w:sz w:val="24"/>
                <w:szCs w:val="24"/>
              </w:rPr>
            </w:pPr>
            <w:r>
              <w:rPr>
                <w:rFonts w:ascii="Times New Roman" w:hAnsi="Times New Roman"/>
                <w:noProof/>
                <w:sz w:val="24"/>
              </w:rPr>
              <w:t xml:space="preserve">să aibă în vedere stabilirea celei mai bune modalități de a evita eliberarea unor documente autentice pe baza unor identități false, de exemplu prin întărirea procedurilor pentru cazurile de înregistrare a identității/introducere pentru prima dată a unei cereri la vârstă adultă sau de schimbare a numelui; </w:t>
            </w:r>
          </w:p>
          <w:p>
            <w:pPr>
              <w:numPr>
                <w:ilvl w:val="0"/>
                <w:numId w:val="14"/>
              </w:numPr>
              <w:spacing w:after="120"/>
              <w:ind w:left="714" w:hanging="357"/>
              <w:jc w:val="both"/>
              <w:rPr>
                <w:rFonts w:ascii="Times New Roman" w:hAnsi="Times New Roman"/>
                <w:noProof/>
                <w:sz w:val="24"/>
              </w:rPr>
            </w:pPr>
            <w:r>
              <w:rPr>
                <w:rFonts w:ascii="Times New Roman" w:hAnsi="Times New Roman"/>
                <w:noProof/>
                <w:sz w:val="24"/>
              </w:rPr>
              <w:t xml:space="preserve">să analizeze ce se poate face pentru ca documentele lor de origine să fie mai greu de fraudat, de exemplu prin adăugarea unor elemente de securitate; </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să asigure distribuirea la scară largă a manualului Europol privind documentele de origine către toate autoritățile care eliberează documente și să promoveze utilizarea continuă a acestuia și</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să pună în aplicare rapid Regulamentul privind promovarea liberei circulații a cetățenilor prin simplificarea cerințelor de prezentare a anumitor documente oficiale în UE și să valorifice potențialul acestuia de a consolida securitatea documentelor oficiale prin utilizarea Sistemului de informare al pieței interne.</w:t>
            </w:r>
          </w:p>
          <w:p>
            <w:pPr>
              <w:spacing w:after="120" w:line="276" w:lineRule="auto"/>
              <w:jc w:val="both"/>
              <w:rPr>
                <w:rFonts w:ascii="Times New Roman" w:hAnsi="Times New Roman" w:cs="Times New Roman"/>
                <w:i/>
                <w:noProof/>
                <w:sz w:val="24"/>
                <w:szCs w:val="24"/>
              </w:rPr>
            </w:pPr>
            <w:r>
              <w:rPr>
                <w:rFonts w:ascii="Times New Roman" w:hAnsi="Times New Roman"/>
                <w:i/>
                <w:noProof/>
                <w:sz w:val="24"/>
              </w:rPr>
              <w:t xml:space="preserve">Comisia: </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color w:val="000000" w:themeColor="text1"/>
                <w:sz w:val="24"/>
              </w:rPr>
              <w:t>va analiza situația actuală din statele membre și va facilita discuțiile privind elementele biometrice de identificare (imagine facială și/sau amprente digitale) în registrele de evidență a populației, cu respectarea deplină a legislației UE privind protecția datelor și ținând seama de</w:t>
            </w:r>
            <w:r>
              <w:rPr>
                <w:rFonts w:ascii="Times New Roman" w:hAnsi="Times New Roman"/>
                <w:noProof/>
                <w:sz w:val="24"/>
              </w:rPr>
              <w:t xml:space="preserve"> contextul național din statele membre</w:t>
            </w:r>
            <w:r>
              <w:rPr>
                <w:rFonts w:ascii="Times New Roman" w:hAnsi="Times New Roman"/>
                <w:noProof/>
                <w:color w:val="000000" w:themeColor="text1"/>
                <w:sz w:val="24"/>
              </w:rPr>
              <w:t>;</w:t>
            </w:r>
          </w:p>
          <w:p>
            <w:pPr>
              <w:numPr>
                <w:ilvl w:val="0"/>
                <w:numId w:val="14"/>
              </w:numPr>
              <w:spacing w:after="120"/>
              <w:jc w:val="both"/>
              <w:rPr>
                <w:rFonts w:ascii="Times New Roman" w:hAnsi="Times New Roman" w:cs="Times New Roman"/>
                <w:noProof/>
                <w:sz w:val="24"/>
                <w:szCs w:val="24"/>
              </w:rPr>
            </w:pPr>
            <w:r>
              <w:rPr>
                <w:rFonts w:ascii="Times New Roman" w:hAnsi="Times New Roman"/>
                <w:noProof/>
                <w:color w:val="000000" w:themeColor="text1"/>
                <w:sz w:val="24"/>
              </w:rPr>
              <w:t>va facilita discuțiile cu privire la ceea ce se poate face pentru ca documentele de origine să devină mai sigure, începând din al doilea trimestru din 2017;</w:t>
            </w:r>
          </w:p>
          <w:p>
            <w:pPr>
              <w:numPr>
                <w:ilvl w:val="0"/>
                <w:numId w:val="14"/>
              </w:numPr>
              <w:spacing w:after="120"/>
              <w:jc w:val="both"/>
              <w:rPr>
                <w:rFonts w:ascii="Times New Roman" w:hAnsi="Times New Roman" w:cs="Times New Roman"/>
                <w:noProof/>
                <w:sz w:val="24"/>
                <w:szCs w:val="24"/>
              </w:rPr>
            </w:pPr>
            <w:r>
              <w:rPr>
                <w:rFonts w:ascii="Times New Roman" w:hAnsi="Times New Roman"/>
                <w:noProof/>
                <w:sz w:val="24"/>
              </w:rPr>
              <w:t>va colabora cu principalele țări terțe partenere pentru a promova și a sprijini introducerea elementelor biometrice de identificare în registrele acestora de evidență a populației;</w:t>
            </w:r>
          </w:p>
          <w:p>
            <w:pPr>
              <w:numPr>
                <w:ilvl w:val="0"/>
                <w:numId w:val="14"/>
              </w:numPr>
              <w:spacing w:after="120"/>
              <w:jc w:val="both"/>
              <w:rPr>
                <w:rFonts w:ascii="Times New Roman" w:hAnsi="Times New Roman" w:cs="Times New Roman"/>
                <w:noProof/>
                <w:sz w:val="24"/>
                <w:szCs w:val="24"/>
              </w:rPr>
            </w:pPr>
            <w:r>
              <w:rPr>
                <w:rFonts w:ascii="Times New Roman" w:hAnsi="Times New Roman"/>
                <w:noProof/>
                <w:color w:val="000000" w:themeColor="text1"/>
                <w:sz w:val="24"/>
              </w:rPr>
              <w:t>va consolida activitățile de C&amp;D în domeniul documentelor de origine și al verificării documentelor, inclusiv evaluarea tehnologiilor mobile, în cadrul programului Orizont 2020 privind societățile sigure</w:t>
            </w:r>
            <w:r>
              <w:rPr>
                <w:rFonts w:ascii="Times New Roman" w:hAnsi="Times New Roman"/>
                <w:noProof/>
                <w:sz w:val="24"/>
              </w:rPr>
              <w:t xml:space="preserve"> pentru perioada 2018-2020 și</w:t>
            </w:r>
          </w:p>
          <w:p>
            <w:pPr>
              <w:keepNext/>
              <w:keepLines/>
              <w:numPr>
                <w:ilvl w:val="0"/>
                <w:numId w:val="14"/>
              </w:numPr>
              <w:spacing w:after="120" w:line="276" w:lineRule="auto"/>
              <w:jc w:val="both"/>
              <w:outlineLvl w:val="8"/>
              <w:rPr>
                <w:rFonts w:ascii="Times New Roman" w:hAnsi="Times New Roman" w:cs="Times New Roman"/>
                <w:bCs/>
                <w:noProof/>
                <w:sz w:val="24"/>
                <w:szCs w:val="24"/>
              </w:rPr>
            </w:pPr>
            <w:r>
              <w:rPr>
                <w:rFonts w:ascii="Times New Roman" w:hAnsi="Times New Roman"/>
                <w:noProof/>
                <w:sz w:val="24"/>
              </w:rPr>
              <w:t>va monitoriza punerea în aplicare a Regulamentului privind promovarea liberei circulații a cetățenilor prin simplificarea cerințelor de prezentare a anumitor documente oficiale și va evalua potențialul acestuia pentru a spori și mai mult securitatea documentelor oficiale electronice.</w:t>
            </w:r>
          </w:p>
        </w:tc>
      </w:tr>
    </w:tbl>
    <w:p>
      <w:pPr>
        <w:spacing w:after="120" w:line="240" w:lineRule="auto"/>
        <w:jc w:val="both"/>
        <w:rPr>
          <w:rFonts w:ascii="Times New Roman" w:hAnsi="Times New Roman" w:cs="Times New Roman"/>
          <w:noProof/>
          <w:sz w:val="24"/>
          <w:szCs w:val="24"/>
        </w:rPr>
      </w:pPr>
      <w:bookmarkStart w:id="6" w:name="_Toc449427126"/>
    </w:p>
    <w:p>
      <w:pPr>
        <w:pStyle w:val="ListParagraph"/>
        <w:spacing w:after="240" w:line="240" w:lineRule="auto"/>
        <w:ind w:left="567" w:hanging="567"/>
        <w:jc w:val="both"/>
        <w:rPr>
          <w:rFonts w:ascii="Times New Roman" w:hAnsi="Times New Roman" w:cs="Times New Roman"/>
          <w:b/>
          <w:noProof/>
          <w:sz w:val="24"/>
          <w:szCs w:val="24"/>
        </w:rPr>
      </w:pPr>
      <w:bookmarkStart w:id="7" w:name="_Toc450908476"/>
      <w:bookmarkEnd w:id="6"/>
      <w:r>
        <w:rPr>
          <w:rFonts w:ascii="Times New Roman" w:hAnsi="Times New Roman"/>
          <w:b/>
          <w:noProof/>
          <w:sz w:val="24"/>
        </w:rPr>
        <w:t xml:space="preserve">2. </w:t>
      </w:r>
      <w:r>
        <w:rPr>
          <w:noProof/>
        </w:rPr>
        <w:tab/>
      </w:r>
      <w:r>
        <w:rPr>
          <w:rFonts w:ascii="Times New Roman" w:hAnsi="Times New Roman"/>
          <w:b/>
          <w:noProof/>
          <w:sz w:val="24"/>
        </w:rPr>
        <w:t>Eliberarea</w:t>
      </w:r>
      <w:bookmarkEnd w:id="7"/>
      <w:r>
        <w:rPr>
          <w:rFonts w:ascii="Times New Roman" w:hAnsi="Times New Roman"/>
          <w:b/>
          <w:noProof/>
          <w:sz w:val="24"/>
        </w:rPr>
        <w:t xml:space="preserve"> documentelor</w:t>
      </w:r>
    </w:p>
    <w:p>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rPr>
        <w:t>În cadrul reuniunii Consiliului din decembrie 2005, toate statele membre ale UE au adoptat concluzii</w:t>
      </w:r>
      <w:r>
        <w:rPr>
          <w:rFonts w:ascii="Times New Roman" w:hAnsi="Times New Roman"/>
          <w:noProof/>
          <w:sz w:val="24"/>
          <w:vertAlign w:val="superscript"/>
        </w:rPr>
        <w:footnoteReference w:id="11"/>
      </w:r>
      <w:r>
        <w:rPr>
          <w:rFonts w:ascii="Times New Roman" w:hAnsi="Times New Roman"/>
          <w:noProof/>
          <w:sz w:val="24"/>
        </w:rPr>
        <w:t xml:space="preserve"> referitoare la standardele minime privind securitatea proceselor de eliberare a cărților de identitate ale statelor membre, care au fost urmate în 2006 de o rezoluție</w:t>
      </w:r>
      <w:r>
        <w:rPr>
          <w:rStyle w:val="FootnoteReference"/>
          <w:rFonts w:ascii="Times New Roman" w:hAnsi="Times New Roman"/>
          <w:noProof/>
          <w:sz w:val="24"/>
        </w:rPr>
        <w:footnoteReference w:id="12"/>
      </w:r>
      <w:r>
        <w:rPr>
          <w:rFonts w:ascii="Times New Roman" w:hAnsi="Times New Roman"/>
          <w:noProof/>
          <w:sz w:val="24"/>
        </w:rPr>
        <w:t xml:space="preserve">. Recomandările vizează eliberarea cărților de identitate care urmează a fi utilizate ca documente de călătorie, dar sunt relevante pentru toate documentele de călătorie. Totuși, unele dintre acestea (de exemplu cerința ca solicitanții să prezinte cererea personal și monitorizarea întregului proces de eliberare) încă nu sunt puse în aplicare pe deplin. </w:t>
      </w:r>
    </w:p>
    <w:p>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rPr>
        <w:t>Este important ca statele membre să facă schimb de bune practici atât în ceea ce privește înregistrarea elementelor biometrice de identificare, cât și în ceea ce privește procedurile de acordare și de eliberare a documentelor pentru asigurarea unei coerențe sporite între practicile naționale. Comisia va facilita acest proces prin organizarea de ateliere și de reuniuni ad-hoc.</w:t>
      </w:r>
    </w:p>
    <w:p>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rPr>
        <w:t>Este cunoscut faptul că procesele de eliberare descentralizate facilitează furtul și reutilizarea documentelor în alb de către infractorii care fraudează documente. Centralizarea și monitorizarea/auditarea proceselor de eliberare și de personalizare (completarea documentelor în alb) previn circulația documentelor furate (în special a celor în alb).</w:t>
      </w:r>
    </w:p>
    <w:tbl>
      <w:tblPr>
        <w:tblStyle w:val="TableGrid"/>
        <w:tblW w:w="0" w:type="auto"/>
        <w:tblInd w:w="108" w:type="dxa"/>
        <w:tblLook w:val="04A0" w:firstRow="1" w:lastRow="0" w:firstColumn="1" w:lastColumn="0" w:noHBand="0" w:noVBand="1"/>
      </w:tblPr>
      <w:tblGrid>
        <w:gridCol w:w="9072"/>
      </w:tblGrid>
      <w:tr>
        <w:tc>
          <w:tcPr>
            <w:tcW w:w="9072" w:type="dxa"/>
            <w:tcBorders>
              <w:bottom w:val="single" w:sz="24" w:space="0" w:color="808080" w:themeColor="background1" w:themeShade="80"/>
            </w:tcBorders>
            <w:shd w:val="clear" w:color="auto" w:fill="F2F2F2" w:themeFill="background1" w:themeFillShade="F2"/>
            <w:vAlign w:val="center"/>
          </w:tcPr>
          <w:p>
            <w:pPr>
              <w:spacing w:before="120" w:after="120"/>
              <w:jc w:val="center"/>
              <w:rPr>
                <w:rFonts w:ascii="Times New Roman" w:hAnsi="Times New Roman" w:cs="Times New Roman"/>
                <w:noProof/>
                <w:sz w:val="24"/>
                <w:szCs w:val="24"/>
              </w:rPr>
            </w:pPr>
            <w:r>
              <w:rPr>
                <w:rFonts w:ascii="Times New Roman" w:hAnsi="Times New Roman"/>
                <w:noProof/>
                <w:sz w:val="24"/>
              </w:rPr>
              <w:t xml:space="preserve">Acțiuni specifice </w:t>
            </w:r>
          </w:p>
        </w:tc>
      </w:tr>
      <w:tr>
        <w:tc>
          <w:tcPr>
            <w:tcW w:w="9072" w:type="dxa"/>
            <w:tcBorders>
              <w:top w:val="single" w:sz="24" w:space="0" w:color="808080" w:themeColor="background1" w:themeShade="80"/>
            </w:tcBorders>
            <w:shd w:val="clear" w:color="auto" w:fill="D9D9D9" w:themeFill="background1" w:themeFillShade="D9"/>
            <w:vAlign w:val="center"/>
          </w:tcPr>
          <w:p>
            <w:pPr>
              <w:spacing w:after="120" w:line="276" w:lineRule="auto"/>
              <w:jc w:val="both"/>
              <w:rPr>
                <w:rFonts w:ascii="Times New Roman" w:hAnsi="Times New Roman" w:cs="Times New Roman"/>
                <w:i/>
                <w:noProof/>
                <w:sz w:val="24"/>
                <w:szCs w:val="24"/>
              </w:rPr>
            </w:pPr>
            <w:r>
              <w:rPr>
                <w:rFonts w:ascii="Times New Roman" w:hAnsi="Times New Roman"/>
                <w:i/>
                <w:noProof/>
                <w:sz w:val="24"/>
              </w:rPr>
              <w:t>Statele membre ar trebui:</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să asigure punerea în aplicare pe deplin a Rezoluției din 2006 privind standardele minime referitoare la securitatea proceselor de eliberare;</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să facă schimb de bune practici privind înregistrarea elementelor biometrice de identificare, precum și privind procedurile de acordare și de eliberare a documentelor și</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să consolideze monitorizarea personalizării/eliberării documentelor de identitate și de călătorie pentru a limita numărul documentelor în alb furate. </w:t>
            </w:r>
          </w:p>
          <w:p>
            <w:pPr>
              <w:spacing w:after="120" w:line="276" w:lineRule="auto"/>
              <w:jc w:val="both"/>
              <w:rPr>
                <w:rFonts w:ascii="Times New Roman" w:hAnsi="Times New Roman" w:cs="Times New Roman"/>
                <w:i/>
                <w:noProof/>
                <w:sz w:val="24"/>
                <w:szCs w:val="24"/>
              </w:rPr>
            </w:pPr>
            <w:r>
              <w:rPr>
                <w:rFonts w:ascii="Times New Roman" w:hAnsi="Times New Roman"/>
                <w:i/>
                <w:noProof/>
                <w:sz w:val="24"/>
              </w:rPr>
              <w:t>Comisia:</w:t>
            </w:r>
          </w:p>
          <w:p>
            <w:pPr>
              <w:numPr>
                <w:ilvl w:val="0"/>
                <w:numId w:val="14"/>
              </w:numPr>
              <w:spacing w:after="120"/>
              <w:jc w:val="both"/>
              <w:rPr>
                <w:rFonts w:ascii="Times New Roman" w:hAnsi="Times New Roman" w:cs="Times New Roman"/>
                <w:noProof/>
                <w:sz w:val="24"/>
                <w:szCs w:val="24"/>
              </w:rPr>
            </w:pPr>
            <w:r>
              <w:rPr>
                <w:rFonts w:ascii="Times New Roman" w:hAnsi="Times New Roman"/>
                <w:noProof/>
                <w:sz w:val="24"/>
              </w:rPr>
              <w:t xml:space="preserve">va facilita schimbul de bune practici privind procedurile de eliberare și gestionarea identității, prin organizarea de ateliere începând cu primul trimestru din 2017. </w:t>
            </w:r>
          </w:p>
        </w:tc>
      </w:tr>
    </w:tbl>
    <w:p>
      <w:pPr>
        <w:spacing w:after="120" w:line="240" w:lineRule="auto"/>
        <w:jc w:val="both"/>
        <w:rPr>
          <w:rFonts w:ascii="Times New Roman" w:hAnsi="Times New Roman" w:cs="Times New Roman"/>
          <w:noProof/>
          <w:sz w:val="24"/>
          <w:szCs w:val="24"/>
        </w:rPr>
      </w:pPr>
      <w:bookmarkStart w:id="8" w:name="_Toc449427128"/>
    </w:p>
    <w:bookmarkEnd w:id="8"/>
    <w:p>
      <w:pPr>
        <w:pStyle w:val="ListParagraph"/>
        <w:spacing w:after="240" w:line="240" w:lineRule="auto"/>
        <w:ind w:left="567" w:hanging="567"/>
        <w:jc w:val="both"/>
        <w:rPr>
          <w:rFonts w:ascii="Times New Roman" w:hAnsi="Times New Roman" w:cs="Times New Roman"/>
          <w:b/>
          <w:noProof/>
          <w:sz w:val="24"/>
          <w:szCs w:val="24"/>
        </w:rPr>
      </w:pPr>
      <w:r>
        <w:rPr>
          <w:rFonts w:ascii="Times New Roman" w:hAnsi="Times New Roman"/>
          <w:b/>
          <w:noProof/>
          <w:sz w:val="24"/>
        </w:rPr>
        <w:t xml:space="preserve">3. </w:t>
      </w:r>
      <w:r>
        <w:rPr>
          <w:noProof/>
        </w:rPr>
        <w:tab/>
      </w:r>
      <w:r>
        <w:rPr>
          <w:rFonts w:ascii="Times New Roman" w:hAnsi="Times New Roman"/>
          <w:b/>
          <w:noProof/>
          <w:sz w:val="24"/>
        </w:rPr>
        <w:t>Producerea documentelor</w:t>
      </w: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3.1 </w:t>
      </w:r>
      <w:r>
        <w:rPr>
          <w:noProof/>
        </w:rPr>
        <w:tab/>
      </w:r>
      <w:r>
        <w:rPr>
          <w:rFonts w:ascii="Times New Roman" w:hAnsi="Times New Roman"/>
          <w:b/>
          <w:i/>
          <w:noProof/>
          <w:sz w:val="24"/>
        </w:rPr>
        <w:t>Elemente de securitate integrate în documentele de călătorie</w:t>
      </w:r>
    </w:p>
    <w:p>
      <w:pPr>
        <w:spacing w:after="240" w:line="240" w:lineRule="auto"/>
        <w:jc w:val="both"/>
        <w:rPr>
          <w:rFonts w:ascii="Times New Roman" w:hAnsi="Times New Roman" w:cs="Times New Roman"/>
          <w:noProof/>
          <w:sz w:val="24"/>
          <w:szCs w:val="24"/>
        </w:rPr>
      </w:pPr>
      <w:r>
        <w:rPr>
          <w:rFonts w:ascii="Times New Roman" w:hAnsi="Times New Roman"/>
          <w:noProof/>
          <w:sz w:val="24"/>
        </w:rPr>
        <w:t>S-au adoptat acte legislative la nivelul UE privind standardele pentru elementele de securitate și elementele biometrice de identificare integrate în pașapoarte și în documentele de călătorie eliberate de statele membre</w:t>
      </w:r>
      <w:r>
        <w:rPr>
          <w:rFonts w:ascii="Times New Roman" w:hAnsi="Times New Roman"/>
          <w:noProof/>
          <w:sz w:val="24"/>
          <w:vertAlign w:val="superscript"/>
        </w:rPr>
        <w:footnoteReference w:id="13"/>
      </w:r>
      <w:r>
        <w:rPr>
          <w:rFonts w:ascii="Times New Roman" w:hAnsi="Times New Roman"/>
          <w:noProof/>
          <w:sz w:val="24"/>
        </w:rPr>
        <w:t>, privind modelele uniforme de vize</w:t>
      </w:r>
      <w:r>
        <w:rPr>
          <w:rStyle w:val="FootnoteReference"/>
          <w:rFonts w:ascii="Times New Roman" w:hAnsi="Times New Roman"/>
          <w:noProof/>
          <w:sz w:val="24"/>
        </w:rPr>
        <w:footnoteReference w:id="14"/>
      </w:r>
      <w:r>
        <w:rPr>
          <w:rFonts w:ascii="Times New Roman" w:hAnsi="Times New Roman"/>
          <w:noProof/>
          <w:sz w:val="24"/>
        </w:rPr>
        <w:t xml:space="preserve"> și privind permisele de ședere pentru resortisanții țărilor terțe</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Aceste standarde sunt utilizate, de asemenea, pentru permisele de mic trafic de frontieră</w:t>
      </w:r>
      <w:r>
        <w:rPr>
          <w:rStyle w:val="FootnoteReference"/>
          <w:rFonts w:ascii="Times New Roman" w:hAnsi="Times New Roman"/>
          <w:noProof/>
          <w:sz w:val="24"/>
        </w:rPr>
        <w:footnoteReference w:id="16"/>
      </w:r>
      <w:r>
        <w:rPr>
          <w:rFonts w:ascii="Times New Roman" w:hAnsi="Times New Roman"/>
          <w:noProof/>
          <w:sz w:val="24"/>
        </w:rPr>
        <w:t xml:space="preserve"> și pentru permisele eliberate în cadrul acquis-ului în materie de migrație legală. Specificațiile tehnice relevante pentru documente sunt actualizate în permanență în scopul prevenirii fraudei și, prin urmare, este important ca documentele să fie produse în deplină conformitate cu cele mai recente versiuni ale acestor specificații tehnice.</w:t>
      </w:r>
    </w:p>
    <w:p>
      <w:pPr>
        <w:spacing w:after="240" w:line="240" w:lineRule="auto"/>
        <w:jc w:val="both"/>
        <w:rPr>
          <w:rFonts w:ascii="Times New Roman" w:hAnsi="Times New Roman" w:cs="Times New Roman"/>
          <w:noProof/>
          <w:sz w:val="24"/>
          <w:szCs w:val="24"/>
        </w:rPr>
      </w:pPr>
      <w:r>
        <w:rPr>
          <w:rFonts w:ascii="Times New Roman" w:hAnsi="Times New Roman"/>
          <w:noProof/>
          <w:sz w:val="24"/>
        </w:rPr>
        <w:t>Comisia a prezentat două propuneri</w:t>
      </w:r>
      <w:r>
        <w:rPr>
          <w:rStyle w:val="FootnoteReference"/>
          <w:rFonts w:ascii="Times New Roman" w:hAnsi="Times New Roman"/>
          <w:noProof/>
          <w:sz w:val="24"/>
        </w:rPr>
        <w:footnoteReference w:id="17"/>
      </w:r>
      <w:r>
        <w:rPr>
          <w:rFonts w:ascii="Times New Roman" w:hAnsi="Times New Roman"/>
          <w:noProof/>
          <w:sz w:val="24"/>
        </w:rPr>
        <w:t xml:space="preserve"> în vederea actualizării elementelor de securitate și a instituirii unui nou model pentru vizele și permisele de ședere destinate resortisanților țărilor terțe. Adoptarea rapidă a acestor propuneri ar contribui la reducerea utilizării documentelor falsificate pentru intrarea în zona fără controale la frontierele interne.</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prezent, nivelurile de securitate ale cărților de identitate naționale eliberate de statele membre, precum și ale documentelor de ședere pentru resortisanții UE care își au reședința în alt stat membru și pentru membrii de familie ai acestora diferă în mod semnificativ, ceea ce sporește riscul de falsificare și de fraudare a documentelor și generează totodată dificultăți de ordin practic pentru cetățeni atunci când aceștia doresc să își exercite dreptul la libera circulație. Ca urmare a Raportului privind cetățenia UE din 2013 și astfel cum se menționează în comunicarea din 2016 intitulată „Creșterea nivelului de securitate într-o lume a mobilității”, Comisia a lansat un studiu</w:t>
      </w:r>
      <w:r>
        <w:rPr>
          <w:rStyle w:val="FootnoteReference"/>
          <w:rFonts w:ascii="Times New Roman" w:hAnsi="Times New Roman"/>
          <w:noProof/>
          <w:sz w:val="24"/>
        </w:rPr>
        <w:footnoteReference w:id="18"/>
      </w:r>
      <w:r>
        <w:rPr>
          <w:rFonts w:ascii="Times New Roman" w:hAnsi="Times New Roman"/>
          <w:noProof/>
          <w:sz w:val="24"/>
        </w:rPr>
        <w:t xml:space="preserve"> pentru a evalua mai în profunzime aspectele legate de securitate, inclusiv o eventuală armonizare a elementelor de securitate în vederea consolidării rezistenței acestora împotriva riscurilor de fraudare a documentelor. Consolidarea elementelor de securitate ale documentelor de identitate și de ședere ar putea contribui, de asemenea, la soluționarea problemei menționate în rapoartele elaborate recent de poliția de frontieră și garda de coastă la nivel european, potrivit cărora cărțile de identitate naționale cu un nivel de securitate mai scăzut sunt documentele false depistate cel mai frecvent.</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contextul dreptului la protecție consulară de care beneficiază cetățenii UE ai căror state membre nu au o reprezentanță diplomatică sau consulară într-o țară terță, este posibil să fie necesar ca un alt stat membru să elibereze documente de călătorie provizorii respectivilor cetățeni. O decizie din 1996</w:t>
      </w:r>
      <w:r>
        <w:rPr>
          <w:rStyle w:val="FootnoteReference"/>
          <w:rFonts w:ascii="Times New Roman" w:hAnsi="Times New Roman"/>
          <w:noProof/>
          <w:sz w:val="24"/>
        </w:rPr>
        <w:footnoteReference w:id="19"/>
      </w:r>
      <w:r>
        <w:rPr>
          <w:rFonts w:ascii="Times New Roman" w:hAnsi="Times New Roman"/>
          <w:noProof/>
          <w:sz w:val="24"/>
        </w:rPr>
        <w:t xml:space="preserve"> a stabilit un format comun pentru aceste documente de călătorie provizorii care le permit cetățenilor să călătorească spre casă. Eliberarea de documente de călătorie provizorii reprezintă cel mai frecvent tip de asistență consulară. După 20 de ani, această decizie este depășită</w:t>
      </w:r>
      <w:r>
        <w:rPr>
          <w:rStyle w:val="FootnoteReference"/>
          <w:rFonts w:ascii="Times New Roman" w:hAnsi="Times New Roman"/>
          <w:noProof/>
          <w:sz w:val="24"/>
        </w:rPr>
        <w:footnoteReference w:id="20"/>
      </w:r>
      <w:r>
        <w:rPr>
          <w:rFonts w:ascii="Times New Roman" w:hAnsi="Times New Roman"/>
          <w:noProof/>
          <w:sz w:val="24"/>
        </w:rPr>
        <w:t>. Unele state membre nu utilizează documentele de călătorie provizorii, din cauza faptului că acestea sunt considerate nesigure în raport cu riscul de fraudare a documentelor. În contextul acestei revizuiri, Comisia va analiza, de asemenea, posibilități de modernizare a elementelor de securitate ale documentelor de călătorie provizorii.</w:t>
      </w:r>
    </w:p>
    <w:p>
      <w:pPr>
        <w:spacing w:after="120" w:line="240" w:lineRule="auto"/>
        <w:jc w:val="both"/>
        <w:rPr>
          <w:rFonts w:ascii="Times New Roman" w:hAnsi="Times New Roman" w:cs="Times New Roman"/>
          <w:b/>
          <w:i/>
          <w:noProof/>
          <w:sz w:val="24"/>
          <w:szCs w:val="24"/>
        </w:rPr>
      </w:pPr>
      <w:r>
        <w:rPr>
          <w:rFonts w:ascii="Times New Roman" w:hAnsi="Times New Roman"/>
          <w:b/>
          <w:i/>
          <w:noProof/>
          <w:sz w:val="24"/>
        </w:rPr>
        <w:t xml:space="preserve">3.2. </w:t>
      </w:r>
      <w:r>
        <w:rPr>
          <w:noProof/>
        </w:rPr>
        <w:tab/>
      </w:r>
      <w:r>
        <w:rPr>
          <w:rFonts w:ascii="Times New Roman" w:hAnsi="Times New Roman"/>
          <w:b/>
          <w:i/>
          <w:noProof/>
          <w:sz w:val="24"/>
        </w:rPr>
        <w:t xml:space="preserve">Înregistrarea elementelor biometrice de identificare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La nivelul UE s-au adoptat orientări destinate autorităților care înregistrează elementele biometrice de identificare în pașapoarte și în permisele de ședere pentru resortisanții țărilor terțe</w:t>
      </w:r>
      <w:r>
        <w:rPr>
          <w:rStyle w:val="FootnoteReference"/>
          <w:rFonts w:ascii="Times New Roman" w:hAnsi="Times New Roman"/>
          <w:noProof/>
          <w:sz w:val="24"/>
        </w:rPr>
        <w:footnoteReference w:id="21"/>
      </w:r>
      <w:r>
        <w:rPr>
          <w:rFonts w:ascii="Times New Roman" w:hAnsi="Times New Roman"/>
          <w:noProof/>
          <w:sz w:val="24"/>
        </w:rPr>
        <w:t>. Aceasta este o sarcină foarte importantă, deoarece majoritatea nepotrivirilor constatate la efectuarea controalelor la frontiere sunt cauzate de înregistrarea eronată a datelor la momentul eliberării documentului. Calitatea biometrică este cel mai important parametru care afectează acuratețea sistemelor biometrice automate. Ar trebui să se abordeze, de asemenea, vulnerabilitățile biometrice, cum ar fi modificarea fizionomiei (</w:t>
      </w:r>
      <w:r>
        <w:rPr>
          <w:rFonts w:ascii="Times New Roman" w:hAnsi="Times New Roman"/>
          <w:i/>
          <w:noProof/>
          <w:sz w:val="24"/>
        </w:rPr>
        <w:t>face-morphing</w:t>
      </w:r>
      <w:r>
        <w:rPr>
          <w:rFonts w:ascii="Times New Roman" w:hAnsi="Times New Roman"/>
          <w:noProof/>
          <w:sz w:val="24"/>
        </w:rPr>
        <w:t>) și uzurparea amprentelor digitale (</w:t>
      </w:r>
      <w:r>
        <w:rPr>
          <w:rFonts w:ascii="Times New Roman" w:hAnsi="Times New Roman"/>
          <w:i/>
          <w:noProof/>
          <w:sz w:val="24"/>
        </w:rPr>
        <w:t>fingerprint spoofing</w:t>
      </w:r>
      <w:r>
        <w:rPr>
          <w:rFonts w:ascii="Times New Roman" w:hAnsi="Times New Roman"/>
          <w:noProof/>
          <w:sz w:val="24"/>
        </w:rPr>
        <w:t>)</w:t>
      </w:r>
      <w:r>
        <w:rPr>
          <w:rStyle w:val="FootnoteReference"/>
          <w:rFonts w:ascii="Times New Roman" w:hAnsi="Times New Roman"/>
          <w:noProof/>
          <w:sz w:val="24"/>
        </w:rPr>
        <w:footnoteReference w:id="22"/>
      </w:r>
      <w:r>
        <w:rPr>
          <w:rFonts w:ascii="Times New Roman" w:hAnsi="Times New Roman"/>
          <w:noProof/>
          <w:sz w:val="24"/>
        </w:rPr>
        <w:t>.</w:t>
      </w:r>
    </w:p>
    <w:tbl>
      <w:tblPr>
        <w:tblStyle w:val="TableGrid"/>
        <w:tblW w:w="0" w:type="auto"/>
        <w:tblInd w:w="108" w:type="dxa"/>
        <w:tblLook w:val="04A0" w:firstRow="1" w:lastRow="0" w:firstColumn="1" w:lastColumn="0" w:noHBand="0" w:noVBand="1"/>
      </w:tblPr>
      <w:tblGrid>
        <w:gridCol w:w="9072"/>
      </w:tblGrid>
      <w:tr>
        <w:tc>
          <w:tcPr>
            <w:tcW w:w="9072" w:type="dxa"/>
            <w:tcBorders>
              <w:bottom w:val="single" w:sz="24" w:space="0" w:color="808080" w:themeColor="background1" w:themeShade="80"/>
            </w:tcBorders>
            <w:shd w:val="clear" w:color="auto" w:fill="F2F2F2" w:themeFill="background1" w:themeFillShade="F2"/>
            <w:vAlign w:val="center"/>
          </w:tcPr>
          <w:p>
            <w:pPr>
              <w:spacing w:before="120" w:after="120"/>
              <w:jc w:val="center"/>
              <w:rPr>
                <w:rFonts w:ascii="Times New Roman" w:hAnsi="Times New Roman" w:cs="Times New Roman"/>
                <w:noProof/>
                <w:sz w:val="24"/>
                <w:szCs w:val="24"/>
              </w:rPr>
            </w:pPr>
            <w:r>
              <w:rPr>
                <w:rFonts w:ascii="Times New Roman" w:hAnsi="Times New Roman"/>
                <w:noProof/>
                <w:sz w:val="24"/>
              </w:rPr>
              <w:t>Acțiuni specifice</w:t>
            </w:r>
          </w:p>
        </w:tc>
      </w:tr>
      <w:tr>
        <w:tc>
          <w:tcPr>
            <w:tcW w:w="9072" w:type="dxa"/>
            <w:tcBorders>
              <w:top w:val="single" w:sz="24" w:space="0" w:color="808080" w:themeColor="background1" w:themeShade="80"/>
            </w:tcBorders>
            <w:shd w:val="clear" w:color="auto" w:fill="D9D9D9" w:themeFill="background1" w:themeFillShade="D9"/>
            <w:vAlign w:val="center"/>
          </w:tcPr>
          <w:p>
            <w:pPr>
              <w:spacing w:after="120" w:line="276" w:lineRule="auto"/>
              <w:jc w:val="both"/>
              <w:rPr>
                <w:rFonts w:ascii="Times New Roman" w:hAnsi="Times New Roman" w:cs="Times New Roman"/>
                <w:i/>
                <w:noProof/>
                <w:sz w:val="24"/>
                <w:szCs w:val="24"/>
              </w:rPr>
            </w:pPr>
            <w:r>
              <w:rPr>
                <w:rFonts w:ascii="Times New Roman" w:hAnsi="Times New Roman"/>
                <w:i/>
                <w:noProof/>
                <w:sz w:val="24"/>
              </w:rPr>
              <w:t>Parlamentul European și Consiliul ar trebui:</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să adopte cât mai curând posibil propunerile privind un model uniform mai sigur pentru vizele și permisele de ședere destinate resortisanților țărilor terțe, astfel încât să se prevină noi fraude.</w:t>
            </w:r>
          </w:p>
          <w:p>
            <w:pPr>
              <w:spacing w:after="120" w:line="276" w:lineRule="auto"/>
              <w:jc w:val="both"/>
              <w:rPr>
                <w:rFonts w:ascii="Times New Roman" w:hAnsi="Times New Roman" w:cs="Times New Roman"/>
                <w:i/>
                <w:noProof/>
                <w:sz w:val="24"/>
                <w:szCs w:val="24"/>
              </w:rPr>
            </w:pPr>
            <w:r>
              <w:rPr>
                <w:rFonts w:ascii="Times New Roman" w:hAnsi="Times New Roman"/>
                <w:i/>
                <w:noProof/>
                <w:sz w:val="24"/>
              </w:rPr>
              <w:t>Comisia:</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va finaliza, în primul trimestru din 2017, studiul privind opțiunile de politică ale UE pentru a îmbunătăți securitatea cărților de identitate ale cetățenilor UE și a documentelor de ședere ale cetățenilor UE care își au reședința în alt stat membru, precum și ale membrilor de familie ai acestora din țările terțe, în vederea limitării riscului de fraudă și de falsificare. Comisia va evalua etapele următoarele, opțiunile și impacturile acestora în vederea unei eventuale inițiative legislative până la sfârșitul anului 2017;</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va examina dacă este necesar să se modifice Regulamentul (CE) nr. 1931/2006 pentru a se asigura faptul că efectuarea unor evaluări adecvate ale riscurilor în materie de securitate este garantată de condițiile de eliberare a permiselor de mic trafic de frontieră și de elementele de securitate ale acestora, fără a aduce atingere în vreun fel avantajelor de care beneficiază titularii lor în temeiul regulamentului menționat și al Codului frontierelor Schengen;</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va elabora noi orientări/activități de formare privind înregistrarea corectă a elementelor biometrice de identificare, în special pentru a remedia calitatea datelor biometrice și vulnerabilitățile, începând cu al treilea trimestru din 2017 și</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va monitoriza conformitatea elementelor de securitate ale documentelor de călătorie eliberate de statele membre cu specificațiile tehnice ale UE.</w:t>
            </w:r>
          </w:p>
        </w:tc>
      </w:tr>
    </w:tbl>
    <w:p>
      <w:pPr>
        <w:spacing w:after="240" w:line="240" w:lineRule="auto"/>
        <w:ind w:left="720"/>
        <w:contextualSpacing/>
        <w:jc w:val="both"/>
        <w:rPr>
          <w:rFonts w:ascii="Times New Roman" w:hAnsi="Times New Roman" w:cs="Times New Roman"/>
          <w:b/>
          <w:noProof/>
          <w:sz w:val="24"/>
          <w:szCs w:val="24"/>
        </w:rPr>
      </w:pP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noProof/>
          <w:sz w:val="24"/>
        </w:rPr>
        <w:t xml:space="preserve">4. </w:t>
      </w:r>
      <w:r>
        <w:rPr>
          <w:noProof/>
        </w:rPr>
        <w:tab/>
      </w:r>
      <w:r>
        <w:rPr>
          <w:rFonts w:ascii="Times New Roman" w:hAnsi="Times New Roman"/>
          <w:b/>
          <w:noProof/>
          <w:sz w:val="24"/>
        </w:rPr>
        <w:t xml:space="preserve">Controlul documentelor </w:t>
      </w:r>
    </w:p>
    <w:p>
      <w:pPr>
        <w:spacing w:after="240" w:line="240" w:lineRule="auto"/>
        <w:jc w:val="both"/>
        <w:rPr>
          <w:rFonts w:ascii="Times New Roman" w:hAnsi="Times New Roman" w:cs="Times New Roman"/>
          <w:noProof/>
          <w:sz w:val="24"/>
          <w:szCs w:val="24"/>
        </w:rPr>
      </w:pPr>
      <w:r>
        <w:rPr>
          <w:rFonts w:ascii="Times New Roman" w:hAnsi="Times New Roman"/>
          <w:noProof/>
          <w:sz w:val="24"/>
        </w:rPr>
        <w:t>Codul frontierelor Schengen</w:t>
      </w:r>
      <w:r>
        <w:rPr>
          <w:rFonts w:ascii="Times New Roman" w:hAnsi="Times New Roman"/>
          <w:noProof/>
          <w:sz w:val="24"/>
          <w:vertAlign w:val="superscript"/>
        </w:rPr>
        <w:footnoteReference w:id="23"/>
      </w:r>
      <w:r>
        <w:rPr>
          <w:rFonts w:ascii="Times New Roman" w:hAnsi="Times New Roman"/>
          <w:noProof/>
          <w:sz w:val="24"/>
        </w:rPr>
        <w:t xml:space="preserve"> prevede proceduri pentru verificările asupra resortisanților UE și a resortisanților țărilor terțe efectuate la frontierele externe. Polițiștii de frontieră trebuie să efectueze rapid aceste verificări, utilizând tehnologii/baze de date și o serie de instrumente în materie de formare și orientare care le permit să controleze documentele de călătorie.</w:t>
      </w: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4.1 </w:t>
      </w:r>
      <w:r>
        <w:rPr>
          <w:noProof/>
        </w:rPr>
        <w:tab/>
      </w:r>
      <w:r>
        <w:rPr>
          <w:rFonts w:ascii="Times New Roman" w:hAnsi="Times New Roman"/>
          <w:b/>
          <w:i/>
          <w:noProof/>
          <w:sz w:val="24"/>
        </w:rPr>
        <w:t>Verificările electronice ale documentelor de călătorie ale resortisanților țărilor terțe</w:t>
      </w:r>
    </w:p>
    <w:p>
      <w:pPr>
        <w:spacing w:after="240" w:line="240" w:lineRule="auto"/>
        <w:jc w:val="both"/>
        <w:rPr>
          <w:rFonts w:ascii="Times New Roman" w:hAnsi="Times New Roman" w:cs="Times New Roman"/>
          <w:noProof/>
          <w:sz w:val="24"/>
          <w:szCs w:val="24"/>
        </w:rPr>
      </w:pPr>
      <w:r>
        <w:rPr>
          <w:rFonts w:ascii="Times New Roman" w:hAnsi="Times New Roman"/>
          <w:noProof/>
          <w:sz w:val="24"/>
        </w:rPr>
        <w:t>Verificarea electronică a autenticității documentelor de călătorie ale resortisanților țărilor terțe este o componentă esențială a viitorului sistem de intrare/ieșire</w:t>
      </w:r>
      <w:r>
        <w:rPr>
          <w:rStyle w:val="FootnoteReference"/>
          <w:rFonts w:ascii="Times New Roman" w:hAnsi="Times New Roman"/>
          <w:noProof/>
          <w:sz w:val="24"/>
        </w:rPr>
        <w:footnoteReference w:id="24"/>
      </w:r>
      <w:r>
        <w:rPr>
          <w:noProof/>
        </w:rPr>
        <w:t>;</w:t>
      </w:r>
      <w:r>
        <w:rPr>
          <w:rFonts w:ascii="Times New Roman" w:hAnsi="Times New Roman"/>
          <w:noProof/>
          <w:sz w:val="24"/>
        </w:rPr>
        <w:t xml:space="preserve"> acesta contribuie la asigurarea securității, deoarece ajută la depistarea și combaterea fraudei de identitate și a utilizării frauduloase a documentelor de călătorie. În plus, sistemul va combate frauda de identitate prin gestionarea identității biometrice a resortisanților țărilor terțe, în mare măsură în același mod în care sistemul de informații privind vizele acționează în cazul titularilor de vize. Cele două sisteme sunt strâns interconectate în aceste scopuri.</w:t>
      </w:r>
    </w:p>
    <w:p>
      <w:pPr>
        <w:spacing w:after="240" w:line="240" w:lineRule="auto"/>
        <w:jc w:val="both"/>
        <w:rPr>
          <w:rFonts w:ascii="Times New Roman" w:hAnsi="Times New Roman" w:cs="Times New Roman"/>
          <w:noProof/>
          <w:sz w:val="24"/>
          <w:szCs w:val="24"/>
        </w:rPr>
      </w:pPr>
      <w:r>
        <w:rPr>
          <w:rFonts w:ascii="Times New Roman" w:hAnsi="Times New Roman"/>
          <w:noProof/>
          <w:sz w:val="24"/>
        </w:rPr>
        <w:t>Obținerea de certificate din țările terțe (autoritățile naționale de certificare semnatare) pentru autentificarea documentului de călătorie este un proces de durată și sensibil, dar care este necesar în vederea asigurării faptului că lanțul de încredere de la „producătorul” certificatului la „consumator” (utilizator) este neîntrerupt. Comisia a demarat în 2015 un proiect-pilot pentru a analiza modalitățile de colectare a certificatele țărilor terțe, de validare a nivelului de încredere al acestora și, ulterior, de partajare a acestora sub forma unui „index” care să respecte o specificație a Organizației Aviației Civile Internaționale</w:t>
      </w:r>
      <w:r>
        <w:rPr>
          <w:rStyle w:val="FootnoteReference"/>
          <w:rFonts w:ascii="Times New Roman" w:hAnsi="Times New Roman"/>
          <w:noProof/>
          <w:sz w:val="24"/>
        </w:rPr>
        <w:footnoteReference w:id="25"/>
      </w:r>
      <w:r>
        <w:rPr>
          <w:noProof/>
        </w:rPr>
        <w:t>.</w:t>
      </w:r>
      <w:r>
        <w:rPr>
          <w:rFonts w:ascii="Times New Roman" w:hAnsi="Times New Roman"/>
          <w:noProof/>
          <w:sz w:val="24"/>
        </w:rPr>
        <w:t xml:space="preserve"> Din 2017, acest „index” ar putea simplifica și promova într-o mai mare măsură autentificarea electronică a documentelor de călătorie din țările terțe pentru toate statele membre.</w:t>
      </w: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4.2 </w:t>
      </w:r>
      <w:r>
        <w:rPr>
          <w:noProof/>
        </w:rPr>
        <w:tab/>
      </w:r>
      <w:r>
        <w:rPr>
          <w:rFonts w:ascii="Times New Roman" w:hAnsi="Times New Roman"/>
          <w:b/>
          <w:i/>
          <w:noProof/>
          <w:sz w:val="24"/>
        </w:rPr>
        <w:t>Verificările bazelor de date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Titularii documentelor ar trebui să raporteze imediat pierderea sau furtul acestora. Dacă statele membre își respectă obligația juridică de a introduce rapid informația în Sistemul de Informații Schengen (SIS) și în baza de date a Interpol privind documentele furate sau pierdute, atunci se reduc în mod semnificativ riscurile de fraudă de identitate. La 24 noiembrie 2016, existau peste 52 de milioane de semnalări SIS privind documente eliberate și 1 milion privind documente în alb. În 2015, se înregistrau aproximativ 18 500 de rezultate pozitive privind documente eliberate.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Statele membre ar trebui, de asemenea, să transmită Interpol date privind documentele de călătorie pierdute, furate sau deținute fără drept eliberate de țările terțe, astfel încât acesta să fie în măsură să introducă datele în baza sa de date privind documentele de călătorie furate sau pierdute, dacă este posibil. Acest lucru este important în special în ceea ce privește documentele de călătorie siriene obținute în mod fraudulos, de exemplu. Baza de date privind documentele de călătorie furate sau pierdute conține peste 68 de milioane de înregistrări, în care s-au efectuat căutări de peste 1 243 de miliarde de ori în perioada ianuarie</w:t>
      </w:r>
      <w:r>
        <w:rPr>
          <w:rFonts w:ascii="Times New Roman" w:hAnsi="Times New Roman" w:cs="Times New Roman"/>
          <w:noProof/>
          <w:sz w:val="24"/>
        </w:rPr>
        <w:t>­</w:t>
      </w:r>
      <w:r>
        <w:rPr>
          <w:rFonts w:ascii="Times New Roman" w:hAnsi="Times New Roman"/>
          <w:noProof/>
          <w:sz w:val="24"/>
        </w:rPr>
        <w:t>septembrie 2016, generând peste 115 000 de rezultate pozitive.</w:t>
      </w:r>
    </w:p>
    <w:p>
      <w:pPr>
        <w:spacing w:after="240" w:line="240" w:lineRule="auto"/>
        <w:jc w:val="both"/>
        <w:rPr>
          <w:rFonts w:ascii="Times New Roman" w:hAnsi="Times New Roman"/>
          <w:i/>
          <w:noProof/>
          <w:sz w:val="24"/>
          <w:szCs w:val="24"/>
        </w:rPr>
      </w:pPr>
      <w:r>
        <w:rPr>
          <w:rFonts w:ascii="Times New Roman" w:hAnsi="Times New Roman"/>
          <w:noProof/>
          <w:sz w:val="24"/>
        </w:rPr>
        <w:t>Modificarea propusă a Codului frontierelor Schengen</w:t>
      </w:r>
      <w:r>
        <w:rPr>
          <w:rStyle w:val="FootnoteReference"/>
          <w:rFonts w:ascii="Times New Roman" w:hAnsi="Times New Roman"/>
          <w:noProof/>
          <w:sz w:val="24"/>
        </w:rPr>
        <w:footnoteReference w:id="26"/>
      </w:r>
      <w:r>
        <w:rPr>
          <w:rFonts w:ascii="Times New Roman" w:hAnsi="Times New Roman"/>
          <w:noProof/>
          <w:sz w:val="24"/>
        </w:rPr>
        <w:t xml:space="preserve"> ar introduce obligația de a verifica toate documentele de călătorie, indiferent de cetățenia titularului, în SIS și în baza de date privind documentele de călătorie furate sau pierdute. Acest lucru ar simplifica identificarea documentelor pierdute, furate, deținute fără drept sau anulate și confiscarea sau păstrarea lor ca dovadă.</w:t>
      </w:r>
      <w:r>
        <w:rPr>
          <w:noProof/>
        </w:rPr>
        <w:t xml:space="preserve"> </w:t>
      </w:r>
      <w:r>
        <w:rPr>
          <w:rFonts w:ascii="Times New Roman" w:hAnsi="Times New Roman"/>
          <w:noProof/>
          <w:sz w:val="24"/>
        </w:rPr>
        <w:t>În plus, sistemul european de informații și de autorizare privind călătoriile (ETIAS)</w:t>
      </w:r>
      <w:r>
        <w:rPr>
          <w:rStyle w:val="FootnoteReference"/>
          <w:rFonts w:ascii="Times New Roman" w:hAnsi="Times New Roman"/>
          <w:noProof/>
          <w:sz w:val="24"/>
        </w:rPr>
        <w:footnoteReference w:id="27"/>
      </w:r>
      <w:r>
        <w:rPr>
          <w:rFonts w:ascii="Times New Roman" w:hAnsi="Times New Roman"/>
          <w:noProof/>
          <w:sz w:val="24"/>
        </w:rPr>
        <w:t xml:space="preserve"> care a fost propus ar trebui să permită verificarea documentelor de călătorie ale resortisanților țărilor terțe exonerați de obligația de a deține viză în SIS și în baza de date privind documentele de călătorie furate sau pierdute înainte de sosirea acestora la frontierele externe. Grupul de experți la nivel înalt privind sistemele de informații și interoperabilitatea</w:t>
      </w:r>
      <w:r>
        <w:rPr>
          <w:rStyle w:val="FootnoteReference"/>
          <w:rFonts w:ascii="Times New Roman" w:hAnsi="Times New Roman"/>
          <w:noProof/>
          <w:sz w:val="24"/>
        </w:rPr>
        <w:footnoteReference w:id="28"/>
      </w:r>
      <w:r>
        <w:rPr>
          <w:rFonts w:ascii="Times New Roman" w:hAnsi="Times New Roman"/>
          <w:noProof/>
          <w:sz w:val="24"/>
        </w:rPr>
        <w:t xml:space="preserve"> analizează modul în care interoperabilitatea ar putea contribui la îmbunătățirea verificării documentelor și a identității.</w:t>
      </w:r>
      <w:r>
        <w:rPr>
          <w:rFonts w:ascii="Times New Roman" w:hAnsi="Times New Roman"/>
          <w:noProof/>
          <w:color w:val="FF0000"/>
          <w:sz w:val="24"/>
        </w:rPr>
        <w:t xml:space="preserve"> </w:t>
      </w: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4.3 </w:t>
      </w:r>
      <w:r>
        <w:rPr>
          <w:noProof/>
        </w:rPr>
        <w:tab/>
      </w:r>
      <w:r>
        <w:rPr>
          <w:rFonts w:ascii="Times New Roman" w:hAnsi="Times New Roman"/>
          <w:b/>
          <w:i/>
          <w:noProof/>
          <w:sz w:val="24"/>
        </w:rPr>
        <w:t>Formare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Statele membre, agențiile competente ale UE și Organizația pentru Securitate și Cooperare în Europa (printre altele) au elaborat programe de formare destinate polițiștilor de frontieră privind depistarea cazurilor de fraudare a documentelor. Aceste programe trebuie actualizate în mod constant, în principal pentru a se concentra asupra noilor forme de fraudă, cum ar fi frauda de asemănare, și pentru a-i viza pe toți cei implicați în verificarea documentelor, cum ar fi transportatorii, personalul consular și administrațiile locale.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Directiva privind răspunderea transportatorilor prevede sancțiuni financiare pentru operatorii care transportă resortisanți ai țărilor terțe care nu dețin documentele necesare în vederea intrării în UE. Ar trebui să se analizeze în continuare oportunitatea includerii unor dispoziții adecvate privind formarea transportatorilor pentru a îmbunătăți depistarea cazurilor de fraudare a documentelor. </w:t>
      </w: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4.4 </w:t>
      </w:r>
      <w:r>
        <w:rPr>
          <w:noProof/>
        </w:rPr>
        <w:tab/>
      </w:r>
      <w:r>
        <w:rPr>
          <w:rFonts w:ascii="Times New Roman" w:hAnsi="Times New Roman"/>
          <w:b/>
          <w:i/>
          <w:noProof/>
          <w:sz w:val="24"/>
        </w:rPr>
        <w:t>Instrumente</w:t>
      </w:r>
    </w:p>
    <w:p>
      <w:pPr>
        <w:spacing w:after="240" w:line="240" w:lineRule="auto"/>
        <w:jc w:val="both"/>
        <w:rPr>
          <w:rFonts w:ascii="Times New Roman" w:hAnsi="Times New Roman" w:cs="Times New Roman"/>
          <w:noProof/>
          <w:sz w:val="24"/>
          <w:szCs w:val="24"/>
        </w:rPr>
      </w:pPr>
      <w:r>
        <w:rPr>
          <w:rFonts w:ascii="Times New Roman" w:hAnsi="Times New Roman"/>
          <w:noProof/>
          <w:sz w:val="24"/>
        </w:rPr>
        <w:t>Agenții de poliție, polițiștii de frontieră și alți agenți au la dispoziție o serie de instrumente care îi ajută să depisteze cazurile de fraudare a documentelor. Printre acestea se numără și baza de date online privind documentele false și autentice (FADO), care este o bază de date de imagini europeană ce conține descrieri standardizate, în cele 24 de limbi oficiale ale UE, ale elementelor de securitate ale documentelor și ale tehnicilor de falsificare, precum și mai multe funcționalități cu opțiuni de linkuri care furnizează un acces direct la alte baze de date privind documente, precum și la aplicații naționale și comerciale.</w:t>
      </w:r>
    </w:p>
    <w:p>
      <w:pPr>
        <w:spacing w:after="240" w:line="240" w:lineRule="auto"/>
        <w:jc w:val="both"/>
        <w:rPr>
          <w:rFonts w:ascii="Times New Roman" w:hAnsi="Times New Roman" w:cs="Times New Roman"/>
          <w:noProof/>
          <w:sz w:val="24"/>
          <w:szCs w:val="24"/>
        </w:rPr>
      </w:pPr>
      <w:r>
        <w:rPr>
          <w:rFonts w:ascii="Times New Roman" w:hAnsi="Times New Roman"/>
          <w:noProof/>
          <w:sz w:val="24"/>
        </w:rPr>
        <w:t>FADO a fost înființată în cadrul cooperării dintre statele membre și ar trebui integrată într-un cadru juridic al UE. În prezent, statele membre nu au nicio obligație juridică să încarce documente (fie acestea propriile documente autentice sau documentele falsificate pe care le</w:t>
      </w:r>
      <w:r>
        <w:rPr>
          <w:rFonts w:ascii="Times New Roman" w:hAnsi="Times New Roman" w:cs="Times New Roman"/>
          <w:noProof/>
          <w:sz w:val="24"/>
        </w:rPr>
        <w:t>­</w:t>
      </w:r>
      <w:r>
        <w:rPr>
          <w:rFonts w:ascii="Times New Roman" w:hAnsi="Times New Roman"/>
          <w:noProof/>
          <w:sz w:val="24"/>
        </w:rPr>
        <w:t>au depistat), ceea ce determină diferențe considerabile ale contribuțiilor atât în ceea ce privește propriile documente, cât și documentele țărilor terțe. În plus, utilizarea efectivă a bazei de date este încă limitată. Ar trebui să se analizeze care este valoarea adăugată a sistemului și dacă sunt necesare îmbunătățiri.</w:t>
      </w:r>
    </w:p>
    <w:p>
      <w:pPr>
        <w:spacing w:after="240" w:line="240" w:lineRule="auto"/>
        <w:jc w:val="both"/>
        <w:rPr>
          <w:rFonts w:ascii="Times New Roman" w:hAnsi="Times New Roman" w:cs="Times New Roman"/>
          <w:noProof/>
          <w:sz w:val="24"/>
          <w:szCs w:val="24"/>
        </w:rPr>
      </w:pPr>
      <w:r>
        <w:rPr>
          <w:rFonts w:ascii="Times New Roman" w:hAnsi="Times New Roman"/>
          <w:noProof/>
          <w:sz w:val="24"/>
        </w:rPr>
        <w:t>Pe lângă poliție și autoritățile de frontieră, entitățile civile și private</w:t>
      </w:r>
      <w:r>
        <w:rPr>
          <w:rStyle w:val="FootnoteReference"/>
          <w:rFonts w:ascii="Times New Roman" w:hAnsi="Times New Roman"/>
          <w:noProof/>
          <w:sz w:val="24"/>
        </w:rPr>
        <w:footnoteReference w:id="29"/>
      </w:r>
      <w:r>
        <w:rPr>
          <w:rFonts w:ascii="Times New Roman" w:hAnsi="Times New Roman"/>
          <w:noProof/>
          <w:sz w:val="24"/>
        </w:rPr>
        <w:t xml:space="preserve"> care trebuie să efectueze verificări ale identității din diverse motive se bazează, de asemenea, pe utilizarea documentelor de călătorie și de identitate autentice. Comunitatea nespecialiștilor în materie de documente ar trebui, de asemenea, să se poată baza pe mecanisme simple de autentificare, care să nu necesite cunoștințe de specialitate sau echipament specializat. Nespecialiștii și publicul larg au acces la un subsistem al FADO, care furnizează informații mai puțin detaliate. Ar trebui să se analizeze mijloacele pentru a le oferi acestora un acces sporit la semnalările privind documentele pierdute sau furate, la bazele de date care conțin documente autentice și la informațiile recente referitoare la tendințele în materie de fraudă.</w:t>
      </w:r>
    </w:p>
    <w:bookmarkEnd w:id="4"/>
    <w:bookmarkEnd w:id="5"/>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4.5 </w:t>
      </w:r>
      <w:r>
        <w:rPr>
          <w:noProof/>
        </w:rPr>
        <w:tab/>
      </w:r>
      <w:r>
        <w:rPr>
          <w:rFonts w:ascii="Times New Roman" w:hAnsi="Times New Roman"/>
          <w:b/>
          <w:i/>
          <w:noProof/>
          <w:sz w:val="24"/>
        </w:rPr>
        <w:t>Elementele biometrice de identificare integrate în documentele de călătorie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Elementele biometrice de identificare sunt un instrument important pentru detectarea fraudei. Polițiștii de frontieră le pot utiliza pentru stabilirea identității, în special prin compararea datelor stocate pe cip cu cele din document. </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vederea verificării componentelor electronice ale pașapoartelor biometrice și ale permiselor de ședere biometrice, autoritățile trebuie să primească din partea statelor membre care au eliberat documentul certificatele necesare pentru a putea accesa amprentele digitale stocate pe cip. Verificarea electronică sistematică a datelor stocate pe cip ar conduce la depistarea celor mai comune cazuri de fraudare a documentelor, cum ar fi manipulările fotografiei titularului. Din păcate, nu toate statele membre fac schimb de certificate.</w:t>
      </w:r>
    </w:p>
    <w:p>
      <w:pPr>
        <w:spacing w:after="240" w:line="240" w:lineRule="auto"/>
        <w:jc w:val="both"/>
        <w:rPr>
          <w:rFonts w:ascii="Times New Roman" w:hAnsi="Times New Roman" w:cs="Times New Roman"/>
          <w:noProof/>
          <w:sz w:val="24"/>
          <w:szCs w:val="24"/>
        </w:rPr>
      </w:pPr>
      <w:r>
        <w:rPr>
          <w:rFonts w:ascii="Times New Roman" w:hAnsi="Times New Roman"/>
          <w:noProof/>
          <w:sz w:val="24"/>
        </w:rPr>
        <w:t>Potențialul SIS de a combate fraudarea documentelor va crește odată cu punerea în aplicare a unei funcționalități de „căutare a amprentelor digitale”. Primele elemente (mecanismul de control al calității datelor) vor fi gata până la mijlocul anului 2017, iar lucrările la nivel central vor fi finalizate în trimestrul al patrulea din 2017. Funcționalitatea va permite identificarea cu succes (prin intermediul amprentelor lor digitale) a persoanelor căutate de autorități. Sistemul automat de identificare a amprentelor digitale (AFIS) va efectua verificări ale identității și va contribui în mod semnificativ la depistarea cazurilor de fraudare a documentelor și a identității. Statele membre vor pune în aplicare în mod treptat acest sistem, de la începutul anului 2018.</w:t>
      </w:r>
    </w:p>
    <w:p>
      <w:pPr>
        <w:spacing w:after="240" w:line="240" w:lineRule="auto"/>
        <w:jc w:val="both"/>
        <w:rPr>
          <w:rFonts w:ascii="Times New Roman" w:hAnsi="Times New Roman" w:cs="Times New Roman"/>
          <w:noProof/>
          <w:sz w:val="24"/>
          <w:szCs w:val="24"/>
        </w:rPr>
      </w:pPr>
      <w:r>
        <w:rPr>
          <w:rFonts w:ascii="Times New Roman" w:hAnsi="Times New Roman"/>
          <w:noProof/>
          <w:sz w:val="24"/>
        </w:rPr>
        <w:t>Pașapoartele, cărțile de identitate, permisele de conducere, permisele de ședere și documentele de călătorie furate, deținute fără drept, pierdute sau anulate pot fi introduse deja în SIS, însă Comisia are în vedere să propună (în cadrul revizuirii temeiului juridic al sistemului) să fie introduse și documentele falsificate. Acest lucru va permite o abordare mai cuprinzătoare în ceea ce privește depistarea și confiscarea unor astfel de documente.</w:t>
      </w:r>
    </w:p>
    <w:tbl>
      <w:tblPr>
        <w:tblStyle w:val="TableGrid"/>
        <w:tblW w:w="0" w:type="auto"/>
        <w:tblInd w:w="108" w:type="dxa"/>
        <w:tblLook w:val="04A0" w:firstRow="1" w:lastRow="0" w:firstColumn="1" w:lastColumn="0" w:noHBand="0" w:noVBand="1"/>
      </w:tblPr>
      <w:tblGrid>
        <w:gridCol w:w="9072"/>
      </w:tblGrid>
      <w:tr>
        <w:tc>
          <w:tcPr>
            <w:tcW w:w="9072" w:type="dxa"/>
            <w:tcBorders>
              <w:top w:val="single" w:sz="4" w:space="0" w:color="auto"/>
              <w:bottom w:val="single" w:sz="24" w:space="0" w:color="808080" w:themeColor="background1" w:themeShade="80"/>
            </w:tcBorders>
            <w:shd w:val="clear" w:color="auto" w:fill="F2F2F2" w:themeFill="background1" w:themeFillShade="F2"/>
            <w:vAlign w:val="center"/>
          </w:tcPr>
          <w:p>
            <w:pPr>
              <w:keepNext/>
              <w:keepLines/>
              <w:spacing w:before="120" w:after="120"/>
              <w:jc w:val="center"/>
              <w:outlineLvl w:val="8"/>
              <w:rPr>
                <w:rFonts w:ascii="Times New Roman" w:hAnsi="Times New Roman" w:cs="Times New Roman"/>
                <w:noProof/>
                <w:sz w:val="24"/>
                <w:szCs w:val="24"/>
              </w:rPr>
            </w:pPr>
            <w:bookmarkStart w:id="9" w:name="_Toc449427129"/>
            <w:bookmarkStart w:id="10" w:name="_Toc450908478"/>
            <w:r>
              <w:rPr>
                <w:rFonts w:ascii="Times New Roman" w:hAnsi="Times New Roman"/>
                <w:noProof/>
                <w:sz w:val="24"/>
              </w:rPr>
              <w:t>Acțiuni specifice</w:t>
            </w:r>
          </w:p>
        </w:tc>
      </w:tr>
      <w:tr>
        <w:tc>
          <w:tcPr>
            <w:tcW w:w="9072" w:type="dxa"/>
            <w:tcBorders>
              <w:top w:val="single" w:sz="24" w:space="0" w:color="808080" w:themeColor="background1" w:themeShade="80"/>
            </w:tcBorders>
            <w:shd w:val="clear" w:color="auto" w:fill="D9D9D9" w:themeFill="background1" w:themeFillShade="D9"/>
            <w:vAlign w:val="center"/>
          </w:tcPr>
          <w:p>
            <w:pPr>
              <w:keepNext/>
              <w:keepLines/>
              <w:spacing w:after="120" w:line="276" w:lineRule="auto"/>
              <w:jc w:val="both"/>
              <w:outlineLvl w:val="8"/>
              <w:rPr>
                <w:rFonts w:ascii="Times New Roman" w:hAnsi="Times New Roman" w:cs="Times New Roman"/>
                <w:i/>
                <w:noProof/>
                <w:sz w:val="24"/>
                <w:szCs w:val="24"/>
              </w:rPr>
            </w:pPr>
            <w:r>
              <w:rPr>
                <w:rFonts w:ascii="Times New Roman" w:hAnsi="Times New Roman"/>
                <w:i/>
                <w:noProof/>
                <w:sz w:val="24"/>
              </w:rPr>
              <w:t>Statele membre ar trebui:</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să înregistreze în mod sistematic, în SIS și în baza de date privind documentele de călătorie furate sau pierdute, toate documentele furate, pierdute, deținute fără drept sau anulate, pentru a se asigura că acestea sunt confiscate și/sau păstrate ca dovadă pentru procesele penale, în cazul în care sunt prezentate din nou de titular, scoțându-le astfel efectiv din circulație;</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să alimenteze în mod sistematic bazele de date ale Interpol cu informații privind documentele de călătorie pierdute, furate, deținute fără drept sau anulate eliberate de țările terțe, în cazul în care țările în cauză nu fac acest lucru;</w:t>
            </w:r>
          </w:p>
          <w:p>
            <w:pPr>
              <w:keepNext/>
              <w:keepLines/>
              <w:numPr>
                <w:ilvl w:val="0"/>
                <w:numId w:val="14"/>
              </w:numPr>
              <w:spacing w:after="120" w:line="276" w:lineRule="auto"/>
              <w:ind w:left="714" w:hanging="357"/>
              <w:jc w:val="both"/>
              <w:outlineLvl w:val="8"/>
              <w:rPr>
                <w:rFonts w:ascii="Times New Roman" w:hAnsi="Times New Roman" w:cs="Times New Roman"/>
                <w:noProof/>
                <w:sz w:val="24"/>
                <w:szCs w:val="24"/>
              </w:rPr>
            </w:pPr>
            <w:r>
              <w:rPr>
                <w:rFonts w:ascii="Times New Roman" w:hAnsi="Times New Roman"/>
                <w:noProof/>
                <w:sz w:val="24"/>
              </w:rPr>
              <w:t>să asigure un acces mai bun al polițiștilor de frontieră la sistemele de informații relevante;</w:t>
            </w:r>
          </w:p>
          <w:p>
            <w:pPr>
              <w:keepNext/>
              <w:keepLines/>
              <w:numPr>
                <w:ilvl w:val="0"/>
                <w:numId w:val="14"/>
              </w:numPr>
              <w:spacing w:after="120" w:line="276" w:lineRule="auto"/>
              <w:ind w:left="714" w:hanging="357"/>
              <w:jc w:val="both"/>
              <w:outlineLvl w:val="8"/>
              <w:rPr>
                <w:rFonts w:ascii="Times New Roman" w:hAnsi="Times New Roman" w:cs="Times New Roman"/>
                <w:noProof/>
                <w:sz w:val="24"/>
                <w:szCs w:val="24"/>
              </w:rPr>
            </w:pPr>
            <w:r>
              <w:rPr>
                <w:rFonts w:ascii="Times New Roman" w:hAnsi="Times New Roman"/>
                <w:noProof/>
                <w:sz w:val="24"/>
              </w:rPr>
              <w:t>să amelioreze colectarea de date și schimbul de informații privind fraudarea documentelor, în special privind fraudele de asemănare, documentele autentice obținute în mod fraudulos și frauda de identitate și</w:t>
            </w:r>
          </w:p>
          <w:p>
            <w:pPr>
              <w:keepNext/>
              <w:keepLines/>
              <w:numPr>
                <w:ilvl w:val="0"/>
                <w:numId w:val="14"/>
              </w:numPr>
              <w:spacing w:after="120" w:line="276" w:lineRule="auto"/>
              <w:ind w:left="714" w:hanging="357"/>
              <w:jc w:val="both"/>
              <w:outlineLvl w:val="8"/>
              <w:rPr>
                <w:rFonts w:ascii="Times New Roman" w:hAnsi="Times New Roman" w:cs="Times New Roman"/>
                <w:noProof/>
                <w:sz w:val="24"/>
                <w:szCs w:val="24"/>
              </w:rPr>
            </w:pPr>
            <w:r>
              <w:rPr>
                <w:rFonts w:ascii="Times New Roman" w:hAnsi="Times New Roman"/>
                <w:noProof/>
                <w:sz w:val="24"/>
              </w:rPr>
              <w:t>să accelereze punerea în aplicare a funcționalității de căutare a amprentelor digitale în cadrul SIS.</w:t>
            </w:r>
          </w:p>
          <w:p>
            <w:pPr>
              <w:spacing w:after="120" w:line="276" w:lineRule="auto"/>
              <w:jc w:val="both"/>
              <w:rPr>
                <w:rFonts w:ascii="Times New Roman" w:hAnsi="Times New Roman" w:cs="Times New Roman"/>
                <w:i/>
                <w:noProof/>
                <w:sz w:val="24"/>
                <w:szCs w:val="24"/>
              </w:rPr>
            </w:pPr>
            <w:r>
              <w:rPr>
                <w:rFonts w:ascii="Times New Roman" w:hAnsi="Times New Roman"/>
                <w:i/>
                <w:noProof/>
                <w:sz w:val="24"/>
              </w:rPr>
              <w:t>Comisia:</w:t>
            </w:r>
          </w:p>
          <w:p>
            <w:pPr>
              <w:numPr>
                <w:ilvl w:val="0"/>
                <w:numId w:val="14"/>
              </w:numPr>
              <w:spacing w:after="12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va propune revizuirea temeiului juridic al SIS, astfel încât, începând din decembrie 2016, statele membre să poată introduce în acest sistem documentele de călătorie falsificate; </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color w:val="000000" w:themeColor="text1"/>
                <w:sz w:val="24"/>
              </w:rPr>
              <w:t>va discuta cu statele membre modalitățile de îmbunătățire a utilizării bazei de date online privind documentele false și autentice (FADO), inclusiv examinând opțiunile referitoare la dezvoltarea sa viitoare, sinergiile sale și valoarea sa adăugată, începând din primul trimestru din 2017;</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va furniza o listă actualizată în mod regulat a certificatelor necesare pentru autentificarea electronică a documentelor de călătorie în cursul trimestrului al treilea din 2017;</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va colabora cu agențiile competente ale UE pentru a stimula activitățile de formare în noile domenii ale fraudării documentelor;</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va analiza fezabilitatea includerii cerințelor de formare în cadrul Directivei privind responsabilitatea transportatorilor;</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color w:val="000000" w:themeColor="text1"/>
                <w:sz w:val="24"/>
              </w:rPr>
              <w:t>va examina modalitățile de a îmbunătăți disponibilitatea informațiilor privind documentele noi și documentele false pentru comunitatea nespecialiștilor în materie de documente în cursul trimestrului al patrulea din 2017;</w:t>
            </w:r>
            <w:r>
              <w:rPr>
                <w:rFonts w:ascii="Times New Roman" w:hAnsi="Times New Roman"/>
                <w:noProof/>
                <w:sz w:val="24"/>
              </w:rPr>
              <w:t xml:space="preserve"> </w:t>
            </w:r>
          </w:p>
          <w:p>
            <w:pPr>
              <w:numPr>
                <w:ilvl w:val="0"/>
                <w:numId w:val="14"/>
              </w:numPr>
              <w:spacing w:after="120" w:line="276" w:lineRule="auto"/>
              <w:contextualSpacing/>
              <w:jc w:val="both"/>
              <w:rPr>
                <w:rFonts w:ascii="Times New Roman" w:hAnsi="Times New Roman" w:cs="Times New Roman"/>
                <w:noProof/>
                <w:spacing w:val="-4"/>
                <w:sz w:val="24"/>
                <w:szCs w:val="24"/>
              </w:rPr>
            </w:pPr>
            <w:r>
              <w:rPr>
                <w:rFonts w:ascii="Times New Roman" w:hAnsi="Times New Roman"/>
                <w:noProof/>
                <w:spacing w:val="-4"/>
                <w:sz w:val="24"/>
              </w:rPr>
              <w:t xml:space="preserve">va continua să monitorizeze punerea în aplicare a legislației UE privind utilizarea aplicațiilor biometrice pentru securitatea documentelor și schimbul de certificate între statele membre și </w:t>
            </w:r>
          </w:p>
          <w:p>
            <w:pPr>
              <w:numPr>
                <w:ilvl w:val="0"/>
                <w:numId w:val="14"/>
              </w:numPr>
              <w:spacing w:after="12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va pune în aplicare o funcționalitate de „căutare a amprentelor digitale” la nivel central în cadrul SIS în trimestrul al patrulea din 2017. </w:t>
            </w:r>
          </w:p>
        </w:tc>
      </w:tr>
      <w:bookmarkEnd w:id="9"/>
      <w:bookmarkEnd w:id="10"/>
    </w:tbl>
    <w:p>
      <w:pPr>
        <w:spacing w:after="0" w:line="240" w:lineRule="auto"/>
        <w:jc w:val="both"/>
        <w:rPr>
          <w:rFonts w:ascii="Times New Roman Bold" w:eastAsiaTheme="majorEastAsia" w:hAnsi="Times New Roman Bold" w:cs="Times New Roman" w:hint="eastAsia"/>
          <w:b/>
          <w:smallCaps/>
          <w:noProof/>
          <w:spacing w:val="5"/>
          <w:sz w:val="24"/>
          <w:szCs w:val="24"/>
        </w:rPr>
      </w:pPr>
    </w:p>
    <w:p>
      <w:pPr>
        <w:spacing w:after="240" w:line="240" w:lineRule="auto"/>
        <w:jc w:val="both"/>
        <w:rPr>
          <w:rFonts w:ascii="Times New Roman" w:hAnsi="Times New Roman" w:cs="Times New Roman"/>
          <w:noProof/>
          <w:sz w:val="24"/>
          <w:szCs w:val="24"/>
        </w:rPr>
      </w:pPr>
      <w:r>
        <w:rPr>
          <w:rFonts w:ascii="Times New Roman Bold" w:eastAsiaTheme="majorEastAsia" w:hAnsi="Times New Roman Bold"/>
          <w:b/>
          <w:smallCaps/>
          <w:noProof/>
          <w:spacing w:val="5"/>
          <w:sz w:val="24"/>
        </w:rPr>
        <w:t>III.</w:t>
      </w:r>
      <w:r>
        <w:rPr>
          <w:noProof/>
        </w:rPr>
        <w:tab/>
      </w:r>
      <w:r>
        <w:rPr>
          <w:rFonts w:ascii="Times New Roman Bold" w:eastAsiaTheme="majorEastAsia" w:hAnsi="Times New Roman Bold"/>
          <w:b/>
          <w:smallCaps/>
          <w:noProof/>
          <w:spacing w:val="5"/>
          <w:sz w:val="24"/>
        </w:rPr>
        <w:t>MĂSURI ULTERIOARE</w:t>
      </w:r>
    </w:p>
    <w:p>
      <w:pPr>
        <w:spacing w:after="240" w:line="240" w:lineRule="auto"/>
        <w:jc w:val="both"/>
        <w:rPr>
          <w:rFonts w:ascii="Times New Roman" w:hAnsi="Times New Roman" w:cs="Times New Roman"/>
          <w:noProof/>
          <w:sz w:val="24"/>
          <w:szCs w:val="24"/>
        </w:rPr>
      </w:pPr>
      <w:r>
        <w:rPr>
          <w:rFonts w:ascii="Times New Roman" w:hAnsi="Times New Roman"/>
          <w:noProof/>
          <w:spacing w:val="-4"/>
          <w:sz w:val="24"/>
        </w:rPr>
        <w:t>Comisia invită statele membre să ia toate măsurile necesare pentru a asigura punerea în aplicare rapidă a prezentului plan de acțiune. Până la sfârșitul primului trimestru din 2018, Comisia va prezenta Parlamentului European și Consiliului un raport privind progresele înregistrate.</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186433"/>
      <w:docPartObj>
        <w:docPartGallery w:val="Page Numbers (Bottom of Page)"/>
        <w:docPartUnique/>
      </w:docPartObj>
    </w:sdtPr>
    <w:sdtEndPr>
      <w:rPr>
        <w:noProof/>
      </w:rPr>
    </w:sdtEndPr>
    <w:sdtContent>
      <w:p>
        <w:pPr>
          <w:pStyle w:val="Footer"/>
          <w:jc w:val="center"/>
        </w:pPr>
      </w:p>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lang w:val="en-GB"/>
        </w:rPr>
      </w:pPr>
      <w:r>
        <w:rPr>
          <w:rStyle w:val="FootnoteReference"/>
        </w:rPr>
        <w:footnoteRef/>
      </w:r>
      <w:r>
        <w:t xml:space="preserve"> </w:t>
      </w:r>
      <w:r>
        <w:tab/>
        <w:t xml:space="preserve">Documentul de lucru al serviciilor Comisiei SWD(2016) 159 final, care însoțește </w:t>
      </w:r>
      <w:r>
        <w:rPr>
          <w:i/>
        </w:rPr>
        <w:t>Raportul Comisiei privind progresele înregistrate în lupta împotriva traficului de persoane</w:t>
      </w:r>
      <w:r>
        <w:t xml:space="preserve"> (2016).</w:t>
      </w:r>
    </w:p>
  </w:footnote>
  <w:footnote w:id="2">
    <w:p>
      <w:pPr>
        <w:pStyle w:val="FootnoteText"/>
        <w:ind w:left="284" w:hanging="284"/>
        <w:jc w:val="both"/>
        <w:rPr>
          <w:lang w:val="en-GB"/>
        </w:rPr>
      </w:pPr>
      <w:r>
        <w:rPr>
          <w:rStyle w:val="FootnoteReference"/>
        </w:rPr>
        <w:footnoteRef/>
      </w:r>
      <w:r>
        <w:t xml:space="preserve"> </w:t>
      </w:r>
      <w:r>
        <w:tab/>
        <w:t>COM(2016) 602 final, 14.9.2016.</w:t>
      </w:r>
    </w:p>
  </w:footnote>
  <w:footnote w:id="3">
    <w:p>
      <w:pPr>
        <w:pStyle w:val="FootnoteText"/>
        <w:ind w:left="284" w:hanging="284"/>
        <w:jc w:val="both"/>
        <w:rPr>
          <w:lang w:val="en-GB"/>
        </w:rPr>
      </w:pPr>
      <w:r>
        <w:rPr>
          <w:rStyle w:val="FootnoteReference"/>
        </w:rPr>
        <w:footnoteRef/>
      </w:r>
      <w:r>
        <w:t xml:space="preserve"> </w:t>
      </w:r>
      <w:r>
        <w:tab/>
        <w:t>În al doilea trimestru din 2016, documentele din UE au reprezentat 74,33 % din cărțile de identitate false, 60,46 % din permisele de ședere false și 17,11 % din pașapoartele false (raportul trimestrial de analiză a riscurilor, elaborat de poliția de frontieră și garda de coastă la nivel european).</w:t>
      </w:r>
    </w:p>
  </w:footnote>
  <w:footnote w:id="4">
    <w:p>
      <w:pPr>
        <w:pStyle w:val="FootnoteText"/>
        <w:ind w:left="284" w:hanging="284"/>
        <w:jc w:val="both"/>
        <w:rPr>
          <w:lang w:val="en-GB"/>
        </w:rPr>
      </w:pPr>
      <w:r>
        <w:rPr>
          <w:rStyle w:val="FootnoteReference"/>
        </w:rPr>
        <w:footnoteRef/>
      </w:r>
      <w:r>
        <w:t xml:space="preserve"> </w:t>
      </w:r>
      <w:r>
        <w:tab/>
        <w:t xml:space="preserve">Comunicarea Comisiei intitulată </w:t>
      </w:r>
      <w:r>
        <w:rPr>
          <w:i/>
        </w:rPr>
        <w:t>Punerea în aplicare a Agendei europene privind securitatea pentru a combate terorismul și a deschide calea către o uniune a securității efectivă și autentică</w:t>
      </w:r>
      <w:r>
        <w:t xml:space="preserve"> [COM(2016) 230 final, 20.4.2016].</w:t>
      </w:r>
    </w:p>
  </w:footnote>
  <w:footnote w:id="5">
    <w:p>
      <w:pPr>
        <w:pStyle w:val="FootnoteText"/>
        <w:ind w:left="284" w:hanging="284"/>
        <w:jc w:val="both"/>
        <w:rPr>
          <w:lang w:val="it-IT"/>
        </w:rPr>
      </w:pPr>
      <w:r>
        <w:rPr>
          <w:rStyle w:val="FootnoteReference"/>
        </w:rPr>
        <w:footnoteRef/>
      </w:r>
      <w:r>
        <w:t xml:space="preserve"> </w:t>
      </w:r>
      <w:r>
        <w:tab/>
      </w:r>
      <w:hyperlink r:id="rId1">
        <w:r>
          <w:rPr>
            <w:rStyle w:val="Hyperlink"/>
          </w:rPr>
          <w:t>http://frontex.europa.eu/publications</w:t>
        </w:r>
      </w:hyperlink>
      <w:r>
        <w:t xml:space="preserve"> </w:t>
      </w:r>
    </w:p>
  </w:footnote>
  <w:footnote w:id="6">
    <w:p>
      <w:pPr>
        <w:pStyle w:val="FootnoteText"/>
        <w:ind w:left="284" w:hanging="284"/>
        <w:jc w:val="both"/>
        <w:rPr>
          <w:lang w:val="it-IT"/>
        </w:rPr>
      </w:pPr>
      <w:r>
        <w:rPr>
          <w:rStyle w:val="FootnoteReference"/>
        </w:rPr>
        <w:footnoteRef/>
      </w:r>
      <w:r>
        <w:t xml:space="preserve"> </w:t>
      </w:r>
      <w:r>
        <w:tab/>
        <w:t xml:space="preserve">Referitor la cerințele în materie de control la frontiere, a se vedea titlul V capitolul 2 din Tratatul privind funcționarea Uniunii Europene (TFUE). </w:t>
      </w:r>
    </w:p>
  </w:footnote>
  <w:footnote w:id="7">
    <w:p>
      <w:pPr>
        <w:pStyle w:val="FootnoteText"/>
        <w:ind w:left="284" w:hanging="284"/>
        <w:jc w:val="both"/>
        <w:rPr>
          <w:lang w:val="it-IT"/>
        </w:rPr>
      </w:pPr>
      <w:r>
        <w:rPr>
          <w:rStyle w:val="FootnoteReference"/>
        </w:rPr>
        <w:footnoteRef/>
      </w:r>
      <w:r>
        <w:t xml:space="preserve"> </w:t>
      </w:r>
      <w:r>
        <w:tab/>
        <w:t>Documentele de origine sunt certificate de naștere, de căsătorie și de deces, utilizate ca acte justificative pentru cererile de documente de identitate, de ședere și de călătorie.</w:t>
      </w:r>
    </w:p>
  </w:footnote>
  <w:footnote w:id="8">
    <w:p>
      <w:pPr>
        <w:pStyle w:val="FootnoteText"/>
        <w:ind w:left="284" w:hanging="284"/>
        <w:jc w:val="both"/>
      </w:pPr>
      <w:r>
        <w:rPr>
          <w:rStyle w:val="FootnoteReference"/>
        </w:rPr>
        <w:footnoteRef/>
      </w:r>
      <w:r>
        <w:t xml:space="preserve"> </w:t>
      </w:r>
      <w:r>
        <w:tab/>
        <w:t>Două proiecte finanțate de Al șaptelea program-cadru (PC7) în cadrul temei privind securitatea se referă în mod specific la securitatea documentelor și la gestionarea identității: „Fast and trustworthy identity delivery and check with e-passports leveraging traveller privacy”</w:t>
      </w:r>
      <w:r>
        <w:rPr>
          <w:i/>
        </w:rPr>
        <w:t xml:space="preserve"> (Fidelity)</w:t>
      </w:r>
      <w:r>
        <w:t xml:space="preserve"> și „Recommendations for reliable breeder documents restoring e-passport confidence and leveraging extended border security”</w:t>
      </w:r>
      <w:r>
        <w:rPr>
          <w:i/>
        </w:rPr>
        <w:t xml:space="preserve"> (Origins)</w:t>
      </w:r>
      <w:r>
        <w:t>. Provocarea privind societățile sigure din cadrul programului Orizont 2020 finanțează proiectul intitulat „Ecosistemul european de identitate fiabil” (Aries).</w:t>
      </w:r>
    </w:p>
  </w:footnote>
  <w:footnote w:id="9">
    <w:p>
      <w:pPr>
        <w:pStyle w:val="FootnoteText"/>
        <w:ind w:left="284" w:hanging="284"/>
        <w:jc w:val="both"/>
      </w:pPr>
      <w:r>
        <w:rPr>
          <w:rStyle w:val="FootnoteReference"/>
        </w:rPr>
        <w:footnoteRef/>
      </w:r>
      <w:r>
        <w:t xml:space="preserve"> </w:t>
      </w:r>
      <w:r>
        <w:tab/>
        <w:t>Regulamentul (UE) nr. 910/2014 al Parlamentului European și al Consiliului din 23 iulie 2014 privind identificarea electronică și serviciile de încredere pentru tranzacțiile electronice pe piața internă și de abrogare a Directivei 1999/93/CE (JO L 257, 28.8.2014, p. 73-114).</w:t>
      </w:r>
    </w:p>
  </w:footnote>
  <w:footnote w:id="10">
    <w:p>
      <w:pPr>
        <w:pStyle w:val="FootnoteText"/>
        <w:ind w:left="284" w:hanging="284"/>
        <w:jc w:val="both"/>
        <w:rPr>
          <w:sz w:val="18"/>
          <w:szCs w:val="18"/>
        </w:rPr>
      </w:pPr>
      <w:r>
        <w:rPr>
          <w:rStyle w:val="FootnoteReference"/>
        </w:rPr>
        <w:footnoteRef/>
      </w:r>
      <w:r>
        <w:t xml:space="preserve"> </w:t>
      </w:r>
      <w:r>
        <w:tab/>
        <w:t>Regulamentul (UE) 2016/1191 al Parlamentului European și al Consiliului din 6 iulie 2016 privind promovarea liberei circulații a cetățenilor prin simplificarea cerințelor de prezentare a anumitor documente oficiale în Uniunea Europeană și de modificare a Regulamentului (UE) nr. 1024/2012 (JO L 200, 26.7.2016, p. 1–136).</w:t>
      </w:r>
    </w:p>
  </w:footnote>
  <w:footnote w:id="11">
    <w:p>
      <w:pPr>
        <w:pStyle w:val="FootnoteText"/>
        <w:ind w:left="284" w:hanging="284"/>
        <w:jc w:val="both"/>
      </w:pPr>
      <w:r>
        <w:rPr>
          <w:rStyle w:val="FootnoteReference"/>
        </w:rPr>
        <w:footnoteRef/>
      </w:r>
      <w:r>
        <w:rPr>
          <w:rStyle w:val="FootnoteReference"/>
        </w:rPr>
        <w:t xml:space="preserve"> </w:t>
      </w:r>
      <w:r>
        <w:tab/>
        <w:t>Concluziile reprezentanților guvernelor statelor membre privind standardele minime comune de securitate pentru cărțile de identitate naționale (1-2 decembrie 2005).</w:t>
      </w:r>
    </w:p>
  </w:footnote>
  <w:footnote w:id="12">
    <w:p>
      <w:pPr>
        <w:pStyle w:val="FootnoteText"/>
        <w:ind w:left="284" w:hanging="284"/>
      </w:pPr>
      <w:r>
        <w:rPr>
          <w:rStyle w:val="FootnoteReference"/>
        </w:rPr>
        <w:footnoteRef/>
      </w:r>
      <w:r>
        <w:t xml:space="preserve"> </w:t>
      </w:r>
      <w:r>
        <w:tab/>
        <w:t>Rezoluția reprezentanților guvernelor statelor membre, reuniți în cadrul Consiliului din 4-5 decembrie 2006, privind standardele minime de securitate pentru cărțile de identitate valabile pentru călătorie eliberate de statele membre.</w:t>
      </w:r>
    </w:p>
  </w:footnote>
  <w:footnote w:id="13">
    <w:p>
      <w:pPr>
        <w:pStyle w:val="FootnoteText"/>
        <w:ind w:left="284" w:hanging="284"/>
        <w:jc w:val="both"/>
      </w:pPr>
      <w:r>
        <w:rPr>
          <w:rStyle w:val="FootnoteReference"/>
        </w:rPr>
        <w:footnoteRef/>
      </w:r>
      <w:r>
        <w:t xml:space="preserve"> </w:t>
      </w:r>
      <w:r>
        <w:tab/>
        <w:t>Regulamentul (CE) nr. 2252/2004 (JO L 385, 29.12.2004, p. 1). Regatul Unit și Irlanda nu iau parte la această măsură.</w:t>
      </w:r>
    </w:p>
  </w:footnote>
  <w:footnote w:id="14">
    <w:p>
      <w:pPr>
        <w:pStyle w:val="FootnoteText"/>
        <w:ind w:left="284" w:hanging="284"/>
        <w:jc w:val="both"/>
      </w:pPr>
      <w:r>
        <w:rPr>
          <w:rStyle w:val="FootnoteReference"/>
        </w:rPr>
        <w:footnoteRef/>
      </w:r>
      <w:r>
        <w:t xml:space="preserve"> </w:t>
      </w:r>
      <w:r>
        <w:tab/>
        <w:t>Regulamentul (CE) nr. 1683/95 (JO L 164, 14.7.1995, p. 1).</w:t>
      </w:r>
    </w:p>
  </w:footnote>
  <w:footnote w:id="15">
    <w:p>
      <w:pPr>
        <w:pStyle w:val="FootnoteText"/>
        <w:ind w:left="284" w:hanging="284"/>
        <w:jc w:val="both"/>
        <w:rPr>
          <w:lang w:val="pt-PT"/>
        </w:rPr>
      </w:pPr>
      <w:r>
        <w:rPr>
          <w:rStyle w:val="FootnoteReference"/>
        </w:rPr>
        <w:footnoteRef/>
      </w:r>
      <w:r>
        <w:t xml:space="preserve"> </w:t>
      </w:r>
      <w:r>
        <w:tab/>
        <w:t>Regulamentul (CE) nr. 1030/2002 (JO L 157, 15.6.2002, p. 1).</w:t>
      </w:r>
    </w:p>
  </w:footnote>
  <w:footnote w:id="16">
    <w:p>
      <w:pPr>
        <w:pStyle w:val="FootnoteText"/>
        <w:ind w:left="284" w:hanging="284"/>
        <w:jc w:val="both"/>
        <w:rPr>
          <w:lang w:val="pt-PT"/>
        </w:rPr>
      </w:pPr>
      <w:r>
        <w:rPr>
          <w:rStyle w:val="FootnoteReference"/>
        </w:rPr>
        <w:footnoteRef/>
      </w:r>
      <w:r>
        <w:t xml:space="preserve"> </w:t>
      </w:r>
      <w:r>
        <w:tab/>
        <w:t>Regulamentul (CE) nr. 1931/2006 (JO L 405, 30.12.2006, p. 1).</w:t>
      </w:r>
    </w:p>
  </w:footnote>
  <w:footnote w:id="17">
    <w:p>
      <w:pPr>
        <w:pStyle w:val="FootnoteText"/>
        <w:ind w:left="284" w:hanging="284"/>
        <w:jc w:val="both"/>
        <w:rPr>
          <w:lang w:val="pt-PT"/>
        </w:rPr>
      </w:pPr>
      <w:r>
        <w:rPr>
          <w:rStyle w:val="FootnoteReference"/>
        </w:rPr>
        <w:footnoteRef/>
      </w:r>
      <w:r>
        <w:t xml:space="preserve"> </w:t>
      </w:r>
      <w:r>
        <w:tab/>
        <w:t>Propunere de regulament de modificare a Regulamentului (CE) nr. 1683/1995 din 29 mai 1995 de instituire a unui model uniform de viză [COM(2015) 303 final]; Propunere de regulament de modificare a Regulamentului (CE) nr. 1030/2002 de instituire a unui model uniform de permis de ședere pentru resortisanții țărilor terțe [COM(2016) 434 final].</w:t>
      </w:r>
    </w:p>
  </w:footnote>
  <w:footnote w:id="18">
    <w:p>
      <w:pPr>
        <w:pStyle w:val="FootnoteText"/>
        <w:ind w:left="284" w:hanging="284"/>
        <w:jc w:val="both"/>
        <w:rPr>
          <w:lang w:val="pt-PT"/>
        </w:rPr>
      </w:pPr>
      <w:r>
        <w:rPr>
          <w:rStyle w:val="FootnoteReference"/>
        </w:rPr>
        <w:footnoteRef/>
      </w:r>
      <w:r>
        <w:t xml:space="preserve"> </w:t>
      </w:r>
      <w:r>
        <w:tab/>
        <w:t>Studiu de sprijinire a elaborării unei evaluări a impactului referitoare la inițiativele de politică ale UE privind documentele de ședere și de identitate pentru a facilita exercitarea dreptului la libera circulație.</w:t>
      </w:r>
    </w:p>
  </w:footnote>
  <w:footnote w:id="19">
    <w:p>
      <w:pPr>
        <w:pStyle w:val="FootnoteText"/>
        <w:ind w:left="284" w:hanging="284"/>
        <w:rPr>
          <w:lang w:val="pt-PT"/>
        </w:rPr>
      </w:pPr>
      <w:r>
        <w:rPr>
          <w:rStyle w:val="FootnoteReference"/>
        </w:rPr>
        <w:footnoteRef/>
      </w:r>
      <w:r>
        <w:t xml:space="preserve"> </w:t>
      </w:r>
      <w:r>
        <w:tab/>
        <w:t>Decizia reprezentanților guvernelor statelor membre reuniți în cadrul Consiliului din 25.6.1996; JO L 168 din 6.7.1996.</w:t>
      </w:r>
    </w:p>
  </w:footnote>
  <w:footnote w:id="20">
    <w:p>
      <w:pPr>
        <w:pStyle w:val="FootnoteText"/>
        <w:ind w:left="284" w:hanging="284"/>
        <w:rPr>
          <w:lang w:val="pt-PT"/>
        </w:rPr>
      </w:pPr>
      <w:r>
        <w:rPr>
          <w:rStyle w:val="FootnoteReference"/>
        </w:rPr>
        <w:footnoteRef/>
      </w:r>
      <w:r>
        <w:t xml:space="preserve"> </w:t>
      </w:r>
      <w:r>
        <w:tab/>
        <w:t>Și ca urmare a intrării în vigoare a Directivei 2015/637/UE privind măsurile de coordonare și cooperare pentru facilitarea protecției consulare a cetățenilor nereprezentați ai Uniunii în țările terțe.</w:t>
      </w:r>
    </w:p>
  </w:footnote>
  <w:footnote w:id="21">
    <w:p>
      <w:pPr>
        <w:pStyle w:val="FootnoteText"/>
        <w:ind w:left="284" w:hanging="284"/>
        <w:rPr>
          <w:lang w:val="it-IT"/>
        </w:rPr>
      </w:pPr>
      <w:r>
        <w:rPr>
          <w:rStyle w:val="FootnoteReference"/>
        </w:rPr>
        <w:footnoteRef/>
      </w:r>
      <w:r>
        <w:t xml:space="preserve"> </w:t>
      </w:r>
      <w:r>
        <w:tab/>
        <w:t>Decizia C(2011) 5499 a Comisiei din 4 august 2011.</w:t>
      </w:r>
    </w:p>
  </w:footnote>
  <w:footnote w:id="22">
    <w:p>
      <w:pPr>
        <w:pStyle w:val="FootnoteText"/>
        <w:ind w:left="284" w:hanging="284"/>
        <w:jc w:val="both"/>
        <w:rPr>
          <w:lang w:val="it-IT"/>
        </w:rPr>
      </w:pPr>
      <w:r>
        <w:rPr>
          <w:rStyle w:val="FootnoteReference"/>
        </w:rPr>
        <w:footnoteRef/>
      </w:r>
      <w:r>
        <w:t xml:space="preserve"> </w:t>
      </w:r>
      <w:r>
        <w:tab/>
        <w:t>Modificarea fizionomiei (</w:t>
      </w:r>
      <w:r>
        <w:rPr>
          <w:i/>
        </w:rPr>
        <w:t>face-morphing</w:t>
      </w:r>
      <w:r>
        <w:t>): contopirea a două imagini faciale într-una singură cu ajutorul programelor digitale; uzurparea amprentelor digitale (</w:t>
      </w:r>
      <w:r>
        <w:rPr>
          <w:i/>
        </w:rPr>
        <w:t>fingerprint-spoofing</w:t>
      </w:r>
      <w:r>
        <w:t>): utilizarea de amprente digitale false, prin copierea amprentelor digitale pe cauciuc.</w:t>
      </w:r>
    </w:p>
  </w:footnote>
  <w:footnote w:id="23">
    <w:p>
      <w:pPr>
        <w:pStyle w:val="FootnoteText"/>
        <w:ind w:left="284" w:hanging="284"/>
        <w:jc w:val="both"/>
        <w:rPr>
          <w:lang w:val="it-IT"/>
        </w:rPr>
      </w:pPr>
      <w:r>
        <w:rPr>
          <w:rStyle w:val="FootnoteReference"/>
        </w:rPr>
        <w:footnoteRef/>
      </w:r>
      <w:r>
        <w:t xml:space="preserve"> </w:t>
      </w:r>
      <w:r>
        <w:tab/>
        <w:t>Regulamentul (UE) 2016/399 al Parlamentului European și al Consiliului din 9 martie 2016 cu privire la Codul Uniunii privind regimul de trecere a frontierelor de către persoane (Codul Frontierelor Schengen) (JO L 77, 23.3.2016, p. 1).</w:t>
      </w:r>
    </w:p>
  </w:footnote>
  <w:footnote w:id="24">
    <w:p>
      <w:pPr>
        <w:pStyle w:val="FootnoteText"/>
        <w:ind w:left="284" w:hanging="284"/>
        <w:jc w:val="both"/>
        <w:rPr>
          <w:lang w:val="it-IT"/>
        </w:rPr>
      </w:pPr>
      <w:r>
        <w:rPr>
          <w:rStyle w:val="FootnoteReference"/>
        </w:rPr>
        <w:footnoteRef/>
      </w:r>
      <w:r>
        <w:t xml:space="preserve"> </w:t>
      </w:r>
      <w:r>
        <w:tab/>
        <w:t>COM(2016) 194 final, 6.4.2016.</w:t>
      </w:r>
    </w:p>
  </w:footnote>
  <w:footnote w:id="25">
    <w:p>
      <w:pPr>
        <w:pStyle w:val="FootnoteText"/>
        <w:ind w:left="284" w:hanging="284"/>
        <w:jc w:val="both"/>
      </w:pPr>
      <w:r>
        <w:rPr>
          <w:rStyle w:val="FootnoteReference"/>
        </w:rPr>
        <w:footnoteRef/>
      </w:r>
      <w:r>
        <w:t xml:space="preserve"> </w:t>
      </w:r>
      <w:r>
        <w:tab/>
        <w:t>Un index combină certificatele diferitelor autorități naționale de certificare semnatare și este publicat de o țară care a verificat certificatele și a semnat lista. Procedura este prevăzută în documentul 9303 al OACI.</w:t>
      </w:r>
    </w:p>
  </w:footnote>
  <w:footnote w:id="26">
    <w:p>
      <w:pPr>
        <w:pStyle w:val="FootnoteText"/>
        <w:ind w:left="284" w:hanging="284"/>
        <w:jc w:val="both"/>
      </w:pPr>
      <w:r>
        <w:rPr>
          <w:rStyle w:val="FootnoteReference"/>
        </w:rPr>
        <w:footnoteRef/>
      </w:r>
      <w:r>
        <w:t xml:space="preserve"> </w:t>
      </w:r>
      <w:r>
        <w:tab/>
        <w:t>Propunerea de modificare a Codului frontierelor Schengen [COM(2015) 670 final, 15.12.2015] va fi adoptată oficial în primul trimestru din 2017.</w:t>
      </w:r>
    </w:p>
  </w:footnote>
  <w:footnote w:id="27">
    <w:p>
      <w:pPr>
        <w:pStyle w:val="FootnoteText"/>
        <w:ind w:left="284" w:hanging="284"/>
        <w:jc w:val="both"/>
        <w:rPr>
          <w:sz w:val="18"/>
          <w:szCs w:val="18"/>
        </w:rPr>
      </w:pPr>
      <w:r>
        <w:rPr>
          <w:rStyle w:val="FootnoteReference"/>
        </w:rPr>
        <w:footnoteRef/>
      </w:r>
      <w:r>
        <w:t xml:space="preserve"> </w:t>
      </w:r>
      <w:r>
        <w:tab/>
        <w:t>Propunere de regulament al Parlamentului European și al Consiliului de înființare a Sistemului european de informații și autorizare privind călătoriile (ETIAS) și de modificare a Regulamentelor (UE) nr. 515/2014, (UE) 2016/399, (UE) 2016/794 și (UE) 2016/1624 [COM(2016) 731 final].</w:t>
      </w:r>
    </w:p>
  </w:footnote>
  <w:footnote w:id="28">
    <w:p>
      <w:pPr>
        <w:pStyle w:val="FootnoteText"/>
        <w:ind w:left="284" w:hanging="284"/>
        <w:jc w:val="both"/>
      </w:pPr>
      <w:r>
        <w:rPr>
          <w:rStyle w:val="FootnoteReference"/>
        </w:rPr>
        <w:footnoteRef/>
      </w:r>
      <w:r>
        <w:t xml:space="preserve"> </w:t>
      </w:r>
      <w:r>
        <w:tab/>
        <w:t xml:space="preserve">Acesta a fost instituit ca urmare a Comunicării Comisiei intitulate </w:t>
      </w:r>
      <w:r>
        <w:rPr>
          <w:i/>
        </w:rPr>
        <w:t>Sisteme de informații mai puternice și mai inteligente în materie de frontiere și securitate</w:t>
      </w:r>
      <w:r>
        <w:t> [COM(2016) 205 final, 6.4.2016].</w:t>
      </w:r>
    </w:p>
  </w:footnote>
  <w:footnote w:id="29">
    <w:p>
      <w:pPr>
        <w:pStyle w:val="FootnoteText"/>
        <w:ind w:left="284" w:hanging="284"/>
        <w:jc w:val="both"/>
        <w:rPr>
          <w:lang w:val="en-GB"/>
        </w:rPr>
      </w:pPr>
      <w:r>
        <w:rPr>
          <w:rStyle w:val="FootnoteReference"/>
        </w:rPr>
        <w:footnoteRef/>
      </w:r>
      <w:r>
        <w:t xml:space="preserve"> </w:t>
      </w:r>
      <w:r>
        <w:tab/>
        <w:t>De exemplu servicii poștale, bănci, notariate, agenții de turism, firme de închirieri auto, agenții de transfer de bani.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869"/>
    <w:multiLevelType w:val="hybridMultilevel"/>
    <w:tmpl w:val="6520D79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nsid w:val="02841FF7"/>
    <w:multiLevelType w:val="hybridMultilevel"/>
    <w:tmpl w:val="D738F7E4"/>
    <w:lvl w:ilvl="0" w:tplc="844CB9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F02BAE"/>
    <w:multiLevelType w:val="hybridMultilevel"/>
    <w:tmpl w:val="D76CF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80C6EA8"/>
    <w:multiLevelType w:val="hybridMultilevel"/>
    <w:tmpl w:val="F26CBFCC"/>
    <w:lvl w:ilvl="0" w:tplc="08160005">
      <w:start w:val="1"/>
      <w:numFmt w:val="bullet"/>
      <w:lvlText w:val=""/>
      <w:lvlJc w:val="left"/>
      <w:pPr>
        <w:ind w:left="720" w:hanging="360"/>
      </w:pPr>
      <w:rPr>
        <w:rFonts w:ascii="Wingdings" w:hAnsi="Wingdings"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9C65A3"/>
    <w:multiLevelType w:val="hybridMultilevel"/>
    <w:tmpl w:val="AC862C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C1D608B"/>
    <w:multiLevelType w:val="hybridMultilevel"/>
    <w:tmpl w:val="1A08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65333C"/>
    <w:multiLevelType w:val="hybridMultilevel"/>
    <w:tmpl w:val="A4E09D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0E516282"/>
    <w:multiLevelType w:val="hybridMultilevel"/>
    <w:tmpl w:val="A8DC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D3732"/>
    <w:multiLevelType w:val="hybridMultilevel"/>
    <w:tmpl w:val="2A5C986A"/>
    <w:lvl w:ilvl="0" w:tplc="62E6AD9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7D0CAC"/>
    <w:multiLevelType w:val="hybridMultilevel"/>
    <w:tmpl w:val="E84E969A"/>
    <w:lvl w:ilvl="0" w:tplc="12689D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D70E05"/>
    <w:multiLevelType w:val="hybridMultilevel"/>
    <w:tmpl w:val="707C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E80152"/>
    <w:multiLevelType w:val="hybridMultilevel"/>
    <w:tmpl w:val="A4802B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28B72A30"/>
    <w:multiLevelType w:val="hybridMultilevel"/>
    <w:tmpl w:val="3914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256C50"/>
    <w:multiLevelType w:val="hybridMultilevel"/>
    <w:tmpl w:val="0930C9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770007"/>
    <w:multiLevelType w:val="hybridMultilevel"/>
    <w:tmpl w:val="54BE725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316941BD"/>
    <w:multiLevelType w:val="hybridMultilevel"/>
    <w:tmpl w:val="4FFE13A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nsid w:val="3D56464D"/>
    <w:multiLevelType w:val="hybridMultilevel"/>
    <w:tmpl w:val="73B8E94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3DFF2FE0"/>
    <w:multiLevelType w:val="hybridMultilevel"/>
    <w:tmpl w:val="C35896D0"/>
    <w:lvl w:ilvl="0" w:tplc="62E6AD9C">
      <w:start w:val="1"/>
      <w:numFmt w:val="bullet"/>
      <w:lvlText w:val="-"/>
      <w:lvlJc w:val="left"/>
      <w:pPr>
        <w:ind w:left="1429" w:hanging="360"/>
      </w:pPr>
      <w:rPr>
        <w:rFonts w:ascii="Calibri" w:eastAsia="Calibr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nsid w:val="443B40F1"/>
    <w:multiLevelType w:val="hybridMultilevel"/>
    <w:tmpl w:val="7EC6DB46"/>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448A273D"/>
    <w:multiLevelType w:val="hybridMultilevel"/>
    <w:tmpl w:val="33607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B83ED4"/>
    <w:multiLevelType w:val="hybridMultilevel"/>
    <w:tmpl w:val="7AC44ABE"/>
    <w:lvl w:ilvl="0" w:tplc="B49668BA">
      <w:start w:val="1"/>
      <w:numFmt w:val="bullet"/>
      <w:lvlText w:val="-"/>
      <w:lvlJc w:val="left"/>
      <w:pPr>
        <w:ind w:left="720" w:hanging="360"/>
      </w:pPr>
      <w:rPr>
        <w:rFonts w:ascii="Tunga" w:hAnsi="Tunga" w:cs="Tunga"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C82A01"/>
    <w:multiLevelType w:val="hybridMultilevel"/>
    <w:tmpl w:val="81D680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52260A"/>
    <w:multiLevelType w:val="hybridMultilevel"/>
    <w:tmpl w:val="0F6A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A62CCF"/>
    <w:multiLevelType w:val="hybridMultilevel"/>
    <w:tmpl w:val="E5D6E0DA"/>
    <w:lvl w:ilvl="0" w:tplc="08090001">
      <w:start w:val="1"/>
      <w:numFmt w:val="bullet"/>
      <w:lvlText w:val=""/>
      <w:lvlJc w:val="left"/>
      <w:pPr>
        <w:ind w:left="720" w:hanging="360"/>
      </w:pPr>
      <w:rPr>
        <w:rFonts w:ascii="Symbol" w:hAnsi="Symbol" w:hint="default"/>
      </w:rPr>
    </w:lvl>
    <w:lvl w:ilvl="1" w:tplc="B49668BA">
      <w:start w:val="1"/>
      <w:numFmt w:val="bullet"/>
      <w:lvlText w:val="-"/>
      <w:lvlJc w:val="left"/>
      <w:pPr>
        <w:ind w:left="1440" w:hanging="360"/>
      </w:pPr>
      <w:rPr>
        <w:rFonts w:ascii="Tunga" w:hAnsi="Tunga" w:cs="Tunga" w:hint="default"/>
        <w:color w:val="auto"/>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C77679"/>
    <w:multiLevelType w:val="hybridMultilevel"/>
    <w:tmpl w:val="B3EC04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5AE4394E"/>
    <w:multiLevelType w:val="hybridMultilevel"/>
    <w:tmpl w:val="5656AD1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5DF967DE"/>
    <w:multiLevelType w:val="hybridMultilevel"/>
    <w:tmpl w:val="03FA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67B42"/>
    <w:multiLevelType w:val="hybridMultilevel"/>
    <w:tmpl w:val="C27A3F22"/>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8">
    <w:nsid w:val="60987501"/>
    <w:multiLevelType w:val="hybridMultilevel"/>
    <w:tmpl w:val="17768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C4025D5"/>
    <w:multiLevelType w:val="hybridMultilevel"/>
    <w:tmpl w:val="10862C8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nsid w:val="71150587"/>
    <w:multiLevelType w:val="hybridMultilevel"/>
    <w:tmpl w:val="6CF67518"/>
    <w:lvl w:ilvl="0" w:tplc="12689D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7F24774"/>
    <w:multiLevelType w:val="hybridMultilevel"/>
    <w:tmpl w:val="511AB502"/>
    <w:lvl w:ilvl="0" w:tplc="7F2C42D4">
      <w:start w:val="1"/>
      <w:numFmt w:val="decimal"/>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155A2A"/>
    <w:multiLevelType w:val="hybridMultilevel"/>
    <w:tmpl w:val="D49C252A"/>
    <w:lvl w:ilvl="0" w:tplc="049891A8">
      <w:start w:val="1"/>
      <w:numFmt w:val="decimal"/>
      <w:lvlText w:val="2.%1."/>
      <w:lvlJc w:val="left"/>
      <w:pPr>
        <w:ind w:left="1069"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8634B6"/>
    <w:multiLevelType w:val="hybridMultilevel"/>
    <w:tmpl w:val="170A4EF8"/>
    <w:lvl w:ilvl="0" w:tplc="62E6AD9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097A72"/>
    <w:multiLevelType w:val="hybridMultilevel"/>
    <w:tmpl w:val="8C02C5BE"/>
    <w:lvl w:ilvl="0" w:tplc="A7FA8C22">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nsid w:val="7EDB67EC"/>
    <w:multiLevelType w:val="hybridMultilevel"/>
    <w:tmpl w:val="27705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9"/>
  </w:num>
  <w:num w:numId="3">
    <w:abstractNumId w:val="3"/>
  </w:num>
  <w:num w:numId="4">
    <w:abstractNumId w:val="6"/>
  </w:num>
  <w:num w:numId="5">
    <w:abstractNumId w:val="34"/>
  </w:num>
  <w:num w:numId="6">
    <w:abstractNumId w:val="16"/>
  </w:num>
  <w:num w:numId="7">
    <w:abstractNumId w:val="26"/>
  </w:num>
  <w:num w:numId="8">
    <w:abstractNumId w:val="33"/>
  </w:num>
  <w:num w:numId="9">
    <w:abstractNumId w:val="8"/>
  </w:num>
  <w:num w:numId="10">
    <w:abstractNumId w:val="17"/>
  </w:num>
  <w:num w:numId="11">
    <w:abstractNumId w:val="1"/>
  </w:num>
  <w:num w:numId="12">
    <w:abstractNumId w:val="31"/>
  </w:num>
  <w:num w:numId="13">
    <w:abstractNumId w:val="32"/>
  </w:num>
  <w:num w:numId="14">
    <w:abstractNumId w:val="20"/>
  </w:num>
  <w:num w:numId="15">
    <w:abstractNumId w:val="10"/>
  </w:num>
  <w:num w:numId="16">
    <w:abstractNumId w:val="25"/>
  </w:num>
  <w:num w:numId="17">
    <w:abstractNumId w:val="18"/>
  </w:num>
  <w:num w:numId="18">
    <w:abstractNumId w:val="5"/>
  </w:num>
  <w:num w:numId="19">
    <w:abstractNumId w:val="2"/>
  </w:num>
  <w:num w:numId="20">
    <w:abstractNumId w:val="4"/>
  </w:num>
  <w:num w:numId="21">
    <w:abstractNumId w:val="22"/>
  </w:num>
  <w:num w:numId="22">
    <w:abstractNumId w:val="12"/>
  </w:num>
  <w:num w:numId="23">
    <w:abstractNumId w:val="19"/>
  </w:num>
  <w:num w:numId="24">
    <w:abstractNumId w:val="21"/>
  </w:num>
  <w:num w:numId="25">
    <w:abstractNumId w:val="35"/>
  </w:num>
  <w:num w:numId="26">
    <w:abstractNumId w:val="13"/>
  </w:num>
  <w:num w:numId="27">
    <w:abstractNumId w:val="9"/>
  </w:num>
  <w:num w:numId="28">
    <w:abstractNumId w:val="30"/>
  </w:num>
  <w:num w:numId="29">
    <w:abstractNumId w:val="20"/>
  </w:num>
  <w:num w:numId="30">
    <w:abstractNumId w:val="20"/>
  </w:num>
  <w:num w:numId="31">
    <w:abstractNumId w:val="28"/>
  </w:num>
  <w:num w:numId="32">
    <w:abstractNumId w:val="23"/>
  </w:num>
  <w:num w:numId="33">
    <w:abstractNumId w:val="7"/>
  </w:num>
  <w:num w:numId="34">
    <w:abstractNumId w:val="27"/>
  </w:num>
  <w:num w:numId="35">
    <w:abstractNumId w:val="11"/>
  </w:num>
  <w:num w:numId="36">
    <w:abstractNumId w:val="14"/>
  </w:num>
  <w:num w:numId="37">
    <w:abstractNumId w:val="0"/>
  </w:num>
  <w:num w:numId="38">
    <w:abstractNumId w:val="1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1EBB8B61F694D5099609E1F43B0979C"/>
    <w:docVar w:name="LW_CROSSREFERENCE" w:val="&lt;UNUSED&gt;"/>
    <w:docVar w:name="LW_DocType" w:val="NORMAL"/>
    <w:docVar w:name="LW_EMISSION" w:val="8.12.2016"/>
    <w:docVar w:name="LW_EMISSION_ISODATE" w:val="2016-12-08"/>
    <w:docVar w:name="LW_EMISSION_LOCATION" w:val="BRX"/>
    <w:docVar w:name="LW_EMISSION_PREFIX" w:val="Bruxelles, "/>
    <w:docVar w:name="LW_EMISSION_SUFFIX" w:val=" "/>
    <w:docVar w:name="LW_ID_DOCTYPE_NONLW" w:val="CP-012"/>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6) 790"/>
    <w:docVar w:name="LW_REF.INTERNE" w:val="&lt;UNUSED&gt;"/>
    <w:docVar w:name="LW_SOUS.TITRE.OBJ.CP" w:val="&lt;UNUSED&gt;"/>
    <w:docVar w:name="LW_SUPERTITRE" w:val="&lt;UNUSED&gt;"/>
    <w:docVar w:name="LW_TITRE.OBJ.CP" w:val="Plan de ac\u539?iune pentru a înt\u259?ri r\u259?spunsul european la fraudarea documentelor de c\u259?l\u259?torie_x000b_ "/>
    <w:docVar w:name="LW_TYPE.DOC.CP" w:val="COMUNICARE A COMISIEI C\u258?TRE PARLAMENTUL EUROPEAN \u536?I CONSILIU"/>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0"/>
      <w:lang w:val="ro-RO" w:eastAsia="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ro-RO" w:eastAsia="ro-RO"/>
    </w:rPr>
  </w:style>
  <w:style w:type="character" w:styleId="FootnoteReference">
    <w:name w:val="footnote reference"/>
    <w:aliases w:val="Footnote Reference Superscript,BVI fnr,Footnote symbol,SUPERS,(Footnote Reference),Footnote,Voetnootverwijzing,Times 10 Point,Exposant 3 Point,Footnote reference number,note TESI,Odwołanie przypisu,ftref,16 Point,Superscript 6 Point"/>
    <w:link w:val="BVIfnrChar1CharCharChar"/>
    <w:uiPriority w:val="99"/>
    <w:qFormat/>
    <w:rPr>
      <w:vertAlign w:val="superscript"/>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eastAsia="Batang"/>
    </w:rPr>
  </w:style>
  <w:style w:type="table" w:styleId="TableGrid2">
    <w:name w:val="Table Grid 2"/>
    <w:basedOn w:val="TableNormal"/>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outlineLvl w:val="9"/>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BookTitle">
    <w:name w:val="Book Title"/>
    <w:basedOn w:val="DefaultParagraphFont"/>
    <w:uiPriority w:val="33"/>
    <w:qFormat/>
    <w:rPr>
      <w:b/>
      <w:bCs/>
      <w:smallCaps/>
      <w:spacing w:val="5"/>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pPr>
      <w:spacing w:after="160" w:line="240" w:lineRule="exact"/>
    </w:pPr>
    <w:rPr>
      <w:vertAlign w:val="superscript"/>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21">
    <w:name w:val="Table Grid 21"/>
    <w:basedOn w:val="TableNormal"/>
    <w:next w:val="TableGrid2"/>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st1">
    <w:name w:val="st1"/>
    <w:basedOn w:val="DefaultParagraphFont"/>
    <w:rPr>
      <w:rFonts w:ascii="Times New Roman" w:hAnsi="Times New Roman" w:cs="Times New Roman" w:hint="default"/>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0"/>
      <w:lang w:val="ro-RO" w:eastAsia="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ro-RO" w:eastAsia="ro-RO"/>
    </w:rPr>
  </w:style>
  <w:style w:type="character" w:styleId="FootnoteReference">
    <w:name w:val="footnote reference"/>
    <w:aliases w:val="Footnote Reference Superscript,BVI fnr,Footnote symbol,SUPERS,(Footnote Reference),Footnote,Voetnootverwijzing,Times 10 Point,Exposant 3 Point,Footnote reference number,note TESI,Odwołanie przypisu,ftref,16 Point,Superscript 6 Point"/>
    <w:link w:val="BVIfnrChar1CharCharChar"/>
    <w:uiPriority w:val="99"/>
    <w:qFormat/>
    <w:rPr>
      <w:vertAlign w:val="superscript"/>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eastAsia="Batang"/>
    </w:rPr>
  </w:style>
  <w:style w:type="table" w:styleId="TableGrid2">
    <w:name w:val="Table Grid 2"/>
    <w:basedOn w:val="TableNormal"/>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outlineLvl w:val="9"/>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BookTitle">
    <w:name w:val="Book Title"/>
    <w:basedOn w:val="DefaultParagraphFont"/>
    <w:uiPriority w:val="33"/>
    <w:qFormat/>
    <w:rPr>
      <w:b/>
      <w:bCs/>
      <w:smallCaps/>
      <w:spacing w:val="5"/>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pPr>
      <w:spacing w:after="160" w:line="240" w:lineRule="exact"/>
    </w:pPr>
    <w:rPr>
      <w:vertAlign w:val="superscript"/>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21">
    <w:name w:val="Table Grid 21"/>
    <w:basedOn w:val="TableNormal"/>
    <w:next w:val="TableGrid2"/>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st1">
    <w:name w:val="st1"/>
    <w:basedOn w:val="DefaultParagraphFont"/>
    <w:rPr>
      <w:rFonts w:ascii="Times New Roman" w:hAnsi="Times New Roman" w:cs="Times New Roman" w:hint="default"/>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4149">
      <w:bodyDiv w:val="1"/>
      <w:marLeft w:val="0"/>
      <w:marRight w:val="0"/>
      <w:marTop w:val="0"/>
      <w:marBottom w:val="0"/>
      <w:divBdr>
        <w:top w:val="none" w:sz="0" w:space="0" w:color="auto"/>
        <w:left w:val="none" w:sz="0" w:space="0" w:color="auto"/>
        <w:bottom w:val="none" w:sz="0" w:space="0" w:color="auto"/>
        <w:right w:val="none" w:sz="0" w:space="0" w:color="auto"/>
      </w:divBdr>
    </w:div>
    <w:div w:id="302387931">
      <w:bodyDiv w:val="1"/>
      <w:marLeft w:val="0"/>
      <w:marRight w:val="0"/>
      <w:marTop w:val="0"/>
      <w:marBottom w:val="0"/>
      <w:divBdr>
        <w:top w:val="none" w:sz="0" w:space="0" w:color="auto"/>
        <w:left w:val="none" w:sz="0" w:space="0" w:color="auto"/>
        <w:bottom w:val="none" w:sz="0" w:space="0" w:color="auto"/>
        <w:right w:val="none" w:sz="0" w:space="0" w:color="auto"/>
      </w:divBdr>
    </w:div>
    <w:div w:id="333339934">
      <w:bodyDiv w:val="1"/>
      <w:marLeft w:val="0"/>
      <w:marRight w:val="0"/>
      <w:marTop w:val="0"/>
      <w:marBottom w:val="0"/>
      <w:divBdr>
        <w:top w:val="none" w:sz="0" w:space="0" w:color="auto"/>
        <w:left w:val="none" w:sz="0" w:space="0" w:color="auto"/>
        <w:bottom w:val="none" w:sz="0" w:space="0" w:color="auto"/>
        <w:right w:val="none" w:sz="0" w:space="0" w:color="auto"/>
      </w:divBdr>
    </w:div>
    <w:div w:id="649671119">
      <w:bodyDiv w:val="1"/>
      <w:marLeft w:val="0"/>
      <w:marRight w:val="0"/>
      <w:marTop w:val="0"/>
      <w:marBottom w:val="0"/>
      <w:divBdr>
        <w:top w:val="none" w:sz="0" w:space="0" w:color="auto"/>
        <w:left w:val="none" w:sz="0" w:space="0" w:color="auto"/>
        <w:bottom w:val="none" w:sz="0" w:space="0" w:color="auto"/>
        <w:right w:val="none" w:sz="0" w:space="0" w:color="auto"/>
      </w:divBdr>
    </w:div>
    <w:div w:id="758982299">
      <w:bodyDiv w:val="1"/>
      <w:marLeft w:val="0"/>
      <w:marRight w:val="0"/>
      <w:marTop w:val="0"/>
      <w:marBottom w:val="0"/>
      <w:divBdr>
        <w:top w:val="none" w:sz="0" w:space="0" w:color="auto"/>
        <w:left w:val="none" w:sz="0" w:space="0" w:color="auto"/>
        <w:bottom w:val="none" w:sz="0" w:space="0" w:color="auto"/>
        <w:right w:val="none" w:sz="0" w:space="0" w:color="auto"/>
      </w:divBdr>
    </w:div>
    <w:div w:id="1152871913">
      <w:bodyDiv w:val="1"/>
      <w:marLeft w:val="0"/>
      <w:marRight w:val="0"/>
      <w:marTop w:val="0"/>
      <w:marBottom w:val="0"/>
      <w:divBdr>
        <w:top w:val="none" w:sz="0" w:space="0" w:color="auto"/>
        <w:left w:val="none" w:sz="0" w:space="0" w:color="auto"/>
        <w:bottom w:val="none" w:sz="0" w:space="0" w:color="auto"/>
        <w:right w:val="none" w:sz="0" w:space="0" w:color="auto"/>
      </w:divBdr>
    </w:div>
    <w:div w:id="1214803906">
      <w:bodyDiv w:val="1"/>
      <w:marLeft w:val="0"/>
      <w:marRight w:val="0"/>
      <w:marTop w:val="0"/>
      <w:marBottom w:val="0"/>
      <w:divBdr>
        <w:top w:val="none" w:sz="0" w:space="0" w:color="auto"/>
        <w:left w:val="none" w:sz="0" w:space="0" w:color="auto"/>
        <w:bottom w:val="none" w:sz="0" w:space="0" w:color="auto"/>
        <w:right w:val="none" w:sz="0" w:space="0" w:color="auto"/>
      </w:divBdr>
    </w:div>
    <w:div w:id="1673872136">
      <w:bodyDiv w:val="1"/>
      <w:marLeft w:val="0"/>
      <w:marRight w:val="0"/>
      <w:marTop w:val="0"/>
      <w:marBottom w:val="0"/>
      <w:divBdr>
        <w:top w:val="none" w:sz="0" w:space="0" w:color="auto"/>
        <w:left w:val="none" w:sz="0" w:space="0" w:color="auto"/>
        <w:bottom w:val="none" w:sz="0" w:space="0" w:color="auto"/>
        <w:right w:val="none" w:sz="0" w:space="0" w:color="auto"/>
      </w:divBdr>
    </w:div>
    <w:div w:id="21005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frontex.europa.eu/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189BF-ABA7-441E-A573-3BFAD9E2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4593</Words>
  <Characters>27334</Characters>
  <Application>Microsoft Office Word</Application>
  <DocSecurity>0</DocSecurity>
  <Lines>407</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43</cp:revision>
  <cp:lastPrinted>2017-01-10T13:32:00Z</cp:lastPrinted>
  <dcterms:created xsi:type="dcterms:W3CDTF">2016-12-06T13:02:00Z</dcterms:created>
  <dcterms:modified xsi:type="dcterms:W3CDTF">2017-01-16T08:31:00Z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