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AAEB442D184A408DBD38AF960C73E1" style="width:450.75pt;height:3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spacing w:before="0"/>
        <w:rPr>
          <w:rFonts w:eastAsia="Times New Roman"/>
          <w:noProof/>
          <w:szCs w:val="20"/>
        </w:rPr>
      </w:pPr>
      <w:r>
        <w:rPr>
          <w:noProof/>
        </w:rPr>
        <w:t>Bilaga III till direktiv 2008/98/EG om avfall (ramdirektivet om avfall), som förtecknar de egenskaper som gör att avfall klassificeras som farligt avfall, blev föremål för en omfattande översyn 2014 genom kommissionens förordning (EU) nr 1357/2014. Huvudsyftena med översynen var att uppdatera reglerna om egenskaper hos farligt avfall för att bättre avspegla den vetenskapliga och tekniska utvecklingen, samt att anpassa identifieringen av farligt avfall till kriterierna i förordning (EG) nr 1272/2008 om klassificering, märkning och förpackning av ämnen och blandningar (CLP-förordningen).</w:t>
      </w:r>
    </w:p>
    <w:p>
      <w:pPr>
        <w:spacing w:before="0"/>
        <w:rPr>
          <w:rFonts w:eastAsia="Times New Roman"/>
          <w:noProof/>
          <w:szCs w:val="20"/>
        </w:rPr>
      </w:pPr>
      <w:r>
        <w:rPr>
          <w:noProof/>
        </w:rPr>
        <w:t xml:space="preserve">Den enda farliga egenskap för vilken reglerna inte ändrades i samband med översynen var HP 14 (”ekotoxiskt”), eftersom man ansåg att kunskapsbasen för att kunna förnya bedömningarna av denna egenskap först behövde förbättras. </w:t>
      </w:r>
    </w:p>
    <w:p>
      <w:pPr>
        <w:autoSpaceDE w:val="0"/>
        <w:autoSpaceDN w:val="0"/>
        <w:adjustRightInd w:val="0"/>
        <w:spacing w:before="0" w:after="0"/>
        <w:rPr>
          <w:rFonts w:eastAsia="Times New Roman"/>
          <w:noProof/>
          <w:szCs w:val="20"/>
        </w:rPr>
      </w:pPr>
      <w:r>
        <w:rPr>
          <w:noProof/>
        </w:rPr>
        <w:t>I nuläget råder ett slags rättsligt tomrum när det gäller bedömning av ekotoxicitet: enligt den nu gällande anmärkningen i bilaga III till ramdirektivet om avfall ska förekomsten av den farliga egenskapen HP 14 (”ekotoxiskt”) fastställas på grundval av kriterierna i bilaga VI till rådets direktiv 67/548/EEG, ett direktiv som alltså är upphävt sedan den 1 juni 2015.</w:t>
      </w:r>
    </w:p>
    <w:p>
      <w:pPr>
        <w:spacing w:line="252" w:lineRule="auto"/>
        <w:rPr>
          <w:noProof/>
        </w:rPr>
      </w:pPr>
      <w:r>
        <w:rPr>
          <w:noProof/>
        </w:rPr>
        <w:t xml:space="preserve">För att komma till rätta med detta rättsliga tomrum och med bristen på harmonisering när det gäller villkoren för att klassificera farligt avfall som HP 14 (”ekotoxiskt”) lade kommissionen fram ett utkast till förordning för omröstning i den kommitté som inrättas genom artikel 39 i ramdirektivet om avfall. Kommitténs möte den 25 oktober 2016 mynnade dock inte ut i något positivt yttrande över utkastet till förordning. </w:t>
      </w:r>
    </w:p>
    <w:p>
      <w:pPr>
        <w:spacing w:line="252" w:lineRule="auto"/>
        <w:rPr>
          <w:noProof/>
          <w:szCs w:val="24"/>
        </w:rPr>
      </w:pPr>
      <w:r>
        <w:rPr>
          <w:noProof/>
        </w:rPr>
        <w:t>Kommittén betonade framför allt följande: 1) Det borde förtydligas att medlemsstaterna fortfarande kan tillämpa testmetoder för bedömning av ekotoxicitet. 2) Det finns en risk för att de beräkningsformler som kommissionen föreslagit kommer att leda till en omklassificering av vissa typer av avfall från icke-farligt till farligt, och att detta kan göra det svårare att återvinna sådant avfall på grund av ökade kostnader för hanteringen. Avfallstyper som nämndes i sammanhanget var bottenaska från förbränning och fragmenteringsrester.</w:t>
      </w:r>
    </w:p>
    <w:p>
      <w:pPr>
        <w:rPr>
          <w:noProof/>
        </w:rPr>
      </w:pPr>
      <w:r>
        <w:rPr>
          <w:noProof/>
        </w:rPr>
        <w:t>I enlighet med förfarandet i artikel 5a i beslut 1999/468/EG läggs därför ett utkast till rådets förordning fram för rådet och överlämnas till Europaparlamentet.</w:t>
      </w:r>
    </w:p>
    <w:p>
      <w:pPr>
        <w:autoSpaceDE w:val="0"/>
        <w:autoSpaceDN w:val="0"/>
        <w:adjustRightInd w:val="0"/>
        <w:spacing w:before="0" w:after="0"/>
        <w:rPr>
          <w:rFonts w:eastAsia="Times New Roman"/>
          <w:noProof/>
          <w:szCs w:val="20"/>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2017/0010 (NLE)</w:t>
      </w:r>
    </w:p>
    <w:p>
      <w:pPr>
        <w:pStyle w:val="Statut"/>
        <w:rPr>
          <w:noProof/>
        </w:rPr>
      </w:pPr>
      <w:r>
        <w:rPr>
          <w:noProof/>
        </w:rPr>
        <w:t>Förslag till</w:t>
      </w:r>
    </w:p>
    <w:p>
      <w:pPr>
        <w:pStyle w:val="Typedudocument"/>
      </w:pPr>
      <w:r>
        <w:rPr>
          <w:noProof/>
        </w:rPr>
        <w:t>RÅDETS FÖRORDNING</w:t>
      </w:r>
    </w:p>
    <w:p>
      <w:pPr>
        <w:pStyle w:val="Titreobjet"/>
      </w:pPr>
      <w:r>
        <w:rPr>
          <w:noProof/>
        </w:rPr>
        <w:t xml:space="preserve">om ändring av bilaga III till Europaparlamentets och rådets direktiv 2008/98/EG med avseende på den farliga egenskapen HP 14 ("ekotoxiskt") </w:t>
      </w:r>
    </w:p>
    <w:p>
      <w:pPr>
        <w:pStyle w:val="IntrtEEE"/>
        <w:rPr>
          <w:noProof/>
        </w:rPr>
      </w:pPr>
      <w:r>
        <w:rPr>
          <w:noProof/>
        </w:rPr>
        <w:t>(Text av betydelse för EES)</w:t>
      </w:r>
    </w:p>
    <w:p>
      <w:pPr>
        <w:pStyle w:val="Institutionquiagit"/>
        <w:rPr>
          <w:noProof/>
        </w:rPr>
      </w:pPr>
      <w:r>
        <w:rPr>
          <w:noProof/>
        </w:rPr>
        <w:t>EUROPEISKA UNIONENS RÅD HAR ANTAGIT DENNA FÖRORDNING</w:t>
      </w:r>
    </w:p>
    <w:p>
      <w:pPr>
        <w:rPr>
          <w:noProof/>
        </w:rPr>
      </w:pPr>
      <w:r>
        <w:rPr>
          <w:noProof/>
        </w:rPr>
        <w:t xml:space="preserve">med beaktande av fördraget om Europeiska unionens funktionssätt, </w:t>
      </w:r>
    </w:p>
    <w:p>
      <w:pPr>
        <w:rPr>
          <w:noProof/>
        </w:rPr>
      </w:pPr>
      <w:r>
        <w:rPr>
          <w:noProof/>
        </w:rPr>
        <w:t>med beaktande av Europaparlamentets och rådets direktiv 2008/98/EG av den 19 november 2008 om avfall och om upphävande av vissa direktiv</w:t>
      </w:r>
      <w:r>
        <w:rPr>
          <w:rStyle w:val="FootnoteReference"/>
          <w:noProof/>
        </w:rPr>
        <w:footnoteReference w:id="1"/>
      </w:r>
      <w:r>
        <w:rPr>
          <w:noProof/>
        </w:rPr>
        <w:t xml:space="preserve">, särskilt artikel 38.2, och </w:t>
      </w:r>
    </w:p>
    <w:p>
      <w:pPr>
        <w:rPr>
          <w:noProof/>
        </w:rPr>
      </w:pPr>
      <w:r>
        <w:rPr>
          <w:noProof/>
        </w:rPr>
        <w:t>av följande skäl:</w:t>
      </w:r>
    </w:p>
    <w:p>
      <w:pPr>
        <w:pStyle w:val="ManualConsidrant"/>
        <w:rPr>
          <w:noProof/>
        </w:rPr>
      </w:pPr>
      <w:r>
        <w:t>(1)</w:t>
      </w:r>
      <w:r>
        <w:tab/>
      </w:r>
      <w:r>
        <w:rPr>
          <w:noProof/>
        </w:rPr>
        <w:t>I bilaga III till direktiv 2008/98/EG förtecknas egenskaper som gör att avfall klassificeras som farligt avfall.</w:t>
      </w:r>
    </w:p>
    <w:p>
      <w:pPr>
        <w:pStyle w:val="ManualConsidrant"/>
        <w:rPr>
          <w:noProof/>
          <w:szCs w:val="24"/>
        </w:rPr>
      </w:pPr>
      <w:r>
        <w:t>(2)</w:t>
      </w:r>
      <w:r>
        <w:tab/>
      </w:r>
      <w:r>
        <w:rPr>
          <w:noProof/>
        </w:rPr>
        <w:t>I direktiv 2008/98/EG anges att klassificeringen av avfall som farligt bland annat bör grundas på unionslagstiftningen om kemikalier, framför allt klassificeringen av beredningar som farliga, inbegripet de gränsvärden för koncentration som används för detta. Kommissionens beslut 2000/532/EG</w:t>
      </w:r>
      <w:r>
        <w:rPr>
          <w:rStyle w:val="FootnoteReference"/>
          <w:noProof/>
        </w:rPr>
        <w:footnoteReference w:id="2"/>
      </w:r>
      <w:r>
        <w:rPr>
          <w:noProof/>
        </w:rPr>
        <w:t xml:space="preserve"> innehåller en förteckning över olika typer av avfall, vilken syftar till att underlätta en harmoniserad klassificering av avfallstyper och säkerställa att farliga egenskaper hos avfall fastställs på ett harmoniserat sätt inom unionen.</w:t>
      </w:r>
    </w:p>
    <w:p>
      <w:pPr>
        <w:pStyle w:val="ManualConsidrant"/>
        <w:rPr>
          <w:noProof/>
        </w:rPr>
      </w:pPr>
      <w:r>
        <w:t>(3)</w:t>
      </w:r>
      <w:r>
        <w:tab/>
      </w:r>
      <w:r>
        <w:rPr>
          <w:noProof/>
        </w:rPr>
        <w:t>Enligt bilaga III till direktiv 2008/98/EG ska förekomsten av den farliga egenskapen HP 14 (”ekotoxiskt”) fastställas på grundval av kriterierna i bilaga VI till rådets direktiv 67/548/EEG</w:t>
      </w:r>
      <w:r>
        <w:rPr>
          <w:rStyle w:val="FootnoteReference"/>
          <w:noProof/>
        </w:rPr>
        <w:footnoteReference w:id="3"/>
      </w:r>
      <w:r>
        <w:rPr>
          <w:noProof/>
        </w:rPr>
        <w:t>.</w:t>
      </w:r>
    </w:p>
    <w:p>
      <w:pPr>
        <w:pStyle w:val="ManualConsidrant"/>
        <w:rPr>
          <w:noProof/>
        </w:rPr>
      </w:pPr>
      <w:r>
        <w:t>(4)</w:t>
      </w:r>
      <w:r>
        <w:tab/>
      </w:r>
      <w:r>
        <w:rPr>
          <w:noProof/>
        </w:rPr>
        <w:t>Direktiv 67/548/EEG har upphävts, och från och med den 1 juni 2015 ersatts av Europaparlamentets och rådets förordning (EG) nr 1272/2008</w:t>
      </w:r>
      <w:r>
        <w:rPr>
          <w:rStyle w:val="FootnoteReference"/>
          <w:noProof/>
        </w:rPr>
        <w:footnoteReference w:id="4"/>
      </w:r>
      <w:r>
        <w:rPr>
          <w:noProof/>
        </w:rPr>
        <w:t>. Direktivet bör emellertid kunna fortsätta tillämpas på vissa beredningar fram till den 1 juni 2017, om dessa har klassificerats, märkts och förpackats i enlighet med Europaparlamentets och rådets direktiv 1999/45/EG</w:t>
      </w:r>
      <w:r>
        <w:rPr>
          <w:rStyle w:val="FootnoteReference"/>
          <w:noProof/>
        </w:rPr>
        <w:footnoteReference w:id="5"/>
      </w:r>
      <w:r>
        <w:rPr>
          <w:noProof/>
        </w:rPr>
        <w:t>, och hade släppts ut på marknaden redan före den 1 juni 2015.</w:t>
      </w:r>
    </w:p>
    <w:p>
      <w:pPr>
        <w:pStyle w:val="ManualConsidrant"/>
        <w:rPr>
          <w:noProof/>
          <w:szCs w:val="24"/>
        </w:rPr>
      </w:pPr>
      <w:r>
        <w:t>(5)</w:t>
      </w:r>
      <w:r>
        <w:tab/>
      </w:r>
      <w:r>
        <w:rPr>
          <w:noProof/>
        </w:rPr>
        <w:t>Bilaga III till direktiv 2008/98/EG ersattes av kommissionens förordning (EU) nr 1357/2014</w:t>
      </w:r>
      <w:r>
        <w:rPr>
          <w:rStyle w:val="FootnoteReference"/>
          <w:noProof/>
        </w:rPr>
        <w:footnoteReference w:id="6"/>
      </w:r>
      <w:r>
        <w:rPr>
          <w:noProof/>
        </w:rPr>
        <w:t xml:space="preserve"> i syfte att, där så var lämpligt, anpassa definitionerna av farliga egenskaper till dem som anges i förordning 1272/2008 samt ersätta hänvisningar till direktiv 67/548/EG med hänvisningar till förordning (EG) 1272/2008.  </w:t>
      </w:r>
    </w:p>
    <w:p>
      <w:pPr>
        <w:pStyle w:val="ManualConsidrant"/>
        <w:rPr>
          <w:noProof/>
        </w:rPr>
      </w:pPr>
      <w:r>
        <w:t>(6)</w:t>
      </w:r>
      <w:r>
        <w:tab/>
      </w:r>
      <w:r>
        <w:rPr>
          <w:noProof/>
        </w:rPr>
        <w:t xml:space="preserve">Definitionen av den farliga egenskapen HP 14 (”ekotoxiskt”) ändrades inte genom förordning (EU) nr 1357/2014, eftersom det krävdes en kompletterande studie för att säkerställa fullständig och representativ information om den möjliga effekten av en anpassning av bedömningen av den farliga egenskapen HP 14 (”ekotoxiskt”) till kriterierna i förordning (EG) nr 1272/2008. Denna studie har slutförts, och dess rekommendationer bör återspeglas i de bestämmelser om bedömning av avfall med avseende på den farliga egenskapen HP 14 (”ekotoxiskt”) som ingår i bilaga III till direktiv 2008/98/EG. Denna bedömning bör också så långt det är möjligt anpassas till kriterierna i förordning (EG) nr 1272/2008 för bedömning av ekotoxicitet hos kemikalier. Vid faroklassificering av avfall med avseende på den farliga egenskapen HP 14 (”ekotoxiskt”) genom beräkningsformler bör man, för att förenkla arbetet med klassificering använda sådana allmänna gränsvärden som definieras i förordning (EG) nr 1272/2008. </w:t>
      </w:r>
    </w:p>
    <w:p>
      <w:pPr>
        <w:pStyle w:val="ManualConsidrant"/>
        <w:rPr>
          <w:noProof/>
        </w:rPr>
      </w:pPr>
      <w:r>
        <w:t>(7)</w:t>
      </w:r>
      <w:r>
        <w:tab/>
      </w:r>
      <w:r>
        <w:rPr>
          <w:noProof/>
        </w:rPr>
        <w:t>Vid tester för att bedöma den farliga egenskapen HP 14 (”ekotoxiskt”) hos avfall bör man tillämpa de för ändamålet relevanta metoderna i kommissionens förordning (EG) nr 440/2008</w:t>
      </w:r>
      <w:r>
        <w:rPr>
          <w:rStyle w:val="FootnoteReference"/>
          <w:noProof/>
        </w:rPr>
        <w:footnoteReference w:id="7"/>
      </w:r>
      <w:r>
        <w:rPr>
          <w:noProof/>
        </w:rPr>
        <w:t>, eller andra internationellt vedertagna metoder och riktlinjer. Det anges i beslut 2000/532/EG att i de fall en farlig egenskap hos avfall har bedömts i ett test och genom att använda koncentrationerna av farliga ämnen enligt bilaga III till direktiv 2008/98/EG, ska testresultaten i fråga gälla. Man bör också ta hänsyn till bestämmelserna i artikel 12 i förordning (EG) nr 1272/2008, i synnerhet artikel 12 b och metoderna för dess tillämpning.</w:t>
      </w:r>
    </w:p>
    <w:p>
      <w:pPr>
        <w:pStyle w:val="ManualConsidrant"/>
        <w:rPr>
          <w:noProof/>
        </w:rPr>
      </w:pPr>
      <w:r>
        <w:t>(8)</w:t>
      </w:r>
      <w:r>
        <w:tab/>
      </w:r>
      <w:r>
        <w:rPr>
          <w:noProof/>
        </w:rPr>
        <w:t xml:space="preserve">Företag och behöriga myndigheter bör ges tillräckligt med tid för att anpassa sig till de nya kraven. </w:t>
      </w:r>
    </w:p>
    <w:p>
      <w:pPr>
        <w:pStyle w:val="ManualConsidrant"/>
        <w:rPr>
          <w:noProof/>
        </w:rPr>
      </w:pPr>
      <w:r>
        <w:t>(9)</w:t>
      </w:r>
      <w:r>
        <w:tab/>
      </w:r>
      <w:r>
        <w:rPr>
          <w:noProof/>
        </w:rPr>
        <w:t>Den kommitté som avses i artikel 39 i direktiv 2008/98/EG har inte avgett något yttrande om åtgärderna i den här förordningen. Åtgärderna bör därför antas av rådet i enlighet med artikel 5a.4 i rådets beslut 1999/468/EG</w:t>
      </w:r>
      <w:r>
        <w:rPr>
          <w:rStyle w:val="FootnoteReference"/>
          <w:noProof/>
        </w:rPr>
        <w:footnoteReference w:id="8"/>
      </w:r>
      <w:r>
        <w:rPr>
          <w:noProof/>
        </w:rPr>
        <w:t>.</w:t>
      </w:r>
    </w:p>
    <w:p>
      <w:pPr>
        <w:pStyle w:val="Formuledadoption"/>
        <w:rPr>
          <w:noProof/>
        </w:rPr>
      </w:pPr>
      <w:r>
        <w:rPr>
          <w:noProof/>
        </w:rPr>
        <w:t>HÄRIGENOM FÖRESKRIVS FÖLJANDE.</w:t>
      </w:r>
    </w:p>
    <w:p>
      <w:pPr>
        <w:pStyle w:val="Titrearticle"/>
        <w:rPr>
          <w:noProof/>
        </w:rPr>
      </w:pPr>
      <w:r>
        <w:rPr>
          <w:noProof/>
        </w:rPr>
        <w:t>Artikel 1</w:t>
      </w:r>
    </w:p>
    <w:p>
      <w:pPr>
        <w:rPr>
          <w:noProof/>
        </w:rPr>
      </w:pPr>
      <w:r>
        <w:rPr>
          <w:noProof/>
        </w:rPr>
        <w:t>Bilaga III till direktiv 2008/98/EG ska ändras på följande sätt:</w:t>
      </w:r>
    </w:p>
    <w:p>
      <w:pPr>
        <w:pStyle w:val="Text1"/>
        <w:ind w:left="0"/>
        <w:rPr>
          <w:noProof/>
        </w:rPr>
      </w:pPr>
      <w:r>
        <w:rPr>
          <w:noProof/>
        </w:rPr>
        <w:t>1.</w:t>
      </w:r>
      <w:r>
        <w:rPr>
          <w:noProof/>
        </w:rPr>
        <w:tab/>
        <w:t>Posten HP 14 "Ekotoxiskt" ska ersättas med följande:</w:t>
      </w:r>
    </w:p>
    <w:p>
      <w:pPr>
        <w:pStyle w:val="Text1"/>
        <w:ind w:left="0"/>
        <w:rPr>
          <w:noProof/>
        </w:rPr>
      </w:pPr>
      <w:r>
        <w:rPr>
          <w:noProof/>
        </w:rPr>
        <w:t>”HP 14 'Ekotoxiskt': Avfall som omedelbart eller på sikt utgör eller kan utgöra en risk för en eller flera miljösektorer.</w:t>
      </w:r>
    </w:p>
    <w:p>
      <w:pPr>
        <w:rPr>
          <w:noProof/>
        </w:rPr>
      </w:pPr>
      <w:r>
        <w:rPr>
          <w:noProof/>
        </w:rPr>
        <w:t xml:space="preserve">Avfall som uppfyller något av följande villkor ska klassificeras som farligt enligt HP 14:  </w:t>
      </w:r>
    </w:p>
    <w:p>
      <w:pPr>
        <w:pStyle w:val="Tiret0"/>
        <w:numPr>
          <w:ilvl w:val="0"/>
          <w:numId w:val="1"/>
        </w:numPr>
        <w:rPr>
          <w:noProof/>
        </w:rPr>
      </w:pPr>
      <w:r>
        <w:rPr>
          <w:noProof/>
        </w:rPr>
        <w:t xml:space="preserve">Avfall som innehåller ett ämne klassificerat som ozonnedbrytande och tilldelas faroangivelsekod H420 i enlighet med Europaparlamentets och rådets förordning (EG) nr 1272/2008*, och där koncentration av ett sådant ämne tangerar eller överskrider koncentrationsgränsen på 0,1 %. </w:t>
      </w:r>
    </w:p>
    <w:p>
      <w:pPr>
        <w:ind w:firstLine="720"/>
        <w:rPr>
          <w:noProof/>
        </w:rPr>
      </w:pPr>
      <w:r>
        <w:rPr>
          <w:noProof/>
        </w:rPr>
        <w:t xml:space="preserve">[C (H420) ≥ 0,1 %] </w:t>
      </w:r>
    </w:p>
    <w:p>
      <w:pPr>
        <w:pStyle w:val="Tiret0"/>
        <w:rPr>
          <w:noProof/>
        </w:rPr>
      </w:pPr>
      <w:r>
        <w:rPr>
          <w:noProof/>
        </w:rPr>
        <w:t>Avfall som innehåller ett eller flera ämnen som klassificeras som farliga för vattenmiljön och tilldelas faroangivelsekod H400 – aquatic acute – i enlighet med förordning (EG) nr 1272/2008, och där summan av koncentrationerna av dessa ämnen tangerar eller överskrider koncentrationsgränsen på 25 %. Ett gränsvärde på 0,1 % ska tillämpas på sådana ämnen.</w:t>
      </w:r>
    </w:p>
    <w:p>
      <w:pPr>
        <w:ind w:firstLine="720"/>
        <w:rPr>
          <w:noProof/>
        </w:rPr>
      </w:pPr>
      <w:r>
        <w:rPr>
          <w:noProof/>
        </w:rPr>
        <w:t>[ ∑ c (H400) ≥ 25 % ]</w:t>
      </w:r>
    </w:p>
    <w:p>
      <w:pPr>
        <w:pStyle w:val="Tiret0"/>
        <w:rPr>
          <w:noProof/>
        </w:rPr>
      </w:pPr>
      <w:r>
        <w:rPr>
          <w:noProof/>
        </w:rPr>
        <w:t>Avfall som innehåller ett eller flera ämnen klassificerade som farliga för vattenmiljön – aquatic chronic 1, 2 eller 3 – och tilldelas någon eller några av faroangivelsekoderna H410, H411 eller H412 i enlighet med Europaparlamentets och rådets förordning (EG) nr 1272/2008*, och där summan av koncentrationerna av alla ämnen som klassificeras som aquatic chronic 1 (H410) multiplicerade med 100, plus summan av koncentrationerna av alla ämnen som klassificeras som aquatic chronic 2 (H411) multiplicerade med 10, och summan av koncentrationerna av alla ämnen som klassificeras som aquatic chronic 3 (H412) sammanlagt överskrider koncentrationsgränsen på 25 %. Ett gränsvärde på 0,1 % tillämpas på ämnen klassificerade som H410, och ett gränsvärde på 1 % tillämpas på ämnen klassificerade som H411 eller H412.</w:t>
      </w:r>
    </w:p>
    <w:p>
      <w:pPr>
        <w:ind w:firstLine="720"/>
        <w:rPr>
          <w:noProof/>
        </w:rPr>
      </w:pPr>
      <w:r>
        <w:rPr>
          <w:noProof/>
        </w:rPr>
        <w:t>[100 x ∑ C) + 10 (H410) (H411 x ∑ C) + ∑ C (H412) ≥ 25 %]</w:t>
      </w:r>
    </w:p>
    <w:p>
      <w:pPr>
        <w:pStyle w:val="Tiret0"/>
        <w:rPr>
          <w:noProof/>
        </w:rPr>
      </w:pPr>
      <w:r>
        <w:rPr>
          <w:noProof/>
        </w:rPr>
        <w:t>Avfall som innehåller ett eller flera ämnen klassificerade som aquatic chronic 1, 2, 3 eller 4 och tilldelas faroangivelsekod H410, H411, H412 eller H413 i enlighet med Europaparlamentets och rådets förordning (EG) nr 1272/2008*, och där summan av koncentrationerna av dessa ämnen tangerar eller överskrider koncentrationsgränsen 25 %. Ett gränsvärde på 0,1 % tillämpas på ämnen klassificerade som H410, och ett gränsvärde på 1 % tillämpas på ämnen klassificerade som H411, H412 eller H413.</w:t>
      </w:r>
    </w:p>
    <w:p>
      <w:pPr>
        <w:ind w:firstLine="720"/>
        <w:rPr>
          <w:noProof/>
        </w:rPr>
      </w:pPr>
      <w:r>
        <w:rPr>
          <w:noProof/>
        </w:rPr>
        <w:t>[ ∑ c H410 + ∑ c H411 + ∑ c H412 + ∑ c H413 ≥ 25 % ]</w:t>
      </w:r>
    </w:p>
    <w:p>
      <w:pPr>
        <w:rPr>
          <w:noProof/>
        </w:rPr>
      </w:pPr>
      <w:r>
        <w:rPr>
          <w:noProof/>
        </w:rPr>
        <w:t>där ∑ = summan, och c = koncentrationerna av ämnena i fråga.</w:t>
      </w:r>
    </w:p>
    <w:p>
      <w:pPr>
        <w:rPr>
          <w:noProof/>
        </w:rPr>
      </w:pPr>
      <w:r>
        <w:rPr>
          <w:noProof/>
        </w:rPr>
        <w:t>___________________________________</w:t>
      </w:r>
    </w:p>
    <w:p>
      <w:pPr>
        <w:rPr>
          <w:noProof/>
        </w:rPr>
      </w:pPr>
      <w:r>
        <w:rPr>
          <w:noProof/>
        </w:rPr>
        <w:t>*</w:t>
      </w:r>
      <w:r>
        <w:rPr>
          <w:noProof/>
        </w:rPr>
        <w:tab/>
        <w:t>Europaparlamentets och rådets förordning (EG) nr 1272/2008 av den 16 december 2008 om klassificering, märkning och förpackning av ämnen och blandningar, ändring och upphävande av direktiven 67/548/EEG och 1999/45/EG samt ändring av förordning (EG) nr 1907/2006 (EUT L 353, 31.12.2008, s. 1).</w:t>
      </w:r>
    </w:p>
    <w:p>
      <w:pPr>
        <w:rPr>
          <w:noProof/>
        </w:rPr>
      </w:pPr>
    </w:p>
    <w:p>
      <w:pPr>
        <w:rPr>
          <w:noProof/>
        </w:rPr>
      </w:pPr>
      <w:r>
        <w:rPr>
          <w:noProof/>
        </w:rPr>
        <w:t>2.</w:t>
      </w:r>
      <w:r>
        <w:rPr>
          <w:noProof/>
        </w:rPr>
        <w:tab/>
        <w:t xml:space="preserve">Anmärkningen nedanför posten för HP 15 ska utgå. </w:t>
      </w:r>
    </w:p>
    <w:p>
      <w:pPr>
        <w:pStyle w:val="Titrearticle"/>
        <w:rPr>
          <w:noProof/>
        </w:rPr>
      </w:pPr>
      <w:r>
        <w:rPr>
          <w:noProof/>
        </w:rPr>
        <w:t>Artikel 2</w:t>
      </w:r>
    </w:p>
    <w:p>
      <w:pPr>
        <w:rPr>
          <w:noProof/>
        </w:rPr>
      </w:pPr>
      <w:r>
        <w:rPr>
          <w:noProof/>
        </w:rPr>
        <w:t xml:space="preserve">Denna förordning träder i kraft den tjugonde dagen efter det att den har offentliggjorts i </w:t>
      </w:r>
      <w:r>
        <w:rPr>
          <w:i/>
          <w:noProof/>
        </w:rPr>
        <w:t>Europeiska unionens officiella tidning</w:t>
      </w:r>
      <w:r>
        <w:rPr>
          <w:noProof/>
        </w:rPr>
        <w:t xml:space="preserve">. </w:t>
      </w:r>
    </w:p>
    <w:p>
      <w:pPr>
        <w:rPr>
          <w:noProof/>
        </w:rPr>
      </w:pPr>
      <w:r>
        <w:rPr>
          <w:noProof/>
        </w:rPr>
        <w:t>Den ska tillämpas från och med 12 månader efter det att den offentliggjorts i EUT.</w:t>
      </w:r>
    </w:p>
    <w:p>
      <w:pPr>
        <w:rPr>
          <w:noProof/>
        </w:rPr>
      </w:pPr>
    </w:p>
    <w:p>
      <w:pPr>
        <w:rPr>
          <w:noProof/>
        </w:rPr>
      </w:pPr>
      <w:r>
        <w:rPr>
          <w:noProof/>
        </w:rPr>
        <w:t>Denna förordning är till alla delar bindande och direkt tillämplig i alla medlemsstater.</w:t>
      </w:r>
    </w:p>
    <w:p>
      <w:pPr>
        <w:pStyle w:val="Fait"/>
        <w:rPr>
          <w:noProof/>
        </w:rPr>
      </w:pPr>
      <w:r>
        <w:rPr>
          <w:noProof/>
        </w:rPr>
        <w:t>Utfärdad i Bryssel den</w:t>
      </w:r>
    </w:p>
    <w:p>
      <w:pPr>
        <w:pStyle w:val="Institutionquisigne"/>
        <w:rPr>
          <w:noProof/>
        </w:rPr>
      </w:pPr>
      <w:r>
        <w:rPr>
          <w:noProof/>
        </w:rPr>
        <w:tab/>
        <w:t>På rådets vägnar</w:t>
      </w:r>
    </w:p>
    <w:p>
      <w:pPr>
        <w:pStyle w:val="Personnequisigne"/>
        <w:rPr>
          <w:noProof/>
        </w:rPr>
      </w:pPr>
      <w:r>
        <w:rPr>
          <w:noProof/>
        </w:rPr>
        <w:tab/>
        <w:t>Ordförande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EUT L 312, 22.11.2008, s. 3. </w:t>
      </w:r>
    </w:p>
  </w:footnote>
  <w:footnote w:id="2">
    <w:p>
      <w:pPr>
        <w:pStyle w:val="FootnoteText"/>
      </w:pPr>
      <w:r>
        <w:rPr>
          <w:rStyle w:val="FootnoteReference"/>
        </w:rPr>
        <w:footnoteRef/>
      </w:r>
      <w:r>
        <w:tab/>
        <w:t>Kommissionens beslut 2000/532/EG av den 3 maj 2000 om ersättning av beslut 94/3/EG om en förteckning över avfall i enlighet med artikel 1 a i rådets direktiv 75/442/EEG om avfall, och rådets beslut 94/904/EG om upprättande av en förteckning över farligt avfall i enlighet med artikel 1.4 i rådets direktiv 91/689/EEG om farligt avfall (EGT L 226, 6.9.2000, s. 3).</w:t>
      </w:r>
    </w:p>
  </w:footnote>
  <w:footnote w:id="3">
    <w:p>
      <w:pPr>
        <w:pStyle w:val="FootnoteText"/>
      </w:pPr>
      <w:r>
        <w:rPr>
          <w:rStyle w:val="FootnoteReference"/>
        </w:rPr>
        <w:footnoteRef/>
      </w:r>
      <w:r>
        <w:tab/>
        <w:t>Rådets direktiv 67/548/EEG av den 27 juni 1967 om tillnärmning av lagar och andra författningar om klassificering, förpackning och märkning av farliga ämnen (EGT 196, 16.8.1967, s. 1).</w:t>
      </w:r>
    </w:p>
  </w:footnote>
  <w:footnote w:id="4">
    <w:p>
      <w:pPr>
        <w:pStyle w:val="FootnoteText"/>
      </w:pPr>
      <w:r>
        <w:rPr>
          <w:rStyle w:val="FootnoteReference"/>
        </w:rPr>
        <w:footnoteRef/>
      </w:r>
      <w:r>
        <w:tab/>
        <w:t>Europaparlamentets och rådets förordning (EG) nr 1272/2008 av den 16 december 2008 om klassificering, märkning och förpackning av ämnen och blandningar, ändring och upphävande av direktiven 67/548/EEG och 1999/45/EG samt ändring av förordning (EG) nr 1907/2006 (EUT L 353, 31.12.2008, s. 1).</w:t>
      </w:r>
    </w:p>
  </w:footnote>
  <w:footnote w:id="5">
    <w:p>
      <w:pPr>
        <w:pStyle w:val="FootnoteText"/>
      </w:pPr>
      <w:r>
        <w:rPr>
          <w:rStyle w:val="FootnoteReference"/>
        </w:rPr>
        <w:footnoteRef/>
      </w:r>
      <w:r>
        <w:tab/>
        <w:t>Europaparlamentets och rådets direktiv 1999/45/EG av den 31 maj 1999 om tillnärmning av medlemsstaternas lagar och andra författningar om klassificering, förpackning och märkning av farliga preparat (EGT L 200, 30.7.1999, s. 1).</w:t>
      </w:r>
    </w:p>
  </w:footnote>
  <w:footnote w:id="6">
    <w:p>
      <w:pPr>
        <w:pStyle w:val="FootnoteText"/>
      </w:pPr>
      <w:r>
        <w:rPr>
          <w:rStyle w:val="FootnoteReference"/>
        </w:rPr>
        <w:footnoteRef/>
      </w:r>
      <w:r>
        <w:tab/>
        <w:t>Kommissionens förordning (EU) nr 1357/2014 av den 18 december 2014 om ersättning av bilaga III till Europaparlamentets och rådets direktiv 2008/98/EG om avfall och om upphävande av vissa direktiv (EUT L 365, 19.12.2014, s. 89).</w:t>
      </w:r>
    </w:p>
  </w:footnote>
  <w:footnote w:id="7">
    <w:p>
      <w:pPr>
        <w:pStyle w:val="FootnoteText"/>
      </w:pPr>
      <w:r>
        <w:rPr>
          <w:rStyle w:val="FootnoteReference"/>
        </w:rPr>
        <w:footnoteRef/>
      </w:r>
      <w:r>
        <w:tab/>
        <w:t>Kommissionens förordning (EG) nr 440/2008 av den 30 maj 2008 om testmetoder enligt Europaparlamentets och rådets förordning (EG) nr 1907/2006 om registrering, utvärdering, godkännande och begränsning av kemikalier (Reach) (EUT L 142, 31.5.2008, s. 1).</w:t>
      </w:r>
    </w:p>
  </w:footnote>
  <w:footnote w:id="8">
    <w:p>
      <w:pPr>
        <w:pStyle w:val="FootnoteText"/>
      </w:pPr>
      <w:r>
        <w:rPr>
          <w:rStyle w:val="FootnoteReference"/>
        </w:rPr>
        <w:footnoteRef/>
      </w:r>
      <w:r>
        <w:tab/>
        <w:t>Rådets beslut nr 1999/468/EG av den 28 juni 1999 om de förfaranden som skall tillämpas vid utövandet av kommissionens genomförandebefogenheter (EGT L 184, 17.7.1999, s.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DCA1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7EC6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588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246F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A014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146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4C9C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E673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9 10:30: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5AAEB442D184A408DBD38AF960C73E1"/>
    <w:docVar w:name="LW_CROSSREFERENCE" w:val="&lt;UNUSED&gt;"/>
    <w:docVar w:name="LW_DocType" w:val="COM"/>
    <w:docVar w:name="LW_EMISSION" w:val="19.1.2017"/>
    <w:docVar w:name="LW_EMISSION_ISODATE" w:val="2017-01-19"/>
    <w:docVar w:name="LW_EMISSION_LOCATION" w:val="BRX"/>
    <w:docVar w:name="LW_EMISSION_PREFIX" w:val="Bryssel den "/>
    <w:docVar w:name="LW_EMISSION_SUFFIX" w:val=" "/>
    <w:docVar w:name="LW_ID_DOCMODEL" w:val="SJ-016"/>
    <w:docVar w:name="LW_ID_DOCSIGNATURE" w:val="SJ-016"/>
    <w:docVar w:name="LW_ID_DOCSTRUCTURE" w:val="COM/PL/ORG"/>
    <w:docVar w:name="LW_ID_DOCTYPE" w:val="SJ-016"/>
    <w:docVar w:name="LW_ID_STATUT" w:val="SJ-016"/>
    <w:docVar w:name="LW_INTERETEEE.CP" w:val="(Text av betydelse för EES)"/>
    <w:docVar w:name="LW_LANGUE" w:val="SV"/>
    <w:docVar w:name="LW_MARKING" w:val="&lt;UNUSED&gt;"/>
    <w:docVar w:name="LW_NOM.INST" w:val="EUROPEISKA KOMMISSIONEN"/>
    <w:docVar w:name="LW_NOM.INST_JOINTDOC" w:val="&lt;EMPTY&gt;"/>
    <w:docVar w:name="LW_PART_NBR" w:val="1"/>
    <w:docVar w:name="LW_PART_NBR_TOTAL" w:val="1"/>
    <w:docVar w:name="LW_REF.II.NEW.CP" w:val="NLE"/>
    <w:docVar w:name="LW_REF.II.NEW.CP_NUMBER" w:val="0010"/>
    <w:docVar w:name="LW_REF.II.NEW.CP_YEAR" w:val="2017"/>
    <w:docVar w:name="LW_REF.INST.NEW" w:val="COM"/>
    <w:docVar w:name="LW_REF.INST.NEW_ADOPTED" w:val="final"/>
    <w:docVar w:name="LW_REF.INST.NEW_TEXT" w:val="(2017) 23"/>
    <w:docVar w:name="LW_REF.INTERNE" w:val="&lt;UNUSED&gt;"/>
    <w:docVar w:name="LW_SOUS.TITRE.OBJ.CP" w:val="&lt;UNUSED&gt;"/>
    <w:docVar w:name="LW_STATUT.CP" w:val="Förslag till"/>
    <w:docVar w:name="LW_SUPERTITRE" w:val="&lt;UNUSED&gt;"/>
    <w:docVar w:name="LW_TITRE.OBJ.CP" w:val="om ändring av bilaga III till Europaparlamentets och rådets direktiv 2008/98/EG med avseende på den farliga egenskapen HP 14 (&quot;ekotoxiskt&quot;) "/>
    <w:docVar w:name="LW_TYPE.DOC.CP" w:val="RÅDETS FÖRORDNING"/>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19EB-6944-4073-9520-A657BECD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1449</Words>
  <Characters>8221</Characters>
  <Application>Microsoft Office Word</Application>
  <DocSecurity>0</DocSecurity>
  <Lines>146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2016-12-20T09:38:00Z</dcterms:created>
  <dcterms:modified xsi:type="dcterms:W3CDTF">2017-01-19T09:30:00Z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