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E2B" w:rsidRPr="006C343F" w:rsidRDefault="007064AD" w:rsidP="007064AD">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72D2D20E49E4E52A0B6DC0D45E0AFA1" style="width:450.75pt;height:307.5pt">
            <v:imagedata r:id="rId9" o:title=""/>
          </v:shape>
        </w:pict>
      </w:r>
    </w:p>
    <w:bookmarkEnd w:id="0"/>
    <w:p w:rsidR="00ED7E2B" w:rsidRPr="006C343F" w:rsidRDefault="00ED7E2B" w:rsidP="00ED7E2B">
      <w:pPr>
        <w:sectPr w:rsidR="00ED7E2B" w:rsidRPr="006C343F" w:rsidSect="007064AD">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ED7E2B" w:rsidRPr="006C343F" w:rsidRDefault="00ED7E2B" w:rsidP="00ED7E2B">
      <w:pPr>
        <w:pStyle w:val="TOCHeading"/>
        <w:rPr>
          <w:sz w:val="24"/>
        </w:rPr>
      </w:pPr>
      <w:r>
        <w:rPr>
          <w:sz w:val="24"/>
        </w:rPr>
        <w:lastRenderedPageBreak/>
        <w:t>СЪДЪРЖАНИЕ</w:t>
      </w:r>
    </w:p>
    <w:p w:rsidR="007064AD" w:rsidRPr="007064AD" w:rsidRDefault="007064AD" w:rsidP="007064AD">
      <w:pPr>
        <w:pStyle w:val="Typedudocument"/>
      </w:pPr>
      <w:r w:rsidRPr="007064AD">
        <w:t>ДОКЛАД НА КОМИСИЯТА ДО ЕВРОПЕЙСКИЯ ПАРЛАМЕНТ И СЪВЕТА</w:t>
      </w:r>
    </w:p>
    <w:p w:rsidR="007064AD" w:rsidRPr="007064AD" w:rsidRDefault="007064AD" w:rsidP="007064AD">
      <w:pPr>
        <w:pStyle w:val="Titreobjet"/>
      </w:pPr>
      <w:r w:rsidRPr="007064AD">
        <w:t>относно задължителното етикетиране на списъка на съставките и обявяването на хранителната стойност на алкохолните напитки</w:t>
      </w:r>
    </w:p>
    <w:p w:rsidR="007064AD" w:rsidRDefault="007064AD" w:rsidP="003B71B9"/>
    <w:p w:rsidR="006A46E6" w:rsidRDefault="006A46E6" w:rsidP="003B71B9">
      <w:bookmarkStart w:id="1" w:name="_GoBack"/>
      <w:bookmarkEnd w:id="1"/>
    </w:p>
    <w:p w:rsidR="00914D0C" w:rsidRDefault="00914D0C" w:rsidP="003B71B9"/>
    <w:p w:rsidR="002124BF" w:rsidRDefault="002124BF" w:rsidP="003B71B9"/>
    <w:p w:rsidR="003B71B9" w:rsidRPr="006C343F" w:rsidRDefault="003B71B9" w:rsidP="003B71B9"/>
    <w:p w:rsidR="003B71B9" w:rsidRPr="006C343F" w:rsidRDefault="003B71B9" w:rsidP="003B71B9"/>
    <w:p w:rsidR="003B71B9" w:rsidRPr="006C343F" w:rsidRDefault="003B71B9" w:rsidP="003B71B9">
      <w:pPr>
        <w:pStyle w:val="TOC1"/>
      </w:pPr>
    </w:p>
    <w:p w:rsidR="00EA7273" w:rsidRDefault="00516C5F">
      <w:pPr>
        <w:pStyle w:val="TOC1"/>
        <w:rPr>
          <w:rFonts w:asciiTheme="minorHAnsi" w:eastAsiaTheme="minorEastAsia" w:hAnsiTheme="minorHAnsi" w:cstheme="minorBidi"/>
          <w:noProof/>
          <w:sz w:val="22"/>
          <w:szCs w:val="22"/>
          <w:lang w:val="en-GB" w:eastAsia="en-GB" w:bidi="ar-SA"/>
        </w:rPr>
      </w:pPr>
      <w:r w:rsidRPr="00EA7273">
        <w:fldChar w:fldCharType="begin"/>
      </w:r>
      <w:r w:rsidR="003B71B9">
        <w:instrText xml:space="preserve"> TOC \o "1-3" \h \z \u </w:instrText>
      </w:r>
      <w:r w:rsidRPr="00EA7273">
        <w:fldChar w:fldCharType="separate"/>
      </w:r>
      <w:hyperlink w:anchor="_Toc472679275" w:history="1">
        <w:r w:rsidR="00EA7273" w:rsidRPr="00777DCE">
          <w:rPr>
            <w:rStyle w:val="Hyperlink"/>
            <w:noProof/>
          </w:rPr>
          <w:t>1.</w:t>
        </w:r>
        <w:r w:rsidR="00EA7273">
          <w:rPr>
            <w:rFonts w:asciiTheme="minorHAnsi" w:eastAsiaTheme="minorEastAsia" w:hAnsiTheme="minorHAnsi" w:cstheme="minorBidi"/>
            <w:noProof/>
            <w:sz w:val="22"/>
            <w:szCs w:val="22"/>
            <w:lang w:val="en-GB" w:eastAsia="en-GB" w:bidi="ar-SA"/>
          </w:rPr>
          <w:tab/>
        </w:r>
        <w:r w:rsidR="00EA7273" w:rsidRPr="00777DCE">
          <w:rPr>
            <w:rStyle w:val="Hyperlink"/>
            <w:noProof/>
          </w:rPr>
          <w:t>Въведение</w:t>
        </w:r>
        <w:r w:rsidR="00EA7273">
          <w:rPr>
            <w:noProof/>
            <w:webHidden/>
          </w:rPr>
          <w:tab/>
        </w:r>
        <w:r w:rsidR="00EA7273">
          <w:rPr>
            <w:noProof/>
            <w:webHidden/>
          </w:rPr>
          <w:fldChar w:fldCharType="begin"/>
        </w:r>
        <w:r w:rsidR="00EA7273">
          <w:rPr>
            <w:noProof/>
            <w:webHidden/>
          </w:rPr>
          <w:instrText xml:space="preserve"> PAGEREF _Toc472679275 \h </w:instrText>
        </w:r>
        <w:r w:rsidR="00EA7273">
          <w:rPr>
            <w:noProof/>
            <w:webHidden/>
          </w:rPr>
        </w:r>
        <w:r w:rsidR="00EA7273">
          <w:rPr>
            <w:noProof/>
            <w:webHidden/>
          </w:rPr>
          <w:fldChar w:fldCharType="separate"/>
        </w:r>
        <w:r w:rsidR="007064AD">
          <w:rPr>
            <w:noProof/>
            <w:webHidden/>
          </w:rPr>
          <w:t>3</w:t>
        </w:r>
        <w:r w:rsidR="00EA7273">
          <w:rPr>
            <w:noProof/>
            <w:webHidden/>
          </w:rPr>
          <w:fldChar w:fldCharType="end"/>
        </w:r>
      </w:hyperlink>
    </w:p>
    <w:p w:rsidR="00EA7273" w:rsidRDefault="007064AD">
      <w:pPr>
        <w:pStyle w:val="TOC1"/>
        <w:rPr>
          <w:rFonts w:asciiTheme="minorHAnsi" w:eastAsiaTheme="minorEastAsia" w:hAnsiTheme="minorHAnsi" w:cstheme="minorBidi"/>
          <w:noProof/>
          <w:sz w:val="22"/>
          <w:szCs w:val="22"/>
          <w:lang w:val="en-GB" w:eastAsia="en-GB" w:bidi="ar-SA"/>
        </w:rPr>
      </w:pPr>
      <w:hyperlink w:anchor="_Toc472679276" w:history="1">
        <w:r w:rsidR="00EA7273" w:rsidRPr="00777DCE">
          <w:rPr>
            <w:rStyle w:val="Hyperlink"/>
            <w:rFonts w:eastAsia="Calibri"/>
            <w:noProof/>
          </w:rPr>
          <w:t>2.</w:t>
        </w:r>
        <w:r w:rsidR="00EA7273">
          <w:rPr>
            <w:rFonts w:asciiTheme="minorHAnsi" w:eastAsiaTheme="minorEastAsia" w:hAnsiTheme="minorHAnsi" w:cstheme="minorBidi"/>
            <w:noProof/>
            <w:sz w:val="22"/>
            <w:szCs w:val="22"/>
            <w:lang w:val="en-GB" w:eastAsia="en-GB" w:bidi="ar-SA"/>
          </w:rPr>
          <w:tab/>
        </w:r>
        <w:r w:rsidR="00EA7273" w:rsidRPr="00777DCE">
          <w:rPr>
            <w:rStyle w:val="Hyperlink"/>
            <w:noProof/>
          </w:rPr>
          <w:t>Исторически преглед</w:t>
        </w:r>
        <w:r w:rsidR="00EA7273">
          <w:rPr>
            <w:noProof/>
            <w:webHidden/>
          </w:rPr>
          <w:tab/>
        </w:r>
        <w:r w:rsidR="00EA7273">
          <w:rPr>
            <w:noProof/>
            <w:webHidden/>
          </w:rPr>
          <w:fldChar w:fldCharType="begin"/>
        </w:r>
        <w:r w:rsidR="00EA7273">
          <w:rPr>
            <w:noProof/>
            <w:webHidden/>
          </w:rPr>
          <w:instrText xml:space="preserve"> PAGEREF _Toc472679276 \h </w:instrText>
        </w:r>
        <w:r w:rsidR="00EA7273">
          <w:rPr>
            <w:noProof/>
            <w:webHidden/>
          </w:rPr>
        </w:r>
        <w:r w:rsidR="00EA7273">
          <w:rPr>
            <w:noProof/>
            <w:webHidden/>
          </w:rPr>
          <w:fldChar w:fldCharType="separate"/>
        </w:r>
        <w:r>
          <w:rPr>
            <w:noProof/>
            <w:webHidden/>
          </w:rPr>
          <w:t>4</w:t>
        </w:r>
        <w:r w:rsidR="00EA7273">
          <w:rPr>
            <w:noProof/>
            <w:webHidden/>
          </w:rPr>
          <w:fldChar w:fldCharType="end"/>
        </w:r>
      </w:hyperlink>
    </w:p>
    <w:p w:rsidR="00EA7273" w:rsidRDefault="007064AD">
      <w:pPr>
        <w:pStyle w:val="TOC1"/>
        <w:rPr>
          <w:rFonts w:asciiTheme="minorHAnsi" w:eastAsiaTheme="minorEastAsia" w:hAnsiTheme="minorHAnsi" w:cstheme="minorBidi"/>
          <w:noProof/>
          <w:sz w:val="22"/>
          <w:szCs w:val="22"/>
          <w:lang w:val="en-GB" w:eastAsia="en-GB" w:bidi="ar-SA"/>
        </w:rPr>
      </w:pPr>
      <w:hyperlink w:anchor="_Toc472679277" w:history="1">
        <w:r w:rsidR="00EA7273" w:rsidRPr="00777DCE">
          <w:rPr>
            <w:rStyle w:val="Hyperlink"/>
            <w:noProof/>
          </w:rPr>
          <w:t>3.</w:t>
        </w:r>
        <w:r w:rsidR="00EA7273">
          <w:rPr>
            <w:rFonts w:asciiTheme="minorHAnsi" w:eastAsiaTheme="minorEastAsia" w:hAnsiTheme="minorHAnsi" w:cstheme="minorBidi"/>
            <w:noProof/>
            <w:sz w:val="22"/>
            <w:szCs w:val="22"/>
            <w:lang w:val="en-GB" w:eastAsia="en-GB" w:bidi="ar-SA"/>
          </w:rPr>
          <w:tab/>
        </w:r>
        <w:r w:rsidR="00EA7273" w:rsidRPr="00777DCE">
          <w:rPr>
            <w:rStyle w:val="Hyperlink"/>
            <w:noProof/>
          </w:rPr>
          <w:t>Правна рамка на ЕС относно етикетирането на алкохолните напитки</w:t>
        </w:r>
        <w:r w:rsidR="00EA7273">
          <w:rPr>
            <w:noProof/>
            <w:webHidden/>
          </w:rPr>
          <w:tab/>
        </w:r>
        <w:r w:rsidR="00EA7273">
          <w:rPr>
            <w:noProof/>
            <w:webHidden/>
          </w:rPr>
          <w:fldChar w:fldCharType="begin"/>
        </w:r>
        <w:r w:rsidR="00EA7273">
          <w:rPr>
            <w:noProof/>
            <w:webHidden/>
          </w:rPr>
          <w:instrText xml:space="preserve"> PAGEREF _Toc472679277 \h </w:instrText>
        </w:r>
        <w:r w:rsidR="00EA7273">
          <w:rPr>
            <w:noProof/>
            <w:webHidden/>
          </w:rPr>
        </w:r>
        <w:r w:rsidR="00EA7273">
          <w:rPr>
            <w:noProof/>
            <w:webHidden/>
          </w:rPr>
          <w:fldChar w:fldCharType="separate"/>
        </w:r>
        <w:r>
          <w:rPr>
            <w:noProof/>
            <w:webHidden/>
          </w:rPr>
          <w:t>5</w:t>
        </w:r>
        <w:r w:rsidR="00EA7273">
          <w:rPr>
            <w:noProof/>
            <w:webHidden/>
          </w:rPr>
          <w:fldChar w:fldCharType="end"/>
        </w:r>
      </w:hyperlink>
    </w:p>
    <w:p w:rsidR="00EA7273" w:rsidRDefault="007064AD">
      <w:pPr>
        <w:pStyle w:val="TOC2"/>
        <w:rPr>
          <w:rFonts w:asciiTheme="minorHAnsi" w:eastAsiaTheme="minorEastAsia" w:hAnsiTheme="minorHAnsi" w:cstheme="minorBidi"/>
          <w:noProof/>
          <w:sz w:val="22"/>
          <w:szCs w:val="22"/>
          <w:lang w:val="en-GB" w:eastAsia="en-GB" w:bidi="ar-SA"/>
        </w:rPr>
      </w:pPr>
      <w:hyperlink w:anchor="_Toc472679278" w:history="1">
        <w:r w:rsidR="00EA7273" w:rsidRPr="00777DCE">
          <w:rPr>
            <w:rStyle w:val="Hyperlink"/>
            <w:rFonts w:eastAsia="Calibri"/>
            <w:noProof/>
          </w:rPr>
          <w:t>3.1.</w:t>
        </w:r>
        <w:r w:rsidR="00EA7273">
          <w:rPr>
            <w:rFonts w:asciiTheme="minorHAnsi" w:eastAsiaTheme="minorEastAsia" w:hAnsiTheme="minorHAnsi" w:cstheme="minorBidi"/>
            <w:noProof/>
            <w:sz w:val="22"/>
            <w:szCs w:val="22"/>
            <w:lang w:val="en-GB" w:eastAsia="en-GB" w:bidi="ar-SA"/>
          </w:rPr>
          <w:tab/>
        </w:r>
        <w:r w:rsidR="00EA7273" w:rsidRPr="00777DCE">
          <w:rPr>
            <w:rStyle w:val="Hyperlink"/>
            <w:noProof/>
          </w:rPr>
          <w:t>Регламент (ЕС) № 1169/2011</w:t>
        </w:r>
        <w:r w:rsidR="00EA7273">
          <w:rPr>
            <w:noProof/>
            <w:webHidden/>
          </w:rPr>
          <w:tab/>
        </w:r>
        <w:r w:rsidR="00EA7273">
          <w:rPr>
            <w:noProof/>
            <w:webHidden/>
          </w:rPr>
          <w:fldChar w:fldCharType="begin"/>
        </w:r>
        <w:r w:rsidR="00EA7273">
          <w:rPr>
            <w:noProof/>
            <w:webHidden/>
          </w:rPr>
          <w:instrText xml:space="preserve"> PAGEREF _Toc472679278 \h </w:instrText>
        </w:r>
        <w:r w:rsidR="00EA7273">
          <w:rPr>
            <w:noProof/>
            <w:webHidden/>
          </w:rPr>
        </w:r>
        <w:r w:rsidR="00EA7273">
          <w:rPr>
            <w:noProof/>
            <w:webHidden/>
          </w:rPr>
          <w:fldChar w:fldCharType="separate"/>
        </w:r>
        <w:r>
          <w:rPr>
            <w:noProof/>
            <w:webHidden/>
          </w:rPr>
          <w:t>5</w:t>
        </w:r>
        <w:r w:rsidR="00EA7273">
          <w:rPr>
            <w:noProof/>
            <w:webHidden/>
          </w:rPr>
          <w:fldChar w:fldCharType="end"/>
        </w:r>
      </w:hyperlink>
    </w:p>
    <w:p w:rsidR="00EA7273" w:rsidRDefault="007064AD">
      <w:pPr>
        <w:pStyle w:val="TOC2"/>
        <w:rPr>
          <w:rFonts w:asciiTheme="minorHAnsi" w:eastAsiaTheme="minorEastAsia" w:hAnsiTheme="minorHAnsi" w:cstheme="minorBidi"/>
          <w:noProof/>
          <w:sz w:val="22"/>
          <w:szCs w:val="22"/>
          <w:lang w:val="en-GB" w:eastAsia="en-GB" w:bidi="ar-SA"/>
        </w:rPr>
      </w:pPr>
      <w:hyperlink w:anchor="_Toc472679279" w:history="1">
        <w:r w:rsidR="00EA7273" w:rsidRPr="00777DCE">
          <w:rPr>
            <w:rStyle w:val="Hyperlink"/>
            <w:noProof/>
          </w:rPr>
          <w:t>3.2.</w:t>
        </w:r>
        <w:r w:rsidR="00EA7273">
          <w:rPr>
            <w:rFonts w:asciiTheme="minorHAnsi" w:eastAsiaTheme="minorEastAsia" w:hAnsiTheme="minorHAnsi" w:cstheme="minorBidi"/>
            <w:noProof/>
            <w:sz w:val="22"/>
            <w:szCs w:val="22"/>
            <w:lang w:val="en-GB" w:eastAsia="en-GB" w:bidi="ar-SA"/>
          </w:rPr>
          <w:tab/>
        </w:r>
        <w:r w:rsidR="00EA7273" w:rsidRPr="00777DCE">
          <w:rPr>
            <w:rStyle w:val="Hyperlink"/>
            <w:noProof/>
          </w:rPr>
          <w:t>Други разпоредби на ЕС относно етикетирането на алкохолните напитки</w:t>
        </w:r>
        <w:r w:rsidR="00EA7273">
          <w:rPr>
            <w:noProof/>
            <w:webHidden/>
          </w:rPr>
          <w:tab/>
        </w:r>
        <w:r w:rsidR="00EA7273">
          <w:rPr>
            <w:noProof/>
            <w:webHidden/>
          </w:rPr>
          <w:fldChar w:fldCharType="begin"/>
        </w:r>
        <w:r w:rsidR="00EA7273">
          <w:rPr>
            <w:noProof/>
            <w:webHidden/>
          </w:rPr>
          <w:instrText xml:space="preserve"> PAGEREF _Toc472679279 \h </w:instrText>
        </w:r>
        <w:r w:rsidR="00EA7273">
          <w:rPr>
            <w:noProof/>
            <w:webHidden/>
          </w:rPr>
        </w:r>
        <w:r w:rsidR="00EA7273">
          <w:rPr>
            <w:noProof/>
            <w:webHidden/>
          </w:rPr>
          <w:fldChar w:fldCharType="separate"/>
        </w:r>
        <w:r>
          <w:rPr>
            <w:noProof/>
            <w:webHidden/>
          </w:rPr>
          <w:t>6</w:t>
        </w:r>
        <w:r w:rsidR="00EA7273">
          <w:rPr>
            <w:noProof/>
            <w:webHidden/>
          </w:rPr>
          <w:fldChar w:fldCharType="end"/>
        </w:r>
      </w:hyperlink>
    </w:p>
    <w:p w:rsidR="00EA7273" w:rsidRDefault="007064AD">
      <w:pPr>
        <w:pStyle w:val="TOC1"/>
        <w:rPr>
          <w:rFonts w:asciiTheme="minorHAnsi" w:eastAsiaTheme="minorEastAsia" w:hAnsiTheme="minorHAnsi" w:cstheme="minorBidi"/>
          <w:noProof/>
          <w:sz w:val="22"/>
          <w:szCs w:val="22"/>
          <w:lang w:val="en-GB" w:eastAsia="en-GB" w:bidi="ar-SA"/>
        </w:rPr>
      </w:pPr>
      <w:hyperlink w:anchor="_Toc472679280" w:history="1">
        <w:r w:rsidR="00EA7273" w:rsidRPr="00777DCE">
          <w:rPr>
            <w:rStyle w:val="Hyperlink"/>
            <w:noProof/>
          </w:rPr>
          <w:t>4.</w:t>
        </w:r>
        <w:r w:rsidR="00EA7273">
          <w:rPr>
            <w:rFonts w:asciiTheme="minorHAnsi" w:eastAsiaTheme="minorEastAsia" w:hAnsiTheme="minorHAnsi" w:cstheme="minorBidi"/>
            <w:noProof/>
            <w:sz w:val="22"/>
            <w:szCs w:val="22"/>
            <w:lang w:val="en-GB" w:eastAsia="en-GB" w:bidi="ar-SA"/>
          </w:rPr>
          <w:tab/>
        </w:r>
        <w:r w:rsidR="00EA7273" w:rsidRPr="00777DCE">
          <w:rPr>
            <w:rStyle w:val="Hyperlink"/>
            <w:noProof/>
          </w:rPr>
          <w:t>Законодателство на държавите членки; ситуация в международен план и в трети държави</w:t>
        </w:r>
        <w:r w:rsidR="00EA7273">
          <w:rPr>
            <w:noProof/>
            <w:webHidden/>
          </w:rPr>
          <w:tab/>
        </w:r>
        <w:r w:rsidR="00EA7273">
          <w:rPr>
            <w:noProof/>
            <w:webHidden/>
          </w:rPr>
          <w:fldChar w:fldCharType="begin"/>
        </w:r>
        <w:r w:rsidR="00EA7273">
          <w:rPr>
            <w:noProof/>
            <w:webHidden/>
          </w:rPr>
          <w:instrText xml:space="preserve"> PAGEREF _Toc472679280 \h </w:instrText>
        </w:r>
        <w:r w:rsidR="00EA7273">
          <w:rPr>
            <w:noProof/>
            <w:webHidden/>
          </w:rPr>
        </w:r>
        <w:r w:rsidR="00EA7273">
          <w:rPr>
            <w:noProof/>
            <w:webHidden/>
          </w:rPr>
          <w:fldChar w:fldCharType="separate"/>
        </w:r>
        <w:r>
          <w:rPr>
            <w:noProof/>
            <w:webHidden/>
          </w:rPr>
          <w:t>6</w:t>
        </w:r>
        <w:r w:rsidR="00EA7273">
          <w:rPr>
            <w:noProof/>
            <w:webHidden/>
          </w:rPr>
          <w:fldChar w:fldCharType="end"/>
        </w:r>
      </w:hyperlink>
    </w:p>
    <w:p w:rsidR="00EA7273" w:rsidRDefault="007064AD">
      <w:pPr>
        <w:pStyle w:val="TOC2"/>
        <w:rPr>
          <w:rFonts w:asciiTheme="minorHAnsi" w:eastAsiaTheme="minorEastAsia" w:hAnsiTheme="minorHAnsi" w:cstheme="minorBidi"/>
          <w:noProof/>
          <w:sz w:val="22"/>
          <w:szCs w:val="22"/>
          <w:lang w:val="en-GB" w:eastAsia="en-GB" w:bidi="ar-SA"/>
        </w:rPr>
      </w:pPr>
      <w:hyperlink w:anchor="_Toc472679281" w:history="1">
        <w:r w:rsidR="00EA7273" w:rsidRPr="00777DCE">
          <w:rPr>
            <w:rStyle w:val="Hyperlink"/>
            <w:noProof/>
          </w:rPr>
          <w:t>4.1.</w:t>
        </w:r>
        <w:r w:rsidR="00EA7273">
          <w:rPr>
            <w:rFonts w:asciiTheme="minorHAnsi" w:eastAsiaTheme="minorEastAsia" w:hAnsiTheme="minorHAnsi" w:cstheme="minorBidi"/>
            <w:noProof/>
            <w:sz w:val="22"/>
            <w:szCs w:val="22"/>
            <w:lang w:val="en-GB" w:eastAsia="en-GB" w:bidi="ar-SA"/>
          </w:rPr>
          <w:tab/>
        </w:r>
        <w:r w:rsidR="00EA7273" w:rsidRPr="00777DCE">
          <w:rPr>
            <w:rStyle w:val="Hyperlink"/>
            <w:noProof/>
          </w:rPr>
          <w:t>Държави членки</w:t>
        </w:r>
        <w:r w:rsidR="00EA7273">
          <w:rPr>
            <w:noProof/>
            <w:webHidden/>
          </w:rPr>
          <w:tab/>
        </w:r>
        <w:r w:rsidR="00EA7273">
          <w:rPr>
            <w:noProof/>
            <w:webHidden/>
          </w:rPr>
          <w:fldChar w:fldCharType="begin"/>
        </w:r>
        <w:r w:rsidR="00EA7273">
          <w:rPr>
            <w:noProof/>
            <w:webHidden/>
          </w:rPr>
          <w:instrText xml:space="preserve"> PAGEREF _Toc472679281 \h </w:instrText>
        </w:r>
        <w:r w:rsidR="00EA7273">
          <w:rPr>
            <w:noProof/>
            <w:webHidden/>
          </w:rPr>
        </w:r>
        <w:r w:rsidR="00EA7273">
          <w:rPr>
            <w:noProof/>
            <w:webHidden/>
          </w:rPr>
          <w:fldChar w:fldCharType="separate"/>
        </w:r>
        <w:r>
          <w:rPr>
            <w:noProof/>
            <w:webHidden/>
          </w:rPr>
          <w:t>6</w:t>
        </w:r>
        <w:r w:rsidR="00EA7273">
          <w:rPr>
            <w:noProof/>
            <w:webHidden/>
          </w:rPr>
          <w:fldChar w:fldCharType="end"/>
        </w:r>
      </w:hyperlink>
    </w:p>
    <w:p w:rsidR="00EA7273" w:rsidRDefault="007064AD">
      <w:pPr>
        <w:pStyle w:val="TOC2"/>
        <w:rPr>
          <w:rFonts w:asciiTheme="minorHAnsi" w:eastAsiaTheme="minorEastAsia" w:hAnsiTheme="minorHAnsi" w:cstheme="minorBidi"/>
          <w:noProof/>
          <w:sz w:val="22"/>
          <w:szCs w:val="22"/>
          <w:lang w:val="en-GB" w:eastAsia="en-GB" w:bidi="ar-SA"/>
        </w:rPr>
      </w:pPr>
      <w:hyperlink w:anchor="_Toc472679282" w:history="1">
        <w:r w:rsidR="00EA7273" w:rsidRPr="00777DCE">
          <w:rPr>
            <w:rStyle w:val="Hyperlink"/>
            <w:noProof/>
          </w:rPr>
          <w:t>4.2.</w:t>
        </w:r>
        <w:r w:rsidR="00EA7273">
          <w:rPr>
            <w:rFonts w:asciiTheme="minorHAnsi" w:eastAsiaTheme="minorEastAsia" w:hAnsiTheme="minorHAnsi" w:cstheme="minorBidi"/>
            <w:noProof/>
            <w:sz w:val="22"/>
            <w:szCs w:val="22"/>
            <w:lang w:val="en-GB" w:eastAsia="en-GB" w:bidi="ar-SA"/>
          </w:rPr>
          <w:tab/>
        </w:r>
        <w:r w:rsidR="00EA7273" w:rsidRPr="00777DCE">
          <w:rPr>
            <w:rStyle w:val="Hyperlink"/>
            <w:noProof/>
          </w:rPr>
          <w:t>Международни организации и трети държави</w:t>
        </w:r>
        <w:r w:rsidR="00EA7273">
          <w:rPr>
            <w:noProof/>
            <w:webHidden/>
          </w:rPr>
          <w:tab/>
        </w:r>
        <w:r w:rsidR="00EA7273">
          <w:rPr>
            <w:noProof/>
            <w:webHidden/>
          </w:rPr>
          <w:fldChar w:fldCharType="begin"/>
        </w:r>
        <w:r w:rsidR="00EA7273">
          <w:rPr>
            <w:noProof/>
            <w:webHidden/>
          </w:rPr>
          <w:instrText xml:space="preserve"> PAGEREF _Toc472679282 \h </w:instrText>
        </w:r>
        <w:r w:rsidR="00EA7273">
          <w:rPr>
            <w:noProof/>
            <w:webHidden/>
          </w:rPr>
        </w:r>
        <w:r w:rsidR="00EA7273">
          <w:rPr>
            <w:noProof/>
            <w:webHidden/>
          </w:rPr>
          <w:fldChar w:fldCharType="separate"/>
        </w:r>
        <w:r>
          <w:rPr>
            <w:noProof/>
            <w:webHidden/>
          </w:rPr>
          <w:t>7</w:t>
        </w:r>
        <w:r w:rsidR="00EA7273">
          <w:rPr>
            <w:noProof/>
            <w:webHidden/>
          </w:rPr>
          <w:fldChar w:fldCharType="end"/>
        </w:r>
      </w:hyperlink>
    </w:p>
    <w:p w:rsidR="00EA7273" w:rsidRDefault="007064AD">
      <w:pPr>
        <w:pStyle w:val="TOC1"/>
        <w:rPr>
          <w:rFonts w:asciiTheme="minorHAnsi" w:eastAsiaTheme="minorEastAsia" w:hAnsiTheme="minorHAnsi" w:cstheme="minorBidi"/>
          <w:noProof/>
          <w:sz w:val="22"/>
          <w:szCs w:val="22"/>
          <w:lang w:val="en-GB" w:eastAsia="en-GB" w:bidi="ar-SA"/>
        </w:rPr>
      </w:pPr>
      <w:hyperlink w:anchor="_Toc472679283" w:history="1">
        <w:r w:rsidR="00EA7273" w:rsidRPr="00777DCE">
          <w:rPr>
            <w:rStyle w:val="Hyperlink"/>
            <w:noProof/>
          </w:rPr>
          <w:t>5.</w:t>
        </w:r>
        <w:r w:rsidR="00EA7273">
          <w:rPr>
            <w:rFonts w:asciiTheme="minorHAnsi" w:eastAsiaTheme="minorEastAsia" w:hAnsiTheme="minorHAnsi" w:cstheme="minorBidi"/>
            <w:noProof/>
            <w:sz w:val="22"/>
            <w:szCs w:val="22"/>
            <w:lang w:val="en-GB" w:eastAsia="en-GB" w:bidi="ar-SA"/>
          </w:rPr>
          <w:tab/>
        </w:r>
        <w:r w:rsidR="00EA7273" w:rsidRPr="00777DCE">
          <w:rPr>
            <w:rStyle w:val="Hyperlink"/>
            <w:noProof/>
          </w:rPr>
          <w:t>Осведоменост и интерес сред потребителите</w:t>
        </w:r>
        <w:r w:rsidR="00EA7273">
          <w:rPr>
            <w:noProof/>
            <w:webHidden/>
          </w:rPr>
          <w:tab/>
        </w:r>
        <w:r w:rsidR="00EA7273">
          <w:rPr>
            <w:noProof/>
            <w:webHidden/>
          </w:rPr>
          <w:fldChar w:fldCharType="begin"/>
        </w:r>
        <w:r w:rsidR="00EA7273">
          <w:rPr>
            <w:noProof/>
            <w:webHidden/>
          </w:rPr>
          <w:instrText xml:space="preserve"> PAGEREF _Toc472679283 \h </w:instrText>
        </w:r>
        <w:r w:rsidR="00EA7273">
          <w:rPr>
            <w:noProof/>
            <w:webHidden/>
          </w:rPr>
        </w:r>
        <w:r w:rsidR="00EA7273">
          <w:rPr>
            <w:noProof/>
            <w:webHidden/>
          </w:rPr>
          <w:fldChar w:fldCharType="separate"/>
        </w:r>
        <w:r>
          <w:rPr>
            <w:noProof/>
            <w:webHidden/>
          </w:rPr>
          <w:t>7</w:t>
        </w:r>
        <w:r w:rsidR="00EA7273">
          <w:rPr>
            <w:noProof/>
            <w:webHidden/>
          </w:rPr>
          <w:fldChar w:fldCharType="end"/>
        </w:r>
      </w:hyperlink>
    </w:p>
    <w:p w:rsidR="00EA7273" w:rsidRDefault="007064AD">
      <w:pPr>
        <w:pStyle w:val="TOC1"/>
        <w:rPr>
          <w:rFonts w:asciiTheme="minorHAnsi" w:eastAsiaTheme="minorEastAsia" w:hAnsiTheme="minorHAnsi" w:cstheme="minorBidi"/>
          <w:noProof/>
          <w:sz w:val="22"/>
          <w:szCs w:val="22"/>
          <w:lang w:val="en-GB" w:eastAsia="en-GB" w:bidi="ar-SA"/>
        </w:rPr>
      </w:pPr>
      <w:hyperlink w:anchor="_Toc472679284" w:history="1">
        <w:r w:rsidR="00EA7273" w:rsidRPr="00777DCE">
          <w:rPr>
            <w:rStyle w:val="Hyperlink"/>
            <w:noProof/>
          </w:rPr>
          <w:t>6.</w:t>
        </w:r>
        <w:r w:rsidR="00EA7273">
          <w:rPr>
            <w:rFonts w:asciiTheme="minorHAnsi" w:eastAsiaTheme="minorEastAsia" w:hAnsiTheme="minorHAnsi" w:cstheme="minorBidi"/>
            <w:noProof/>
            <w:sz w:val="22"/>
            <w:szCs w:val="22"/>
            <w:lang w:val="en-GB" w:eastAsia="en-GB" w:bidi="ar-SA"/>
          </w:rPr>
          <w:tab/>
        </w:r>
        <w:r w:rsidR="00EA7273" w:rsidRPr="00777DCE">
          <w:rPr>
            <w:rStyle w:val="Hyperlink"/>
            <w:noProof/>
          </w:rPr>
          <w:t>Заинтересовани страни</w:t>
        </w:r>
        <w:r w:rsidR="00EA7273">
          <w:rPr>
            <w:noProof/>
            <w:webHidden/>
          </w:rPr>
          <w:tab/>
        </w:r>
        <w:r w:rsidR="00EA7273">
          <w:rPr>
            <w:noProof/>
            <w:webHidden/>
          </w:rPr>
          <w:fldChar w:fldCharType="begin"/>
        </w:r>
        <w:r w:rsidR="00EA7273">
          <w:rPr>
            <w:noProof/>
            <w:webHidden/>
          </w:rPr>
          <w:instrText xml:space="preserve"> PAGEREF _Toc472679284 \h </w:instrText>
        </w:r>
        <w:r w:rsidR="00EA7273">
          <w:rPr>
            <w:noProof/>
            <w:webHidden/>
          </w:rPr>
        </w:r>
        <w:r w:rsidR="00EA7273">
          <w:rPr>
            <w:noProof/>
            <w:webHidden/>
          </w:rPr>
          <w:fldChar w:fldCharType="separate"/>
        </w:r>
        <w:r>
          <w:rPr>
            <w:noProof/>
            <w:webHidden/>
          </w:rPr>
          <w:t>9</w:t>
        </w:r>
        <w:r w:rsidR="00EA7273">
          <w:rPr>
            <w:noProof/>
            <w:webHidden/>
          </w:rPr>
          <w:fldChar w:fldCharType="end"/>
        </w:r>
      </w:hyperlink>
    </w:p>
    <w:p w:rsidR="00EA7273" w:rsidRDefault="007064AD">
      <w:pPr>
        <w:pStyle w:val="TOC1"/>
        <w:rPr>
          <w:rFonts w:asciiTheme="minorHAnsi" w:eastAsiaTheme="minorEastAsia" w:hAnsiTheme="minorHAnsi" w:cstheme="minorBidi"/>
          <w:noProof/>
          <w:sz w:val="22"/>
          <w:szCs w:val="22"/>
          <w:lang w:val="en-GB" w:eastAsia="en-GB" w:bidi="ar-SA"/>
        </w:rPr>
      </w:pPr>
      <w:hyperlink w:anchor="_Toc472679285" w:history="1">
        <w:r w:rsidR="00EA7273" w:rsidRPr="00777DCE">
          <w:rPr>
            <w:rStyle w:val="Hyperlink"/>
            <w:rFonts w:eastAsia="Calibri"/>
            <w:noProof/>
          </w:rPr>
          <w:t>7.</w:t>
        </w:r>
        <w:r w:rsidR="00EA7273">
          <w:rPr>
            <w:rFonts w:asciiTheme="minorHAnsi" w:eastAsiaTheme="minorEastAsia" w:hAnsiTheme="minorHAnsi" w:cstheme="minorBidi"/>
            <w:noProof/>
            <w:sz w:val="22"/>
            <w:szCs w:val="22"/>
            <w:lang w:val="en-GB" w:eastAsia="en-GB" w:bidi="ar-SA"/>
          </w:rPr>
          <w:tab/>
        </w:r>
        <w:r w:rsidR="00EA7273" w:rsidRPr="00777DCE">
          <w:rPr>
            <w:rStyle w:val="Hyperlink"/>
            <w:noProof/>
          </w:rPr>
          <w:t>Призиви за действия</w:t>
        </w:r>
        <w:r w:rsidR="00EA7273">
          <w:rPr>
            <w:noProof/>
            <w:webHidden/>
          </w:rPr>
          <w:tab/>
        </w:r>
        <w:r w:rsidR="00EA7273">
          <w:rPr>
            <w:noProof/>
            <w:webHidden/>
          </w:rPr>
          <w:fldChar w:fldCharType="begin"/>
        </w:r>
        <w:r w:rsidR="00EA7273">
          <w:rPr>
            <w:noProof/>
            <w:webHidden/>
          </w:rPr>
          <w:instrText xml:space="preserve"> PAGEREF _Toc472679285 \h </w:instrText>
        </w:r>
        <w:r w:rsidR="00EA7273">
          <w:rPr>
            <w:noProof/>
            <w:webHidden/>
          </w:rPr>
        </w:r>
        <w:r w:rsidR="00EA7273">
          <w:rPr>
            <w:noProof/>
            <w:webHidden/>
          </w:rPr>
          <w:fldChar w:fldCharType="separate"/>
        </w:r>
        <w:r>
          <w:rPr>
            <w:noProof/>
            <w:webHidden/>
          </w:rPr>
          <w:t>12</w:t>
        </w:r>
        <w:r w:rsidR="00EA7273">
          <w:rPr>
            <w:noProof/>
            <w:webHidden/>
          </w:rPr>
          <w:fldChar w:fldCharType="end"/>
        </w:r>
      </w:hyperlink>
    </w:p>
    <w:p w:rsidR="00EA7273" w:rsidRDefault="007064AD">
      <w:pPr>
        <w:pStyle w:val="TOC2"/>
        <w:rPr>
          <w:rFonts w:asciiTheme="minorHAnsi" w:eastAsiaTheme="minorEastAsia" w:hAnsiTheme="minorHAnsi" w:cstheme="minorBidi"/>
          <w:noProof/>
          <w:sz w:val="22"/>
          <w:szCs w:val="22"/>
          <w:lang w:val="en-GB" w:eastAsia="en-GB" w:bidi="ar-SA"/>
        </w:rPr>
      </w:pPr>
      <w:hyperlink w:anchor="_Toc472679286" w:history="1">
        <w:r w:rsidR="00EA7273" w:rsidRPr="00777DCE">
          <w:rPr>
            <w:rStyle w:val="Hyperlink"/>
            <w:rFonts w:eastAsia="Calibri"/>
            <w:noProof/>
          </w:rPr>
          <w:t>7.1.</w:t>
        </w:r>
        <w:r w:rsidR="00EA7273">
          <w:rPr>
            <w:rFonts w:asciiTheme="minorHAnsi" w:eastAsiaTheme="minorEastAsia" w:hAnsiTheme="minorHAnsi" w:cstheme="minorBidi"/>
            <w:noProof/>
            <w:sz w:val="22"/>
            <w:szCs w:val="22"/>
            <w:lang w:val="en-GB" w:eastAsia="en-GB" w:bidi="ar-SA"/>
          </w:rPr>
          <w:tab/>
        </w:r>
        <w:r w:rsidR="00EA7273" w:rsidRPr="00777DCE">
          <w:rPr>
            <w:rStyle w:val="Hyperlink"/>
            <w:noProof/>
          </w:rPr>
          <w:t>Световна здравна организация</w:t>
        </w:r>
        <w:r w:rsidR="00EA7273">
          <w:rPr>
            <w:noProof/>
            <w:webHidden/>
          </w:rPr>
          <w:tab/>
        </w:r>
        <w:r w:rsidR="00EA7273">
          <w:rPr>
            <w:noProof/>
            <w:webHidden/>
          </w:rPr>
          <w:fldChar w:fldCharType="begin"/>
        </w:r>
        <w:r w:rsidR="00EA7273">
          <w:rPr>
            <w:noProof/>
            <w:webHidden/>
          </w:rPr>
          <w:instrText xml:space="preserve"> PAGEREF _Toc472679286 \h </w:instrText>
        </w:r>
        <w:r w:rsidR="00EA7273">
          <w:rPr>
            <w:noProof/>
            <w:webHidden/>
          </w:rPr>
        </w:r>
        <w:r w:rsidR="00EA7273">
          <w:rPr>
            <w:noProof/>
            <w:webHidden/>
          </w:rPr>
          <w:fldChar w:fldCharType="separate"/>
        </w:r>
        <w:r>
          <w:rPr>
            <w:noProof/>
            <w:webHidden/>
          </w:rPr>
          <w:t>12</w:t>
        </w:r>
        <w:r w:rsidR="00EA7273">
          <w:rPr>
            <w:noProof/>
            <w:webHidden/>
          </w:rPr>
          <w:fldChar w:fldCharType="end"/>
        </w:r>
      </w:hyperlink>
    </w:p>
    <w:p w:rsidR="00EA7273" w:rsidRDefault="007064AD">
      <w:pPr>
        <w:pStyle w:val="TOC2"/>
        <w:rPr>
          <w:rFonts w:asciiTheme="minorHAnsi" w:eastAsiaTheme="minorEastAsia" w:hAnsiTheme="minorHAnsi" w:cstheme="minorBidi"/>
          <w:noProof/>
          <w:sz w:val="22"/>
          <w:szCs w:val="22"/>
          <w:lang w:val="en-GB" w:eastAsia="en-GB" w:bidi="ar-SA"/>
        </w:rPr>
      </w:pPr>
      <w:hyperlink w:anchor="_Toc472679287" w:history="1">
        <w:r w:rsidR="00EA7273" w:rsidRPr="00777DCE">
          <w:rPr>
            <w:rStyle w:val="Hyperlink"/>
            <w:rFonts w:eastAsia="Calibri"/>
            <w:noProof/>
          </w:rPr>
          <w:t>7.2.</w:t>
        </w:r>
        <w:r w:rsidR="00EA7273">
          <w:rPr>
            <w:rFonts w:asciiTheme="minorHAnsi" w:eastAsiaTheme="minorEastAsia" w:hAnsiTheme="minorHAnsi" w:cstheme="minorBidi"/>
            <w:noProof/>
            <w:sz w:val="22"/>
            <w:szCs w:val="22"/>
            <w:lang w:val="en-GB" w:eastAsia="en-GB" w:bidi="ar-SA"/>
          </w:rPr>
          <w:tab/>
        </w:r>
        <w:r w:rsidR="00EA7273" w:rsidRPr="00777DCE">
          <w:rPr>
            <w:rStyle w:val="Hyperlink"/>
            <w:noProof/>
          </w:rPr>
          <w:t>Европейски парламент и Съвет</w:t>
        </w:r>
        <w:r w:rsidR="00EA7273">
          <w:rPr>
            <w:noProof/>
            <w:webHidden/>
          </w:rPr>
          <w:tab/>
        </w:r>
        <w:r w:rsidR="00EA7273">
          <w:rPr>
            <w:noProof/>
            <w:webHidden/>
          </w:rPr>
          <w:fldChar w:fldCharType="begin"/>
        </w:r>
        <w:r w:rsidR="00EA7273">
          <w:rPr>
            <w:noProof/>
            <w:webHidden/>
          </w:rPr>
          <w:instrText xml:space="preserve"> PAGEREF _Toc472679287 \h </w:instrText>
        </w:r>
        <w:r w:rsidR="00EA7273">
          <w:rPr>
            <w:noProof/>
            <w:webHidden/>
          </w:rPr>
        </w:r>
        <w:r w:rsidR="00EA7273">
          <w:rPr>
            <w:noProof/>
            <w:webHidden/>
          </w:rPr>
          <w:fldChar w:fldCharType="separate"/>
        </w:r>
        <w:r>
          <w:rPr>
            <w:noProof/>
            <w:webHidden/>
          </w:rPr>
          <w:t>13</w:t>
        </w:r>
        <w:r w:rsidR="00EA7273">
          <w:rPr>
            <w:noProof/>
            <w:webHidden/>
          </w:rPr>
          <w:fldChar w:fldCharType="end"/>
        </w:r>
      </w:hyperlink>
    </w:p>
    <w:p w:rsidR="00EA7273" w:rsidRDefault="007064AD">
      <w:pPr>
        <w:pStyle w:val="TOC2"/>
        <w:rPr>
          <w:rFonts w:asciiTheme="minorHAnsi" w:eastAsiaTheme="minorEastAsia" w:hAnsiTheme="minorHAnsi" w:cstheme="minorBidi"/>
          <w:noProof/>
          <w:sz w:val="22"/>
          <w:szCs w:val="22"/>
          <w:lang w:val="en-GB" w:eastAsia="en-GB" w:bidi="ar-SA"/>
        </w:rPr>
      </w:pPr>
      <w:hyperlink w:anchor="_Toc472679288" w:history="1">
        <w:r w:rsidR="00EA7273" w:rsidRPr="00777DCE">
          <w:rPr>
            <w:rStyle w:val="Hyperlink"/>
            <w:rFonts w:eastAsia="Calibri"/>
            <w:noProof/>
          </w:rPr>
          <w:t>7.3.</w:t>
        </w:r>
        <w:r w:rsidR="00EA7273">
          <w:rPr>
            <w:rFonts w:asciiTheme="minorHAnsi" w:eastAsiaTheme="minorEastAsia" w:hAnsiTheme="minorHAnsi" w:cstheme="minorBidi"/>
            <w:noProof/>
            <w:sz w:val="22"/>
            <w:szCs w:val="22"/>
            <w:lang w:val="en-GB" w:eastAsia="en-GB" w:bidi="ar-SA"/>
          </w:rPr>
          <w:tab/>
        </w:r>
        <w:r w:rsidR="00EA7273" w:rsidRPr="00777DCE">
          <w:rPr>
            <w:rStyle w:val="Hyperlink"/>
            <w:noProof/>
          </w:rPr>
          <w:t>Консултация на Комисията с експерти от държавите членки</w:t>
        </w:r>
        <w:r w:rsidR="00EA7273">
          <w:rPr>
            <w:noProof/>
            <w:webHidden/>
          </w:rPr>
          <w:tab/>
        </w:r>
        <w:r w:rsidR="00EA7273">
          <w:rPr>
            <w:noProof/>
            <w:webHidden/>
          </w:rPr>
          <w:fldChar w:fldCharType="begin"/>
        </w:r>
        <w:r w:rsidR="00EA7273">
          <w:rPr>
            <w:noProof/>
            <w:webHidden/>
          </w:rPr>
          <w:instrText xml:space="preserve"> PAGEREF _Toc472679288 \h </w:instrText>
        </w:r>
        <w:r w:rsidR="00EA7273">
          <w:rPr>
            <w:noProof/>
            <w:webHidden/>
          </w:rPr>
        </w:r>
        <w:r w:rsidR="00EA7273">
          <w:rPr>
            <w:noProof/>
            <w:webHidden/>
          </w:rPr>
          <w:fldChar w:fldCharType="separate"/>
        </w:r>
        <w:r>
          <w:rPr>
            <w:noProof/>
            <w:webHidden/>
          </w:rPr>
          <w:t>13</w:t>
        </w:r>
        <w:r w:rsidR="00EA7273">
          <w:rPr>
            <w:noProof/>
            <w:webHidden/>
          </w:rPr>
          <w:fldChar w:fldCharType="end"/>
        </w:r>
      </w:hyperlink>
    </w:p>
    <w:p w:rsidR="00EA7273" w:rsidRDefault="007064AD">
      <w:pPr>
        <w:pStyle w:val="TOC1"/>
        <w:rPr>
          <w:noProof/>
          <w:lang w:val="en-US"/>
        </w:rPr>
      </w:pPr>
      <w:hyperlink w:anchor="_Toc472679289" w:history="1">
        <w:r w:rsidR="00EA7273" w:rsidRPr="00777DCE">
          <w:rPr>
            <w:rStyle w:val="Hyperlink"/>
            <w:rFonts w:eastAsia="Calibri"/>
            <w:noProof/>
          </w:rPr>
          <w:t>8.</w:t>
        </w:r>
        <w:r w:rsidR="00EA7273">
          <w:rPr>
            <w:rFonts w:asciiTheme="minorHAnsi" w:eastAsiaTheme="minorEastAsia" w:hAnsiTheme="minorHAnsi" w:cstheme="minorBidi"/>
            <w:noProof/>
            <w:sz w:val="22"/>
            <w:szCs w:val="22"/>
            <w:lang w:val="en-GB" w:eastAsia="en-GB" w:bidi="ar-SA"/>
          </w:rPr>
          <w:tab/>
        </w:r>
        <w:r w:rsidR="00EA7273" w:rsidRPr="00777DCE">
          <w:rPr>
            <w:rStyle w:val="Hyperlink"/>
            <w:noProof/>
          </w:rPr>
          <w:t>Заключения</w:t>
        </w:r>
        <w:r w:rsidR="00EA7273">
          <w:rPr>
            <w:noProof/>
            <w:webHidden/>
          </w:rPr>
          <w:tab/>
        </w:r>
        <w:r w:rsidR="00EA7273">
          <w:rPr>
            <w:noProof/>
            <w:webHidden/>
          </w:rPr>
          <w:fldChar w:fldCharType="begin"/>
        </w:r>
        <w:r w:rsidR="00EA7273">
          <w:rPr>
            <w:noProof/>
            <w:webHidden/>
          </w:rPr>
          <w:instrText xml:space="preserve"> PAGEREF _Toc472679289 \h </w:instrText>
        </w:r>
        <w:r w:rsidR="00EA7273">
          <w:rPr>
            <w:noProof/>
            <w:webHidden/>
          </w:rPr>
        </w:r>
        <w:r w:rsidR="00EA7273">
          <w:rPr>
            <w:noProof/>
            <w:webHidden/>
          </w:rPr>
          <w:fldChar w:fldCharType="separate"/>
        </w:r>
        <w:r>
          <w:rPr>
            <w:noProof/>
            <w:webHidden/>
          </w:rPr>
          <w:t>14</w:t>
        </w:r>
        <w:r w:rsidR="00EA7273">
          <w:rPr>
            <w:noProof/>
            <w:webHidden/>
          </w:rPr>
          <w:fldChar w:fldCharType="end"/>
        </w:r>
      </w:hyperlink>
    </w:p>
    <w:p w:rsidR="000E5D18" w:rsidRDefault="000E5D18" w:rsidP="000E5D18">
      <w:pPr>
        <w:rPr>
          <w:rFonts w:eastAsiaTheme="minorEastAsia"/>
          <w:noProof/>
          <w:lang w:val="en-US"/>
        </w:rPr>
      </w:pPr>
    </w:p>
    <w:p w:rsidR="00D41522" w:rsidRDefault="00D41522" w:rsidP="000E5D18">
      <w:pPr>
        <w:rPr>
          <w:rFonts w:eastAsiaTheme="minorEastAsia"/>
          <w:noProof/>
          <w:lang w:val="en-US"/>
        </w:rPr>
      </w:pPr>
    </w:p>
    <w:p w:rsidR="00D41522" w:rsidRDefault="00D41522" w:rsidP="000E5D18">
      <w:pPr>
        <w:rPr>
          <w:rFonts w:eastAsiaTheme="minorEastAsia"/>
          <w:noProof/>
          <w:lang w:val="en-US"/>
        </w:rPr>
      </w:pPr>
    </w:p>
    <w:p w:rsidR="00D41522" w:rsidRDefault="00D41522" w:rsidP="000E5D18">
      <w:pPr>
        <w:rPr>
          <w:rFonts w:eastAsiaTheme="minorEastAsia"/>
          <w:noProof/>
          <w:lang w:val="en-US"/>
        </w:rPr>
      </w:pPr>
    </w:p>
    <w:p w:rsidR="00D41522" w:rsidRPr="000E5D18" w:rsidRDefault="00D41522" w:rsidP="000E5D18">
      <w:pPr>
        <w:rPr>
          <w:rFonts w:eastAsiaTheme="minorEastAsia"/>
          <w:noProof/>
          <w:lang w:val="en-US"/>
        </w:rPr>
      </w:pPr>
    </w:p>
    <w:p w:rsidR="00D3342F" w:rsidRPr="00EA7273" w:rsidRDefault="00516C5F" w:rsidP="00716045">
      <w:pPr>
        <w:pStyle w:val="Heading1"/>
        <w:numPr>
          <w:ilvl w:val="0"/>
          <w:numId w:val="29"/>
        </w:numPr>
        <w:spacing w:before="0"/>
        <w:rPr>
          <w:szCs w:val="24"/>
        </w:rPr>
      </w:pPr>
      <w:r w:rsidRPr="00EA7273">
        <w:rPr>
          <w:b w:val="0"/>
          <w:bCs w:val="0"/>
          <w:noProof/>
        </w:rPr>
        <w:lastRenderedPageBreak/>
        <w:fldChar w:fldCharType="end"/>
      </w:r>
      <w:bookmarkStart w:id="2" w:name="_Toc472679275"/>
      <w:r w:rsidR="00D3342F">
        <w:t>Въведение</w:t>
      </w:r>
      <w:bookmarkEnd w:id="2"/>
    </w:p>
    <w:p w:rsidR="006F4B94" w:rsidRPr="006C343F" w:rsidRDefault="006F4B94" w:rsidP="00716045">
      <w:pPr>
        <w:spacing w:before="0"/>
      </w:pPr>
      <w:r>
        <w:t>Настоящият доклад е изготвен във връзка със задължението на Комисията, предвидено в член 16, параграф 4 от Регламент (ЕС) № 1169/2011</w:t>
      </w:r>
      <w:r>
        <w:rPr>
          <w:vertAlign w:val="superscript"/>
        </w:rPr>
        <w:footnoteReference w:id="1"/>
      </w:r>
      <w:r>
        <w:t xml:space="preserve"> относно предоставянето на информация за храните на потребителите („Регламента“). Съгласно тази разпоредба списъкът на съставките и обявяването на хранителната стойност не са задължителни за алкохолни напитки, съдържащи повече от 1,2 обемни процента алкохол. В нея се посочва, че Комисията изготвя доклад относно това дали в бъдеще алкохолните напитки следва да подлежат по-специално на изискването за предоставяне на информация за енергийната стойност, както и относно причините, обосноваващи евентуално освобождаване</w:t>
      </w:r>
      <w:r>
        <w:rPr>
          <w:color w:val="000000"/>
        </w:rPr>
        <w:t>,</w:t>
      </w:r>
      <w:r>
        <w:t xml:space="preserve"> като вземе предвид необходимостта от гарантиране на съгласуваност с други политики на Съюза, свързани с въпроса, и като разгледа в този контекст необходимостта от предлагане на определение на понятието „алкопоп“.</w:t>
      </w:r>
    </w:p>
    <w:p w:rsidR="00CF590D" w:rsidRPr="006C343F" w:rsidRDefault="003B278D" w:rsidP="009E2D7C">
      <w:pPr>
        <w:spacing w:before="0"/>
      </w:pPr>
      <w:r>
        <w:t xml:space="preserve">С Регламента се създава основата за високо равнище на защита на потребителите по отношение на информацията за храните с оглед осигуряване на гаранции, че потребителите не биват подвеждани от етикетите на храните и могат да правят информиран избор. Списъкът на съставките и обявяването на хранителната стойност са сред основните фактори, осигуряващи възможност за информиран избор. </w:t>
      </w:r>
    </w:p>
    <w:p w:rsidR="00CF590D" w:rsidRPr="006C343F" w:rsidRDefault="00CF590D" w:rsidP="009E2D7C">
      <w:pPr>
        <w:spacing w:before="0"/>
      </w:pPr>
      <w:r>
        <w:t>Въпреки че етикетирането на хранителната стойност може да играе определена роля за насърчаването на по-умерена консумация на алкохол, в настоящия доклад въпросът за етикетирането на списъка на съставките и за обявяването на хранителната стойност по отношение на алкохолните напитки  се разглежда през призмата на информирането на потребителите относно отличителните характеристики и качествата на храните.</w:t>
      </w:r>
    </w:p>
    <w:p w:rsidR="00D3342F" w:rsidRPr="006C343F" w:rsidRDefault="0070010A" w:rsidP="009E2D7C">
      <w:pPr>
        <w:spacing w:before="0" w:after="240"/>
        <w:rPr>
          <w:rFonts w:eastAsia="Calibri"/>
        </w:rPr>
      </w:pPr>
      <w:r>
        <w:t>Настоящият доклад се основава на становищата относно етикетирането на алкохолните напитки, изразени от различни заинтересовани страни преди и след приемането на Регламента.</w:t>
      </w:r>
    </w:p>
    <w:p w:rsidR="00823F95" w:rsidRPr="006C343F" w:rsidRDefault="000B50FF" w:rsidP="003112A0">
      <w:pPr>
        <w:rPr>
          <w:rFonts w:eastAsia="Calibri"/>
        </w:rPr>
      </w:pPr>
      <w:r>
        <w:br w:type="page"/>
      </w:r>
    </w:p>
    <w:p w:rsidR="002F29E1" w:rsidRPr="006C343F" w:rsidRDefault="00F2789F" w:rsidP="00716045">
      <w:pPr>
        <w:pStyle w:val="Heading1"/>
        <w:spacing w:before="0"/>
        <w:rPr>
          <w:rFonts w:eastAsia="Calibri"/>
          <w:szCs w:val="24"/>
        </w:rPr>
      </w:pPr>
      <w:bookmarkStart w:id="3" w:name="_Toc472679276"/>
      <w:r>
        <w:lastRenderedPageBreak/>
        <w:t>Исторически преглед</w:t>
      </w:r>
      <w:bookmarkEnd w:id="3"/>
    </w:p>
    <w:p w:rsidR="00692747" w:rsidRPr="006C343F" w:rsidRDefault="002F29E1" w:rsidP="00716045">
      <w:pPr>
        <w:spacing w:before="0"/>
        <w:rPr>
          <w:rFonts w:eastAsia="Calibri"/>
        </w:rPr>
      </w:pPr>
      <w:r>
        <w:t>Специалният режим за алкохолните напитки не води началото си от Регламента.</w:t>
      </w:r>
    </w:p>
    <w:p w:rsidR="002F29E1" w:rsidRPr="006C343F" w:rsidRDefault="00692747" w:rsidP="00716045">
      <w:pPr>
        <w:spacing w:before="0"/>
        <w:rPr>
          <w:rFonts w:eastAsia="Calibri"/>
        </w:rPr>
      </w:pPr>
      <w:r>
        <w:t>Въпросът за списъка на съставките датира от първото общо законодателство относно етикетирането</w:t>
      </w:r>
      <w:r>
        <w:rPr>
          <w:rStyle w:val="FootnoteReference"/>
        </w:rPr>
        <w:footnoteReference w:id="2"/>
      </w:r>
      <w:r>
        <w:t>, прието на равнище ЕС, в което се предвижда, че „по отношение на напитките, съдържащи повече от 1,2 обемни процента алкохол, Съветът, по предложение на Комисията, определя до 22 декември 1982 г. правилата за етикетиране на съставките“.</w:t>
      </w:r>
    </w:p>
    <w:p w:rsidR="002F29E1" w:rsidRPr="006C343F" w:rsidRDefault="002F29E1" w:rsidP="00716045">
      <w:pPr>
        <w:spacing w:before="0"/>
        <w:rPr>
          <w:rFonts w:eastAsia="Calibri"/>
        </w:rPr>
      </w:pPr>
      <w:r>
        <w:t>През 1982</w:t>
      </w:r>
      <w:r>
        <w:rPr>
          <w:rStyle w:val="FootnoteReference"/>
        </w:rPr>
        <w:footnoteReference w:id="3"/>
      </w:r>
      <w:r>
        <w:t xml:space="preserve"> и 1992</w:t>
      </w:r>
      <w:r w:rsidR="000166E7">
        <w:t xml:space="preserve"> г.</w:t>
      </w:r>
      <w:r>
        <w:rPr>
          <w:rStyle w:val="FootnoteReference"/>
        </w:rPr>
        <w:footnoteReference w:id="4"/>
      </w:r>
      <w:r w:rsidR="000166E7" w:rsidRPr="000166E7">
        <w:t xml:space="preserve"> </w:t>
      </w:r>
      <w:r>
        <w:t>Комисията представи предложения във връзка с това изискване, но в Съвета не беше постигнато съгласие по нито едно от тях. През февруари 1997 г.</w:t>
      </w:r>
      <w:r>
        <w:rPr>
          <w:rStyle w:val="FootnoteReference"/>
        </w:rPr>
        <w:footnoteReference w:id="5"/>
      </w:r>
      <w:r>
        <w:t xml:space="preserve"> Комисията представи ново предложение, което впоследствие беше включено през декември 2002 г. в дневния ред на работна група на Съвета.  По време на заседанието повечето държави членки изразиха съгласие, че етикетирането на съставките на алкохолните напитки следва да отговаря в по-голяма степен на преразгледаните общи правила относно етикетирането.</w:t>
      </w:r>
    </w:p>
    <w:p w:rsidR="002F29E1" w:rsidRPr="006C343F" w:rsidRDefault="002F29E1" w:rsidP="00716045">
      <w:pPr>
        <w:spacing w:before="0"/>
        <w:rPr>
          <w:rFonts w:eastAsia="Calibri"/>
        </w:rPr>
      </w:pPr>
      <w:r>
        <w:t>След тези дискусии — макар и специфичните изисквания на ЕС</w:t>
      </w:r>
      <w:r>
        <w:rPr>
          <w:rStyle w:val="FootnoteReference"/>
        </w:rPr>
        <w:footnoteReference w:id="6"/>
      </w:r>
      <w:r>
        <w:t xml:space="preserve"> за етикетиране на съставките, които могат да причинят алергии или непоносимост, да се отнасят също така за алкохолните напитки — не бяха въведени правила за етикетирането като цяло на съставките на алкохолните напитки.</w:t>
      </w:r>
    </w:p>
    <w:p w:rsidR="002F29E1" w:rsidRPr="006C343F" w:rsidRDefault="00847143" w:rsidP="00716045">
      <w:pPr>
        <w:spacing w:before="0" w:after="240"/>
        <w:rPr>
          <w:rFonts w:eastAsia="Calibri"/>
        </w:rPr>
      </w:pPr>
      <w:r>
        <w:t>Съгласно предложението на Комисията за Регламент относно предоставянето на информация за храните на потребителите алкохолните напитки, включително „алкопопите“ (смесени алкохолни напитки, като например смес от безалкохолна напитка и спиртна напитка), са обхванати от изискването за задължително етикетиране на списъка на съставките и обявяването на хранителната стойност, като изключение правят бирата, виното и спиртните напитки</w:t>
      </w:r>
      <w:r>
        <w:rPr>
          <w:rStyle w:val="FootnoteReference"/>
        </w:rPr>
        <w:footnoteReference w:id="7"/>
      </w:r>
      <w:r>
        <w:t>. По инициатива на Европейския парламент това освобождаване беше предоставено по отношение на всички алкохолни напитки и в приетия регламент беше въведено изискването Комисията да изготви настоящия доклад.</w:t>
      </w:r>
    </w:p>
    <w:p w:rsidR="00E06B79" w:rsidRPr="006C343F" w:rsidRDefault="00E06B79" w:rsidP="00716045">
      <w:pPr>
        <w:pStyle w:val="Heading1"/>
        <w:spacing w:before="0" w:after="240"/>
        <w:rPr>
          <w:szCs w:val="24"/>
        </w:rPr>
      </w:pPr>
      <w:bookmarkStart w:id="4" w:name="_Toc472679277"/>
      <w:r>
        <w:t>Правна рамка на ЕС относно етикетирането на алкохолните напитки</w:t>
      </w:r>
      <w:bookmarkEnd w:id="4"/>
    </w:p>
    <w:p w:rsidR="008B7D2E" w:rsidRPr="006C343F" w:rsidRDefault="008B7D2E" w:rsidP="00716045">
      <w:pPr>
        <w:pStyle w:val="Heading2"/>
        <w:spacing w:before="0"/>
        <w:rPr>
          <w:rFonts w:eastAsia="Calibri"/>
          <w:szCs w:val="24"/>
        </w:rPr>
      </w:pPr>
      <w:bookmarkStart w:id="5" w:name="_Toc472679278"/>
      <w:r>
        <w:t>Регламент (ЕС) № 1169/2011</w:t>
      </w:r>
      <w:bookmarkEnd w:id="5"/>
    </w:p>
    <w:p w:rsidR="006C45AF" w:rsidRPr="006C343F" w:rsidRDefault="005D5D91" w:rsidP="00716045">
      <w:pPr>
        <w:spacing w:before="0"/>
      </w:pPr>
      <w:r>
        <w:t xml:space="preserve">Регламентът </w:t>
      </w:r>
      <w:r>
        <w:rPr>
          <w:color w:val="000000"/>
        </w:rPr>
        <w:t>запазва задължителния списък на съставките</w:t>
      </w:r>
      <w:r>
        <w:rPr>
          <w:rStyle w:val="FootnoteReference"/>
          <w:color w:val="000000"/>
        </w:rPr>
        <w:footnoteReference w:id="8"/>
      </w:r>
      <w:r>
        <w:rPr>
          <w:color w:val="000000"/>
        </w:rPr>
        <w:t xml:space="preserve"> и въвежда задължително обявяване на хранителната стойност (енергийна стойност и количества мазнини, наситени мастни киселини, въглехидрати, захари, белтъчини и сол), считано от 16 декември 2016 г.</w:t>
      </w:r>
      <w:r>
        <w:rPr>
          <w:rStyle w:val="FootnoteReference"/>
        </w:rPr>
        <w:footnoteReference w:id="9"/>
      </w:r>
      <w:r>
        <w:t xml:space="preserve"> Алкохолните напитки не влизат в обхвата на тези разпоредби.</w:t>
      </w:r>
    </w:p>
    <w:p w:rsidR="006C45AF" w:rsidRPr="006C343F" w:rsidRDefault="006C45AF" w:rsidP="00716045">
      <w:pPr>
        <w:spacing w:before="0"/>
      </w:pPr>
      <w:r>
        <w:t>Що се отнася до списъка на съставките, подобно на предходното законодателство член 21 относно етикетирането на определени вещества или продукти, причиняващи алергии или непоносимост, се прилага по отношение на алкохолните напитки. Поради това, когато алкохолни напитки съдържат вещество или продукт от списъка на най-честите алергени, съдържащ се в приложение II към Регламента (например добавени към вината сулфити), на потребителите се предоставя съответната информация. Други хранителни съставки обаче, които по преценка на съзаконодателите не попадат сред веществата, които биха могли да причинят алергични реакции при някои групи потребители, не са включени в приложение II към Регламента и поради това, както и предвид незадължителния характер на списъка на съставките, не фигурират в етикетите на алкохолните напитки. Макар и списъкът на съставките да не е задължителен по отношение на алкохолните напитки, стопанските субекти от хранителната промишленост могат доброволно да предоставят тази информация на потребителите. Съгласно член 36 от Регламента тази информация следва да отговаря на разпоредбите относно задължителния списък на съставките.</w:t>
      </w:r>
    </w:p>
    <w:p w:rsidR="006C45AF" w:rsidRPr="006C343F" w:rsidRDefault="006C45AF" w:rsidP="00716045">
      <w:pPr>
        <w:spacing w:before="0"/>
      </w:pPr>
      <w:r>
        <w:t>Член 41 от Регламента позволява на държавите членки да запазят своите национални мерки по отношение на списъка на съставките на алкохолните напитки до приемането на хармонизирани правила на ЕС.</w:t>
      </w:r>
    </w:p>
    <w:p w:rsidR="006F2751" w:rsidRPr="006C343F" w:rsidRDefault="006C45AF" w:rsidP="00716045">
      <w:pPr>
        <w:spacing w:before="0"/>
      </w:pPr>
      <w:r>
        <w:t>Що се отнася до етикетирането на хранителната стойност, съображение 42 от Регламента поощрява стопанските субекти от хранителната промишленост да предоставят на доброволна основа информацията, съдържаща се в обявената хранителна стойност на храни като алкохолни напитки, за които следва да се предоставя възможност за обявяване само на ограничен брой елементи, даващи информация за хранителната стойност. За целта Регламентът допуска доброволното обявяване на хранителната стойност при алкохолни напитки да бъде ограничено до енергийната стойност.</w:t>
      </w:r>
    </w:p>
    <w:p w:rsidR="006C45AF" w:rsidRPr="006C343F" w:rsidRDefault="006C45AF" w:rsidP="00716045">
      <w:pPr>
        <w:spacing w:before="0"/>
      </w:pPr>
      <w:r>
        <w:t>В приложение XIV към Регламента са посочени фактори на превръщане за целите на изчисляването на енергийната стойност. Енергийната стойност на алкохолните напитки се изчислява чрез използването на фактор на превръщане 29 kJ/g — 7 kcal/g.</w:t>
      </w:r>
    </w:p>
    <w:p w:rsidR="006C45AF" w:rsidRPr="006C343F" w:rsidRDefault="006C45AF" w:rsidP="00716045">
      <w:pPr>
        <w:spacing w:before="0"/>
      </w:pPr>
      <w:r>
        <w:t>В член 9, буква к) от Регламента се съдържа изискване за етикетиране на действителното обемно съдържание на алкохол по отношение на напитки, съдържащи повече от 1,2 обемни процента алкохол — задължителни данни, изисквани още от предходното законодателство</w:t>
      </w:r>
      <w:r>
        <w:rPr>
          <w:vertAlign w:val="superscript"/>
        </w:rPr>
        <w:footnoteReference w:id="10"/>
      </w:r>
      <w:r>
        <w:t>.</w:t>
      </w:r>
    </w:p>
    <w:p w:rsidR="00AA520E" w:rsidRPr="006C343F" w:rsidRDefault="00AA520E" w:rsidP="00716045">
      <w:pPr>
        <w:pStyle w:val="Heading2"/>
        <w:spacing w:before="0"/>
        <w:rPr>
          <w:szCs w:val="24"/>
        </w:rPr>
      </w:pPr>
      <w:bookmarkStart w:id="6" w:name="_Toc472679279"/>
      <w:r>
        <w:t>Други разпоредби на ЕС относно етикетирането на алкохолните напитки</w:t>
      </w:r>
      <w:bookmarkEnd w:id="6"/>
    </w:p>
    <w:p w:rsidR="00AA520E" w:rsidRPr="006C343F" w:rsidRDefault="00E91451" w:rsidP="00716045">
      <w:pPr>
        <w:spacing w:before="0"/>
      </w:pPr>
      <w:r>
        <w:t>В Регламент (Е</w:t>
      </w:r>
      <w:r w:rsidR="00340270">
        <w:t>С</w:t>
      </w:r>
      <w:r>
        <w:t xml:space="preserve">) № </w:t>
      </w:r>
      <w:r w:rsidR="00340270" w:rsidRPr="00340270">
        <w:t>1308/2013</w:t>
      </w:r>
      <w:r>
        <w:rPr>
          <w:vertAlign w:val="superscript"/>
        </w:rPr>
        <w:footnoteReference w:id="11"/>
      </w:r>
      <w:r>
        <w:t xml:space="preserve"> е предоставен изчерпателен набор от технически стандарти, напълно покриващи всички енологични практики, производствени методи и средства за представяне и етикетиране на вината. В Регламента са описани веществата, за които е вероятно да бъдат използвани в производствения процес, както и условията за тяхното използване, като за целта е съставен положителен списък на енологичните практики и манипулации.</w:t>
      </w:r>
    </w:p>
    <w:p w:rsidR="00716045" w:rsidRPr="006C343F" w:rsidRDefault="00852DFA" w:rsidP="00716045">
      <w:pPr>
        <w:spacing w:before="0"/>
      </w:pPr>
      <w:r>
        <w:t>Съгласно законодателството на ЕС относно спиртните напитки</w:t>
      </w:r>
      <w:r>
        <w:rPr>
          <w:vertAlign w:val="superscript"/>
        </w:rPr>
        <w:footnoteReference w:id="12"/>
      </w:r>
      <w:r>
        <w:t>, когато при етикетирането на дадена спиртна напитка се указват суровините, използвани за произвеждането на етиловия алкохол от земеделски произход, се посочва всеки вложен земеделски алкохол в низходящ ред според вложеното количество. В същото законодателство се регламентира също така етикетирането на продължителността на отлежаване, понятието „блендиране“ и географските указания.</w:t>
      </w:r>
    </w:p>
    <w:p w:rsidR="00AA520E" w:rsidRPr="006C343F" w:rsidRDefault="00852DFA" w:rsidP="00FC7734">
      <w:r>
        <w:t>Ароматизираните вина, ароматизираните напитки на винена основа и ароматизираните коктейли от лозаро-винарски продукти</w:t>
      </w:r>
      <w:r>
        <w:rPr>
          <w:rStyle w:val="FootnoteReference"/>
        </w:rPr>
        <w:footnoteReference w:id="13"/>
      </w:r>
      <w:r>
        <w:t xml:space="preserve"> трябва да отговарят на стандартите за преработка и съдържание, както и на специфични изисквания за етикетиране от гледна точка на предназначението за продажба и естеството на алкохола, т.е. суровините, използвани за производството на алкохола.</w:t>
      </w:r>
    </w:p>
    <w:p w:rsidR="003E186A" w:rsidRPr="006C343F" w:rsidRDefault="003B278D" w:rsidP="00716045">
      <w:pPr>
        <w:spacing w:before="0" w:after="240"/>
      </w:pPr>
      <w:r>
        <w:t>Забранено е алкохолните напитки да се маркират със здравни претенции, а единствените позволени хранителни претенции са отнасящите се до ниски нива на алкохол и намалено съдържание на алкохол или намалено енергийно съдържание</w:t>
      </w:r>
      <w:r>
        <w:rPr>
          <w:rStyle w:val="FootnoteReference"/>
        </w:rPr>
        <w:footnoteReference w:id="14"/>
      </w:r>
      <w:r>
        <w:t>. При използването на хранителни претенции се изисква обявяването на хранителната стойност.</w:t>
      </w:r>
    </w:p>
    <w:p w:rsidR="00E06B79" w:rsidRPr="006C343F" w:rsidRDefault="00497967" w:rsidP="00716045">
      <w:pPr>
        <w:pStyle w:val="Heading1"/>
        <w:spacing w:before="0" w:after="240"/>
        <w:rPr>
          <w:szCs w:val="24"/>
        </w:rPr>
      </w:pPr>
      <w:bookmarkStart w:id="7" w:name="_Toc472679280"/>
      <w:r>
        <w:t>Законодателство на държавите членки; ситуация в международен план и в трети държави</w:t>
      </w:r>
      <w:bookmarkEnd w:id="7"/>
    </w:p>
    <w:p w:rsidR="006A73E5" w:rsidRPr="006C343F" w:rsidRDefault="006A73E5" w:rsidP="00716045">
      <w:pPr>
        <w:pStyle w:val="Heading2"/>
        <w:spacing w:before="0"/>
        <w:rPr>
          <w:szCs w:val="24"/>
        </w:rPr>
      </w:pPr>
      <w:bookmarkStart w:id="8" w:name="_Toc472679281"/>
      <w:r>
        <w:t>Държави членки</w:t>
      </w:r>
      <w:bookmarkEnd w:id="8"/>
    </w:p>
    <w:p w:rsidR="002D445B" w:rsidRPr="006C343F" w:rsidRDefault="005F6CA1" w:rsidP="00716045">
      <w:pPr>
        <w:spacing w:before="0"/>
      </w:pPr>
      <w:r>
        <w:t>По-долу са посочени единствено онези законодателни инициативи на държавите членки, които са свързани със списъка на съставките и обявяването на хранителната стойност.</w:t>
      </w:r>
    </w:p>
    <w:p w:rsidR="005D5C93" w:rsidRPr="006C343F" w:rsidRDefault="006C2E4B" w:rsidP="00716045">
      <w:pPr>
        <w:spacing w:before="0"/>
      </w:pPr>
      <w:r>
        <w:t>Някои държави членки (Австрия, Хърватия, Чешката република, Финландия, Германия, Гърция, Унгария, Ирландия, Люксембург, Португалия, Литва и Румъния) са запазили или приели национални мерки, налагащи допълнителни изисквания относно етикетирането на съставките или на определени съставки на алкохолните напитки или на определени алкохолни напитки.</w:t>
      </w:r>
    </w:p>
    <w:p w:rsidR="002D445B" w:rsidRPr="006C343F" w:rsidRDefault="00B06A4E" w:rsidP="005F78B5">
      <w:pPr>
        <w:spacing w:before="0"/>
      </w:pPr>
      <w:r>
        <w:t>Що се отнася до обявяването на хранителната стойност, Австрия изисква етикетирането на количеството захар по отношение на определени лозаро-винарски продукти. Макар и по отношение на обявяването на хранителната стойност Регламент (ЕС) № 1169/2011 да не предвижда същата гъвкавост относно националните мерки, както при списъка на съставките, Румъния</w:t>
      </w:r>
      <w:r>
        <w:rPr>
          <w:rStyle w:val="FootnoteReference"/>
        </w:rPr>
        <w:footnoteReference w:id="15"/>
      </w:r>
      <w:r>
        <w:t xml:space="preserve"> и Ирландия</w:t>
      </w:r>
      <w:r>
        <w:rPr>
          <w:rStyle w:val="FootnoteReference"/>
        </w:rPr>
        <w:footnoteReference w:id="16"/>
      </w:r>
      <w:r>
        <w:t xml:space="preserve"> нотифицираха в рамките на процедурата за нотификация съгласно Директива (ЕС) № 2015/1535</w:t>
      </w:r>
      <w:r>
        <w:rPr>
          <w:rStyle w:val="FootnoteReference"/>
        </w:rPr>
        <w:footnoteReference w:id="17"/>
      </w:r>
      <w:r>
        <w:t xml:space="preserve"> проекти на законодателни актове, изискващи хранителната стойност да бъде елемент от етикетирането на алкохолните напитки.</w:t>
      </w:r>
    </w:p>
    <w:p w:rsidR="006A73E5" w:rsidRPr="006C343F" w:rsidRDefault="003112A0" w:rsidP="005F78B5">
      <w:pPr>
        <w:pStyle w:val="Heading2"/>
        <w:spacing w:before="0"/>
        <w:rPr>
          <w:szCs w:val="24"/>
        </w:rPr>
      </w:pPr>
      <w:bookmarkStart w:id="9" w:name="_Toc472679282"/>
      <w:r>
        <w:t>Международни организации и трети държави</w:t>
      </w:r>
      <w:bookmarkEnd w:id="9"/>
    </w:p>
    <w:p w:rsidR="00306536" w:rsidRPr="006C343F" w:rsidRDefault="00306536" w:rsidP="005F78B5">
      <w:pPr>
        <w:spacing w:before="0"/>
      </w:pPr>
      <w:r>
        <w:t>На международно равнище стандартът на Кодекс алиментариус относно етикетирането на пакетираните храни</w:t>
      </w:r>
      <w:r>
        <w:rPr>
          <w:vertAlign w:val="superscript"/>
        </w:rPr>
        <w:footnoteReference w:id="18"/>
      </w:r>
      <w:r>
        <w:t xml:space="preserve"> не освобождава алкохолните напитки от посочването на задължителен списък на съставките.</w:t>
      </w:r>
    </w:p>
    <w:p w:rsidR="00306536" w:rsidRPr="006C343F" w:rsidRDefault="00306536" w:rsidP="005F78B5">
      <w:pPr>
        <w:spacing w:before="0"/>
      </w:pPr>
      <w:r>
        <w:t>Съгласно насоките на Кодекса във връзка с етикетирането на хранителната стойност</w:t>
      </w:r>
      <w:r>
        <w:rPr>
          <w:rStyle w:val="FootnoteReference"/>
        </w:rPr>
        <w:footnoteReference w:id="19"/>
      </w:r>
      <w:r>
        <w:t xml:space="preserve"> обявяването на хранителната стойност следва да бъде задължително освен в случаите, когато това не би било от полза с оглед на националните обстоятелства. Определени храни могат да бъдат освободени, например ако имат несъществена хранителна стойност или малка важност за хранителния режим, както и ако са в малки опаковки.</w:t>
      </w:r>
    </w:p>
    <w:p w:rsidR="00524758" w:rsidRPr="006C343F" w:rsidRDefault="005612CB" w:rsidP="005F78B5">
      <w:pPr>
        <w:spacing w:before="0"/>
      </w:pPr>
      <w:r>
        <w:t>В някои трети държави, като например САЩ, Бразилия, Канада, Китай, Индия, Мексико, Нова Зеландия, Русия и Швейцария, предоставянето на списък на съставките е задължително по отношение на някои алкохолни напитки.</w:t>
      </w:r>
    </w:p>
    <w:p w:rsidR="00AA520E" w:rsidRPr="006C343F" w:rsidRDefault="00AA520E" w:rsidP="00833995">
      <w:pPr>
        <w:pStyle w:val="Heading1"/>
        <w:spacing w:before="0" w:after="240"/>
        <w:rPr>
          <w:szCs w:val="24"/>
        </w:rPr>
      </w:pPr>
      <w:bookmarkStart w:id="10" w:name="_Toc472679283"/>
      <w:r>
        <w:t>Осведоменост и интерес сред потребителите</w:t>
      </w:r>
      <w:bookmarkEnd w:id="10"/>
    </w:p>
    <w:p w:rsidR="00ED2B06" w:rsidRPr="006C343F" w:rsidRDefault="00ED2B06" w:rsidP="00833995">
      <w:pPr>
        <w:autoSpaceDE w:val="0"/>
        <w:autoSpaceDN w:val="0"/>
        <w:adjustRightInd w:val="0"/>
        <w:spacing w:before="0" w:after="240"/>
        <w:rPr>
          <w:rFonts w:eastAsia="Calibri"/>
          <w:color w:val="000000"/>
        </w:rPr>
      </w:pPr>
      <w:r>
        <w:rPr>
          <w:color w:val="000000"/>
        </w:rPr>
        <w:t>Като част от възложеното от Комисията проучване относно въздействието на информацията за храните върху вземането на решения от потребителите</w:t>
      </w:r>
      <w:r>
        <w:rPr>
          <w:rStyle w:val="FootnoteReference"/>
          <w:color w:val="000000"/>
        </w:rPr>
        <w:footnoteReference w:id="20"/>
      </w:r>
      <w:r>
        <w:rPr>
          <w:color w:val="000000"/>
        </w:rPr>
        <w:t xml:space="preserve"> беше изследвано и поведението на потребителите в зависимост от предоставената информация относно алкохолните напитки. След като получиха информация за енергийното съдържание на някои алкохолни напитки, като бира, вино и спиртни напитки,  2031 респонденти от 8 държави членки бяха попитани коя е оптималната информация за алкохолните напитки, която следва да се предоставя в бъдеще. Почти половината  (49 %) от участниците посочиха, че биха искали да се предоставя информация за енергийната стойност на алкохолните напитки, а 16 % заявиха, че въз основа на получената информация са взели решение да намалят своята консумация на алкохол. </w:t>
      </w:r>
    </w:p>
    <w:p w:rsidR="00ED2B06" w:rsidRPr="006C343F" w:rsidRDefault="00ED2B06" w:rsidP="00833995">
      <w:pPr>
        <w:autoSpaceDE w:val="0"/>
        <w:autoSpaceDN w:val="0"/>
        <w:adjustRightInd w:val="0"/>
        <w:spacing w:before="0" w:after="240"/>
        <w:rPr>
          <w:rFonts w:eastAsia="Calibri"/>
          <w:bCs/>
          <w:i/>
          <w:color w:val="000000"/>
        </w:rPr>
      </w:pPr>
      <w:r>
        <w:rPr>
          <w:color w:val="000000"/>
        </w:rPr>
        <w:t>Според проучване</w:t>
      </w:r>
      <w:r>
        <w:rPr>
          <w:color w:val="000000"/>
          <w:vertAlign w:val="superscript"/>
        </w:rPr>
        <w:footnoteReference w:id="21"/>
      </w:r>
      <w:r>
        <w:rPr>
          <w:color w:val="000000"/>
        </w:rPr>
        <w:t>, проведено през 2014 г. и възложено от асоциация на пивоварите, осведомеността на потребителите за хранителната стойност и съставките на алкохолните напитки е ограничена.</w:t>
      </w:r>
      <w:r>
        <w:t xml:space="preserve"> </w:t>
      </w:r>
      <w:r>
        <w:rPr>
          <w:color w:val="000000"/>
        </w:rPr>
        <w:t>Проучването е имало за цел да направи представителен обзор и е ангажирало почти 5400 респонденти от шест държави членки Резултатите от него показват, че потребителите са недостатъчно осведомени за съдържанието на въглехидрати, калории и мазнини в различните видове алкохолни напитки — обект на анализа (бира, вино и спиртни напитки), както и за различните съставки, които могат да бъдат използвани при тяхното производство. Както се вижда на фигура 1, от проучването пролича също така, че съществува голям интерес към получаване на същата информация за съставките и за хранителните стойности на алкохолните напитки като предоставяната понастоящем за другите хранителни продукти и напитки.</w:t>
      </w:r>
    </w:p>
    <w:p w:rsidR="00521AC3" w:rsidRPr="006C343F" w:rsidRDefault="00521AC3" w:rsidP="00833995">
      <w:pPr>
        <w:keepNext/>
        <w:keepLines/>
        <w:autoSpaceDE w:val="0"/>
        <w:autoSpaceDN w:val="0"/>
        <w:adjustRightInd w:val="0"/>
        <w:spacing w:after="240"/>
        <w:ind w:left="993" w:hanging="993"/>
        <w:jc w:val="left"/>
        <w:rPr>
          <w:rFonts w:eastAsia="Calibri"/>
          <w:bCs/>
          <w:color w:val="000000"/>
        </w:rPr>
      </w:pPr>
      <w:r>
        <w:rPr>
          <w:b/>
        </w:rPr>
        <w:t>Фигура 1:</w:t>
      </w:r>
      <w:r>
        <w:rPr>
          <w:color w:val="000000"/>
        </w:rPr>
        <w:t xml:space="preserve"> Интерес към същата информация за хранителната стойност и за съставките като тази за всички хранителни продукти и напитки, независимо дали те съдържат алкохол, или не</w:t>
      </w:r>
    </w:p>
    <w:p w:rsidR="00521AC3" w:rsidRPr="006C343F" w:rsidRDefault="003B7D36" w:rsidP="00BD7AC9">
      <w:pPr>
        <w:keepNext/>
        <w:keepLines/>
        <w:autoSpaceDE w:val="0"/>
        <w:autoSpaceDN w:val="0"/>
        <w:adjustRightInd w:val="0"/>
        <w:jc w:val="center"/>
        <w:rPr>
          <w:rFonts w:eastAsia="Calibri"/>
          <w:bCs/>
          <w:color w:val="000000"/>
        </w:rPr>
      </w:pPr>
      <w:r w:rsidRPr="003B7D36">
        <w:rPr>
          <w:rFonts w:eastAsia="Calibri"/>
          <w:noProof/>
          <w:lang w:val="en-GB" w:eastAsia="en-GB" w:bidi="ar-SA"/>
        </w:rPr>
        <w:drawing>
          <wp:inline distT="0" distB="0" distL="0" distR="0" wp14:anchorId="0C1D176B" wp14:editId="53182522">
            <wp:extent cx="4848225" cy="271462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48225" cy="2714625"/>
                    </a:xfrm>
                    <a:prstGeom prst="rect">
                      <a:avLst/>
                    </a:prstGeom>
                    <a:noFill/>
                    <a:ln>
                      <a:noFill/>
                    </a:ln>
                  </pic:spPr>
                </pic:pic>
              </a:graphicData>
            </a:graphic>
          </wp:inline>
        </w:drawing>
      </w:r>
    </w:p>
    <w:p w:rsidR="00521AC3" w:rsidRPr="006C343F" w:rsidRDefault="00AD0D16" w:rsidP="00BD7AC9">
      <w:pPr>
        <w:keepNext/>
        <w:keepLines/>
        <w:autoSpaceDE w:val="0"/>
        <w:autoSpaceDN w:val="0"/>
        <w:adjustRightInd w:val="0"/>
        <w:jc w:val="center"/>
        <w:rPr>
          <w:rFonts w:eastAsia="Calibri"/>
          <w:bCs/>
          <w:color w:val="000000"/>
        </w:rPr>
      </w:pPr>
      <w:r>
        <w:rPr>
          <w:color w:val="000000"/>
        </w:rPr>
        <w:t>Източник: GfK — Белгия (2014)</w:t>
      </w:r>
    </w:p>
    <w:p w:rsidR="00BD7AC9" w:rsidRPr="006C343F" w:rsidRDefault="00917C34" w:rsidP="00ED2B06">
      <w:pPr>
        <w:autoSpaceDE w:val="0"/>
        <w:autoSpaceDN w:val="0"/>
        <w:adjustRightInd w:val="0"/>
        <w:rPr>
          <w:rFonts w:eastAsia="Calibri"/>
          <w:bCs/>
          <w:color w:val="000000"/>
        </w:rPr>
      </w:pPr>
      <w:r>
        <w:rPr>
          <w:color w:val="000000"/>
        </w:rPr>
        <w:t>Същото проучване предоставя също така информация относно достъпа до и използването на такава информация от източници, различни от етикета. Данните сочат, че между 34 % и 51 % от респондентите се запознават с такава информация понякога, често или винаги (фигура 2).</w:t>
      </w:r>
    </w:p>
    <w:p w:rsidR="00521AC3" w:rsidRPr="006C343F" w:rsidRDefault="00917C34" w:rsidP="00AA31B4">
      <w:pPr>
        <w:keepNext/>
        <w:keepLines/>
        <w:autoSpaceDE w:val="0"/>
        <w:autoSpaceDN w:val="0"/>
        <w:adjustRightInd w:val="0"/>
        <w:ind w:left="993" w:hanging="993"/>
        <w:jc w:val="left"/>
        <w:rPr>
          <w:rFonts w:eastAsia="Calibri"/>
          <w:bCs/>
          <w:color w:val="000000"/>
        </w:rPr>
      </w:pPr>
      <w:r>
        <w:rPr>
          <w:b/>
        </w:rPr>
        <w:t>Фигура 2:</w:t>
      </w:r>
      <w:r>
        <w:rPr>
          <w:color w:val="000000"/>
        </w:rPr>
        <w:t xml:space="preserve"> Използване на източници на информация, различни от етикета, с цел осведомяване за хранителните стойности и съставките на алкохолните напитки </w:t>
      </w:r>
      <w:r>
        <w:rPr>
          <w:rFonts w:eastAsia="Calibri"/>
          <w:bCs/>
          <w:color w:val="000000"/>
        </w:rPr>
        <w:br/>
      </w:r>
    </w:p>
    <w:p w:rsidR="00521AC3" w:rsidRPr="006C343F" w:rsidRDefault="003B7D36" w:rsidP="00BD7AC9">
      <w:pPr>
        <w:keepNext/>
        <w:keepLines/>
        <w:autoSpaceDE w:val="0"/>
        <w:autoSpaceDN w:val="0"/>
        <w:adjustRightInd w:val="0"/>
        <w:jc w:val="center"/>
        <w:rPr>
          <w:rFonts w:eastAsia="Calibri"/>
          <w:bCs/>
          <w:color w:val="000000"/>
        </w:rPr>
      </w:pPr>
      <w:r w:rsidRPr="003B7D36">
        <w:rPr>
          <w:rFonts w:eastAsia="Calibri"/>
          <w:noProof/>
          <w:lang w:val="en-GB" w:eastAsia="en-GB" w:bidi="ar-SA"/>
        </w:rPr>
        <w:drawing>
          <wp:inline distT="0" distB="0" distL="0" distR="0" wp14:anchorId="60556B35" wp14:editId="47FEB2A2">
            <wp:extent cx="5553075" cy="390092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51851" cy="3900060"/>
                    </a:xfrm>
                    <a:prstGeom prst="rect">
                      <a:avLst/>
                    </a:prstGeom>
                    <a:noFill/>
                    <a:ln>
                      <a:noFill/>
                    </a:ln>
                  </pic:spPr>
                </pic:pic>
              </a:graphicData>
            </a:graphic>
          </wp:inline>
        </w:drawing>
      </w:r>
    </w:p>
    <w:p w:rsidR="00917C34" w:rsidRPr="006C343F" w:rsidRDefault="00917C34" w:rsidP="00BD7AC9">
      <w:pPr>
        <w:keepNext/>
        <w:keepLines/>
        <w:autoSpaceDE w:val="0"/>
        <w:autoSpaceDN w:val="0"/>
        <w:adjustRightInd w:val="0"/>
        <w:jc w:val="center"/>
        <w:rPr>
          <w:rFonts w:eastAsia="Calibri"/>
          <w:bCs/>
          <w:color w:val="000000"/>
        </w:rPr>
      </w:pPr>
      <w:r>
        <w:rPr>
          <w:color w:val="000000"/>
        </w:rPr>
        <w:t>Източник: GfK — Белгия (2014)</w:t>
      </w:r>
    </w:p>
    <w:p w:rsidR="00917C34" w:rsidRPr="006C343F" w:rsidRDefault="00917C34" w:rsidP="00ED2B06">
      <w:pPr>
        <w:autoSpaceDE w:val="0"/>
        <w:autoSpaceDN w:val="0"/>
        <w:adjustRightInd w:val="0"/>
        <w:rPr>
          <w:rFonts w:eastAsia="Calibri"/>
          <w:bCs/>
          <w:color w:val="000000"/>
        </w:rPr>
      </w:pPr>
    </w:p>
    <w:p w:rsidR="00AA520E" w:rsidRPr="006C343F" w:rsidRDefault="00EE0AB7" w:rsidP="00833995">
      <w:pPr>
        <w:pStyle w:val="Heading1"/>
        <w:spacing w:before="0" w:after="240"/>
        <w:rPr>
          <w:szCs w:val="24"/>
        </w:rPr>
      </w:pPr>
      <w:bookmarkStart w:id="11" w:name="_Toc472679284"/>
      <w:r>
        <w:t>Заинтересовани страни</w:t>
      </w:r>
      <w:bookmarkEnd w:id="11"/>
    </w:p>
    <w:p w:rsidR="00DA37C6" w:rsidRPr="006C343F" w:rsidRDefault="00DA37C6" w:rsidP="00833995">
      <w:pPr>
        <w:spacing w:before="0" w:after="240"/>
      </w:pPr>
      <w:r>
        <w:t>Като база е представена позицията на различните участници по отношение на етикетирането на алкохолните напитки</w:t>
      </w:r>
      <w:r w:rsidR="003B7D36">
        <w:t>, изразена</w:t>
      </w:r>
      <w:r>
        <w:t xml:space="preserve"> в рамките на проучване</w:t>
      </w:r>
      <w:r>
        <w:rPr>
          <w:rStyle w:val="FootnoteReference"/>
        </w:rPr>
        <w:footnoteReference w:id="22"/>
      </w:r>
      <w:r>
        <w:t>, извършено към момента, в който Комисията внесе предложението за Регламент относно предоставянето на информация за храните на потребителите. Представени са позициите на производители, търговци на дребно, публични органи и неправителствени организации.</w:t>
      </w:r>
    </w:p>
    <w:p w:rsidR="00902A1B" w:rsidRPr="006C343F" w:rsidRDefault="00902A1B" w:rsidP="00833995">
      <w:pPr>
        <w:spacing w:before="0" w:after="240"/>
        <w:ind w:left="993" w:hanging="993"/>
        <w:jc w:val="left"/>
      </w:pPr>
      <w:r>
        <w:rPr>
          <w:b/>
        </w:rPr>
        <w:t>Фигура 3:</w:t>
      </w:r>
      <w:r>
        <w:t xml:space="preserve"> Реакции на твърдението „Етикетите на алкохолните напитки следва да посочват списък на съставките, както и хранителните качества“</w:t>
      </w:r>
    </w:p>
    <w:p w:rsidR="00F321D0" w:rsidRPr="006C343F" w:rsidRDefault="003B7D36" w:rsidP="00F321D0">
      <w:r w:rsidRPr="003B7D36">
        <w:rPr>
          <w:noProof/>
          <w:lang w:val="en-GB" w:eastAsia="en-GB" w:bidi="ar-SA"/>
        </w:rPr>
        <w:drawing>
          <wp:inline distT="0" distB="0" distL="0" distR="0" wp14:anchorId="1117DDA7" wp14:editId="5B9EF940">
            <wp:extent cx="5761355" cy="271427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1355" cy="2714271"/>
                    </a:xfrm>
                    <a:prstGeom prst="rect">
                      <a:avLst/>
                    </a:prstGeom>
                    <a:noFill/>
                    <a:ln>
                      <a:noFill/>
                    </a:ln>
                  </pic:spPr>
                </pic:pic>
              </a:graphicData>
            </a:graphic>
          </wp:inline>
        </w:drawing>
      </w:r>
    </w:p>
    <w:p w:rsidR="00902A1B" w:rsidRPr="006C343F" w:rsidRDefault="00902A1B" w:rsidP="00187511">
      <w:pPr>
        <w:jc w:val="center"/>
        <w:rPr>
          <w:bCs/>
        </w:rPr>
      </w:pPr>
      <w:r>
        <w:t>Източник: CRIOC (2007)</w:t>
      </w:r>
    </w:p>
    <w:p w:rsidR="00F321D0" w:rsidRPr="006C343F" w:rsidRDefault="00F321D0" w:rsidP="005F78B5">
      <w:pPr>
        <w:spacing w:before="0"/>
        <w:rPr>
          <w:bCs/>
        </w:rPr>
      </w:pPr>
      <w:r>
        <w:t>От момента на провеждане на проучването до сега някои от тези становища са претърпели промени.</w:t>
      </w:r>
    </w:p>
    <w:p w:rsidR="005673CF" w:rsidRPr="006C343F" w:rsidRDefault="004341FC" w:rsidP="005F78B5">
      <w:pPr>
        <w:spacing w:before="0"/>
        <w:rPr>
          <w:rFonts w:eastAsia="Calibri"/>
          <w:color w:val="000000"/>
        </w:rPr>
      </w:pPr>
      <w:r>
        <w:t>Представителите на потребителите твърдят</w:t>
      </w:r>
      <w:r>
        <w:rPr>
          <w:vertAlign w:val="superscript"/>
        </w:rPr>
        <w:footnoteReference w:id="23"/>
      </w:r>
      <w:r>
        <w:t>, че различията между етикетирането на алкохолните напитки и етикетирането на другите хранителни продукти са неприемливи, както и че списъкът на съставките</w:t>
      </w:r>
      <w:r>
        <w:rPr>
          <w:color w:val="000000"/>
        </w:rPr>
        <w:t xml:space="preserve"> и обявяването на хранителната стойност следва да бъдат задължителни по отношение на всички алкохолни напитки с цел потребителите да бъдат подпомогнати да правят информиран избор на вида и количеството на консумираните от тях напитки.</w:t>
      </w:r>
    </w:p>
    <w:p w:rsidR="00482339" w:rsidRPr="006C343F" w:rsidRDefault="00266065" w:rsidP="005F78B5">
      <w:pPr>
        <w:spacing w:before="0"/>
        <w:rPr>
          <w:rFonts w:eastAsia="Calibri"/>
          <w:color w:val="000000"/>
        </w:rPr>
      </w:pPr>
      <w:r>
        <w:rPr>
          <w:color w:val="000000"/>
        </w:rPr>
        <w:t>Европейска организация на потребителите на бира също се обяви за задължителен списък на съставките на алкохолните напитки</w:t>
      </w:r>
      <w:r>
        <w:rPr>
          <w:vertAlign w:val="superscript"/>
        </w:rPr>
        <w:footnoteReference w:id="24"/>
      </w:r>
      <w:r>
        <w:rPr>
          <w:color w:val="000000"/>
        </w:rPr>
        <w:t>.</w:t>
      </w:r>
    </w:p>
    <w:p w:rsidR="008F0C09" w:rsidRPr="006C343F" w:rsidRDefault="004341FC" w:rsidP="005F78B5">
      <w:pPr>
        <w:spacing w:before="0"/>
      </w:pPr>
      <w:r>
        <w:t xml:space="preserve">Асоциациите за обществено здраве подкрепят задължителното етикетиране на съставките и </w:t>
      </w:r>
      <w:r>
        <w:rPr>
          <w:color w:val="000000"/>
        </w:rPr>
        <w:t xml:space="preserve"> обявяването на хранителната стойност като част от цялостна стратегия за предоставяне на информация и за образоване на потребителите по отношение на алкохолните напитки, тъй като според група неправителствени организации и организации в областта на общественото здраве, подкрепящи </w:t>
      </w:r>
      <w:r>
        <w:t>предотвратяването и намаляването на свързаните с употребата на алкохол вреди в Европа</w:t>
      </w:r>
      <w:r>
        <w:rPr>
          <w:rStyle w:val="FootnoteReference"/>
        </w:rPr>
        <w:footnoteReference w:id="25"/>
      </w:r>
      <w:r>
        <w:t>,</w:t>
      </w:r>
      <w:r>
        <w:rPr>
          <w:rStyle w:val="st"/>
        </w:rPr>
        <w:t xml:space="preserve"> потребителите имат право да знаят съставките, съдържащи се в консумираните от тях алкохолни напитки. Още по-важно е предоставянето на информация за хранителната стойност, като например за енергийното съдържание, с цел подпомагане на потребителите да контролират по-добре своя хранителен режим и да водят здравословен начин на живот.</w:t>
      </w:r>
    </w:p>
    <w:p w:rsidR="00AA520E" w:rsidRPr="006C343F" w:rsidRDefault="00AA520E" w:rsidP="005F78B5">
      <w:pPr>
        <w:spacing w:before="0"/>
      </w:pPr>
      <w:r>
        <w:t>Напоследък позицията на промишления сектор по този въпрос се промени значително. Докато в миналото стопанските субекти от хранителната промишленост се противопоставяха на всякакви допълнителни изисквания за етикетиране, понастоящем в повечето сектори се признава, че потребителите имат право да са осведомени за съдържанието на консумираните от тях напитки, и от страна на представители на различните сектори се предприемат и осъществяват редица съгласувани или независими доброволни инициативи с цел предоставяне на допълнителна информация на потребителите.</w:t>
      </w:r>
    </w:p>
    <w:p w:rsidR="004F439E" w:rsidRPr="006C343F" w:rsidRDefault="004F439E" w:rsidP="005F78B5">
      <w:pPr>
        <w:spacing w:before="0"/>
      </w:pPr>
      <w:r>
        <w:t>Според асоциация, представляваща европейските пивовари, потребителите имат право да са информирани за характеристиките на консумираните от тях продукти. Пивоварите от асоциацията са организирали доброволна инициатива, обхващаща цяла Европа — „Ангажимент на европейските пивовари“</w:t>
      </w:r>
      <w:r>
        <w:rPr>
          <w:vertAlign w:val="superscript"/>
        </w:rPr>
        <w:footnoteReference w:id="26"/>
      </w:r>
      <w:r>
        <w:t>, като членовете са поели задължението да предприемат съгласувани и измерими действия за предоставяне на по-добра информация на потребителите, като осигуряват също така информация за хранителната стойност на бирата. Те считат, че стопанските субекти следва да имат избор да предоставят тази информация върху етикета или чрез други платформи, като например интернет страници или работещи с QR код приложения за бърз отговор</w:t>
      </w:r>
      <w:r>
        <w:rPr>
          <w:rStyle w:val="FootnoteReference"/>
        </w:rPr>
        <w:footnoteReference w:id="27"/>
      </w:r>
      <w:r>
        <w:t>. В случай на използването на такива платформи върху етикета на бирата трябва да се посочи ясна връзка към информацията. Някои членове на организацията вече посочват на доброволна основа върху етикета или извън него информация относно списъка на съставките, калориите или обявяват пълната хранителната стойност (енергийна стойност, мазнини, наситени мастни киселини, въглехидрати, захари, белтъчини и сол)</w:t>
      </w:r>
      <w:r>
        <w:rPr>
          <w:rStyle w:val="FootnoteReference"/>
        </w:rPr>
        <w:footnoteReference w:id="28"/>
      </w:r>
      <w:r>
        <w:t>.</w:t>
      </w:r>
    </w:p>
    <w:p w:rsidR="00653A0E" w:rsidRPr="006C343F" w:rsidRDefault="00AA520E" w:rsidP="005F78B5">
      <w:pPr>
        <w:spacing w:before="0"/>
      </w:pPr>
      <w:r>
        <w:t>Представителите на сектора на спиртните напитки поддържат становището, че потребителите биха имали полза от получаването на по-ясна и по-съдържателна информация за състава на консумираните от тях напитки и следва да получават последователна информация относно отговорната консумация на спиртни напитки, за да могат да водят по-здравословен начин на живот. Секторът подкрепя предоставянето на потребителите на специфична информация за калорийното съдържание. Тази информация може да бъде предоставяна и по други начини освен чрез обозначаване върху етикета. По този начин може да бъде осигурен пълен достъп до такава информация чрез по-удобни за потребителите алтернативни средства. Докато някои производители се придържат към предоставянето на тази информация чрез обозначаване върху етикета, редица производители на спиртни напитки вече посочват енергийната стойност на своите интернет страници, както и чрез социални медии и други платформи</w:t>
      </w:r>
      <w:r>
        <w:rPr>
          <w:rStyle w:val="FootnoteReference"/>
        </w:rPr>
        <w:footnoteReference w:id="29"/>
      </w:r>
      <w:r>
        <w:t>, а някои от тях са поели ангажимент да разширят обхвата на тази информация и да обявяват и пълната хранителна стойност</w:t>
      </w:r>
      <w:r>
        <w:rPr>
          <w:rStyle w:val="FootnoteReference"/>
        </w:rPr>
        <w:footnoteReference w:id="30"/>
      </w:r>
      <w:r>
        <w:t>.</w:t>
      </w:r>
    </w:p>
    <w:p w:rsidR="00667430" w:rsidRPr="006C343F" w:rsidRDefault="00C02361" w:rsidP="00C02361">
      <w:pPr>
        <w:pStyle w:val="NormalWeb"/>
        <w:spacing w:line="300" w:lineRule="atLeast"/>
        <w:jc w:val="both"/>
        <w:rPr>
          <w:rFonts w:ascii="Warnock W01 Regular" w:hAnsi="Warnock W01 Regular"/>
          <w:color w:val="5A5A59"/>
        </w:rPr>
      </w:pPr>
      <w:r>
        <w:t>Представителите на лозаро-винарския сектор считат, че балансираният хранителен режим е ключов фактор за воденето на здравословен начин на живот, както и че потребителите следва да избират внимателно напитките и хранителните продукти, които консумират.</w:t>
      </w:r>
      <w:r>
        <w:rPr>
          <w:rFonts w:ascii="Warnock W01 Regular" w:hAnsi="Warnock W01 Regular"/>
          <w:color w:val="5A5A59"/>
        </w:rPr>
        <w:t xml:space="preserve"> </w:t>
      </w:r>
      <w:r>
        <w:t>Те са поели ангажимент да предоставят на потребителите информация за калорийното съдържание на доброволен принцип и по адаптиран начин, като отдават силно предпочитане на източниците на информация, различни от етикета</w:t>
      </w:r>
      <w:r>
        <w:rPr>
          <w:rStyle w:val="FootnoteReference"/>
        </w:rPr>
        <w:footnoteReference w:id="31"/>
      </w:r>
      <w:r>
        <w:t>. Те са предприели съгласувани действия и предоставят, в рамките на обща интернет страница, информация за калориите — в една порция вино и по категории вина</w:t>
      </w:r>
      <w:r>
        <w:rPr>
          <w:rStyle w:val="FootnoteReference"/>
        </w:rPr>
        <w:footnoteReference w:id="32"/>
      </w:r>
      <w:r>
        <w:t>.</w:t>
      </w:r>
    </w:p>
    <w:p w:rsidR="007104AB" w:rsidRPr="006C343F" w:rsidRDefault="00FA59E3" w:rsidP="00833995">
      <w:pPr>
        <w:spacing w:before="0" w:after="240"/>
      </w:pPr>
      <w:r>
        <w:t>Мултинационална компания за производство на спиртни напитки, вино и бира пое ангажимент да осигури на потребителите обявяване върху етикета на пълната хранителна стойност за порция и за 100 ml по отношение на всички алкохолни напитки, произвеждани от нея. Новият етикет за поставяне върху опаковката, обозначаващ хранителната стойност, вече е разработен въз основа на международно проучване, проведено с цел определяне каква информация да бъде включена и кой е най-добрият начин за това. Промените ще навлязат постепенно върху опаковките, като целта е първите продукти с новия етикет да бъдат пуснати на пазара в началото на 2017 г.</w:t>
      </w:r>
      <w:r>
        <w:rPr>
          <w:rStyle w:val="FootnoteReference"/>
        </w:rPr>
        <w:footnoteReference w:id="33"/>
      </w:r>
      <w:r>
        <w:t xml:space="preserve"> </w:t>
      </w:r>
    </w:p>
    <w:p w:rsidR="00306536" w:rsidRPr="006C343F" w:rsidRDefault="007104AB" w:rsidP="00833995">
      <w:pPr>
        <w:spacing w:before="0" w:after="240"/>
      </w:pPr>
      <w:r>
        <w:t>Някои от тези ангажименти</w:t>
      </w:r>
      <w:r>
        <w:rPr>
          <w:rStyle w:val="FootnoteReference"/>
        </w:rPr>
        <w:footnoteReference w:id="34"/>
      </w:r>
      <w:r>
        <w:rPr>
          <w:vertAlign w:val="superscript"/>
        </w:rPr>
        <w:t>,</w:t>
      </w:r>
      <w:r>
        <w:rPr>
          <w:rStyle w:val="FootnoteReference"/>
        </w:rPr>
        <w:footnoteReference w:id="35"/>
      </w:r>
      <w:r>
        <w:t xml:space="preserve"> са поети и в контекста на европейския форум „Алкохол и здраве“ — платформа, в рамките на която организации, действащи на европейско равнище, могат да дебатират, да сравняват подходи и да предприемат мерки за справяне с вредите, свързани с употребата на алкохол.</w:t>
      </w:r>
    </w:p>
    <w:p w:rsidR="003B59B4" w:rsidRPr="006C343F" w:rsidRDefault="003B59B4" w:rsidP="00833995">
      <w:pPr>
        <w:spacing w:before="0" w:after="240"/>
      </w:pPr>
      <w:r>
        <w:t xml:space="preserve">Все още е прекалено рано да се направи оценка на въздействието на тези неотдавнашни доброволни инициативи. Може обаче да се очаква те да повишат интереса на потребителите към по-системното предоставяне на списък на съставките и обявяване на хранителната стойност. </w:t>
      </w:r>
    </w:p>
    <w:p w:rsidR="00C8373A" w:rsidRPr="006C343F" w:rsidRDefault="00222E65" w:rsidP="005F78B5">
      <w:pPr>
        <w:spacing w:before="0" w:after="240"/>
      </w:pPr>
      <w:r>
        <w:t>Като цяло производителите на алкохолни напитки считат, че всяко ново изискване относно етикетирането следва да се прилага еднакво за всички алкохолни напитки</w:t>
      </w:r>
      <w:r>
        <w:rPr>
          <w:rStyle w:val="FootnoteReference"/>
        </w:rPr>
        <w:footnoteReference w:id="36"/>
      </w:r>
      <w:r>
        <w:rPr>
          <w:rStyle w:val="FootnoteReference"/>
        </w:rPr>
        <w:footnoteReference w:id="37"/>
      </w:r>
      <w:r>
        <w:t>.</w:t>
      </w:r>
    </w:p>
    <w:p w:rsidR="00E06B79" w:rsidRPr="006C343F" w:rsidRDefault="0065413B" w:rsidP="005F78B5">
      <w:pPr>
        <w:pStyle w:val="Heading1"/>
        <w:spacing w:before="0"/>
        <w:rPr>
          <w:rFonts w:eastAsia="Calibri"/>
          <w:szCs w:val="24"/>
        </w:rPr>
      </w:pPr>
      <w:bookmarkStart w:id="12" w:name="_Toc472679285"/>
      <w:r>
        <w:t>Призиви за действия</w:t>
      </w:r>
      <w:bookmarkEnd w:id="12"/>
    </w:p>
    <w:p w:rsidR="00F21866" w:rsidRPr="006C343F" w:rsidRDefault="00F21866" w:rsidP="005F78B5">
      <w:pPr>
        <w:pStyle w:val="Heading2"/>
        <w:spacing w:before="0"/>
        <w:rPr>
          <w:rFonts w:eastAsia="Calibri"/>
          <w:szCs w:val="24"/>
        </w:rPr>
      </w:pPr>
      <w:bookmarkStart w:id="13" w:name="_Toc472679286"/>
      <w:r>
        <w:t>Световна здравна организация</w:t>
      </w:r>
      <w:bookmarkEnd w:id="13"/>
    </w:p>
    <w:p w:rsidR="00F21866" w:rsidRPr="006C343F" w:rsidRDefault="00F21866" w:rsidP="005F78B5">
      <w:pPr>
        <w:spacing w:before="0"/>
        <w:rPr>
          <w:rFonts w:eastAsia="Calibri"/>
          <w:color w:val="1A1D06"/>
        </w:rPr>
      </w:pPr>
      <w:r>
        <w:t>Съгласно Европейския план за действие на Световната здравна организация за намаляване на вредната употреба на алкохол за периода 2012—2020 г.</w:t>
      </w:r>
      <w:r>
        <w:rPr>
          <w:vertAlign w:val="superscript"/>
        </w:rPr>
        <w:footnoteReference w:id="38"/>
      </w:r>
      <w:r>
        <w:t xml:space="preserve"> „съставките, касаещи здравето, включително калорийното съдържание“ следва да бъдат етикетирани, а етикетирането на алкохолните напитки по принцип следва да е идентично с това на останалите хранителни продукти, за да се гарантира, че потребителите имат достъп до пълна информация за съдържанието и състава на продуктите с оглед защита както на тяхното здраве, така и на техните интереси. През септември 2011 г., в рамките на Регионалния комитет за Европа, този план за действие беше одобрен от 53 държави, включително държавите — членки на ЕС.</w:t>
      </w:r>
    </w:p>
    <w:p w:rsidR="00F21866" w:rsidRDefault="00007A87" w:rsidP="005F78B5">
      <w:pPr>
        <w:spacing w:before="0"/>
        <w:rPr>
          <w:rFonts w:eastAsia="Calibri"/>
        </w:rPr>
      </w:pPr>
      <w:r>
        <w:t xml:space="preserve">В допълнение към това според Световната здравна организация енергийната стойност е най-важният елемент от хранителната стойност, който трябва да бъде обозначен върху етикета. </w:t>
      </w:r>
    </w:p>
    <w:p w:rsidR="00E06B79" w:rsidRPr="006C343F" w:rsidRDefault="00E06B79" w:rsidP="005F78B5">
      <w:pPr>
        <w:pStyle w:val="Heading2"/>
        <w:spacing w:before="0"/>
        <w:rPr>
          <w:rFonts w:eastAsia="Calibri"/>
          <w:szCs w:val="24"/>
        </w:rPr>
      </w:pPr>
      <w:bookmarkStart w:id="14" w:name="_Toc472679287"/>
      <w:r>
        <w:t>Европейски парламент и Съвет</w:t>
      </w:r>
      <w:bookmarkEnd w:id="14"/>
    </w:p>
    <w:p w:rsidR="00E06B79" w:rsidRPr="006C343F" w:rsidRDefault="0065413B" w:rsidP="005F78B5">
      <w:pPr>
        <w:autoSpaceDE w:val="0"/>
        <w:autoSpaceDN w:val="0"/>
        <w:adjustRightInd w:val="0"/>
        <w:spacing w:before="0"/>
        <w:rPr>
          <w:rFonts w:eastAsia="Calibri"/>
          <w:color w:val="000000"/>
        </w:rPr>
      </w:pPr>
      <w:r>
        <w:rPr>
          <w:color w:val="000000"/>
        </w:rPr>
        <w:t>В контекста на своя резолюция</w:t>
      </w:r>
      <w:r>
        <w:rPr>
          <w:color w:val="000000"/>
          <w:vertAlign w:val="superscript"/>
        </w:rPr>
        <w:footnoteReference w:id="39"/>
      </w:r>
      <w:r>
        <w:rPr>
          <w:color w:val="000000"/>
        </w:rPr>
        <w:t>, приета на 29 април 2015 г., Европейският парламент призовава Комисията, освен всичко друго, да представи законодателно предложение, изискващо до 2016 г. калорийното съдържание да стане задължителен елемент от етикетирането на алкохолните напитки.  Съгласно тази резолюция, въпреки че Регламент (ЕС) № 1169/2011 изключва алкохолните напитки от обхвата на задължителното етикетиране на списъка на съставките и от обявяването на хранителната стойност, е необходима обстойна информация за алкохолните напитки, имайки предвид естеството на рисковете, с които е свързана употребата на алкохол.</w:t>
      </w:r>
    </w:p>
    <w:p w:rsidR="00C63C3F" w:rsidRPr="006C343F" w:rsidRDefault="000D5724" w:rsidP="005F78B5">
      <w:pPr>
        <w:autoSpaceDE w:val="0"/>
        <w:autoSpaceDN w:val="0"/>
        <w:adjustRightInd w:val="0"/>
        <w:spacing w:before="0"/>
        <w:rPr>
          <w:rFonts w:eastAsia="Calibri"/>
          <w:color w:val="000000"/>
        </w:rPr>
      </w:pPr>
      <w:r>
        <w:rPr>
          <w:color w:val="000000"/>
        </w:rPr>
        <w:t>Освен това Комисията получи редица писмени въпроси относно етикетирането на алкохолните напитки, в които се отправят запитвания за настоящия доклад, изтъква се липсата на обосновка на действащите в момента освобождавания по отношение на етикетирането на списъка на съставките и обявяването на хранителната стойност, както и се призовава за предприемане на законодателни инициативи, утвърждаващи етикетирането на алкохолните напитки.</w:t>
      </w:r>
    </w:p>
    <w:p w:rsidR="00C879FF" w:rsidRPr="00C879FF" w:rsidDel="00132697" w:rsidRDefault="00C879FF" w:rsidP="00C879FF">
      <w:pPr>
        <w:spacing w:before="0" w:after="240"/>
        <w:rPr>
          <w:rFonts w:eastAsia="Calibri"/>
        </w:rPr>
      </w:pPr>
      <w:r>
        <w:t>В своите заключения</w:t>
      </w:r>
      <w:r>
        <w:rPr>
          <w:vertAlign w:val="superscript"/>
        </w:rPr>
        <w:footnoteReference w:id="40"/>
      </w:r>
      <w:r>
        <w:t>, приети на 7 декември 2015 г., Съветът приканва Комисията да обмисли възможността за въвеждане на задължително етикетиране на съставките и задължително обявяване на хранителната стойност, по-специално на енергийната стойност, по отношение на алкохолните напитки.</w:t>
      </w:r>
    </w:p>
    <w:p w:rsidR="00E06B79" w:rsidRPr="006C343F" w:rsidRDefault="00F22175" w:rsidP="00132697">
      <w:pPr>
        <w:pStyle w:val="Heading2"/>
        <w:rPr>
          <w:rFonts w:eastAsia="Calibri"/>
          <w:szCs w:val="24"/>
        </w:rPr>
      </w:pPr>
      <w:bookmarkStart w:id="15" w:name="_Toc472679288"/>
      <w:r>
        <w:t>Консултация на Комисията с експерти от държавите членки</w:t>
      </w:r>
      <w:bookmarkEnd w:id="15"/>
    </w:p>
    <w:p w:rsidR="0065413B" w:rsidRPr="006C343F" w:rsidRDefault="006F2ECE" w:rsidP="005F78B5">
      <w:pPr>
        <w:autoSpaceDE w:val="0"/>
        <w:autoSpaceDN w:val="0"/>
        <w:adjustRightInd w:val="0"/>
        <w:spacing w:before="0"/>
      </w:pPr>
      <w:r>
        <w:rPr>
          <w:color w:val="000000"/>
        </w:rPr>
        <w:t>В рамките на подготовката на настоящия доклад на 28 октомври 2013 г. се състоя среща на работна група на Комисията относно Регламент (ЕС) № 1169/2011 с цел обсъждане на обхванатите от доклада въпроси с експерти от държавите членки, представляващи националните компетентни органи</w:t>
      </w:r>
      <w:r w:rsidR="00DA243A">
        <w:rPr>
          <w:color w:val="000000"/>
        </w:rPr>
        <w:t>.</w:t>
      </w:r>
      <w:r>
        <w:rPr>
          <w:color w:val="000000"/>
        </w:rPr>
        <w:t xml:space="preserve"> </w:t>
      </w:r>
      <w:r w:rsidR="00DA243A">
        <w:rPr>
          <w:color w:val="000000"/>
        </w:rPr>
        <w:t>П</w:t>
      </w:r>
      <w:r>
        <w:t xml:space="preserve">о време на дискусията беше засегнат и въпросът за </w:t>
      </w:r>
      <w:r>
        <w:rPr>
          <w:color w:val="000000"/>
        </w:rPr>
        <w:t>определението за „алкопопи“</w:t>
      </w:r>
      <w:r>
        <w:t xml:space="preserve"> — напитки, представляващи обикновено предварително смесени алкохолни и безалкохолни продукти. Редица експерти от държавите членки считат, че е неоправдано и непоследователно етикетирането на съставките да не е задължително за смесените с алкохол безалкохолни напитки, а да е задължително за несмесените с алкохол безалкохолни напитки. Също така е неоправдано обявяването на хранителната стойност да е задължително за безалкохолните напитки, а същите безалкохолни напитки, смесени със спиртна напитка, да са освободени от това задължение.</w:t>
      </w:r>
    </w:p>
    <w:p w:rsidR="00F321D0" w:rsidRPr="006C343F" w:rsidRDefault="00CF6906" w:rsidP="005F78B5">
      <w:pPr>
        <w:autoSpaceDE w:val="0"/>
        <w:autoSpaceDN w:val="0"/>
        <w:adjustRightInd w:val="0"/>
        <w:spacing w:before="0"/>
        <w:rPr>
          <w:rFonts w:eastAsia="Calibri"/>
          <w:color w:val="000000"/>
        </w:rPr>
      </w:pPr>
      <w:r>
        <w:rPr>
          <w:color w:val="000000"/>
        </w:rPr>
        <w:t xml:space="preserve">В допълнение към това дискусията показа, че понятието „алкопопи“ не винаги е приложимо на национално равнище и освен това е твърде неясно, за да позволи да се формулира конструктивно определение. Също така беше счетено, априори и без да се отхвърлят евентуални оправдани освобождавания, че всички алкохолни напитки, включително „алкопопите“, следва да се третират еднакво от гледна точка на обсъжданите елементи на етикетирането. </w:t>
      </w:r>
    </w:p>
    <w:p w:rsidR="00AA520E" w:rsidRPr="006C343F" w:rsidRDefault="00AA520E" w:rsidP="00D02D7F">
      <w:pPr>
        <w:pStyle w:val="Heading1"/>
        <w:spacing w:before="0"/>
        <w:rPr>
          <w:rFonts w:eastAsia="Calibri"/>
          <w:szCs w:val="24"/>
        </w:rPr>
      </w:pPr>
      <w:bookmarkStart w:id="16" w:name="_Toc472679289"/>
      <w:r>
        <w:t>Заключения</w:t>
      </w:r>
      <w:bookmarkEnd w:id="16"/>
    </w:p>
    <w:p w:rsidR="00542698" w:rsidRPr="006C343F" w:rsidRDefault="00E0273E" w:rsidP="005F78B5">
      <w:pPr>
        <w:spacing w:before="0"/>
      </w:pPr>
      <w:r>
        <w:t>Съгласно настоящите правила, за разлика от изискванията относно другите хранителни продукти, посочването на списък на съставките и обявяването на хранителната стойност не са задължителни по отношение на алкохолните напитки. С въвеждането на задължителното обявяване на хранителната стойност по отношение на по-голямата част от предварително опакованите храни</w:t>
      </w:r>
      <w:r w:rsidR="002A5E10">
        <w:t xml:space="preserve"> след</w:t>
      </w:r>
      <w:r>
        <w:t xml:space="preserve"> 1</w:t>
      </w:r>
      <w:r w:rsidR="002A5E10">
        <w:t>3</w:t>
      </w:r>
      <w:r>
        <w:t xml:space="preserve"> декември 2016 г. специфичната ситуация с алкохолните напитки става още по-актуална.</w:t>
      </w:r>
      <w:r w:rsidR="000E5D18" w:rsidRPr="000E5D18">
        <w:t xml:space="preserve"> </w:t>
      </w:r>
      <w:r w:rsidR="00EB3420">
        <w:t xml:space="preserve">Тя става причина европейските потребители </w:t>
      </w:r>
      <w:r w:rsidR="00DA243A">
        <w:t xml:space="preserve">да </w:t>
      </w:r>
      <w:r w:rsidR="00EB3420">
        <w:t>имат по-ограничен достъп до информация за хранителната стойност и до списъка на съставките, с изключение на съставки, които могат да имат алергенен ефект.</w:t>
      </w:r>
    </w:p>
    <w:p w:rsidR="00791C80" w:rsidRPr="006C343F" w:rsidRDefault="00E0273E" w:rsidP="005F78B5">
      <w:pPr>
        <w:spacing w:before="0"/>
      </w:pPr>
      <w:r>
        <w:t xml:space="preserve">Понастоящем не само Европейският парламент, но и Световната здравна организация, организации на потребителите и организации в областта на общественото здраве изтъкват необходимостта от нови правила относно етикетирането на алкохолните напитки, особено що се отнася до етикетирането на енергийната стойност. Експертите от държавите членки изразиха някои очаквания, особено по отношение на обявяването на хранителната стойност и по-специално относно задължителното етикетиране на енергийната стойност. </w:t>
      </w:r>
    </w:p>
    <w:p w:rsidR="00D13D8E" w:rsidRPr="006C343F" w:rsidRDefault="00497967" w:rsidP="005F78B5">
      <w:pPr>
        <w:spacing w:before="0"/>
      </w:pPr>
      <w:r>
        <w:t>В миналото представителите на засегнатите икономически сектори са се обявявали против системата за задължително етикетиране. Към настоящия момент представителите на сектора признават правото на потребителите да са информирани за характеристиките на консумираните от тях напитки. На тази основа се наблюдават все повече доброволни инициативи за предоставяне на потребителите на информация за съставките, енергийната стойност или за обявяване на пълната хранителна стойност на алкохолните напитки и за удовлетворяване на очакванията на потребителите за по-обстойна информация относно консумираните от тях напитки. Първоначално тази доброволно предоставяна информация беше достъпна предимно чрез новите информационни и комуникационни технологии. Представителите на сектора обаче считат, че понастоящем тя все повече следва да се съдържа в самите етикети.</w:t>
      </w:r>
    </w:p>
    <w:p w:rsidR="00007A87" w:rsidRPr="006C343F" w:rsidRDefault="00542698" w:rsidP="005F78B5">
      <w:pPr>
        <w:spacing w:before="0"/>
      </w:pPr>
      <w:r>
        <w:t>Предвид липсата на законови мерки в тази област някои държави членки са приели национални правила, изискващи частично посочване на съставките по отношение на определени алкохолни напитки. Макар и разпоредбите относно обявяването на хранителната стойност да са напълно хармонизирани, някои държави членки са нотифицирали национални мерки относно обявяването на хранителната стойност по отношение на алкохолните напитки. Такива национални инициативи водят до увеличаване на риска от фрагментация на пазара.</w:t>
      </w:r>
    </w:p>
    <w:p w:rsidR="008D0395" w:rsidRPr="006C343F" w:rsidRDefault="00F7321D" w:rsidP="005F78B5">
      <w:pPr>
        <w:spacing w:before="0"/>
      </w:pPr>
      <w:r>
        <w:rPr>
          <w:color w:val="1A1D06"/>
        </w:rPr>
        <w:t>Списъкът на съставките и обявяването на хранителната стойност са ключови данни, помагащи на потребителите да правят по-информиран и по-здравословен избор.</w:t>
      </w:r>
      <w:r>
        <w:t xml:space="preserve"> Освобождаванията по отношение на списъка на съставките и обявяването на хранителната стойност за някои хранителни продукти обхващат предимно продукти, състоящи се от една-единствена съставка, чието наименование предоставя на потребителите достатъчна информация за съдържанието им — например сол, плодове и зеленчуци. По отношение на алкохолните напитки обаче не може да се предположи, че потребителите непременно познават обикновено разнообразните съставки, използвани в производствения процес, и тяхната хранителна стойност.</w:t>
      </w:r>
    </w:p>
    <w:p w:rsidR="00AE0DCC" w:rsidRPr="006C343F" w:rsidRDefault="00F23421" w:rsidP="00AE0DCC">
      <w:pPr>
        <w:autoSpaceDE w:val="0"/>
        <w:autoSpaceDN w:val="0"/>
        <w:adjustRightInd w:val="0"/>
        <w:spacing w:before="0"/>
      </w:pPr>
      <w:r>
        <w:t>Въз основа на разгледаната информация Комисията не е установила обективни причини съставките и информацията за хранителната стойност да не бъдат обозначавани върху алкохолните напитки или някои алкохолни напитки, като например „алкопопите“, да се ползват с диференцирано третиране. Затова на този етап Комисията счита, че въвеждането на специално определение за „алкопопи“ за целите на етикетирането не е необходимо или не би създало конкретна добавена стойност.</w:t>
      </w:r>
    </w:p>
    <w:p w:rsidR="00CD43F9" w:rsidRPr="006C343F" w:rsidRDefault="003F3EEF" w:rsidP="00FB5D10">
      <w:r>
        <w:t>Настоящият доклад показва, че секторът е готов във все по-голяма степен да удовлетвори очакванията на потребителите да са информирани за характеристиките на консумираните от тях напитки. За това свидетелства все по-големият брой разработени и осъществени от сектора съгласувани или доброволни инициативи за предоставяне на потребителите на информация за списъка на съставките, енергийната стойност и/или обявяването на пълната хранителната стойност върху етикета или извън него. Следва изрично да се отбележи, че пълната хранителната стойност вече се обявява върху все по-голям брой алкохолни напитки, предлагани на пазара на ЕС.</w:t>
      </w:r>
    </w:p>
    <w:p w:rsidR="00CD0D15" w:rsidRPr="006C343F" w:rsidRDefault="00FB5D10" w:rsidP="00593A7D">
      <w:r>
        <w:t xml:space="preserve">Вземайки предвид тези най-нови тенденции, Комисията счита, че като първа стъпка следва да се предостави възможност за доразвиване на настоящите доброволни инициативи към предоставяне на списък на съставките и обявяване на хранителната стойност. Поради това Комисията приканва представителите на сектора да отговорят на очакванията на потребителите и в рамките на една година след приемането на настоящия доклад да представят предложение за саморегулиране, обхващащо целия сектор на алкохолните напитки, което Комисията ще разгледа. </w:t>
      </w:r>
    </w:p>
    <w:p w:rsidR="003F3EEF" w:rsidRPr="006C343F" w:rsidRDefault="00005CBE" w:rsidP="00593A7D">
      <w:pPr>
        <w:rPr>
          <w:iCs/>
          <w:color w:val="000000"/>
        </w:rPr>
      </w:pPr>
      <w:r>
        <w:t xml:space="preserve">Ако Комисията прецени, че предложеният подход за саморегулиране е незадоволителен, тя ще направи оценка на въздействието с цел разглеждане на допълнителни налични варианти: </w:t>
      </w:r>
      <w:r>
        <w:rPr>
          <w:color w:val="000000"/>
        </w:rPr>
        <w:t>в съответствие с принципите за по-добро регулиране</w:t>
      </w:r>
      <w:r>
        <w:rPr>
          <w:rStyle w:val="FootnoteReference"/>
          <w:color w:val="000000"/>
        </w:rPr>
        <w:footnoteReference w:id="41"/>
      </w:r>
      <w:r>
        <w:rPr>
          <w:color w:val="000000"/>
        </w:rPr>
        <w:t xml:space="preserve"> при тази оценка на въздействието ще бъдат разгледани както регулаторни, така и нерегулаторни варианти, по-специално по отношение на предоставянето на информация за енергийната стойност на алкохолните напитки</w:t>
      </w:r>
      <w:r w:rsidR="00DA243A">
        <w:rPr>
          <w:color w:val="000000"/>
        </w:rPr>
        <w:t>.</w:t>
      </w:r>
      <w:r>
        <w:rPr>
          <w:color w:val="000000"/>
        </w:rPr>
        <w:t xml:space="preserve"> </w:t>
      </w:r>
      <w:r w:rsidR="00DA243A">
        <w:rPr>
          <w:color w:val="000000"/>
        </w:rPr>
        <w:t>О</w:t>
      </w:r>
      <w:r>
        <w:rPr>
          <w:color w:val="000000"/>
        </w:rPr>
        <w:t>ценката следва да отчете внимателно въздействието на различните варианти върху вътрешния пазар, съответните икономически сектори, нуждите на потребителите и действителното използване на информацията, както и върху международната търговия.</w:t>
      </w:r>
    </w:p>
    <w:p w:rsidR="00A9144C" w:rsidRPr="006C343F" w:rsidRDefault="00A9144C" w:rsidP="005F78B5">
      <w:pPr>
        <w:autoSpaceDE w:val="0"/>
        <w:autoSpaceDN w:val="0"/>
        <w:adjustRightInd w:val="0"/>
        <w:spacing w:before="0"/>
      </w:pPr>
    </w:p>
    <w:p w:rsidR="00A9144C" w:rsidRPr="006C343F" w:rsidRDefault="00A9144C" w:rsidP="005F78B5">
      <w:pPr>
        <w:autoSpaceDE w:val="0"/>
        <w:autoSpaceDN w:val="0"/>
        <w:adjustRightInd w:val="0"/>
        <w:spacing w:before="0"/>
      </w:pPr>
    </w:p>
    <w:p w:rsidR="00A9144C" w:rsidRPr="006C343F" w:rsidRDefault="00A9144C" w:rsidP="005F78B5">
      <w:pPr>
        <w:autoSpaceDE w:val="0"/>
        <w:autoSpaceDN w:val="0"/>
        <w:adjustRightInd w:val="0"/>
        <w:spacing w:before="0"/>
        <w:rPr>
          <w:rFonts w:eastAsia="Calibri"/>
          <w:color w:val="1A1D06"/>
        </w:rPr>
      </w:pPr>
    </w:p>
    <w:sectPr w:rsidR="00A9144C" w:rsidRPr="006C343F" w:rsidSect="007064AD">
      <w:headerReference w:type="even" r:id="rId19"/>
      <w:headerReference w:type="default" r:id="rId20"/>
      <w:footerReference w:type="even" r:id="rId21"/>
      <w:footerReference w:type="default" r:id="rId22"/>
      <w:headerReference w:type="first" r:id="rId23"/>
      <w:footerReference w:type="first" r:id="rId24"/>
      <w:pgSz w:w="11907" w:h="16839"/>
      <w:pgMar w:top="1134" w:right="1417" w:bottom="1134" w:left="141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ECB" w:rsidRDefault="00F53ECB" w:rsidP="003052E0">
      <w:pPr>
        <w:spacing w:before="0" w:after="0"/>
      </w:pPr>
      <w:r>
        <w:separator/>
      </w:r>
    </w:p>
  </w:endnote>
  <w:endnote w:type="continuationSeparator" w:id="0">
    <w:p w:rsidR="00F53ECB" w:rsidRDefault="00F53ECB" w:rsidP="003052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Warnock W01 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4AD" w:rsidRDefault="007064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4AD" w:rsidRPr="007064AD" w:rsidRDefault="007064AD" w:rsidP="007064AD">
    <w:pPr>
      <w:pStyle w:val="FooterCoverPage"/>
      <w:rPr>
        <w:rFonts w:ascii="Arial" w:hAnsi="Arial" w:cs="Arial"/>
        <w:b/>
        <w:sz w:val="48"/>
      </w:rPr>
    </w:pPr>
    <w:r w:rsidRPr="007064AD">
      <w:rPr>
        <w:rFonts w:ascii="Arial" w:hAnsi="Arial" w:cs="Arial"/>
        <w:b/>
        <w:sz w:val="48"/>
      </w:rPr>
      <w:t>BG</w:t>
    </w:r>
    <w:r w:rsidRPr="007064AD">
      <w:rPr>
        <w:rFonts w:ascii="Arial" w:hAnsi="Arial" w:cs="Arial"/>
        <w:b/>
        <w:sz w:val="48"/>
      </w:rPr>
      <w:tab/>
    </w:r>
    <w:r w:rsidRPr="007064AD">
      <w:rPr>
        <w:rFonts w:ascii="Arial" w:hAnsi="Arial" w:cs="Arial"/>
        <w:b/>
        <w:sz w:val="48"/>
      </w:rPr>
      <w:tab/>
    </w:r>
    <w:fldSimple w:instr=" DOCVARIABLE &quot;LW_Confidence&quot; \* MERGEFORMAT ">
      <w:r>
        <w:t xml:space="preserve"> </w:t>
      </w:r>
    </w:fldSimple>
    <w:r w:rsidRPr="007064AD">
      <w:tab/>
    </w:r>
    <w:r w:rsidRPr="007064AD">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4AD" w:rsidRDefault="007064A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866" w:rsidRDefault="00F2186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866" w:rsidRDefault="00F21866">
    <w:pPr>
      <w:pStyle w:val="Footer"/>
      <w:jc w:val="center"/>
    </w:pPr>
    <w:r>
      <w:fldChar w:fldCharType="begin"/>
    </w:r>
    <w:r>
      <w:instrText xml:space="preserve"> PAGE   \* MERGEFORMAT </w:instrText>
    </w:r>
    <w:r>
      <w:fldChar w:fldCharType="separate"/>
    </w:r>
    <w:r w:rsidR="007064AD">
      <w:rPr>
        <w:noProof/>
      </w:rPr>
      <w:t>2</w:t>
    </w:r>
    <w:r>
      <w:rPr>
        <w:noProof/>
      </w:rPr>
      <w:fldChar w:fldCharType="end"/>
    </w:r>
  </w:p>
  <w:p w:rsidR="00F21866" w:rsidRPr="00ED7E2B" w:rsidRDefault="00F21866" w:rsidP="00ED7E2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866" w:rsidRPr="00C971B7" w:rsidRDefault="00F21866" w:rsidP="008C3B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ECB" w:rsidRDefault="00F53ECB" w:rsidP="003052E0">
      <w:pPr>
        <w:spacing w:before="0" w:after="0"/>
      </w:pPr>
      <w:r>
        <w:separator/>
      </w:r>
    </w:p>
  </w:footnote>
  <w:footnote w:type="continuationSeparator" w:id="0">
    <w:p w:rsidR="00F53ECB" w:rsidRDefault="00F53ECB" w:rsidP="003052E0">
      <w:pPr>
        <w:spacing w:before="0" w:after="0"/>
      </w:pPr>
      <w:r>
        <w:continuationSeparator/>
      </w:r>
    </w:p>
  </w:footnote>
  <w:footnote w:id="1">
    <w:p w:rsidR="00F21866" w:rsidRPr="006C343F" w:rsidRDefault="00F21866" w:rsidP="004669C2">
      <w:pPr>
        <w:pStyle w:val="FootnoteText"/>
        <w:ind w:left="284" w:hanging="284"/>
        <w:rPr>
          <w:sz w:val="18"/>
          <w:szCs w:val="18"/>
        </w:rPr>
      </w:pPr>
      <w:r>
        <w:rPr>
          <w:rStyle w:val="FootnoteReference"/>
          <w:sz w:val="18"/>
        </w:rPr>
        <w:footnoteRef/>
      </w:r>
      <w:r>
        <w:rPr>
          <w:sz w:val="18"/>
        </w:rPr>
        <w:t xml:space="preserve"> </w:t>
      </w:r>
      <w:r>
        <w:tab/>
      </w:r>
      <w:r>
        <w:rPr>
          <w:sz w:val="18"/>
        </w:rPr>
        <w:t>Регламент (ЕС) № 1169/2011 на Европейския парламент и на Съвета от 25 октомври 2011 г. относно предоставянето на информация за храните на потребителите, за изменение на регламенти (ЕО) № 1924/2006 и (ЕО) № 1925/2006 на Европейския парламент и на Съвета и за отмяна на Директива 87/250/ЕИО на Комисията, Директива 90/496/ЕИО на Съвета, Директива 1999/10/ЕО на Комисията, Директива 2000/13/ЕО на Европейския парламент и на Съвета, директиви 2002/67/ЕО и 2008/5/ЕО на Комисията и Регламент (ЕО) № 608/2004 на Комисията, ОВ L 304, 22.11.2011 г., стр. 18.</w:t>
      </w:r>
    </w:p>
  </w:footnote>
  <w:footnote w:id="2">
    <w:p w:rsidR="00F21866" w:rsidRPr="00A97FEE" w:rsidRDefault="00F21866" w:rsidP="00C961B8">
      <w:pPr>
        <w:pStyle w:val="FootnoteText"/>
        <w:tabs>
          <w:tab w:val="left" w:pos="284"/>
        </w:tabs>
        <w:ind w:left="284" w:hanging="284"/>
        <w:rPr>
          <w:sz w:val="18"/>
          <w:szCs w:val="18"/>
        </w:rPr>
      </w:pPr>
      <w:r>
        <w:rPr>
          <w:rStyle w:val="FootnoteReference"/>
          <w:sz w:val="18"/>
        </w:rPr>
        <w:footnoteRef/>
      </w:r>
      <w:r>
        <w:rPr>
          <w:sz w:val="18"/>
        </w:rPr>
        <w:t xml:space="preserve"> </w:t>
      </w:r>
      <w:r>
        <w:tab/>
      </w:r>
      <w:hyperlink r:id="rId1">
        <w:r>
          <w:rPr>
            <w:rStyle w:val="Hyperlink"/>
            <w:color w:val="auto"/>
            <w:sz w:val="18"/>
            <w:u w:val="none"/>
          </w:rPr>
          <w:t>Директива 79/112/ЕИО на Съвета</w:t>
        </w:r>
      </w:hyperlink>
      <w:r>
        <w:rPr>
          <w:sz w:val="18"/>
        </w:rPr>
        <w:t xml:space="preserve"> за сближаване на законодателствата на държавите членки относно етикетирането, представянето и рекламирането на храни, предназначени за крайния потребител — ОВ L 33, 8.2.1979 г., стр. 1—14.</w:t>
      </w:r>
    </w:p>
  </w:footnote>
  <w:footnote w:id="3">
    <w:p w:rsidR="00064A3F" w:rsidRPr="00064A3F" w:rsidRDefault="00064A3F" w:rsidP="004669C2">
      <w:pPr>
        <w:pStyle w:val="FootnoteText"/>
        <w:ind w:left="284" w:hanging="284"/>
      </w:pPr>
      <w:r>
        <w:rPr>
          <w:rStyle w:val="FootnoteReference"/>
        </w:rPr>
        <w:footnoteRef/>
      </w:r>
      <w:r>
        <w:t xml:space="preserve"> </w:t>
      </w:r>
      <w:r>
        <w:tab/>
        <w:t>Предложение за Директива на Съвета за изменение на Директива 79/112/ЕИО за сближаване на законодателствата на държавите членки относно етикетирането, представянето и рекламирането на храни, предназначени за крайния потребител, COM(82)626 окончателен.</w:t>
      </w:r>
    </w:p>
  </w:footnote>
  <w:footnote w:id="4">
    <w:p w:rsidR="00175973" w:rsidRPr="00175973" w:rsidRDefault="00175973" w:rsidP="004669C2">
      <w:pPr>
        <w:pStyle w:val="FootnoteText"/>
        <w:ind w:left="284" w:hanging="284"/>
      </w:pPr>
      <w:r>
        <w:rPr>
          <w:rStyle w:val="FootnoteReference"/>
        </w:rPr>
        <w:footnoteRef/>
      </w:r>
      <w:r>
        <w:t xml:space="preserve"> </w:t>
      </w:r>
      <w:r>
        <w:tab/>
        <w:t>Предложение за Директива на Съвета за изменение на Директива 79/112/ЕИО за сближаване на законодателствата на държавите членки относно етикетирането, представянето и рекламирането на храни, COM(91)536 окончателен.</w:t>
      </w:r>
    </w:p>
  </w:footnote>
  <w:footnote w:id="5">
    <w:p w:rsidR="00175973" w:rsidRPr="00175973" w:rsidRDefault="00175973" w:rsidP="004669C2">
      <w:pPr>
        <w:pStyle w:val="FootnoteText"/>
        <w:ind w:left="284" w:hanging="284"/>
      </w:pPr>
      <w:r>
        <w:rPr>
          <w:rStyle w:val="FootnoteReference"/>
        </w:rPr>
        <w:footnoteRef/>
      </w:r>
      <w:r>
        <w:t xml:space="preserve"> </w:t>
      </w:r>
      <w:r>
        <w:tab/>
        <w:t>Предложение за Директива на Европейския парламент и на Съвета за изменение на Директива 79/112/ЕИО за сближаване на законодателствата на държавите членки относно етикетирането, представянето и рекламирането на храни, COM(97)20 окончателен.</w:t>
      </w:r>
    </w:p>
  </w:footnote>
  <w:footnote w:id="6">
    <w:p w:rsidR="00F21866" w:rsidRPr="00A97FEE" w:rsidRDefault="00F21866" w:rsidP="00C961B8">
      <w:pPr>
        <w:pStyle w:val="FootnoteText"/>
        <w:tabs>
          <w:tab w:val="left" w:pos="284"/>
        </w:tabs>
        <w:ind w:left="284" w:hanging="284"/>
        <w:rPr>
          <w:sz w:val="18"/>
          <w:szCs w:val="18"/>
        </w:rPr>
      </w:pPr>
      <w:r>
        <w:rPr>
          <w:rStyle w:val="FootnoteReference"/>
          <w:sz w:val="18"/>
        </w:rPr>
        <w:footnoteRef/>
      </w:r>
      <w:r>
        <w:rPr>
          <w:sz w:val="18"/>
        </w:rPr>
        <w:t xml:space="preserve"> </w:t>
      </w:r>
      <w:r>
        <w:tab/>
      </w:r>
      <w:hyperlink r:id="rId2">
        <w:r>
          <w:rPr>
            <w:rStyle w:val="Hyperlink"/>
            <w:color w:val="auto"/>
            <w:sz w:val="18"/>
            <w:u w:val="none"/>
          </w:rPr>
          <w:t>Директива 2003/89/ЕО</w:t>
        </w:r>
      </w:hyperlink>
      <w:r>
        <w:rPr>
          <w:sz w:val="18"/>
        </w:rPr>
        <w:t xml:space="preserve"> на Европейския парламент и на Съвета от 10 ноември 2003 г. за изменение на Директива 2000/13/ЕО относно обозначаването на съставките, които се съдържат в храните — ОВ L 308, 25.11.2003 г., </w:t>
      </w:r>
      <w:r>
        <w:rPr>
          <w:sz w:val="18"/>
          <w:szCs w:val="18"/>
        </w:rPr>
        <w:br/>
      </w:r>
      <w:r>
        <w:rPr>
          <w:sz w:val="18"/>
        </w:rPr>
        <w:t>стр. 15—18.</w:t>
      </w:r>
    </w:p>
  </w:footnote>
  <w:footnote w:id="7">
    <w:p w:rsidR="00847143" w:rsidRPr="00A97FEE" w:rsidRDefault="00847143" w:rsidP="00C961B8">
      <w:pPr>
        <w:pStyle w:val="FootnoteText"/>
        <w:tabs>
          <w:tab w:val="left" w:pos="284"/>
        </w:tabs>
        <w:ind w:left="284" w:hanging="284"/>
        <w:rPr>
          <w:sz w:val="18"/>
          <w:szCs w:val="18"/>
        </w:rPr>
      </w:pPr>
      <w:r>
        <w:rPr>
          <w:rStyle w:val="FootnoteReference"/>
          <w:sz w:val="18"/>
        </w:rPr>
        <w:footnoteRef/>
      </w:r>
      <w:r>
        <w:rPr>
          <w:sz w:val="18"/>
        </w:rPr>
        <w:t xml:space="preserve"> </w:t>
      </w:r>
      <w:r>
        <w:tab/>
      </w:r>
      <w:hyperlink r:id="rId3">
        <w:r>
          <w:rPr>
            <w:rStyle w:val="Hyperlink"/>
            <w:color w:val="auto"/>
            <w:sz w:val="18"/>
            <w:u w:val="none"/>
          </w:rPr>
          <w:t>Предложение</w:t>
        </w:r>
      </w:hyperlink>
      <w:r>
        <w:rPr>
          <w:sz w:val="18"/>
        </w:rPr>
        <w:t xml:space="preserve"> за Регламент на Европейския парламент и на Съвета относно предоставянето на информация за храните на потребителите, COM(2008)0040 окончателен.</w:t>
      </w:r>
    </w:p>
  </w:footnote>
  <w:footnote w:id="8">
    <w:p w:rsidR="006C2E4B" w:rsidRPr="00A97FEE" w:rsidRDefault="006C2E4B" w:rsidP="00C961B8">
      <w:pPr>
        <w:pStyle w:val="FootnoteText"/>
        <w:tabs>
          <w:tab w:val="left" w:pos="284"/>
        </w:tabs>
        <w:ind w:left="284" w:hanging="284"/>
        <w:rPr>
          <w:rStyle w:val="Hyperlink"/>
          <w:color w:val="auto"/>
          <w:sz w:val="18"/>
          <w:szCs w:val="18"/>
          <w:u w:val="none"/>
        </w:rPr>
      </w:pPr>
      <w:r>
        <w:rPr>
          <w:rStyle w:val="FootnoteReference"/>
          <w:sz w:val="18"/>
        </w:rPr>
        <w:footnoteRef/>
      </w:r>
      <w:r>
        <w:rPr>
          <w:sz w:val="18"/>
        </w:rPr>
        <w:t xml:space="preserve"> </w:t>
      </w:r>
      <w:r>
        <w:tab/>
      </w:r>
      <w:r>
        <w:rPr>
          <w:rStyle w:val="Hyperlink"/>
          <w:color w:val="auto"/>
          <w:sz w:val="18"/>
          <w:u w:val="none"/>
        </w:rPr>
        <w:t>В член 19 от Регламент (ЕС) № 1169/2011 са посочени определени храни, по отношение на които не се изисква списък на съставките, като например ненарязани пресни плодове и зеленчуци, газирана вода, в чието описание се посочва обстоятелството, че е газирана, ферментирал оцет, получен изключително от един основен продукт, при условие че не са добавяни други съставки.</w:t>
      </w:r>
    </w:p>
  </w:footnote>
  <w:footnote w:id="9">
    <w:p w:rsidR="00897099" w:rsidRDefault="00897099" w:rsidP="00C961B8">
      <w:pPr>
        <w:pStyle w:val="FootnoteText"/>
        <w:tabs>
          <w:tab w:val="left" w:pos="284"/>
        </w:tabs>
        <w:ind w:left="284" w:hanging="284"/>
      </w:pPr>
      <w:r>
        <w:rPr>
          <w:rStyle w:val="FootnoteReference"/>
          <w:sz w:val="18"/>
        </w:rPr>
        <w:footnoteRef/>
      </w:r>
      <w:r>
        <w:rPr>
          <w:sz w:val="18"/>
        </w:rPr>
        <w:t xml:space="preserve"> </w:t>
      </w:r>
      <w:r>
        <w:tab/>
      </w:r>
      <w:r>
        <w:rPr>
          <w:sz w:val="18"/>
        </w:rPr>
        <w:t>В приложение V към Регламент (ЕС) № 1169/2011 се съдържа списък на храни, които са освободени от изискването за задължително обявяване на хранителната стойност. Той включва продукти, чиято хранителна стойност е известна на потребителите, като например сол и непреработени храни (например плодове и зеленчуци). Освен това той включва продукти, консумирани в малки количества, и/или които нямат значително  въздействие по отношение на хранителната стойност, като например подправки, кафе и чай. Друга освободена категория храни включва продукти (включително занаятчийски произведени хранителни продукти), доставяни в малки количества директно от производителя на крайния потребител или на местен търговец на дребно, снабдяващ директно крайния потребител. В тази категория могат да попаднат алкохолни напитки, предлагани на пазара при такива условия.</w:t>
      </w:r>
    </w:p>
  </w:footnote>
  <w:footnote w:id="10">
    <w:p w:rsidR="006C45AF" w:rsidRPr="00A97FEE" w:rsidRDefault="006C45AF" w:rsidP="00C961B8">
      <w:pPr>
        <w:pStyle w:val="FootnoteText"/>
        <w:tabs>
          <w:tab w:val="left" w:pos="284"/>
        </w:tabs>
        <w:ind w:left="284" w:hanging="284"/>
        <w:jc w:val="left"/>
        <w:rPr>
          <w:sz w:val="18"/>
          <w:szCs w:val="18"/>
        </w:rPr>
      </w:pPr>
      <w:r>
        <w:rPr>
          <w:rStyle w:val="FootnoteReference"/>
          <w:sz w:val="18"/>
        </w:rPr>
        <w:footnoteRef/>
      </w:r>
      <w:r>
        <w:rPr>
          <w:sz w:val="18"/>
        </w:rPr>
        <w:t xml:space="preserve"> </w:t>
      </w:r>
      <w:r>
        <w:tab/>
      </w:r>
      <w:hyperlink r:id="rId4">
        <w:r>
          <w:rPr>
            <w:rStyle w:val="Hyperlink"/>
            <w:color w:val="auto"/>
            <w:sz w:val="18"/>
            <w:u w:val="none"/>
          </w:rPr>
          <w:t>Директива 87/250/ЕИО на Комисията</w:t>
        </w:r>
      </w:hyperlink>
      <w:r>
        <w:rPr>
          <w:sz w:val="18"/>
        </w:rPr>
        <w:t xml:space="preserve"> относно посочването на обемното съдържание на алкохол при етикетирането на алкохолни напитки, предназначени за крайна употреба — ОВ L 113, 30.4.1987 г., стр. 57.</w:t>
      </w:r>
    </w:p>
  </w:footnote>
  <w:footnote w:id="11">
    <w:p w:rsidR="00F21866" w:rsidRPr="00A97FEE" w:rsidRDefault="00F21866" w:rsidP="00C961B8">
      <w:pPr>
        <w:pStyle w:val="FootnoteText"/>
        <w:tabs>
          <w:tab w:val="left" w:pos="284"/>
        </w:tabs>
        <w:ind w:left="284" w:hanging="284"/>
        <w:rPr>
          <w:sz w:val="18"/>
          <w:szCs w:val="18"/>
        </w:rPr>
      </w:pPr>
      <w:r>
        <w:rPr>
          <w:rStyle w:val="FootnoteReference"/>
          <w:sz w:val="18"/>
        </w:rPr>
        <w:footnoteRef/>
      </w:r>
      <w:r>
        <w:rPr>
          <w:sz w:val="18"/>
        </w:rPr>
        <w:t xml:space="preserve"> </w:t>
      </w:r>
      <w:r>
        <w:tab/>
      </w:r>
      <w:r w:rsidR="00340270" w:rsidRPr="001728B7">
        <w:rPr>
          <w:sz w:val="18"/>
          <w:szCs w:val="18"/>
        </w:rPr>
        <w:t>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w:t>
      </w:r>
      <w:r w:rsidRPr="001728B7">
        <w:rPr>
          <w:sz w:val="18"/>
          <w:szCs w:val="18"/>
        </w:rPr>
        <w:t xml:space="preserve">— </w:t>
      </w:r>
      <w:r w:rsidR="00340270" w:rsidRPr="001728B7">
        <w:rPr>
          <w:sz w:val="18"/>
          <w:szCs w:val="18"/>
        </w:rPr>
        <w:t>OB L 347, 20.12.2013 г., стр. 671</w:t>
      </w:r>
      <w:r>
        <w:rPr>
          <w:sz w:val="18"/>
        </w:rPr>
        <w:t>.</w:t>
      </w:r>
    </w:p>
  </w:footnote>
  <w:footnote w:id="12">
    <w:p w:rsidR="00F21866" w:rsidRPr="006C343F" w:rsidRDefault="00F21866" w:rsidP="00C961B8">
      <w:pPr>
        <w:pStyle w:val="FootnoteText"/>
        <w:tabs>
          <w:tab w:val="left" w:pos="284"/>
        </w:tabs>
        <w:ind w:left="284" w:hanging="284"/>
        <w:rPr>
          <w:sz w:val="18"/>
          <w:szCs w:val="18"/>
        </w:rPr>
      </w:pPr>
      <w:r>
        <w:rPr>
          <w:rStyle w:val="FootnoteReference"/>
          <w:sz w:val="18"/>
        </w:rPr>
        <w:footnoteRef/>
      </w:r>
      <w:r>
        <w:rPr>
          <w:sz w:val="18"/>
        </w:rPr>
        <w:t xml:space="preserve"> </w:t>
      </w:r>
      <w:r>
        <w:tab/>
      </w:r>
      <w:hyperlink r:id="rId5">
        <w:r>
          <w:rPr>
            <w:rStyle w:val="Hyperlink"/>
            <w:color w:val="auto"/>
            <w:sz w:val="18"/>
            <w:u w:val="none"/>
          </w:rPr>
          <w:t>Регламент (ЕО) № 110/2008</w:t>
        </w:r>
      </w:hyperlink>
      <w:r>
        <w:rPr>
          <w:sz w:val="18"/>
        </w:rPr>
        <w:t xml:space="preserve"> на Европейския парламент и на Съвета относно определението, описанието, представянето, етикетирането и защитата на географски указания на спиртните напитки — ОВ L 39, 13.2.2008 г., стр. 16.</w:t>
      </w:r>
    </w:p>
  </w:footnote>
  <w:footnote w:id="13">
    <w:p w:rsidR="00F21866" w:rsidRPr="00A97FEE" w:rsidRDefault="00F21866" w:rsidP="00340270">
      <w:pPr>
        <w:pStyle w:val="FootnoteText"/>
        <w:tabs>
          <w:tab w:val="left" w:pos="284"/>
        </w:tabs>
        <w:ind w:left="284" w:hanging="284"/>
        <w:rPr>
          <w:sz w:val="18"/>
          <w:szCs w:val="18"/>
        </w:rPr>
      </w:pPr>
      <w:r>
        <w:rPr>
          <w:rStyle w:val="FootnoteReference"/>
          <w:sz w:val="18"/>
        </w:rPr>
        <w:footnoteRef/>
      </w:r>
      <w:r>
        <w:rPr>
          <w:sz w:val="18"/>
        </w:rPr>
        <w:t xml:space="preserve"> </w:t>
      </w:r>
      <w:r>
        <w:tab/>
      </w:r>
      <w:r w:rsidR="00340270" w:rsidRPr="001728B7">
        <w:rPr>
          <w:sz w:val="18"/>
          <w:szCs w:val="18"/>
        </w:rPr>
        <w:t>Регламент (ЕС) № 251/2014 на Европейския парламент и на Съвета от 26 февруари 2014 г. за определяне, описание, представяне, етикетиране и правна закрила на географските указания на ароматизирани лозаро-винарски продукти и за отмяна на Регламент (ЕИО) № 1601/91 на Съвета — OB L 84, 20.3.2014 г., стр. 14 —</w:t>
      </w:r>
      <w:r w:rsidR="001728B7">
        <w:rPr>
          <w:sz w:val="18"/>
          <w:szCs w:val="18"/>
        </w:rPr>
        <w:t xml:space="preserve"> </w:t>
      </w:r>
      <w:r w:rsidR="00340270" w:rsidRPr="001728B7">
        <w:rPr>
          <w:sz w:val="18"/>
          <w:szCs w:val="18"/>
        </w:rPr>
        <w:t>34</w:t>
      </w:r>
      <w:r>
        <w:rPr>
          <w:sz w:val="18"/>
        </w:rPr>
        <w:t>.</w:t>
      </w:r>
    </w:p>
  </w:footnote>
  <w:footnote w:id="14">
    <w:p w:rsidR="00F21866" w:rsidRPr="00A97FEE" w:rsidRDefault="00F21866" w:rsidP="00C961B8">
      <w:pPr>
        <w:pStyle w:val="FootnoteText"/>
        <w:tabs>
          <w:tab w:val="left" w:pos="284"/>
        </w:tabs>
        <w:ind w:left="284" w:hanging="284"/>
        <w:rPr>
          <w:sz w:val="18"/>
          <w:szCs w:val="18"/>
        </w:rPr>
      </w:pPr>
      <w:r>
        <w:rPr>
          <w:rStyle w:val="FootnoteReference"/>
          <w:sz w:val="18"/>
        </w:rPr>
        <w:footnoteRef/>
      </w:r>
      <w:r>
        <w:rPr>
          <w:sz w:val="18"/>
        </w:rPr>
        <w:t xml:space="preserve"> </w:t>
      </w:r>
      <w:r>
        <w:tab/>
      </w:r>
      <w:hyperlink r:id="rId6">
        <w:r>
          <w:rPr>
            <w:rStyle w:val="Hyperlink"/>
            <w:color w:val="auto"/>
            <w:sz w:val="18"/>
            <w:u w:val="none"/>
          </w:rPr>
          <w:t>Регламент (ЕО) № 1924/2006</w:t>
        </w:r>
      </w:hyperlink>
      <w:r>
        <w:rPr>
          <w:sz w:val="18"/>
        </w:rPr>
        <w:t xml:space="preserve"> на Европейския парламент и на Съвета от 20 декември 2006 г. относно </w:t>
      </w:r>
      <w:r>
        <w:rPr>
          <w:sz w:val="18"/>
          <w:szCs w:val="18"/>
        </w:rPr>
        <w:br/>
      </w:r>
      <w:r>
        <w:rPr>
          <w:sz w:val="18"/>
        </w:rPr>
        <w:t>хранителни и здравни претенции за храните, ОВ L 404, 30.12.2006 г., стр. 9—25.</w:t>
      </w:r>
    </w:p>
  </w:footnote>
  <w:footnote w:id="15">
    <w:p w:rsidR="00A22126" w:rsidRPr="00E13B39" w:rsidRDefault="00A22126" w:rsidP="004669C2">
      <w:pPr>
        <w:pStyle w:val="FootnoteText"/>
        <w:ind w:left="284" w:hanging="284"/>
        <w:rPr>
          <w:sz w:val="18"/>
          <w:szCs w:val="18"/>
        </w:rPr>
      </w:pPr>
      <w:r>
        <w:rPr>
          <w:rStyle w:val="FootnoteReference"/>
        </w:rPr>
        <w:footnoteRef/>
      </w:r>
      <w:r>
        <w:t xml:space="preserve"> </w:t>
      </w:r>
      <w:r>
        <w:tab/>
      </w:r>
      <w:r w:rsidRPr="00E13B39">
        <w:rPr>
          <w:sz w:val="18"/>
          <w:szCs w:val="18"/>
        </w:rPr>
        <w:t>Референтен номер съгласно Информационната система за технически регламенти (TRIS): 2014/611/RO.</w:t>
      </w:r>
    </w:p>
  </w:footnote>
  <w:footnote w:id="16">
    <w:p w:rsidR="00A22126" w:rsidRPr="008C25D9" w:rsidRDefault="00A22126" w:rsidP="004669C2">
      <w:pPr>
        <w:pStyle w:val="FootnoteText"/>
        <w:ind w:left="284" w:hanging="284"/>
      </w:pPr>
      <w:r w:rsidRPr="00E13B39">
        <w:rPr>
          <w:rStyle w:val="FootnoteReference"/>
          <w:sz w:val="18"/>
          <w:szCs w:val="18"/>
        </w:rPr>
        <w:footnoteRef/>
      </w:r>
      <w:r w:rsidRPr="00E13B39">
        <w:rPr>
          <w:sz w:val="18"/>
          <w:szCs w:val="18"/>
        </w:rPr>
        <w:t xml:space="preserve"> </w:t>
      </w:r>
      <w:r w:rsidRPr="00E13B39">
        <w:rPr>
          <w:sz w:val="18"/>
          <w:szCs w:val="18"/>
        </w:rPr>
        <w:tab/>
        <w:t>Референтен номер съгласно Информационната система за технически регламенти (TRIS):</w:t>
      </w:r>
      <w:r w:rsidRPr="00E13B39">
        <w:rPr>
          <w:sz w:val="18"/>
          <w:szCs w:val="18"/>
          <w:u w:val="single"/>
        </w:rPr>
        <w:t xml:space="preserve"> 2016/42/IRL.</w:t>
      </w:r>
      <w:r>
        <w:t xml:space="preserve"> </w:t>
      </w:r>
    </w:p>
  </w:footnote>
  <w:footnote w:id="17">
    <w:p w:rsidR="007769A8" w:rsidRPr="00A97FEE" w:rsidRDefault="007769A8" w:rsidP="00FC7734">
      <w:pPr>
        <w:pStyle w:val="FootnoteText"/>
        <w:ind w:left="284" w:hanging="284"/>
        <w:rPr>
          <w:sz w:val="18"/>
          <w:szCs w:val="18"/>
        </w:rPr>
      </w:pPr>
      <w:r>
        <w:rPr>
          <w:rStyle w:val="FootnoteReference"/>
          <w:sz w:val="18"/>
        </w:rPr>
        <w:footnoteRef/>
      </w:r>
      <w:r>
        <w:rPr>
          <w:sz w:val="18"/>
        </w:rPr>
        <w:t xml:space="preserve"> </w:t>
      </w:r>
      <w:r>
        <w:tab/>
      </w:r>
      <w:r>
        <w:rPr>
          <w:sz w:val="18"/>
        </w:rPr>
        <w:t>Директива (ЕС) №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 ОВ L 241, 17.9.2015 г., стр. 1.</w:t>
      </w:r>
    </w:p>
  </w:footnote>
  <w:footnote w:id="18">
    <w:p w:rsidR="00F21866" w:rsidRPr="00A97FEE" w:rsidRDefault="00F21866" w:rsidP="00C961B8">
      <w:pPr>
        <w:pStyle w:val="FootnoteText"/>
        <w:tabs>
          <w:tab w:val="left" w:pos="284"/>
        </w:tabs>
        <w:ind w:left="284" w:hanging="284"/>
        <w:rPr>
          <w:sz w:val="18"/>
          <w:szCs w:val="18"/>
        </w:rPr>
      </w:pPr>
      <w:r>
        <w:rPr>
          <w:rStyle w:val="FootnoteReference"/>
          <w:sz w:val="18"/>
        </w:rPr>
        <w:footnoteRef/>
      </w:r>
      <w:r>
        <w:rPr>
          <w:sz w:val="18"/>
        </w:rPr>
        <w:t xml:space="preserve"> </w:t>
      </w:r>
      <w:r>
        <w:tab/>
      </w:r>
      <w:hyperlink r:id="rId7">
        <w:r>
          <w:rPr>
            <w:rStyle w:val="Hyperlink"/>
            <w:color w:val="auto"/>
            <w:sz w:val="18"/>
            <w:u w:val="none"/>
          </w:rPr>
          <w:t>Общ стандарт за етикетирането на пакетираните храни CODEX STAN 1-1985, последно преразгледан през 2010 г.</w:t>
        </w:r>
      </w:hyperlink>
    </w:p>
  </w:footnote>
  <w:footnote w:id="19">
    <w:p w:rsidR="00F21866" w:rsidRPr="00A838D8" w:rsidRDefault="00F21866" w:rsidP="00C961B8">
      <w:pPr>
        <w:pStyle w:val="FootnoteText"/>
        <w:tabs>
          <w:tab w:val="left" w:pos="284"/>
        </w:tabs>
        <w:ind w:left="284" w:hanging="284"/>
      </w:pPr>
      <w:r>
        <w:rPr>
          <w:rStyle w:val="FootnoteReference"/>
          <w:sz w:val="18"/>
        </w:rPr>
        <w:footnoteRef/>
      </w:r>
      <w:r>
        <w:rPr>
          <w:sz w:val="18"/>
        </w:rPr>
        <w:t xml:space="preserve"> </w:t>
      </w:r>
      <w:r>
        <w:tab/>
      </w:r>
      <w:hyperlink r:id="rId8">
        <w:r>
          <w:rPr>
            <w:rStyle w:val="Hyperlink"/>
            <w:color w:val="auto"/>
            <w:sz w:val="18"/>
            <w:u w:val="none"/>
          </w:rPr>
          <w:t>Насоки на Кодекса относно етикетирането на хранителната стойност CAC/GL 2-1985, последно преразгледани през 2013 г.</w:t>
        </w:r>
      </w:hyperlink>
    </w:p>
  </w:footnote>
  <w:footnote w:id="20">
    <w:p w:rsidR="00ED2B06" w:rsidRPr="00A97FEE" w:rsidRDefault="00ED2B06" w:rsidP="00C961B8">
      <w:pPr>
        <w:pStyle w:val="FootnoteText"/>
        <w:tabs>
          <w:tab w:val="left" w:pos="284"/>
        </w:tabs>
        <w:ind w:left="284" w:hanging="284"/>
        <w:rPr>
          <w:sz w:val="18"/>
          <w:szCs w:val="18"/>
        </w:rPr>
      </w:pPr>
      <w:r>
        <w:rPr>
          <w:rStyle w:val="FootnoteReference"/>
          <w:sz w:val="18"/>
        </w:rPr>
        <w:footnoteRef/>
      </w:r>
      <w:r>
        <w:rPr>
          <w:sz w:val="18"/>
        </w:rPr>
        <w:t xml:space="preserve"> </w:t>
      </w:r>
      <w:r>
        <w:tab/>
      </w:r>
      <w:hyperlink r:id="rId9">
        <w:r>
          <w:rPr>
            <w:rStyle w:val="Hyperlink"/>
            <w:color w:val="auto"/>
            <w:sz w:val="18"/>
            <w:u w:val="none"/>
          </w:rPr>
          <w:t>TNS European Behaviour Studies Consortium (Европейски консорицум за изследвания на поведението — TNS), Проучване относно въздействието на информацията за храните върху вземането на решения от потребителите (2014)</w:t>
        </w:r>
      </w:hyperlink>
      <w:r>
        <w:rPr>
          <w:sz w:val="18"/>
        </w:rPr>
        <w:t>.</w:t>
      </w:r>
    </w:p>
  </w:footnote>
  <w:footnote w:id="21">
    <w:p w:rsidR="00ED2B06" w:rsidRPr="008C7A05" w:rsidRDefault="00ED2B06" w:rsidP="00C961B8">
      <w:pPr>
        <w:pStyle w:val="FootnoteText"/>
        <w:tabs>
          <w:tab w:val="left" w:pos="284"/>
        </w:tabs>
        <w:ind w:left="284" w:hanging="284"/>
      </w:pPr>
      <w:r>
        <w:rPr>
          <w:rStyle w:val="FootnoteReference"/>
          <w:sz w:val="18"/>
        </w:rPr>
        <w:footnoteRef/>
      </w:r>
      <w:r>
        <w:rPr>
          <w:sz w:val="18"/>
        </w:rPr>
        <w:t xml:space="preserve"> </w:t>
      </w:r>
      <w:r>
        <w:tab/>
      </w:r>
      <w:hyperlink r:id="rId10">
        <w:r>
          <w:rPr>
            <w:rStyle w:val="Hyperlink"/>
            <w:sz w:val="18"/>
          </w:rPr>
          <w:t>Оценка на потребителите: познаване на информацията за съставките и за хранителната стойност — информация извън посочената върху етикета и нейното използване</w:t>
        </w:r>
        <w:r>
          <w:rPr>
            <w:rStyle w:val="Hyperlink"/>
            <w:sz w:val="18"/>
            <w:szCs w:val="18"/>
          </w:rPr>
          <w:br/>
        </w:r>
        <w:r>
          <w:rPr>
            <w:rStyle w:val="Hyperlink"/>
            <w:sz w:val="18"/>
          </w:rPr>
          <w:t>Доклад на GfK — Белгия (2014)</w:t>
        </w:r>
      </w:hyperlink>
      <w:r>
        <w:rPr>
          <w:rStyle w:val="Hyperlink"/>
          <w:color w:val="auto"/>
          <w:sz w:val="18"/>
          <w:u w:val="none"/>
        </w:rPr>
        <w:t>.</w:t>
      </w:r>
    </w:p>
  </w:footnote>
  <w:footnote w:id="22">
    <w:p w:rsidR="00902A1B" w:rsidRPr="000166E7" w:rsidRDefault="00902A1B" w:rsidP="00FC7734">
      <w:pPr>
        <w:pStyle w:val="FootnoteText"/>
        <w:tabs>
          <w:tab w:val="left" w:pos="284"/>
        </w:tabs>
        <w:ind w:left="284" w:hanging="284"/>
        <w:rPr>
          <w:sz w:val="18"/>
          <w:szCs w:val="18"/>
        </w:rPr>
      </w:pPr>
      <w:r>
        <w:rPr>
          <w:rStyle w:val="FootnoteReference"/>
          <w:sz w:val="18"/>
        </w:rPr>
        <w:footnoteRef/>
      </w:r>
      <w:r>
        <w:rPr>
          <w:sz w:val="18"/>
        </w:rPr>
        <w:t xml:space="preserve"> </w:t>
      </w:r>
      <w:r>
        <w:tab/>
      </w:r>
      <w:hyperlink r:id="rId11">
        <w:r>
          <w:rPr>
            <w:rStyle w:val="Hyperlink"/>
            <w:color w:val="auto"/>
            <w:sz w:val="18"/>
            <w:u w:val="none"/>
          </w:rPr>
          <w:t xml:space="preserve">Етикетиране и предупреждения за вредата за здравето при алкохолните напитки — Delphi survey Centre de Recherche et d'Information des Organisations de Consommateurs </w:t>
        </w:r>
        <w:r>
          <w:rPr>
            <w:rStyle w:val="st1"/>
            <w:color w:val="545454"/>
            <w:sz w:val="18"/>
          </w:rPr>
          <w:t>(</w:t>
        </w:r>
        <w:r>
          <w:rPr>
            <w:rStyle w:val="Hyperlink"/>
            <w:color w:val="auto"/>
            <w:sz w:val="18"/>
            <w:u w:val="none"/>
          </w:rPr>
          <w:t>CRIOC) (2007)</w:t>
        </w:r>
      </w:hyperlink>
      <w:r>
        <w:rPr>
          <w:rStyle w:val="Hyperlink"/>
          <w:color w:val="auto"/>
          <w:sz w:val="18"/>
          <w:u w:val="none"/>
        </w:rPr>
        <w:t xml:space="preserve">. </w:t>
      </w:r>
    </w:p>
  </w:footnote>
  <w:footnote w:id="23">
    <w:p w:rsidR="00F21866" w:rsidRPr="00A97FEE" w:rsidRDefault="00F21866" w:rsidP="00FC7734">
      <w:pPr>
        <w:pStyle w:val="FootnoteText"/>
        <w:tabs>
          <w:tab w:val="left" w:pos="284"/>
        </w:tabs>
        <w:ind w:left="284" w:hanging="284"/>
        <w:rPr>
          <w:sz w:val="18"/>
          <w:szCs w:val="18"/>
        </w:rPr>
      </w:pPr>
      <w:r>
        <w:rPr>
          <w:rStyle w:val="FootnoteReference"/>
          <w:sz w:val="18"/>
        </w:rPr>
        <w:footnoteRef/>
      </w:r>
      <w:r>
        <w:rPr>
          <w:sz w:val="18"/>
        </w:rPr>
        <w:t xml:space="preserve"> </w:t>
      </w:r>
      <w:r>
        <w:tab/>
      </w:r>
      <w:hyperlink r:id="rId12">
        <w:r>
          <w:rPr>
            <w:rStyle w:val="Hyperlink"/>
            <w:sz w:val="18"/>
          </w:rPr>
          <w:t>Информиран избор на хранителни продукти с оглед подобряване здравето на потребителите — Становище на Европейската организация на потребителите (BEUC) относно храненето (2015)</w:t>
        </w:r>
      </w:hyperlink>
      <w:r>
        <w:rPr>
          <w:rStyle w:val="Hyperlink"/>
          <w:color w:val="auto"/>
          <w:sz w:val="18"/>
          <w:u w:val="none"/>
        </w:rPr>
        <w:t xml:space="preserve">. </w:t>
      </w:r>
    </w:p>
  </w:footnote>
  <w:footnote w:id="24">
    <w:p w:rsidR="00F21866" w:rsidRPr="00A97FEE" w:rsidRDefault="00F21866" w:rsidP="00FC7734">
      <w:pPr>
        <w:pStyle w:val="FootnoteText"/>
        <w:tabs>
          <w:tab w:val="left" w:pos="284"/>
        </w:tabs>
        <w:ind w:left="284" w:hanging="284"/>
        <w:rPr>
          <w:sz w:val="18"/>
          <w:szCs w:val="18"/>
        </w:rPr>
      </w:pPr>
      <w:r>
        <w:rPr>
          <w:rStyle w:val="FootnoteReference"/>
          <w:sz w:val="18"/>
        </w:rPr>
        <w:footnoteRef/>
      </w:r>
      <w:r>
        <w:rPr>
          <w:sz w:val="18"/>
        </w:rPr>
        <w:t xml:space="preserve"> </w:t>
      </w:r>
      <w:r>
        <w:tab/>
      </w:r>
      <w:hyperlink r:id="rId13">
        <w:r>
          <w:rPr>
            <w:rStyle w:val="Hyperlink"/>
            <w:color w:val="auto"/>
            <w:sz w:val="18"/>
            <w:u w:val="none"/>
          </w:rPr>
          <w:t>Европейски съюз на потребителите на бира — манифест 2009—2014</w:t>
        </w:r>
      </w:hyperlink>
      <w:r>
        <w:rPr>
          <w:rStyle w:val="Hyperlink"/>
          <w:color w:val="auto"/>
          <w:sz w:val="18"/>
          <w:u w:val="none"/>
        </w:rPr>
        <w:t>.</w:t>
      </w:r>
    </w:p>
  </w:footnote>
  <w:footnote w:id="25">
    <w:p w:rsidR="00F21866" w:rsidRPr="00A97FEE" w:rsidRDefault="00F21866" w:rsidP="00FC7734">
      <w:pPr>
        <w:pStyle w:val="FootnoteText"/>
        <w:tabs>
          <w:tab w:val="left" w:pos="284"/>
        </w:tabs>
        <w:ind w:left="284" w:hanging="284"/>
        <w:rPr>
          <w:sz w:val="18"/>
          <w:szCs w:val="18"/>
        </w:rPr>
      </w:pPr>
      <w:r>
        <w:rPr>
          <w:rStyle w:val="FootnoteReference"/>
          <w:sz w:val="18"/>
        </w:rPr>
        <w:footnoteRef/>
      </w:r>
      <w:r>
        <w:rPr>
          <w:sz w:val="18"/>
        </w:rPr>
        <w:t xml:space="preserve"> </w:t>
      </w:r>
      <w:r>
        <w:tab/>
      </w:r>
      <w:hyperlink r:id="rId14">
        <w:r>
          <w:rPr>
            <w:rStyle w:val="Hyperlink"/>
            <w:color w:val="auto"/>
            <w:sz w:val="18"/>
            <w:u w:val="none"/>
          </w:rPr>
          <w:t>Анализ на Eurocare относно етикетирането на алкохолните напитки</w:t>
        </w:r>
      </w:hyperlink>
      <w:hyperlink r:id="rId15">
        <w:r>
          <w:rPr>
            <w:rStyle w:val="Hyperlink"/>
            <w:color w:val="auto"/>
            <w:sz w:val="18"/>
            <w:u w:val="none"/>
          </w:rPr>
          <w:t>(2014)</w:t>
        </w:r>
      </w:hyperlink>
      <w:r>
        <w:rPr>
          <w:rStyle w:val="Hyperlink"/>
          <w:color w:val="auto"/>
          <w:sz w:val="18"/>
          <w:u w:val="none"/>
        </w:rPr>
        <w:t>.</w:t>
      </w:r>
    </w:p>
  </w:footnote>
  <w:footnote w:id="26">
    <w:p w:rsidR="00622018" w:rsidRPr="00A97FEE" w:rsidRDefault="00622018" w:rsidP="00622018">
      <w:pPr>
        <w:pStyle w:val="FootnoteText"/>
        <w:tabs>
          <w:tab w:val="left" w:pos="284"/>
        </w:tabs>
        <w:ind w:left="284" w:hanging="284"/>
        <w:jc w:val="left"/>
        <w:rPr>
          <w:sz w:val="18"/>
          <w:szCs w:val="18"/>
        </w:rPr>
      </w:pPr>
      <w:r>
        <w:rPr>
          <w:rStyle w:val="FootnoteReference"/>
          <w:sz w:val="18"/>
        </w:rPr>
        <w:footnoteRef/>
      </w:r>
      <w:r>
        <w:rPr>
          <w:sz w:val="18"/>
        </w:rPr>
        <w:t xml:space="preserve"> </w:t>
      </w:r>
      <w:r>
        <w:tab/>
      </w:r>
      <w:hyperlink r:id="rId16">
        <w:r>
          <w:rPr>
            <w:rStyle w:val="Hyperlink"/>
            <w:color w:val="auto"/>
            <w:sz w:val="18"/>
            <w:u w:val="none"/>
          </w:rPr>
          <w:t>Втори годишен доклад, ноември 2014 г. Ангажимент на европейските пивовари — Пакет от инициативи за отговорност на европейските пивовари</w:t>
        </w:r>
      </w:hyperlink>
      <w:r>
        <w:rPr>
          <w:sz w:val="18"/>
        </w:rPr>
        <w:t>.</w:t>
      </w:r>
    </w:p>
  </w:footnote>
  <w:footnote w:id="27">
    <w:p w:rsidR="00C071B7" w:rsidRPr="00A97FEE" w:rsidRDefault="00C071B7" w:rsidP="00FC7734">
      <w:pPr>
        <w:pStyle w:val="FootnoteText"/>
        <w:ind w:left="284" w:hanging="284"/>
        <w:rPr>
          <w:sz w:val="18"/>
          <w:szCs w:val="18"/>
        </w:rPr>
      </w:pPr>
      <w:r>
        <w:rPr>
          <w:rStyle w:val="FootnoteReference"/>
          <w:sz w:val="18"/>
        </w:rPr>
        <w:footnoteRef/>
      </w:r>
      <w:r>
        <w:rPr>
          <w:sz w:val="18"/>
        </w:rPr>
        <w:t xml:space="preserve"> </w:t>
      </w:r>
      <w:r>
        <w:tab/>
      </w:r>
      <w:r>
        <w:rPr>
          <w:sz w:val="18"/>
        </w:rPr>
        <w:t>QR кодът, или код за бърз отговор, е вид двуизмерен баркод, използван за предоставянето на лесен достъп до информация, например чрез смартфон.</w:t>
      </w:r>
    </w:p>
  </w:footnote>
  <w:footnote w:id="28">
    <w:p w:rsidR="00DC7826" w:rsidRPr="00DC7826" w:rsidRDefault="00DC7826" w:rsidP="00FC7734">
      <w:pPr>
        <w:pStyle w:val="FootnoteText"/>
        <w:ind w:left="284" w:hanging="284"/>
      </w:pPr>
      <w:r>
        <w:rPr>
          <w:rStyle w:val="FootnoteReference"/>
          <w:sz w:val="18"/>
        </w:rPr>
        <w:footnoteRef/>
      </w:r>
      <w:r>
        <w:rPr>
          <w:sz w:val="18"/>
        </w:rPr>
        <w:t xml:space="preserve"> </w:t>
      </w:r>
      <w:r>
        <w:tab/>
      </w:r>
      <w:r>
        <w:rPr>
          <w:sz w:val="18"/>
        </w:rPr>
        <w:t>Информацията е предоставена от Асоциацията на европейските пивовари на 14 октомври 2016 г.</w:t>
      </w:r>
    </w:p>
  </w:footnote>
  <w:footnote w:id="29">
    <w:p w:rsidR="00653A0E" w:rsidRPr="00A97FEE" w:rsidRDefault="00653A0E" w:rsidP="00C961B8">
      <w:pPr>
        <w:pStyle w:val="FootnoteText"/>
        <w:tabs>
          <w:tab w:val="left" w:pos="284"/>
        </w:tabs>
        <w:rPr>
          <w:sz w:val="18"/>
          <w:szCs w:val="18"/>
        </w:rPr>
      </w:pPr>
      <w:r>
        <w:rPr>
          <w:rStyle w:val="FootnoteReference"/>
          <w:sz w:val="18"/>
        </w:rPr>
        <w:footnoteRef/>
      </w:r>
      <w:r>
        <w:rPr>
          <w:sz w:val="18"/>
        </w:rPr>
        <w:t xml:space="preserve"> </w:t>
      </w:r>
      <w:r>
        <w:tab/>
      </w:r>
      <w:hyperlink r:id="rId17">
        <w:r>
          <w:rPr>
            <w:rStyle w:val="Hyperlink"/>
            <w:color w:val="auto"/>
            <w:sz w:val="18"/>
            <w:u w:val="none"/>
          </w:rPr>
          <w:t>Становище на представителите на сектора на спиртните напитки http://spirits.eu/page.php?id=28&amp;parent_id=5</w:t>
        </w:r>
      </w:hyperlink>
      <w:r>
        <w:rPr>
          <w:sz w:val="18"/>
        </w:rPr>
        <w:t>, разгледано на 7 април 2016 г.</w:t>
      </w:r>
    </w:p>
  </w:footnote>
  <w:footnote w:id="30">
    <w:p w:rsidR="00CE4EC9" w:rsidRPr="00A97FEE" w:rsidRDefault="00CE4EC9" w:rsidP="00FC7734">
      <w:pPr>
        <w:pStyle w:val="FootnoteText"/>
        <w:ind w:left="284" w:hanging="284"/>
        <w:rPr>
          <w:sz w:val="18"/>
          <w:szCs w:val="18"/>
        </w:rPr>
      </w:pPr>
      <w:r>
        <w:rPr>
          <w:rStyle w:val="FootnoteReference"/>
          <w:sz w:val="18"/>
        </w:rPr>
        <w:footnoteRef/>
      </w:r>
      <w:r>
        <w:rPr>
          <w:sz w:val="18"/>
        </w:rPr>
        <w:t xml:space="preserve"> </w:t>
      </w:r>
      <w:r>
        <w:tab/>
      </w:r>
      <w:r>
        <w:rPr>
          <w:sz w:val="18"/>
        </w:rPr>
        <w:t>Информацията е предоставена от Организацията на европейските производители на спиртни напитки на 13 октомври 2016 г.</w:t>
      </w:r>
    </w:p>
  </w:footnote>
  <w:footnote w:id="31">
    <w:p w:rsidR="00D50407" w:rsidRPr="00A97FEE" w:rsidRDefault="00D50407" w:rsidP="00FC7734">
      <w:pPr>
        <w:pStyle w:val="FootnoteText"/>
        <w:ind w:left="284" w:hanging="284"/>
        <w:rPr>
          <w:sz w:val="18"/>
          <w:szCs w:val="18"/>
        </w:rPr>
      </w:pPr>
      <w:r>
        <w:rPr>
          <w:rStyle w:val="FootnoteReference"/>
          <w:sz w:val="18"/>
        </w:rPr>
        <w:footnoteRef/>
      </w:r>
      <w:r>
        <w:rPr>
          <w:sz w:val="18"/>
        </w:rPr>
        <w:t xml:space="preserve"> </w:t>
      </w:r>
      <w:r>
        <w:tab/>
      </w:r>
      <w:r>
        <w:rPr>
          <w:sz w:val="18"/>
        </w:rPr>
        <w:t>Информацията е предоставена от Comité européen des vins на 3 юни 2016 г.</w:t>
      </w:r>
    </w:p>
  </w:footnote>
  <w:footnote w:id="32">
    <w:p w:rsidR="00D50407" w:rsidRPr="00A97FEE" w:rsidRDefault="00D50407" w:rsidP="00FC7734">
      <w:pPr>
        <w:pStyle w:val="FootnoteText"/>
        <w:ind w:left="284" w:hanging="284"/>
        <w:rPr>
          <w:sz w:val="18"/>
          <w:szCs w:val="18"/>
        </w:rPr>
      </w:pPr>
      <w:r>
        <w:rPr>
          <w:rStyle w:val="FootnoteReference"/>
          <w:sz w:val="18"/>
        </w:rPr>
        <w:footnoteRef/>
      </w:r>
      <w:r>
        <w:rPr>
          <w:sz w:val="18"/>
        </w:rPr>
        <w:t xml:space="preserve"> </w:t>
      </w:r>
      <w:r>
        <w:tab/>
      </w:r>
      <w:hyperlink r:id="rId18">
        <w:r>
          <w:rPr>
            <w:rStyle w:val="Hyperlink"/>
            <w:sz w:val="18"/>
          </w:rPr>
          <w:t>http://www.wineinmoderation.eu/en/content/Wine-Diet.82/</w:t>
        </w:r>
      </w:hyperlink>
      <w:r>
        <w:t>,</w:t>
      </w:r>
      <w:r>
        <w:rPr>
          <w:sz w:val="18"/>
        </w:rPr>
        <w:t xml:space="preserve"> разгледана на 14 октомври 2016 г.</w:t>
      </w:r>
    </w:p>
  </w:footnote>
  <w:footnote w:id="33">
    <w:p w:rsidR="00C02361" w:rsidRPr="00A97FEE" w:rsidRDefault="00C02361" w:rsidP="00FC7734">
      <w:pPr>
        <w:pStyle w:val="FootnoteText"/>
        <w:ind w:left="284" w:hanging="284"/>
        <w:rPr>
          <w:sz w:val="18"/>
          <w:szCs w:val="18"/>
        </w:rPr>
      </w:pPr>
      <w:r>
        <w:rPr>
          <w:rStyle w:val="FootnoteReference"/>
          <w:sz w:val="18"/>
        </w:rPr>
        <w:footnoteRef/>
      </w:r>
      <w:r>
        <w:rPr>
          <w:sz w:val="18"/>
        </w:rPr>
        <w:t xml:space="preserve"> </w:t>
      </w:r>
      <w:r>
        <w:tab/>
      </w:r>
      <w:hyperlink r:id="rId19">
        <w:r>
          <w:rPr>
            <w:rStyle w:val="Hyperlink"/>
            <w:sz w:val="18"/>
          </w:rPr>
          <w:t>http://www.diageo.com/en-row/newsmedia/pages/resource.aspx?resourceid=2929</w:t>
        </w:r>
      </w:hyperlink>
      <w:r>
        <w:t xml:space="preserve">, разгледана на </w:t>
      </w:r>
      <w:r>
        <w:rPr>
          <w:sz w:val="18"/>
        </w:rPr>
        <w:t>13 октомври 2016 г.</w:t>
      </w:r>
    </w:p>
  </w:footnote>
  <w:footnote w:id="34">
    <w:p w:rsidR="007104AB" w:rsidRPr="00A97FEE" w:rsidRDefault="007104AB" w:rsidP="00A97FEE">
      <w:pPr>
        <w:pStyle w:val="FootnoteText"/>
        <w:ind w:left="284" w:hanging="284"/>
        <w:rPr>
          <w:sz w:val="18"/>
          <w:szCs w:val="18"/>
        </w:rPr>
      </w:pPr>
      <w:r>
        <w:rPr>
          <w:rStyle w:val="FootnoteReference"/>
          <w:sz w:val="18"/>
        </w:rPr>
        <w:footnoteRef/>
      </w:r>
      <w:r>
        <w:rPr>
          <w:sz w:val="18"/>
        </w:rPr>
        <w:t xml:space="preserve"> </w:t>
      </w:r>
      <w:r>
        <w:tab/>
      </w:r>
      <w:hyperlink r:id="rId20">
        <w:r>
          <w:rPr>
            <w:rStyle w:val="Hyperlink"/>
            <w:sz w:val="18"/>
          </w:rPr>
          <w:t>Ангажимент на европейския форум „Алкохол и здраве“ 1447949468140—1722, Предоставяне на потребителите на информация за хранителната стойност и съставките върху етикетите на всички бири Heineken в Европа</w:t>
        </w:r>
      </w:hyperlink>
      <w:r>
        <w:rPr>
          <w:sz w:val="18"/>
        </w:rPr>
        <w:t>, Heineken International.</w:t>
      </w:r>
    </w:p>
  </w:footnote>
  <w:footnote w:id="35">
    <w:p w:rsidR="007104AB" w:rsidRPr="00A97FEE" w:rsidRDefault="007104AB" w:rsidP="00743F13">
      <w:pPr>
        <w:pStyle w:val="FootnoteText"/>
        <w:ind w:left="284" w:hanging="284"/>
        <w:rPr>
          <w:sz w:val="18"/>
          <w:szCs w:val="18"/>
        </w:rPr>
      </w:pPr>
      <w:r>
        <w:rPr>
          <w:rStyle w:val="FootnoteReference"/>
          <w:sz w:val="18"/>
        </w:rPr>
        <w:footnoteRef/>
      </w:r>
      <w:r>
        <w:rPr>
          <w:sz w:val="18"/>
        </w:rPr>
        <w:t xml:space="preserve"> </w:t>
      </w:r>
      <w:r>
        <w:tab/>
      </w:r>
      <w:hyperlink r:id="rId21">
        <w:r>
          <w:rPr>
            <w:rStyle w:val="Hyperlink"/>
            <w:sz w:val="18"/>
          </w:rPr>
          <w:t>Ангажимент на Европейския форум „Алкохол и здраве“ 1446732318481—1721, Информиране на потребителите за съставките и хранителните стойности на бирата, Асоциация на европейските пивовари</w:t>
        </w:r>
      </w:hyperlink>
      <w:r>
        <w:rPr>
          <w:rStyle w:val="Hyperlink"/>
          <w:sz w:val="18"/>
        </w:rPr>
        <w:t>.</w:t>
      </w:r>
    </w:p>
  </w:footnote>
  <w:footnote w:id="36">
    <w:p w:rsidR="003E7F14" w:rsidRPr="00A97FEE" w:rsidRDefault="003E7F14" w:rsidP="00F41F88">
      <w:pPr>
        <w:pStyle w:val="FootnoteText"/>
        <w:tabs>
          <w:tab w:val="left" w:pos="284"/>
        </w:tabs>
        <w:ind w:left="0" w:firstLine="0"/>
        <w:rPr>
          <w:sz w:val="18"/>
          <w:szCs w:val="18"/>
        </w:rPr>
      </w:pPr>
      <w:r>
        <w:rPr>
          <w:rStyle w:val="FootnoteReference"/>
          <w:sz w:val="18"/>
        </w:rPr>
        <w:footnoteRef/>
      </w:r>
      <w:r>
        <w:rPr>
          <w:sz w:val="18"/>
        </w:rPr>
        <w:t xml:space="preserve"> </w:t>
      </w:r>
      <w:r>
        <w:tab/>
        <w:t>Становище на представителите на сектора на спиртните напитки</w:t>
      </w:r>
      <w:r>
        <w:rPr>
          <w:sz w:val="18"/>
        </w:rPr>
        <w:t xml:space="preserve">: </w:t>
      </w:r>
      <w:hyperlink r:id="rId22">
        <w:r>
          <w:rPr>
            <w:sz w:val="18"/>
          </w:rPr>
          <w:t>http://spirits.eu/page.php?id=28&amp;parent_id=5</w:t>
        </w:r>
      </w:hyperlink>
      <w:r>
        <w:t xml:space="preserve">, разгледано на </w:t>
      </w:r>
      <w:r>
        <w:rPr>
          <w:sz w:val="18"/>
        </w:rPr>
        <w:t>7 април 2016 г.</w:t>
      </w:r>
    </w:p>
  </w:footnote>
  <w:footnote w:id="37">
    <w:p w:rsidR="003E7F14" w:rsidRPr="008C44BD" w:rsidRDefault="003E7F14" w:rsidP="00F41F88">
      <w:pPr>
        <w:pStyle w:val="FootnoteText"/>
        <w:tabs>
          <w:tab w:val="left" w:pos="284"/>
        </w:tabs>
        <w:ind w:left="284" w:hanging="284"/>
        <w:jc w:val="left"/>
      </w:pPr>
      <w:r>
        <w:rPr>
          <w:rStyle w:val="FootnoteReference"/>
          <w:sz w:val="18"/>
        </w:rPr>
        <w:footnoteRef/>
      </w:r>
      <w:r>
        <w:rPr>
          <w:sz w:val="18"/>
        </w:rPr>
        <w:t xml:space="preserve"> </w:t>
      </w:r>
      <w:r>
        <w:tab/>
      </w:r>
      <w:r w:rsidRPr="00E13B39">
        <w:rPr>
          <w:sz w:val="18"/>
          <w:szCs w:val="18"/>
        </w:rPr>
        <w:t xml:space="preserve">Становище на представителите на пивоварния сектор: </w:t>
      </w:r>
      <w:hyperlink r:id="rId23">
        <w:r w:rsidRPr="00E13B39">
          <w:rPr>
            <w:rStyle w:val="Hyperlink"/>
            <w:color w:val="auto"/>
            <w:sz w:val="18"/>
            <w:szCs w:val="18"/>
            <w:u w:val="none"/>
          </w:rPr>
          <w:t>http://www.brewersofeurope.org/site/media-centre/post.php?doc_id=865</w:t>
        </w:r>
      </w:hyperlink>
      <w:r w:rsidRPr="00E13B39">
        <w:rPr>
          <w:sz w:val="18"/>
          <w:szCs w:val="18"/>
        </w:rPr>
        <w:t>, разгледано на 7 април 2016 г.</w:t>
      </w:r>
    </w:p>
  </w:footnote>
  <w:footnote w:id="38">
    <w:p w:rsidR="00F21866" w:rsidRPr="008C7A05" w:rsidRDefault="00F21866" w:rsidP="00FC7734">
      <w:pPr>
        <w:pStyle w:val="FootnoteText"/>
        <w:tabs>
          <w:tab w:val="left" w:pos="284"/>
        </w:tabs>
        <w:ind w:left="284" w:hanging="284"/>
      </w:pPr>
      <w:r>
        <w:rPr>
          <w:rStyle w:val="FootnoteReference"/>
        </w:rPr>
        <w:footnoteRef/>
      </w:r>
      <w:r>
        <w:t xml:space="preserve"> </w:t>
      </w:r>
      <w:r>
        <w:tab/>
      </w:r>
      <w:hyperlink r:id="rId24">
        <w:r>
          <w:rPr>
            <w:sz w:val="18"/>
          </w:rPr>
          <w:t>Европейски план за действие за намаляване на вредната употреба на алкохол за периода 2012—2020 г., СЗО (Европа)</w:t>
        </w:r>
      </w:hyperlink>
      <w:r>
        <w:rPr>
          <w:rStyle w:val="Hyperlink"/>
          <w:color w:val="auto"/>
          <w:u w:val="none"/>
        </w:rPr>
        <w:t>.</w:t>
      </w:r>
    </w:p>
  </w:footnote>
  <w:footnote w:id="39">
    <w:p w:rsidR="0065413B" w:rsidRPr="0026243A" w:rsidRDefault="0065413B" w:rsidP="00F41F88">
      <w:pPr>
        <w:pStyle w:val="FootnoteText"/>
        <w:tabs>
          <w:tab w:val="left" w:pos="284"/>
        </w:tabs>
        <w:ind w:left="0" w:firstLine="0"/>
        <w:rPr>
          <w:sz w:val="18"/>
          <w:szCs w:val="18"/>
        </w:rPr>
      </w:pPr>
      <w:r>
        <w:rPr>
          <w:rStyle w:val="FootnoteReference"/>
        </w:rPr>
        <w:footnoteRef/>
      </w:r>
      <w:r>
        <w:t xml:space="preserve"> </w:t>
      </w:r>
      <w:r>
        <w:tab/>
      </w:r>
      <w:hyperlink r:id="rId25">
        <w:r>
          <w:rPr>
            <w:rStyle w:val="Hyperlink"/>
            <w:color w:val="auto"/>
            <w:sz w:val="18"/>
            <w:u w:val="none"/>
          </w:rPr>
          <w:t>Резолюция на Европейския парламент от 29 април 2015 г. за стратегията относно алкохола [2015/2543(RSP)</w:t>
        </w:r>
      </w:hyperlink>
      <w:r>
        <w:rPr>
          <w:rStyle w:val="Hyperlink"/>
          <w:color w:val="auto"/>
          <w:sz w:val="18"/>
          <w:u w:val="none"/>
        </w:rPr>
        <w:t>].</w:t>
      </w:r>
    </w:p>
  </w:footnote>
  <w:footnote w:id="40">
    <w:p w:rsidR="00C879FF" w:rsidRPr="008C7A05" w:rsidRDefault="00C879FF" w:rsidP="00C879FF">
      <w:pPr>
        <w:pStyle w:val="FootnoteText"/>
        <w:tabs>
          <w:tab w:val="left" w:pos="284"/>
        </w:tabs>
        <w:ind w:left="284" w:hanging="284"/>
      </w:pPr>
      <w:r>
        <w:rPr>
          <w:rStyle w:val="FootnoteReference"/>
          <w:sz w:val="18"/>
        </w:rPr>
        <w:footnoteRef/>
      </w:r>
      <w:r>
        <w:rPr>
          <w:sz w:val="18"/>
        </w:rPr>
        <w:t xml:space="preserve"> </w:t>
      </w:r>
      <w:r>
        <w:tab/>
      </w:r>
      <w:hyperlink r:id="rId26">
        <w:r>
          <w:rPr>
            <w:rStyle w:val="Hyperlink"/>
            <w:color w:val="auto"/>
            <w:sz w:val="18"/>
            <w:u w:val="none"/>
          </w:rPr>
          <w:t>Заключения на Съвета относно стратегия на ЕС за намаляване на вредите, свързани с употребата на алкохол (2015 г.)</w:t>
        </w:r>
      </w:hyperlink>
      <w:r>
        <w:rPr>
          <w:rStyle w:val="Hyperlink"/>
          <w:color w:val="auto"/>
          <w:sz w:val="18"/>
          <w:u w:val="none"/>
        </w:rPr>
        <w:t>, ОВ C418, 16.12.2015 г., стр. 6—8.</w:t>
      </w:r>
    </w:p>
  </w:footnote>
  <w:footnote w:id="41">
    <w:p w:rsidR="00DE69B2" w:rsidRPr="00DE69B2" w:rsidRDefault="00DE69B2" w:rsidP="00FC7734">
      <w:pPr>
        <w:pStyle w:val="FootnoteText"/>
        <w:ind w:left="284" w:hanging="284"/>
      </w:pPr>
      <w:r>
        <w:rPr>
          <w:rStyle w:val="FootnoteReference"/>
        </w:rPr>
        <w:footnoteRef/>
      </w:r>
      <w:r>
        <w:t xml:space="preserve"> </w:t>
      </w:r>
      <w:r>
        <w:tab/>
        <w:t>http://ec.europa.eu/smart-regulation/guidelines/toc_guide_en.htm.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4AD" w:rsidRDefault="007064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4AD" w:rsidRDefault="007064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4AD" w:rsidRDefault="007064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866" w:rsidRDefault="00F2186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866" w:rsidRDefault="00F2186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866" w:rsidRDefault="00F218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3148"/>
    <w:multiLevelType w:val="hybridMultilevel"/>
    <w:tmpl w:val="BE2E94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3">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4">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5">
    <w:nsid w:val="42713452"/>
    <w:multiLevelType w:val="singleLevel"/>
    <w:tmpl w:val="3B8CC7EA"/>
    <w:lvl w:ilvl="0">
      <w:start w:val="1"/>
      <w:numFmt w:val="bullet"/>
      <w:lvlRestart w:val="0"/>
      <w:pStyle w:val="Personnequisigne"/>
      <w:lvlText w:val="–"/>
      <w:lvlJc w:val="left"/>
      <w:pPr>
        <w:tabs>
          <w:tab w:val="num" w:pos="1417"/>
        </w:tabs>
        <w:ind w:left="1417" w:hanging="567"/>
      </w:pPr>
    </w:lvl>
  </w:abstractNum>
  <w:abstractNum w:abstractNumId="6">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7">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8">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9">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0">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2">
    <w:nsid w:val="61B80D59"/>
    <w:multiLevelType w:val="hybridMultilevel"/>
    <w:tmpl w:val="705A8F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14">
    <w:nsid w:val="64A12FA4"/>
    <w:multiLevelType w:val="multilevel"/>
    <w:tmpl w:val="E4540906"/>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16">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5C26F71"/>
    <w:multiLevelType w:val="multilevel"/>
    <w:tmpl w:val="1C228B4A"/>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7"/>
  </w:num>
  <w:num w:numId="2">
    <w:abstractNumId w:val="1"/>
  </w:num>
  <w:num w:numId="3">
    <w:abstractNumId w:val="11"/>
  </w:num>
  <w:num w:numId="4">
    <w:abstractNumId w:val="10"/>
  </w:num>
  <w:num w:numId="5">
    <w:abstractNumId w:val="6"/>
  </w:num>
  <w:num w:numId="6">
    <w:abstractNumId w:val="15"/>
  </w:num>
  <w:num w:numId="7">
    <w:abstractNumId w:val="17"/>
  </w:num>
  <w:num w:numId="8">
    <w:abstractNumId w:val="17"/>
  </w:num>
  <w:num w:numId="9">
    <w:abstractNumId w:val="17"/>
  </w:num>
  <w:num w:numId="10">
    <w:abstractNumId w:val="17"/>
  </w:num>
  <w:num w:numId="11">
    <w:abstractNumId w:val="16"/>
  </w:num>
  <w:num w:numId="12">
    <w:abstractNumId w:val="16"/>
  </w:num>
  <w:num w:numId="13">
    <w:abstractNumId w:val="16"/>
  </w:num>
  <w:num w:numId="14">
    <w:abstractNumId w:val="16"/>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3"/>
  </w:num>
  <w:num w:numId="25">
    <w:abstractNumId w:val="2"/>
  </w:num>
  <w:num w:numId="26">
    <w:abstractNumId w:val="13"/>
  </w:num>
  <w:num w:numId="27">
    <w:abstractNumId w:val="4"/>
  </w:num>
  <w:num w:numId="28">
    <w:abstractNumId w:val="9"/>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num>
  <w:num w:numId="31">
    <w:abstractNumId w:val="5"/>
  </w:num>
  <w:num w:numId="32">
    <w:abstractNumId w:val="14"/>
  </w:num>
  <w:num w:numId="33">
    <w:abstractNumId w:val="2"/>
  </w:num>
  <w:num w:numId="34">
    <w:abstractNumId w:val="2"/>
  </w:num>
  <w:num w:numId="35">
    <w:abstractNumId w:val="2"/>
  </w:num>
  <w:num w:numId="36">
    <w:abstractNumId w:val="2"/>
  </w:num>
  <w:num w:numId="37">
    <w:abstractNumId w:val="2"/>
  </w:num>
  <w:num w:numId="38">
    <w:abstractNumId w:val="2"/>
  </w:num>
  <w:num w:numId="39">
    <w:abstractNumId w:val="14"/>
  </w:num>
  <w:num w:numId="40">
    <w:abstractNumId w:val="12"/>
  </w:num>
  <w:num w:numId="41">
    <w:abstractNumId w:val="8"/>
  </w:num>
  <w:num w:numId="42">
    <w:abstractNumId w:val="0"/>
  </w:num>
  <w:num w:numId="43">
    <w:abstractNumId w:val="14"/>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EU RESTRICTED"/>
    <w:docVar w:name="LW_CORRIGENDUM" w:val="&lt;UNUSED&gt;"/>
    <w:docVar w:name="LW_COVERPAGE_GUID" w:val="F72D2D20E49E4E52A0B6DC0D45E0AFA1"/>
    <w:docVar w:name="LW_CROSSREFERENCE" w:val="&lt;UNUSED&gt;"/>
    <w:docVar w:name="LW_DocType" w:val="NORMAL"/>
    <w:docVar w:name="LW_EMISSION" w:val="13.3.2017"/>
    <w:docVar w:name="LW_EMISSION_ISODATE" w:val="2017-03-13"/>
    <w:docVar w:name="LW_EMISSION_LOCATION" w:val="BRX"/>
    <w:docVar w:name="LW_EMISSION_PREFIX" w:val="\u1041?\u1088?\u1102?\u1082?\u1089?\u1077?\u1083?,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58"/>
    <w:docVar w:name="LW_REF.INTERNE" w:val="&lt;UNUSED&gt;"/>
    <w:docVar w:name="LW_SOUS.TITRE.OBJ.CP" w:val="&lt;UNUSED&gt;"/>
    <w:docVar w:name="LW_SUPERTITRE" w:val="&lt;UNUSED&gt;"/>
    <w:docVar w:name="LW_TITRE.OBJ.CP" w:val="\u1086?\u1090?\u1085?\u1086?\u1089?\u1085?\u1086? \u1079?\u1072?\u1076?\u1098?\u1083?\u1078?\u1080?\u1090?\u1077?\u1083?\u1085?\u1086?\u1090?\u1086? \u1077?\u1090?\u1080?\u1082?\u1077?\u1090?\u1080?\u1088?\u1072?\u1085?\u1077? \u1085?\u1072? \u1089?\u1087?\u1080?\u1089?\u1098?\u1082?\u1072? \u1085?\u1072? \u1089?\u1098?\u1089?\u1090?\u1072?\u1074?\u1082?\u1080?\u1090?\u1077? \u1080? \u1086?\u1073?\u1103?\u1074?\u1103?\u1074?\u1072?\u1085?\u1077?\u1090?\u1086? \u1085?\u1072? \u1093?\u1088?\u1072?\u1085?\u1080?\u1090?\u1077?\u1083?\u1085?\u1072?\u1090?\u1072? \u1089?\u1090?\u1086?\u1081?\u1085?\u1086?\u1089?\u1090? \u1085?\u1072? \u1072?\u1083?\u1082?\u1086?\u1093?\u1086?\u1083?\u1085?\u1080?\u1090?\u1077? \u1085?\u1072?\u1087?\u1080?\u1090?\u1082?\u1080?"/>
    <w:docVar w:name="LW_TYPE.DOC.CP" w:val="\u1044?\u1054?\u1050?\u1051?\u1040?\u1044? \u1053?\u1040? \u1050?\u1054?\u1052?\u1048?\u1057?\u1048?\u1071?\u1058?\u1040? \u1044?\u1054? \u1045?\u1042?\u1056?\u1054?\u1055?\u1045?\u1049?\u1057?\u1050?\u1048?\u1071? \u1055?\u1040?\u1056?\u1051?\u1040?\u1052?\u1045?\u1053?\u1058? \u1048? \u1057?\u1066?\u1042?\u1045?\u1058?\u1040?"/>
  </w:docVars>
  <w:rsids>
    <w:rsidRoot w:val="005643CD"/>
    <w:rsid w:val="00005520"/>
    <w:rsid w:val="00005CBE"/>
    <w:rsid w:val="00007A87"/>
    <w:rsid w:val="00013540"/>
    <w:rsid w:val="00013FB4"/>
    <w:rsid w:val="000166E7"/>
    <w:rsid w:val="00017ED2"/>
    <w:rsid w:val="00033091"/>
    <w:rsid w:val="00045F96"/>
    <w:rsid w:val="00046741"/>
    <w:rsid w:val="000467A5"/>
    <w:rsid w:val="0004742D"/>
    <w:rsid w:val="00050F55"/>
    <w:rsid w:val="000518A4"/>
    <w:rsid w:val="000556FA"/>
    <w:rsid w:val="00055A81"/>
    <w:rsid w:val="0006126E"/>
    <w:rsid w:val="000618EB"/>
    <w:rsid w:val="00062ADA"/>
    <w:rsid w:val="00064A3F"/>
    <w:rsid w:val="00077755"/>
    <w:rsid w:val="00081C80"/>
    <w:rsid w:val="000830BB"/>
    <w:rsid w:val="00094173"/>
    <w:rsid w:val="00095D6B"/>
    <w:rsid w:val="00097607"/>
    <w:rsid w:val="000A3881"/>
    <w:rsid w:val="000A3B64"/>
    <w:rsid w:val="000A74AF"/>
    <w:rsid w:val="000B50FF"/>
    <w:rsid w:val="000B7D59"/>
    <w:rsid w:val="000C1FE0"/>
    <w:rsid w:val="000C6096"/>
    <w:rsid w:val="000C62C0"/>
    <w:rsid w:val="000D0C53"/>
    <w:rsid w:val="000D5724"/>
    <w:rsid w:val="000D63F4"/>
    <w:rsid w:val="000E5D18"/>
    <w:rsid w:val="000F4806"/>
    <w:rsid w:val="00103FDC"/>
    <w:rsid w:val="0010680C"/>
    <w:rsid w:val="00106DA1"/>
    <w:rsid w:val="0010779E"/>
    <w:rsid w:val="001100B6"/>
    <w:rsid w:val="00110433"/>
    <w:rsid w:val="00112A9F"/>
    <w:rsid w:val="00115507"/>
    <w:rsid w:val="00115785"/>
    <w:rsid w:val="00121F1F"/>
    <w:rsid w:val="00126EF1"/>
    <w:rsid w:val="001275FB"/>
    <w:rsid w:val="00132697"/>
    <w:rsid w:val="00141A8E"/>
    <w:rsid w:val="001464D4"/>
    <w:rsid w:val="00146984"/>
    <w:rsid w:val="00153F37"/>
    <w:rsid w:val="00154F4D"/>
    <w:rsid w:val="001649B2"/>
    <w:rsid w:val="001728B7"/>
    <w:rsid w:val="00174CDC"/>
    <w:rsid w:val="001750DB"/>
    <w:rsid w:val="00175973"/>
    <w:rsid w:val="00181B33"/>
    <w:rsid w:val="00184439"/>
    <w:rsid w:val="001845CD"/>
    <w:rsid w:val="00187511"/>
    <w:rsid w:val="00193D86"/>
    <w:rsid w:val="001948CD"/>
    <w:rsid w:val="001978A6"/>
    <w:rsid w:val="001A1827"/>
    <w:rsid w:val="001A3440"/>
    <w:rsid w:val="001A51FC"/>
    <w:rsid w:val="001A5D7D"/>
    <w:rsid w:val="001A7E9A"/>
    <w:rsid w:val="001B228A"/>
    <w:rsid w:val="001B6361"/>
    <w:rsid w:val="001C3842"/>
    <w:rsid w:val="001E0197"/>
    <w:rsid w:val="001E3830"/>
    <w:rsid w:val="001F4BBC"/>
    <w:rsid w:val="001F731C"/>
    <w:rsid w:val="00204578"/>
    <w:rsid w:val="002124BF"/>
    <w:rsid w:val="00222084"/>
    <w:rsid w:val="00222E65"/>
    <w:rsid w:val="0022447E"/>
    <w:rsid w:val="0022569A"/>
    <w:rsid w:val="00230853"/>
    <w:rsid w:val="00230BDE"/>
    <w:rsid w:val="00235FB7"/>
    <w:rsid w:val="00236E67"/>
    <w:rsid w:val="0024249F"/>
    <w:rsid w:val="00246043"/>
    <w:rsid w:val="00253A1F"/>
    <w:rsid w:val="0025671C"/>
    <w:rsid w:val="0026243A"/>
    <w:rsid w:val="00264E9F"/>
    <w:rsid w:val="00266065"/>
    <w:rsid w:val="0027070D"/>
    <w:rsid w:val="00273423"/>
    <w:rsid w:val="00275150"/>
    <w:rsid w:val="00277AFF"/>
    <w:rsid w:val="0028326E"/>
    <w:rsid w:val="00283ED2"/>
    <w:rsid w:val="00285025"/>
    <w:rsid w:val="0029107B"/>
    <w:rsid w:val="002929DA"/>
    <w:rsid w:val="00292F4A"/>
    <w:rsid w:val="00293240"/>
    <w:rsid w:val="00293BBB"/>
    <w:rsid w:val="00296DB1"/>
    <w:rsid w:val="002A3FBF"/>
    <w:rsid w:val="002A5E10"/>
    <w:rsid w:val="002A7142"/>
    <w:rsid w:val="002B552C"/>
    <w:rsid w:val="002C3A58"/>
    <w:rsid w:val="002C71F6"/>
    <w:rsid w:val="002C72DB"/>
    <w:rsid w:val="002C7D7B"/>
    <w:rsid w:val="002D445B"/>
    <w:rsid w:val="002E11EB"/>
    <w:rsid w:val="002F29E1"/>
    <w:rsid w:val="002F4282"/>
    <w:rsid w:val="00300FB4"/>
    <w:rsid w:val="00302410"/>
    <w:rsid w:val="0030400B"/>
    <w:rsid w:val="003052E0"/>
    <w:rsid w:val="00306536"/>
    <w:rsid w:val="003112A0"/>
    <w:rsid w:val="00321A3D"/>
    <w:rsid w:val="00324015"/>
    <w:rsid w:val="00331A05"/>
    <w:rsid w:val="00331B5B"/>
    <w:rsid w:val="00331C0F"/>
    <w:rsid w:val="00332B75"/>
    <w:rsid w:val="00340270"/>
    <w:rsid w:val="00342527"/>
    <w:rsid w:val="00345163"/>
    <w:rsid w:val="00347E39"/>
    <w:rsid w:val="003501DB"/>
    <w:rsid w:val="003507BF"/>
    <w:rsid w:val="00351225"/>
    <w:rsid w:val="00352889"/>
    <w:rsid w:val="00366EB3"/>
    <w:rsid w:val="0037308A"/>
    <w:rsid w:val="0037402D"/>
    <w:rsid w:val="00381DFA"/>
    <w:rsid w:val="0038261F"/>
    <w:rsid w:val="00384433"/>
    <w:rsid w:val="0038641A"/>
    <w:rsid w:val="0039008B"/>
    <w:rsid w:val="00392747"/>
    <w:rsid w:val="00393CCB"/>
    <w:rsid w:val="00394525"/>
    <w:rsid w:val="003A1980"/>
    <w:rsid w:val="003A2B12"/>
    <w:rsid w:val="003B278D"/>
    <w:rsid w:val="003B59B4"/>
    <w:rsid w:val="003B71B9"/>
    <w:rsid w:val="003B7D36"/>
    <w:rsid w:val="003D06B2"/>
    <w:rsid w:val="003D1F69"/>
    <w:rsid w:val="003D3891"/>
    <w:rsid w:val="003D4137"/>
    <w:rsid w:val="003E0E6F"/>
    <w:rsid w:val="003E186A"/>
    <w:rsid w:val="003E1A15"/>
    <w:rsid w:val="003E4BD3"/>
    <w:rsid w:val="003E7F14"/>
    <w:rsid w:val="003F0B2D"/>
    <w:rsid w:val="003F3EEF"/>
    <w:rsid w:val="004006ED"/>
    <w:rsid w:val="00401C73"/>
    <w:rsid w:val="00404797"/>
    <w:rsid w:val="004074E6"/>
    <w:rsid w:val="00421AA0"/>
    <w:rsid w:val="00421B24"/>
    <w:rsid w:val="0042616D"/>
    <w:rsid w:val="00426C0A"/>
    <w:rsid w:val="004341FC"/>
    <w:rsid w:val="00434C62"/>
    <w:rsid w:val="00434F00"/>
    <w:rsid w:val="00442C0C"/>
    <w:rsid w:val="00445EE7"/>
    <w:rsid w:val="0044780F"/>
    <w:rsid w:val="00447DA5"/>
    <w:rsid w:val="00447E4E"/>
    <w:rsid w:val="00455D21"/>
    <w:rsid w:val="004562B4"/>
    <w:rsid w:val="00457F75"/>
    <w:rsid w:val="00460633"/>
    <w:rsid w:val="004668CE"/>
    <w:rsid w:val="004669C2"/>
    <w:rsid w:val="0047461B"/>
    <w:rsid w:val="00476830"/>
    <w:rsid w:val="00476833"/>
    <w:rsid w:val="00477322"/>
    <w:rsid w:val="00482339"/>
    <w:rsid w:val="00482D93"/>
    <w:rsid w:val="004856B3"/>
    <w:rsid w:val="0049088D"/>
    <w:rsid w:val="00495FE3"/>
    <w:rsid w:val="004968CA"/>
    <w:rsid w:val="00497967"/>
    <w:rsid w:val="004A1168"/>
    <w:rsid w:val="004A11CC"/>
    <w:rsid w:val="004B582F"/>
    <w:rsid w:val="004C446E"/>
    <w:rsid w:val="004C4A6B"/>
    <w:rsid w:val="004D41F3"/>
    <w:rsid w:val="004D764E"/>
    <w:rsid w:val="004D7C85"/>
    <w:rsid w:val="004E7604"/>
    <w:rsid w:val="004F439E"/>
    <w:rsid w:val="004F6A7D"/>
    <w:rsid w:val="005012A5"/>
    <w:rsid w:val="00502E6A"/>
    <w:rsid w:val="0050770C"/>
    <w:rsid w:val="00507830"/>
    <w:rsid w:val="005123F7"/>
    <w:rsid w:val="00514E2F"/>
    <w:rsid w:val="00515191"/>
    <w:rsid w:val="00516C5F"/>
    <w:rsid w:val="00521AC3"/>
    <w:rsid w:val="005230F9"/>
    <w:rsid w:val="00524758"/>
    <w:rsid w:val="0052488F"/>
    <w:rsid w:val="00532669"/>
    <w:rsid w:val="005365C9"/>
    <w:rsid w:val="00537B0A"/>
    <w:rsid w:val="00542698"/>
    <w:rsid w:val="005465B5"/>
    <w:rsid w:val="0055302F"/>
    <w:rsid w:val="00554A17"/>
    <w:rsid w:val="005612CB"/>
    <w:rsid w:val="00561E8A"/>
    <w:rsid w:val="005643CD"/>
    <w:rsid w:val="00567044"/>
    <w:rsid w:val="005673CF"/>
    <w:rsid w:val="0056795D"/>
    <w:rsid w:val="0056797C"/>
    <w:rsid w:val="00567CD1"/>
    <w:rsid w:val="00575D55"/>
    <w:rsid w:val="00576933"/>
    <w:rsid w:val="005806CE"/>
    <w:rsid w:val="0058787C"/>
    <w:rsid w:val="00592746"/>
    <w:rsid w:val="00593A7D"/>
    <w:rsid w:val="005A0232"/>
    <w:rsid w:val="005A2197"/>
    <w:rsid w:val="005A54CB"/>
    <w:rsid w:val="005A6EF8"/>
    <w:rsid w:val="005B082B"/>
    <w:rsid w:val="005B7C7E"/>
    <w:rsid w:val="005C6BA4"/>
    <w:rsid w:val="005D2790"/>
    <w:rsid w:val="005D309E"/>
    <w:rsid w:val="005D4FBA"/>
    <w:rsid w:val="005D5C93"/>
    <w:rsid w:val="005D5D91"/>
    <w:rsid w:val="005E0780"/>
    <w:rsid w:val="005E20CB"/>
    <w:rsid w:val="005E2D17"/>
    <w:rsid w:val="005E3766"/>
    <w:rsid w:val="005E45C3"/>
    <w:rsid w:val="005F6CA1"/>
    <w:rsid w:val="005F78B5"/>
    <w:rsid w:val="005F7AC0"/>
    <w:rsid w:val="00602576"/>
    <w:rsid w:val="00603B42"/>
    <w:rsid w:val="006067F4"/>
    <w:rsid w:val="00611717"/>
    <w:rsid w:val="00612DE7"/>
    <w:rsid w:val="00613A01"/>
    <w:rsid w:val="00621E3E"/>
    <w:rsid w:val="00622018"/>
    <w:rsid w:val="006419D3"/>
    <w:rsid w:val="00653A0E"/>
    <w:rsid w:val="0065413B"/>
    <w:rsid w:val="00654DC0"/>
    <w:rsid w:val="00655D60"/>
    <w:rsid w:val="00656874"/>
    <w:rsid w:val="006568ED"/>
    <w:rsid w:val="00667430"/>
    <w:rsid w:val="006733D7"/>
    <w:rsid w:val="00673C99"/>
    <w:rsid w:val="00675DF2"/>
    <w:rsid w:val="0068010E"/>
    <w:rsid w:val="00680F42"/>
    <w:rsid w:val="00682983"/>
    <w:rsid w:val="00683D00"/>
    <w:rsid w:val="00686546"/>
    <w:rsid w:val="00692747"/>
    <w:rsid w:val="0069704D"/>
    <w:rsid w:val="006A46E6"/>
    <w:rsid w:val="006A5437"/>
    <w:rsid w:val="006A73E5"/>
    <w:rsid w:val="006A7BFD"/>
    <w:rsid w:val="006B19C8"/>
    <w:rsid w:val="006B2706"/>
    <w:rsid w:val="006B281C"/>
    <w:rsid w:val="006B6D16"/>
    <w:rsid w:val="006C2E4B"/>
    <w:rsid w:val="006C343F"/>
    <w:rsid w:val="006C45AF"/>
    <w:rsid w:val="006C78E4"/>
    <w:rsid w:val="006C78FD"/>
    <w:rsid w:val="006D657F"/>
    <w:rsid w:val="006D6EBF"/>
    <w:rsid w:val="006E20A4"/>
    <w:rsid w:val="006E4449"/>
    <w:rsid w:val="006F1FD7"/>
    <w:rsid w:val="006F2751"/>
    <w:rsid w:val="006F29CA"/>
    <w:rsid w:val="006F2ECE"/>
    <w:rsid w:val="006F3479"/>
    <w:rsid w:val="006F4B94"/>
    <w:rsid w:val="0070010A"/>
    <w:rsid w:val="007064AD"/>
    <w:rsid w:val="0070725D"/>
    <w:rsid w:val="007104AB"/>
    <w:rsid w:val="00713596"/>
    <w:rsid w:val="007157EA"/>
    <w:rsid w:val="00715B4D"/>
    <w:rsid w:val="00715F5C"/>
    <w:rsid w:val="00716045"/>
    <w:rsid w:val="00716483"/>
    <w:rsid w:val="00720349"/>
    <w:rsid w:val="00723998"/>
    <w:rsid w:val="00727365"/>
    <w:rsid w:val="0073418B"/>
    <w:rsid w:val="0073493D"/>
    <w:rsid w:val="007356A2"/>
    <w:rsid w:val="00735CEB"/>
    <w:rsid w:val="00743F13"/>
    <w:rsid w:val="00753820"/>
    <w:rsid w:val="00754AA6"/>
    <w:rsid w:val="0076272A"/>
    <w:rsid w:val="00764F51"/>
    <w:rsid w:val="00766336"/>
    <w:rsid w:val="007669BC"/>
    <w:rsid w:val="007769A8"/>
    <w:rsid w:val="00777F3C"/>
    <w:rsid w:val="007809B5"/>
    <w:rsid w:val="00791C80"/>
    <w:rsid w:val="00793DE1"/>
    <w:rsid w:val="007A52A7"/>
    <w:rsid w:val="007B0B4D"/>
    <w:rsid w:val="007B70D6"/>
    <w:rsid w:val="007D0912"/>
    <w:rsid w:val="007D0DB1"/>
    <w:rsid w:val="007D363D"/>
    <w:rsid w:val="007D4222"/>
    <w:rsid w:val="007D42B0"/>
    <w:rsid w:val="007D5D87"/>
    <w:rsid w:val="007E2771"/>
    <w:rsid w:val="007E7698"/>
    <w:rsid w:val="00803D9C"/>
    <w:rsid w:val="008043E6"/>
    <w:rsid w:val="00805F09"/>
    <w:rsid w:val="00813D9C"/>
    <w:rsid w:val="00823F95"/>
    <w:rsid w:val="00832AD0"/>
    <w:rsid w:val="00832C2A"/>
    <w:rsid w:val="00833995"/>
    <w:rsid w:val="00836587"/>
    <w:rsid w:val="00836FBD"/>
    <w:rsid w:val="0083711D"/>
    <w:rsid w:val="0083762B"/>
    <w:rsid w:val="0084368B"/>
    <w:rsid w:val="00846136"/>
    <w:rsid w:val="00847143"/>
    <w:rsid w:val="00850CE7"/>
    <w:rsid w:val="008518CF"/>
    <w:rsid w:val="00852DFA"/>
    <w:rsid w:val="00863D1E"/>
    <w:rsid w:val="00872039"/>
    <w:rsid w:val="008728AC"/>
    <w:rsid w:val="00873A10"/>
    <w:rsid w:val="00884273"/>
    <w:rsid w:val="00885C85"/>
    <w:rsid w:val="008870BF"/>
    <w:rsid w:val="0089388A"/>
    <w:rsid w:val="00896914"/>
    <w:rsid w:val="00896C7E"/>
    <w:rsid w:val="00897099"/>
    <w:rsid w:val="008A214F"/>
    <w:rsid w:val="008A64A0"/>
    <w:rsid w:val="008A6B4A"/>
    <w:rsid w:val="008B030E"/>
    <w:rsid w:val="008B0D8B"/>
    <w:rsid w:val="008B3009"/>
    <w:rsid w:val="008B7732"/>
    <w:rsid w:val="008B7D2E"/>
    <w:rsid w:val="008C25D9"/>
    <w:rsid w:val="008C3B7C"/>
    <w:rsid w:val="008C4028"/>
    <w:rsid w:val="008C44BD"/>
    <w:rsid w:val="008C65BB"/>
    <w:rsid w:val="008C7A05"/>
    <w:rsid w:val="008D0395"/>
    <w:rsid w:val="008D382F"/>
    <w:rsid w:val="008D6B37"/>
    <w:rsid w:val="008E0BBF"/>
    <w:rsid w:val="008E1027"/>
    <w:rsid w:val="008E2F4B"/>
    <w:rsid w:val="008F0C09"/>
    <w:rsid w:val="00902A1B"/>
    <w:rsid w:val="0090303F"/>
    <w:rsid w:val="00907761"/>
    <w:rsid w:val="00914D0C"/>
    <w:rsid w:val="00917C34"/>
    <w:rsid w:val="00922C01"/>
    <w:rsid w:val="009242CE"/>
    <w:rsid w:val="00956997"/>
    <w:rsid w:val="00957880"/>
    <w:rsid w:val="0096269F"/>
    <w:rsid w:val="00970B8C"/>
    <w:rsid w:val="00971186"/>
    <w:rsid w:val="00974583"/>
    <w:rsid w:val="0097694E"/>
    <w:rsid w:val="00977F41"/>
    <w:rsid w:val="009805D9"/>
    <w:rsid w:val="00985033"/>
    <w:rsid w:val="0099703F"/>
    <w:rsid w:val="009B158A"/>
    <w:rsid w:val="009B4829"/>
    <w:rsid w:val="009B6293"/>
    <w:rsid w:val="009B78C2"/>
    <w:rsid w:val="009C663D"/>
    <w:rsid w:val="009D7A73"/>
    <w:rsid w:val="009E059E"/>
    <w:rsid w:val="009E2D7C"/>
    <w:rsid w:val="009E42E2"/>
    <w:rsid w:val="009E5061"/>
    <w:rsid w:val="009E7972"/>
    <w:rsid w:val="009F3B31"/>
    <w:rsid w:val="00A13E13"/>
    <w:rsid w:val="00A21C9E"/>
    <w:rsid w:val="00A22126"/>
    <w:rsid w:val="00A22FC7"/>
    <w:rsid w:val="00A2728D"/>
    <w:rsid w:val="00A27F5C"/>
    <w:rsid w:val="00A27FF1"/>
    <w:rsid w:val="00A3056F"/>
    <w:rsid w:val="00A33389"/>
    <w:rsid w:val="00A361FD"/>
    <w:rsid w:val="00A4417F"/>
    <w:rsid w:val="00A4426C"/>
    <w:rsid w:val="00A4740D"/>
    <w:rsid w:val="00A57B43"/>
    <w:rsid w:val="00A72889"/>
    <w:rsid w:val="00A73289"/>
    <w:rsid w:val="00A76FDB"/>
    <w:rsid w:val="00A838D8"/>
    <w:rsid w:val="00A859BA"/>
    <w:rsid w:val="00A9144C"/>
    <w:rsid w:val="00A9569E"/>
    <w:rsid w:val="00A972FC"/>
    <w:rsid w:val="00A97FEE"/>
    <w:rsid w:val="00AA31B4"/>
    <w:rsid w:val="00AA39AD"/>
    <w:rsid w:val="00AA520E"/>
    <w:rsid w:val="00AA7715"/>
    <w:rsid w:val="00AB1724"/>
    <w:rsid w:val="00AB1D1D"/>
    <w:rsid w:val="00AB25D7"/>
    <w:rsid w:val="00AB7318"/>
    <w:rsid w:val="00AC00A9"/>
    <w:rsid w:val="00AC1C1B"/>
    <w:rsid w:val="00AC3BDF"/>
    <w:rsid w:val="00AC49DA"/>
    <w:rsid w:val="00AD0694"/>
    <w:rsid w:val="00AD0D16"/>
    <w:rsid w:val="00AD1925"/>
    <w:rsid w:val="00AD3027"/>
    <w:rsid w:val="00AD4A80"/>
    <w:rsid w:val="00AD7E4F"/>
    <w:rsid w:val="00AE0DCC"/>
    <w:rsid w:val="00AE0E0A"/>
    <w:rsid w:val="00AE1B02"/>
    <w:rsid w:val="00AE2682"/>
    <w:rsid w:val="00AE37B4"/>
    <w:rsid w:val="00AE443E"/>
    <w:rsid w:val="00AE57CA"/>
    <w:rsid w:val="00AE5803"/>
    <w:rsid w:val="00B0079A"/>
    <w:rsid w:val="00B068EC"/>
    <w:rsid w:val="00B06A4E"/>
    <w:rsid w:val="00B07AF3"/>
    <w:rsid w:val="00B11F95"/>
    <w:rsid w:val="00B1276A"/>
    <w:rsid w:val="00B15EF8"/>
    <w:rsid w:val="00B22618"/>
    <w:rsid w:val="00B22B72"/>
    <w:rsid w:val="00B30E3B"/>
    <w:rsid w:val="00B419D1"/>
    <w:rsid w:val="00B42232"/>
    <w:rsid w:val="00B4507E"/>
    <w:rsid w:val="00B502EB"/>
    <w:rsid w:val="00B57832"/>
    <w:rsid w:val="00B62CBB"/>
    <w:rsid w:val="00B66478"/>
    <w:rsid w:val="00B66D2E"/>
    <w:rsid w:val="00B70B34"/>
    <w:rsid w:val="00B848E6"/>
    <w:rsid w:val="00B948DE"/>
    <w:rsid w:val="00B962B5"/>
    <w:rsid w:val="00BA08F0"/>
    <w:rsid w:val="00BA2D07"/>
    <w:rsid w:val="00BA66E6"/>
    <w:rsid w:val="00BB31CD"/>
    <w:rsid w:val="00BC0EAA"/>
    <w:rsid w:val="00BC7D65"/>
    <w:rsid w:val="00BD2E66"/>
    <w:rsid w:val="00BD5DDA"/>
    <w:rsid w:val="00BD7AC9"/>
    <w:rsid w:val="00BE42DB"/>
    <w:rsid w:val="00BE46D7"/>
    <w:rsid w:val="00BF4099"/>
    <w:rsid w:val="00BF628D"/>
    <w:rsid w:val="00C02361"/>
    <w:rsid w:val="00C02B90"/>
    <w:rsid w:val="00C071B7"/>
    <w:rsid w:val="00C11B1A"/>
    <w:rsid w:val="00C12C5E"/>
    <w:rsid w:val="00C13CA2"/>
    <w:rsid w:val="00C13F96"/>
    <w:rsid w:val="00C1433E"/>
    <w:rsid w:val="00C176F3"/>
    <w:rsid w:val="00C21258"/>
    <w:rsid w:val="00C2219E"/>
    <w:rsid w:val="00C238D0"/>
    <w:rsid w:val="00C24526"/>
    <w:rsid w:val="00C35051"/>
    <w:rsid w:val="00C37859"/>
    <w:rsid w:val="00C379FF"/>
    <w:rsid w:val="00C4078F"/>
    <w:rsid w:val="00C414CB"/>
    <w:rsid w:val="00C46C43"/>
    <w:rsid w:val="00C50139"/>
    <w:rsid w:val="00C606A9"/>
    <w:rsid w:val="00C63C3F"/>
    <w:rsid w:val="00C72A6E"/>
    <w:rsid w:val="00C74FE3"/>
    <w:rsid w:val="00C759B4"/>
    <w:rsid w:val="00C75DD3"/>
    <w:rsid w:val="00C76BA4"/>
    <w:rsid w:val="00C8373A"/>
    <w:rsid w:val="00C83B54"/>
    <w:rsid w:val="00C86FD0"/>
    <w:rsid w:val="00C879FF"/>
    <w:rsid w:val="00C961B8"/>
    <w:rsid w:val="00C979AC"/>
    <w:rsid w:val="00CA5AF6"/>
    <w:rsid w:val="00CA64E4"/>
    <w:rsid w:val="00CA7628"/>
    <w:rsid w:val="00CC1918"/>
    <w:rsid w:val="00CC30C7"/>
    <w:rsid w:val="00CC763A"/>
    <w:rsid w:val="00CD0D15"/>
    <w:rsid w:val="00CD43F9"/>
    <w:rsid w:val="00CD506F"/>
    <w:rsid w:val="00CE4EC9"/>
    <w:rsid w:val="00CF4AC7"/>
    <w:rsid w:val="00CF590D"/>
    <w:rsid w:val="00CF6906"/>
    <w:rsid w:val="00CF6ADB"/>
    <w:rsid w:val="00D02D7F"/>
    <w:rsid w:val="00D04505"/>
    <w:rsid w:val="00D04CB8"/>
    <w:rsid w:val="00D11C26"/>
    <w:rsid w:val="00D13D8E"/>
    <w:rsid w:val="00D21F4B"/>
    <w:rsid w:val="00D23805"/>
    <w:rsid w:val="00D241C2"/>
    <w:rsid w:val="00D2738A"/>
    <w:rsid w:val="00D31AF1"/>
    <w:rsid w:val="00D3342F"/>
    <w:rsid w:val="00D4138C"/>
    <w:rsid w:val="00D413C0"/>
    <w:rsid w:val="00D41522"/>
    <w:rsid w:val="00D43988"/>
    <w:rsid w:val="00D50407"/>
    <w:rsid w:val="00D53DDE"/>
    <w:rsid w:val="00D5779C"/>
    <w:rsid w:val="00D57E62"/>
    <w:rsid w:val="00D61F0C"/>
    <w:rsid w:val="00D61F67"/>
    <w:rsid w:val="00D63419"/>
    <w:rsid w:val="00D66620"/>
    <w:rsid w:val="00D709C1"/>
    <w:rsid w:val="00D738ED"/>
    <w:rsid w:val="00D74647"/>
    <w:rsid w:val="00D76ADB"/>
    <w:rsid w:val="00D87548"/>
    <w:rsid w:val="00D94E00"/>
    <w:rsid w:val="00DA0690"/>
    <w:rsid w:val="00DA243A"/>
    <w:rsid w:val="00DA2E93"/>
    <w:rsid w:val="00DA37C6"/>
    <w:rsid w:val="00DA6FAF"/>
    <w:rsid w:val="00DB66BE"/>
    <w:rsid w:val="00DC7826"/>
    <w:rsid w:val="00DD0A72"/>
    <w:rsid w:val="00DD169A"/>
    <w:rsid w:val="00DD59A2"/>
    <w:rsid w:val="00DD5AF0"/>
    <w:rsid w:val="00DE44D1"/>
    <w:rsid w:val="00DE5D28"/>
    <w:rsid w:val="00DE69B2"/>
    <w:rsid w:val="00DE6ED3"/>
    <w:rsid w:val="00DE7CDB"/>
    <w:rsid w:val="00DE7FF5"/>
    <w:rsid w:val="00DF5435"/>
    <w:rsid w:val="00E0273E"/>
    <w:rsid w:val="00E06A0C"/>
    <w:rsid w:val="00E06B79"/>
    <w:rsid w:val="00E06DD8"/>
    <w:rsid w:val="00E13B39"/>
    <w:rsid w:val="00E17A6E"/>
    <w:rsid w:val="00E22FD4"/>
    <w:rsid w:val="00E26E02"/>
    <w:rsid w:val="00E457C6"/>
    <w:rsid w:val="00E473BF"/>
    <w:rsid w:val="00E47AF7"/>
    <w:rsid w:val="00E5340B"/>
    <w:rsid w:val="00E61221"/>
    <w:rsid w:val="00E61BEB"/>
    <w:rsid w:val="00E65C0A"/>
    <w:rsid w:val="00E73F29"/>
    <w:rsid w:val="00E815C5"/>
    <w:rsid w:val="00E91451"/>
    <w:rsid w:val="00E94987"/>
    <w:rsid w:val="00E97460"/>
    <w:rsid w:val="00EA7273"/>
    <w:rsid w:val="00EB01BE"/>
    <w:rsid w:val="00EB14BC"/>
    <w:rsid w:val="00EB3420"/>
    <w:rsid w:val="00ED01A2"/>
    <w:rsid w:val="00ED27A3"/>
    <w:rsid w:val="00ED2B06"/>
    <w:rsid w:val="00ED3BE0"/>
    <w:rsid w:val="00ED58BF"/>
    <w:rsid w:val="00ED7E2B"/>
    <w:rsid w:val="00EE0AB7"/>
    <w:rsid w:val="00EE39DF"/>
    <w:rsid w:val="00EE3D05"/>
    <w:rsid w:val="00EE7FA9"/>
    <w:rsid w:val="00F01976"/>
    <w:rsid w:val="00F14867"/>
    <w:rsid w:val="00F21123"/>
    <w:rsid w:val="00F21866"/>
    <w:rsid w:val="00F22175"/>
    <w:rsid w:val="00F23421"/>
    <w:rsid w:val="00F2669C"/>
    <w:rsid w:val="00F26706"/>
    <w:rsid w:val="00F2789F"/>
    <w:rsid w:val="00F318EC"/>
    <w:rsid w:val="00F321D0"/>
    <w:rsid w:val="00F362C8"/>
    <w:rsid w:val="00F41F88"/>
    <w:rsid w:val="00F43CD2"/>
    <w:rsid w:val="00F441AC"/>
    <w:rsid w:val="00F53ECB"/>
    <w:rsid w:val="00F54546"/>
    <w:rsid w:val="00F61477"/>
    <w:rsid w:val="00F65F90"/>
    <w:rsid w:val="00F707DD"/>
    <w:rsid w:val="00F7321D"/>
    <w:rsid w:val="00F74A8F"/>
    <w:rsid w:val="00F809FE"/>
    <w:rsid w:val="00F90D8A"/>
    <w:rsid w:val="00F92353"/>
    <w:rsid w:val="00F94992"/>
    <w:rsid w:val="00F958D7"/>
    <w:rsid w:val="00F96D3D"/>
    <w:rsid w:val="00FA59E3"/>
    <w:rsid w:val="00FB020C"/>
    <w:rsid w:val="00FB0243"/>
    <w:rsid w:val="00FB241C"/>
    <w:rsid w:val="00FB5D10"/>
    <w:rsid w:val="00FB6D73"/>
    <w:rsid w:val="00FB790C"/>
    <w:rsid w:val="00FC0E4D"/>
    <w:rsid w:val="00FC117B"/>
    <w:rsid w:val="00FC1DC1"/>
    <w:rsid w:val="00FC4E10"/>
    <w:rsid w:val="00FC507E"/>
    <w:rsid w:val="00FC7734"/>
    <w:rsid w:val="00FD2563"/>
    <w:rsid w:val="00FD3536"/>
    <w:rsid w:val="00FD571A"/>
    <w:rsid w:val="00FE1216"/>
    <w:rsid w:val="00FE5194"/>
    <w:rsid w:val="00FE7C91"/>
    <w:rsid w:val="00FF121D"/>
    <w:rsid w:val="00FF171E"/>
    <w:rsid w:val="00FF43A0"/>
    <w:rsid w:val="00FF7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643CD"/>
    <w:pPr>
      <w:spacing w:before="120" w:after="120"/>
      <w:jc w:val="both"/>
    </w:pPr>
    <w:rPr>
      <w:sz w:val="24"/>
      <w:szCs w:val="24"/>
    </w:rPr>
  </w:style>
  <w:style w:type="paragraph" w:styleId="Heading1">
    <w:name w:val="heading 1"/>
    <w:basedOn w:val="Normal"/>
    <w:next w:val="Normal"/>
    <w:link w:val="Heading1Char"/>
    <w:qFormat/>
    <w:rsid w:val="00E06DD8"/>
    <w:pPr>
      <w:keepNext/>
      <w:numPr>
        <w:numId w:val="32"/>
      </w:numPr>
      <w:spacing w:before="360"/>
      <w:outlineLvl w:val="0"/>
    </w:pPr>
    <w:rPr>
      <w:b/>
      <w:bCs/>
      <w:smallCaps/>
      <w:szCs w:val="32"/>
    </w:rPr>
  </w:style>
  <w:style w:type="paragraph" w:styleId="Heading2">
    <w:name w:val="heading 2"/>
    <w:basedOn w:val="Normal"/>
    <w:next w:val="Normal"/>
    <w:link w:val="Heading2Char"/>
    <w:qFormat/>
    <w:rsid w:val="00E06DD8"/>
    <w:pPr>
      <w:keepNext/>
      <w:numPr>
        <w:ilvl w:val="1"/>
        <w:numId w:val="32"/>
      </w:numPr>
      <w:outlineLvl w:val="1"/>
    </w:pPr>
    <w:rPr>
      <w:b/>
      <w:bCs/>
      <w:iCs/>
      <w:szCs w:val="28"/>
    </w:rPr>
  </w:style>
  <w:style w:type="paragraph" w:styleId="Heading3">
    <w:name w:val="heading 3"/>
    <w:basedOn w:val="Normal"/>
    <w:next w:val="Normal"/>
    <w:link w:val="Heading3Char"/>
    <w:qFormat/>
    <w:rsid w:val="005643CD"/>
    <w:pPr>
      <w:keepNext/>
      <w:numPr>
        <w:ilvl w:val="2"/>
        <w:numId w:val="32"/>
      </w:numPr>
      <w:outlineLvl w:val="2"/>
    </w:pPr>
    <w:rPr>
      <w:bCs/>
      <w:i/>
      <w:szCs w:val="26"/>
    </w:rPr>
  </w:style>
  <w:style w:type="paragraph" w:styleId="Heading4">
    <w:name w:val="heading 4"/>
    <w:basedOn w:val="Normal"/>
    <w:next w:val="Normal"/>
    <w:qFormat/>
    <w:rsid w:val="005643CD"/>
    <w:pPr>
      <w:keepNext/>
      <w:numPr>
        <w:ilvl w:val="3"/>
        <w:numId w:val="32"/>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rsid w:val="005643CD"/>
    <w:pPr>
      <w:spacing w:before="0" w:after="240"/>
      <w:jc w:val="center"/>
    </w:pPr>
    <w:rPr>
      <w:b/>
      <w:i/>
    </w:rPr>
  </w:style>
  <w:style w:type="paragraph" w:customStyle="1" w:styleId="AccompagnantPagedecouverture">
    <w:name w:val="Accompagnant (Page de couverture)"/>
    <w:basedOn w:val="Accompagnant"/>
    <w:next w:val="Normal"/>
    <w:rsid w:val="005643CD"/>
  </w:style>
  <w:style w:type="character" w:customStyle="1" w:styleId="Added">
    <w:name w:val="Added"/>
    <w:rsid w:val="005643CD"/>
    <w:rPr>
      <w:b/>
      <w:u w:val="single"/>
      <w:shd w:val="clear" w:color="auto" w:fill="auto"/>
    </w:rPr>
  </w:style>
  <w:style w:type="paragraph" w:customStyle="1" w:styleId="Address">
    <w:name w:val="Address"/>
    <w:basedOn w:val="Normal"/>
    <w:next w:val="Normal"/>
    <w:rsid w:val="005643CD"/>
    <w:pPr>
      <w:keepLines/>
      <w:spacing w:line="360" w:lineRule="auto"/>
      <w:ind w:left="3402"/>
      <w:jc w:val="left"/>
    </w:pPr>
  </w:style>
  <w:style w:type="paragraph" w:customStyle="1" w:styleId="Annexetitre">
    <w:name w:val="Annexe titre"/>
    <w:basedOn w:val="Normal"/>
    <w:next w:val="Normal"/>
    <w:rsid w:val="005643CD"/>
    <w:pPr>
      <w:jc w:val="center"/>
    </w:pPr>
    <w:rPr>
      <w:b/>
      <w:u w:val="single"/>
    </w:rPr>
  </w:style>
  <w:style w:type="paragraph" w:customStyle="1" w:styleId="Annexetitreexpos">
    <w:name w:val="Annexe titre (exposé)"/>
    <w:basedOn w:val="Normal"/>
    <w:next w:val="Normal"/>
    <w:rsid w:val="005643CD"/>
    <w:pPr>
      <w:jc w:val="center"/>
    </w:pPr>
    <w:rPr>
      <w:b/>
      <w:u w:val="single"/>
    </w:rPr>
  </w:style>
  <w:style w:type="paragraph" w:customStyle="1" w:styleId="Annexetitrefichefinancire">
    <w:name w:val="Annexe titre (fiche financière)"/>
    <w:basedOn w:val="Normal"/>
    <w:next w:val="Normal"/>
    <w:rsid w:val="005643CD"/>
    <w:pPr>
      <w:jc w:val="center"/>
    </w:pPr>
    <w:rPr>
      <w:b/>
      <w:u w:val="single"/>
    </w:rPr>
  </w:style>
  <w:style w:type="paragraph" w:customStyle="1" w:styleId="Applicationdirecte">
    <w:name w:val="Application directe"/>
    <w:basedOn w:val="Normal"/>
    <w:next w:val="Normal"/>
    <w:rsid w:val="005643CD"/>
    <w:pPr>
      <w:spacing w:before="480"/>
    </w:pPr>
  </w:style>
  <w:style w:type="paragraph" w:customStyle="1" w:styleId="Avertissementtitre">
    <w:name w:val="Avertissement titre"/>
    <w:basedOn w:val="Normal"/>
    <w:next w:val="Normal"/>
    <w:rsid w:val="005643CD"/>
    <w:pPr>
      <w:keepNext/>
      <w:spacing w:before="480"/>
    </w:pPr>
    <w:rPr>
      <w:u w:val="single"/>
    </w:rPr>
  </w:style>
  <w:style w:type="paragraph" w:customStyle="1" w:styleId="Bullet0">
    <w:name w:val="Bullet 0"/>
    <w:basedOn w:val="Normal"/>
    <w:rsid w:val="005643CD"/>
    <w:pPr>
      <w:numPr>
        <w:numId w:val="1"/>
      </w:numPr>
    </w:pPr>
  </w:style>
  <w:style w:type="paragraph" w:customStyle="1" w:styleId="Bullet1">
    <w:name w:val="Bullet 1"/>
    <w:basedOn w:val="Normal"/>
    <w:rsid w:val="005643CD"/>
    <w:pPr>
      <w:numPr>
        <w:numId w:val="2"/>
      </w:numPr>
    </w:pPr>
  </w:style>
  <w:style w:type="paragraph" w:customStyle="1" w:styleId="Bullet2">
    <w:name w:val="Bullet 2"/>
    <w:basedOn w:val="Normal"/>
    <w:rsid w:val="005643CD"/>
    <w:pPr>
      <w:numPr>
        <w:numId w:val="3"/>
      </w:numPr>
    </w:pPr>
  </w:style>
  <w:style w:type="paragraph" w:customStyle="1" w:styleId="Bullet3">
    <w:name w:val="Bullet 3"/>
    <w:basedOn w:val="Normal"/>
    <w:rsid w:val="005643CD"/>
    <w:pPr>
      <w:numPr>
        <w:numId w:val="4"/>
      </w:numPr>
    </w:pPr>
  </w:style>
  <w:style w:type="paragraph" w:customStyle="1" w:styleId="Bullet4">
    <w:name w:val="Bullet 4"/>
    <w:basedOn w:val="Normal"/>
    <w:rsid w:val="005643CD"/>
    <w:pPr>
      <w:numPr>
        <w:numId w:val="5"/>
      </w:numPr>
    </w:pPr>
  </w:style>
  <w:style w:type="paragraph" w:customStyle="1" w:styleId="ChapterTitle">
    <w:name w:val="ChapterTitle"/>
    <w:basedOn w:val="Normal"/>
    <w:next w:val="Normal"/>
    <w:rsid w:val="005643CD"/>
    <w:pPr>
      <w:keepNext/>
      <w:spacing w:after="360"/>
      <w:jc w:val="center"/>
    </w:pPr>
    <w:rPr>
      <w:b/>
      <w:sz w:val="32"/>
    </w:rPr>
  </w:style>
  <w:style w:type="paragraph" w:customStyle="1" w:styleId="Confidence">
    <w:name w:val="Confidence"/>
    <w:basedOn w:val="Normal"/>
    <w:next w:val="Normal"/>
    <w:rsid w:val="005643CD"/>
    <w:pPr>
      <w:spacing w:before="360"/>
      <w:jc w:val="center"/>
    </w:pPr>
  </w:style>
  <w:style w:type="paragraph" w:customStyle="1" w:styleId="Confidentialit">
    <w:name w:val="Confidentialité"/>
    <w:basedOn w:val="Normal"/>
    <w:next w:val="Normal"/>
    <w:rsid w:val="005643CD"/>
    <w:pPr>
      <w:spacing w:before="240" w:after="240"/>
      <w:ind w:left="5103"/>
    </w:pPr>
    <w:rPr>
      <w:u w:val="single"/>
    </w:rPr>
  </w:style>
  <w:style w:type="paragraph" w:customStyle="1" w:styleId="Considrant">
    <w:name w:val="Considérant"/>
    <w:basedOn w:val="Normal"/>
    <w:rsid w:val="005643CD"/>
    <w:pPr>
      <w:numPr>
        <w:numId w:val="6"/>
      </w:numPr>
    </w:pPr>
  </w:style>
  <w:style w:type="paragraph" w:customStyle="1" w:styleId="Corrigendum">
    <w:name w:val="Corrigendum"/>
    <w:basedOn w:val="Normal"/>
    <w:next w:val="Normal"/>
    <w:rsid w:val="005643CD"/>
    <w:pPr>
      <w:spacing w:before="0" w:after="240"/>
      <w:jc w:val="left"/>
    </w:pPr>
  </w:style>
  <w:style w:type="paragraph" w:customStyle="1" w:styleId="Datedadoption">
    <w:name w:val="Date d'adoption"/>
    <w:basedOn w:val="Normal"/>
    <w:next w:val="Normal"/>
    <w:rsid w:val="005643CD"/>
    <w:pPr>
      <w:spacing w:before="360" w:after="0"/>
      <w:jc w:val="center"/>
    </w:pPr>
    <w:rPr>
      <w:b/>
    </w:rPr>
  </w:style>
  <w:style w:type="paragraph" w:customStyle="1" w:styleId="DatedadoptionPagedecouverture">
    <w:name w:val="Date d'adoption (Page de couverture)"/>
    <w:basedOn w:val="Datedadoption"/>
    <w:next w:val="Normal"/>
    <w:rsid w:val="005643CD"/>
  </w:style>
  <w:style w:type="character" w:customStyle="1" w:styleId="Deleted">
    <w:name w:val="Deleted"/>
    <w:rsid w:val="005643CD"/>
    <w:rPr>
      <w:strike/>
      <w:shd w:val="clear" w:color="auto" w:fill="auto"/>
    </w:rPr>
  </w:style>
  <w:style w:type="paragraph" w:customStyle="1" w:styleId="Emission">
    <w:name w:val="Emission"/>
    <w:basedOn w:val="Normal"/>
    <w:next w:val="Normal"/>
    <w:rsid w:val="005643CD"/>
    <w:pPr>
      <w:spacing w:before="0" w:after="0"/>
      <w:ind w:left="5103"/>
      <w:jc w:val="left"/>
    </w:pPr>
  </w:style>
  <w:style w:type="paragraph" w:customStyle="1" w:styleId="Exposdesmotifstitre">
    <w:name w:val="Exposé des motifs titre"/>
    <w:basedOn w:val="Normal"/>
    <w:next w:val="Normal"/>
    <w:rsid w:val="005643CD"/>
    <w:pPr>
      <w:jc w:val="center"/>
    </w:pPr>
    <w:rPr>
      <w:b/>
      <w:u w:val="single"/>
    </w:rPr>
  </w:style>
  <w:style w:type="paragraph" w:customStyle="1" w:styleId="Fait">
    <w:name w:val="Fait à"/>
    <w:basedOn w:val="Normal"/>
    <w:next w:val="Normal"/>
    <w:rsid w:val="005643CD"/>
    <w:pPr>
      <w:keepNext/>
      <w:spacing w:after="0"/>
    </w:pPr>
  </w:style>
  <w:style w:type="paragraph" w:customStyle="1" w:styleId="Fichefinanciretitre">
    <w:name w:val="Fiche financière titre"/>
    <w:basedOn w:val="Normal"/>
    <w:next w:val="Normal"/>
    <w:rsid w:val="005643CD"/>
    <w:pPr>
      <w:jc w:val="center"/>
    </w:pPr>
    <w:rPr>
      <w:b/>
      <w:u w:val="single"/>
    </w:rPr>
  </w:style>
  <w:style w:type="paragraph" w:styleId="Footer">
    <w:name w:val="footer"/>
    <w:basedOn w:val="Normal"/>
    <w:link w:val="FooterChar"/>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643CD"/>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rsid w:val="005643CD"/>
    <w:rPr>
      <w:shd w:val="clear" w:color="auto" w:fill="auto"/>
      <w:vertAlign w:val="superscript"/>
    </w:rPr>
  </w:style>
  <w:style w:type="paragraph" w:styleId="FootnoteText">
    <w:name w:val="footnote text"/>
    <w:basedOn w:val="Normal"/>
    <w:link w:val="FootnoteTextChar"/>
    <w:uiPriority w:val="99"/>
    <w:semiHidden/>
    <w:rsid w:val="005643CD"/>
    <w:pPr>
      <w:spacing w:before="0" w:after="0"/>
      <w:ind w:left="720" w:hanging="720"/>
    </w:pPr>
    <w:rPr>
      <w:sz w:val="20"/>
      <w:szCs w:val="20"/>
    </w:rPr>
  </w:style>
  <w:style w:type="paragraph" w:customStyle="1" w:styleId="Formuledadoption">
    <w:name w:val="Formule d'adoption"/>
    <w:basedOn w:val="Normal"/>
    <w:next w:val="Normal"/>
    <w:rsid w:val="005643CD"/>
    <w:pPr>
      <w:keepNext/>
    </w:pPr>
  </w:style>
  <w:style w:type="paragraph" w:styleId="Header">
    <w:name w:val="header"/>
    <w:basedOn w:val="Normal"/>
    <w:link w:val="HeaderChar"/>
    <w:uiPriority w:val="99"/>
    <w:rsid w:val="005643CD"/>
    <w:pPr>
      <w:tabs>
        <w:tab w:val="center" w:pos="4535"/>
        <w:tab w:val="right" w:pos="9071"/>
      </w:tabs>
    </w:pPr>
  </w:style>
  <w:style w:type="paragraph" w:customStyle="1" w:styleId="HeaderLandscape">
    <w:name w:val="HeaderLandscape"/>
    <w:basedOn w:val="Normal"/>
    <w:rsid w:val="005643CD"/>
    <w:pPr>
      <w:tabs>
        <w:tab w:val="center" w:pos="7285"/>
        <w:tab w:val="right" w:pos="14003"/>
      </w:tabs>
    </w:pPr>
  </w:style>
  <w:style w:type="paragraph" w:customStyle="1" w:styleId="Institutionquiagit">
    <w:name w:val="Institution qui agit"/>
    <w:basedOn w:val="Normal"/>
    <w:next w:val="Normal"/>
    <w:rsid w:val="005643CD"/>
    <w:pPr>
      <w:keepNext/>
      <w:spacing w:before="600"/>
    </w:pPr>
  </w:style>
  <w:style w:type="paragraph" w:customStyle="1" w:styleId="Institutionquisigne">
    <w:name w:val="Institution qui signe"/>
    <w:basedOn w:val="Normal"/>
    <w:next w:val="Normal"/>
    <w:rsid w:val="005643CD"/>
    <w:pPr>
      <w:keepNext/>
      <w:tabs>
        <w:tab w:val="left" w:pos="4252"/>
      </w:tabs>
      <w:spacing w:before="720" w:after="0"/>
    </w:pPr>
    <w:rPr>
      <w:i/>
    </w:rPr>
  </w:style>
  <w:style w:type="paragraph" w:customStyle="1" w:styleId="Languesfaisantfoi">
    <w:name w:val="Langues faisant foi"/>
    <w:basedOn w:val="Normal"/>
    <w:next w:val="Normal"/>
    <w:rsid w:val="005643CD"/>
    <w:pPr>
      <w:spacing w:before="360" w:after="0"/>
      <w:jc w:val="center"/>
    </w:pPr>
  </w:style>
  <w:style w:type="paragraph" w:customStyle="1" w:styleId="IntrtEEE">
    <w:name w:val="Intérêt EEE"/>
    <w:basedOn w:val="Languesfaisantfoi"/>
    <w:next w:val="Normal"/>
    <w:rsid w:val="005643CD"/>
    <w:pPr>
      <w:spacing w:after="240"/>
    </w:pPr>
  </w:style>
  <w:style w:type="paragraph" w:customStyle="1" w:styleId="IntrtEEEPagedecouverture">
    <w:name w:val="Intérêt EEE (Page de couverture)"/>
    <w:basedOn w:val="IntrtEEE"/>
    <w:next w:val="Normal"/>
    <w:rsid w:val="005643CD"/>
  </w:style>
  <w:style w:type="paragraph" w:customStyle="1" w:styleId="Langue">
    <w:name w:val="Langue"/>
    <w:basedOn w:val="Normal"/>
    <w:next w:val="Normal"/>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rsid w:val="005643CD"/>
    <w:pPr>
      <w:spacing w:before="360" w:after="0"/>
      <w:jc w:val="center"/>
    </w:pPr>
  </w:style>
  <w:style w:type="paragraph" w:customStyle="1" w:styleId="ManualConsidrant">
    <w:name w:val="Manual Considérant"/>
    <w:basedOn w:val="Normal"/>
    <w:rsid w:val="005643CD"/>
    <w:pPr>
      <w:ind w:left="709" w:hanging="709"/>
    </w:pPr>
  </w:style>
  <w:style w:type="paragraph" w:customStyle="1" w:styleId="ManualHeading1">
    <w:name w:val="Manual Heading 1"/>
    <w:basedOn w:val="Normal"/>
    <w:next w:val="Normal"/>
    <w:rsid w:val="005643CD"/>
    <w:pPr>
      <w:keepNext/>
      <w:tabs>
        <w:tab w:val="left" w:pos="850"/>
      </w:tabs>
      <w:spacing w:before="360"/>
      <w:ind w:left="850" w:hanging="850"/>
      <w:outlineLvl w:val="0"/>
    </w:pPr>
    <w:rPr>
      <w:b/>
      <w:smallCaps/>
    </w:rPr>
  </w:style>
  <w:style w:type="paragraph" w:customStyle="1" w:styleId="ManualHeading2">
    <w:name w:val="Manual Heading 2"/>
    <w:basedOn w:val="Normal"/>
    <w:next w:val="Normal"/>
    <w:rsid w:val="005643CD"/>
    <w:pPr>
      <w:keepNext/>
      <w:tabs>
        <w:tab w:val="left" w:pos="850"/>
      </w:tabs>
      <w:ind w:left="850" w:hanging="850"/>
      <w:outlineLvl w:val="1"/>
    </w:pPr>
    <w:rPr>
      <w:b/>
    </w:rPr>
  </w:style>
  <w:style w:type="paragraph" w:customStyle="1" w:styleId="ManualHeading3">
    <w:name w:val="Manual Heading 3"/>
    <w:basedOn w:val="Normal"/>
    <w:next w:val="Normal"/>
    <w:rsid w:val="005643CD"/>
    <w:pPr>
      <w:keepNext/>
      <w:tabs>
        <w:tab w:val="left" w:pos="850"/>
      </w:tabs>
      <w:ind w:left="850" w:hanging="850"/>
      <w:outlineLvl w:val="2"/>
    </w:pPr>
    <w:rPr>
      <w:i/>
    </w:rPr>
  </w:style>
  <w:style w:type="paragraph" w:customStyle="1" w:styleId="ManualHeading4">
    <w:name w:val="Manual Heading 4"/>
    <w:basedOn w:val="Normal"/>
    <w:next w:val="Normal"/>
    <w:rsid w:val="005643CD"/>
    <w:pPr>
      <w:keepNext/>
      <w:tabs>
        <w:tab w:val="left" w:pos="850"/>
      </w:tabs>
      <w:ind w:left="850" w:hanging="850"/>
      <w:outlineLvl w:val="3"/>
    </w:pPr>
  </w:style>
  <w:style w:type="paragraph" w:customStyle="1" w:styleId="ManualNumPar1">
    <w:name w:val="Manual NumPar 1"/>
    <w:basedOn w:val="Normal"/>
    <w:next w:val="Normal"/>
    <w:rsid w:val="005643CD"/>
    <w:pPr>
      <w:ind w:left="850" w:hanging="850"/>
    </w:pPr>
  </w:style>
  <w:style w:type="paragraph" w:customStyle="1" w:styleId="ManualNumPar2">
    <w:name w:val="Manual NumPar 2"/>
    <w:basedOn w:val="Normal"/>
    <w:next w:val="Normal"/>
    <w:rsid w:val="005643CD"/>
    <w:pPr>
      <w:ind w:left="850" w:hanging="850"/>
    </w:pPr>
  </w:style>
  <w:style w:type="paragraph" w:customStyle="1" w:styleId="ManualNumPar3">
    <w:name w:val="Manual NumPar 3"/>
    <w:basedOn w:val="Normal"/>
    <w:next w:val="Normal"/>
    <w:rsid w:val="005643CD"/>
    <w:pPr>
      <w:ind w:left="850" w:hanging="850"/>
    </w:pPr>
  </w:style>
  <w:style w:type="paragraph" w:customStyle="1" w:styleId="ManualNumPar4">
    <w:name w:val="Manual NumPar 4"/>
    <w:basedOn w:val="Normal"/>
    <w:next w:val="Normal"/>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ormal"/>
    <w:next w:val="Emission"/>
    <w:rsid w:val="005643CD"/>
    <w:pPr>
      <w:spacing w:before="0" w:after="0"/>
      <w:jc w:val="left"/>
    </w:pPr>
    <w:rPr>
      <w:rFonts w:ascii="Arial" w:hAnsi="Arial" w:cs="Arial"/>
    </w:rPr>
  </w:style>
  <w:style w:type="paragraph" w:customStyle="1" w:styleId="NormalCentered">
    <w:name w:val="Normal Centered"/>
    <w:basedOn w:val="Normal"/>
    <w:rsid w:val="005643CD"/>
    <w:pPr>
      <w:jc w:val="center"/>
    </w:pPr>
  </w:style>
  <w:style w:type="paragraph" w:customStyle="1" w:styleId="NormalLeft">
    <w:name w:val="Normal Left"/>
    <w:basedOn w:val="Normal"/>
    <w:rsid w:val="005643CD"/>
    <w:pPr>
      <w:jc w:val="left"/>
    </w:pPr>
  </w:style>
  <w:style w:type="paragraph" w:customStyle="1" w:styleId="NormalRight">
    <w:name w:val="Normal Right"/>
    <w:basedOn w:val="Normal"/>
    <w:rsid w:val="005643CD"/>
    <w:pPr>
      <w:jc w:val="right"/>
    </w:pPr>
  </w:style>
  <w:style w:type="paragraph" w:customStyle="1" w:styleId="NumPar1">
    <w:name w:val="NumPar 1"/>
    <w:basedOn w:val="Normal"/>
    <w:next w:val="Normal"/>
    <w:rsid w:val="005643CD"/>
    <w:pPr>
      <w:numPr>
        <w:numId w:val="14"/>
      </w:numPr>
    </w:pPr>
  </w:style>
  <w:style w:type="paragraph" w:customStyle="1" w:styleId="NumPar2">
    <w:name w:val="NumPar 2"/>
    <w:basedOn w:val="Normal"/>
    <w:next w:val="Normal"/>
    <w:rsid w:val="005643CD"/>
    <w:pPr>
      <w:numPr>
        <w:ilvl w:val="1"/>
        <w:numId w:val="14"/>
      </w:numPr>
    </w:pPr>
  </w:style>
  <w:style w:type="paragraph" w:customStyle="1" w:styleId="NumPar3">
    <w:name w:val="NumPar 3"/>
    <w:basedOn w:val="Normal"/>
    <w:next w:val="Normal"/>
    <w:rsid w:val="005643CD"/>
    <w:pPr>
      <w:numPr>
        <w:ilvl w:val="2"/>
        <w:numId w:val="14"/>
      </w:numPr>
    </w:pPr>
  </w:style>
  <w:style w:type="paragraph" w:customStyle="1" w:styleId="NumPar4">
    <w:name w:val="NumPar 4"/>
    <w:basedOn w:val="Normal"/>
    <w:next w:val="Normal"/>
    <w:rsid w:val="005643CD"/>
    <w:pPr>
      <w:numPr>
        <w:ilvl w:val="3"/>
        <w:numId w:val="14"/>
      </w:numPr>
    </w:pPr>
  </w:style>
  <w:style w:type="paragraph" w:customStyle="1" w:styleId="Objetacteprincipal">
    <w:name w:val="Objet acte principal"/>
    <w:basedOn w:val="Normal"/>
    <w:next w:val="Normal"/>
    <w:rsid w:val="005643CD"/>
    <w:pPr>
      <w:spacing w:before="0" w:after="360"/>
      <w:jc w:val="center"/>
    </w:pPr>
    <w:rPr>
      <w:b/>
    </w:rPr>
  </w:style>
  <w:style w:type="paragraph" w:customStyle="1" w:styleId="ObjetacteprincipalPagedecouverture">
    <w:name w:val="Objet acte principal (Page de couverture)"/>
    <w:basedOn w:val="Objetacteprincipal"/>
    <w:next w:val="Normal"/>
    <w:rsid w:val="005643CD"/>
  </w:style>
  <w:style w:type="paragraph" w:customStyle="1" w:styleId="Objetexterne">
    <w:name w:val="Objet externe"/>
    <w:basedOn w:val="Normal"/>
    <w:next w:val="Normal"/>
    <w:rsid w:val="005643CD"/>
    <w:rPr>
      <w:i/>
      <w:caps/>
    </w:rPr>
  </w:style>
  <w:style w:type="paragraph" w:customStyle="1" w:styleId="Pagedecouverture">
    <w:name w:val="Page de couverture"/>
    <w:basedOn w:val="Normal"/>
    <w:next w:val="Normal"/>
    <w:rsid w:val="005643CD"/>
  </w:style>
  <w:style w:type="paragraph" w:customStyle="1" w:styleId="PartTitle">
    <w:name w:val="PartTitle"/>
    <w:basedOn w:val="Normal"/>
    <w:next w:val="ChapterTitle"/>
    <w:rsid w:val="005643CD"/>
    <w:pPr>
      <w:keepNext/>
      <w:pageBreakBefore/>
      <w:spacing w:after="360"/>
      <w:jc w:val="center"/>
    </w:pPr>
    <w:rPr>
      <w:b/>
      <w:sz w:val="36"/>
    </w:rPr>
  </w:style>
  <w:style w:type="paragraph" w:customStyle="1" w:styleId="Personnequisigne">
    <w:name w:val="Personne qui signe"/>
    <w:basedOn w:val="Normal"/>
    <w:next w:val="Institutionquisigne"/>
    <w:rsid w:val="005643CD"/>
    <w:pPr>
      <w:numPr>
        <w:numId w:val="31"/>
      </w:numPr>
      <w:tabs>
        <w:tab w:val="left" w:pos="4252"/>
      </w:tabs>
      <w:spacing w:before="0" w:after="0"/>
      <w:jc w:val="left"/>
    </w:pPr>
    <w:rPr>
      <w:i/>
    </w:rPr>
  </w:style>
  <w:style w:type="paragraph" w:customStyle="1" w:styleId="Point0">
    <w:name w:val="Point 0"/>
    <w:basedOn w:val="Normal"/>
    <w:rsid w:val="005643CD"/>
    <w:pPr>
      <w:ind w:left="850" w:hanging="850"/>
    </w:pPr>
  </w:style>
  <w:style w:type="paragraph" w:customStyle="1" w:styleId="Point0letter">
    <w:name w:val="Point 0 (letter)"/>
    <w:basedOn w:val="Normal"/>
    <w:rsid w:val="005643CD"/>
    <w:pPr>
      <w:numPr>
        <w:ilvl w:val="1"/>
        <w:numId w:val="23"/>
      </w:numPr>
    </w:pPr>
  </w:style>
  <w:style w:type="paragraph" w:customStyle="1" w:styleId="Point0number">
    <w:name w:val="Point 0 (number)"/>
    <w:basedOn w:val="Normal"/>
    <w:rsid w:val="005643CD"/>
    <w:pPr>
      <w:numPr>
        <w:numId w:val="23"/>
      </w:numPr>
    </w:pPr>
  </w:style>
  <w:style w:type="paragraph" w:customStyle="1" w:styleId="Point1">
    <w:name w:val="Point 1"/>
    <w:basedOn w:val="Normal"/>
    <w:rsid w:val="005643CD"/>
    <w:pPr>
      <w:ind w:left="1417" w:hanging="567"/>
    </w:pPr>
  </w:style>
  <w:style w:type="paragraph" w:customStyle="1" w:styleId="Point1letter">
    <w:name w:val="Point 1 (letter)"/>
    <w:basedOn w:val="Normal"/>
    <w:rsid w:val="005643CD"/>
    <w:pPr>
      <w:numPr>
        <w:ilvl w:val="3"/>
        <w:numId w:val="23"/>
      </w:numPr>
    </w:pPr>
  </w:style>
  <w:style w:type="paragraph" w:customStyle="1" w:styleId="Point1number">
    <w:name w:val="Point 1 (number)"/>
    <w:basedOn w:val="Normal"/>
    <w:rsid w:val="005643CD"/>
    <w:pPr>
      <w:numPr>
        <w:ilvl w:val="2"/>
        <w:numId w:val="23"/>
      </w:numPr>
    </w:pPr>
  </w:style>
  <w:style w:type="paragraph" w:customStyle="1" w:styleId="Point2">
    <w:name w:val="Point 2"/>
    <w:basedOn w:val="Normal"/>
    <w:rsid w:val="005643CD"/>
    <w:pPr>
      <w:ind w:left="1984" w:hanging="567"/>
    </w:pPr>
  </w:style>
  <w:style w:type="paragraph" w:customStyle="1" w:styleId="Point2letter">
    <w:name w:val="Point 2 (letter)"/>
    <w:basedOn w:val="Normal"/>
    <w:rsid w:val="005643CD"/>
    <w:pPr>
      <w:numPr>
        <w:ilvl w:val="5"/>
        <w:numId w:val="23"/>
      </w:numPr>
    </w:pPr>
  </w:style>
  <w:style w:type="paragraph" w:customStyle="1" w:styleId="Point2number">
    <w:name w:val="Point 2 (number)"/>
    <w:basedOn w:val="Normal"/>
    <w:rsid w:val="005643CD"/>
    <w:pPr>
      <w:numPr>
        <w:ilvl w:val="4"/>
        <w:numId w:val="23"/>
      </w:numPr>
    </w:pPr>
  </w:style>
  <w:style w:type="paragraph" w:customStyle="1" w:styleId="Point3">
    <w:name w:val="Point 3"/>
    <w:basedOn w:val="Normal"/>
    <w:rsid w:val="005643CD"/>
    <w:pPr>
      <w:ind w:left="2551" w:hanging="567"/>
    </w:pPr>
  </w:style>
  <w:style w:type="paragraph" w:customStyle="1" w:styleId="Point3letter">
    <w:name w:val="Point 3 (letter)"/>
    <w:basedOn w:val="Normal"/>
    <w:rsid w:val="005643CD"/>
    <w:pPr>
      <w:numPr>
        <w:ilvl w:val="7"/>
        <w:numId w:val="23"/>
      </w:numPr>
    </w:pPr>
  </w:style>
  <w:style w:type="paragraph" w:customStyle="1" w:styleId="Point3number">
    <w:name w:val="Point 3 (number)"/>
    <w:basedOn w:val="Normal"/>
    <w:rsid w:val="005643CD"/>
    <w:pPr>
      <w:numPr>
        <w:ilvl w:val="6"/>
        <w:numId w:val="23"/>
      </w:numPr>
    </w:pPr>
  </w:style>
  <w:style w:type="paragraph" w:customStyle="1" w:styleId="Point4">
    <w:name w:val="Point 4"/>
    <w:basedOn w:val="Normal"/>
    <w:rsid w:val="005643CD"/>
    <w:pPr>
      <w:ind w:left="3118" w:hanging="567"/>
    </w:pPr>
  </w:style>
  <w:style w:type="paragraph" w:customStyle="1" w:styleId="Point4letter">
    <w:name w:val="Point 4 (letter)"/>
    <w:basedOn w:val="Normal"/>
    <w:rsid w:val="005643CD"/>
    <w:pPr>
      <w:numPr>
        <w:ilvl w:val="8"/>
        <w:numId w:val="23"/>
      </w:numPr>
    </w:pPr>
  </w:style>
  <w:style w:type="paragraph" w:customStyle="1" w:styleId="PointDouble0">
    <w:name w:val="PointDouble 0"/>
    <w:basedOn w:val="Normal"/>
    <w:rsid w:val="005643CD"/>
    <w:pPr>
      <w:tabs>
        <w:tab w:val="left" w:pos="850"/>
      </w:tabs>
      <w:ind w:left="1417" w:hanging="1417"/>
    </w:pPr>
  </w:style>
  <w:style w:type="paragraph" w:customStyle="1" w:styleId="PointDouble1">
    <w:name w:val="PointDouble 1"/>
    <w:basedOn w:val="Normal"/>
    <w:rsid w:val="005643CD"/>
    <w:pPr>
      <w:tabs>
        <w:tab w:val="left" w:pos="1417"/>
      </w:tabs>
      <w:ind w:left="1984" w:hanging="1134"/>
    </w:pPr>
  </w:style>
  <w:style w:type="paragraph" w:customStyle="1" w:styleId="PointDouble2">
    <w:name w:val="PointDouble 2"/>
    <w:basedOn w:val="Normal"/>
    <w:rsid w:val="005643CD"/>
    <w:pPr>
      <w:tabs>
        <w:tab w:val="left" w:pos="1984"/>
      </w:tabs>
      <w:ind w:left="2551" w:hanging="1134"/>
    </w:pPr>
  </w:style>
  <w:style w:type="paragraph" w:customStyle="1" w:styleId="PointDouble3">
    <w:name w:val="PointDouble 3"/>
    <w:basedOn w:val="Normal"/>
    <w:rsid w:val="005643CD"/>
    <w:pPr>
      <w:tabs>
        <w:tab w:val="left" w:pos="2551"/>
      </w:tabs>
      <w:ind w:left="3118" w:hanging="1134"/>
    </w:pPr>
  </w:style>
  <w:style w:type="paragraph" w:customStyle="1" w:styleId="PointDouble4">
    <w:name w:val="PointDouble 4"/>
    <w:basedOn w:val="Normal"/>
    <w:rsid w:val="005643CD"/>
    <w:pPr>
      <w:tabs>
        <w:tab w:val="left" w:pos="3118"/>
      </w:tabs>
      <w:ind w:left="3685" w:hanging="1134"/>
    </w:pPr>
  </w:style>
  <w:style w:type="paragraph" w:customStyle="1" w:styleId="PointTriple0">
    <w:name w:val="PointTriple 0"/>
    <w:basedOn w:val="Normal"/>
    <w:rsid w:val="005643CD"/>
    <w:pPr>
      <w:tabs>
        <w:tab w:val="left" w:pos="850"/>
        <w:tab w:val="left" w:pos="1417"/>
      </w:tabs>
      <w:ind w:left="1984" w:hanging="1984"/>
    </w:pPr>
  </w:style>
  <w:style w:type="paragraph" w:customStyle="1" w:styleId="PointTriple1">
    <w:name w:val="PointTriple 1"/>
    <w:basedOn w:val="Normal"/>
    <w:rsid w:val="005643CD"/>
    <w:pPr>
      <w:tabs>
        <w:tab w:val="left" w:pos="1417"/>
        <w:tab w:val="left" w:pos="1984"/>
      </w:tabs>
      <w:ind w:left="2551" w:hanging="1701"/>
    </w:pPr>
  </w:style>
  <w:style w:type="paragraph" w:customStyle="1" w:styleId="PointTriple2">
    <w:name w:val="PointTriple 2"/>
    <w:basedOn w:val="Normal"/>
    <w:rsid w:val="005643CD"/>
    <w:pPr>
      <w:tabs>
        <w:tab w:val="left" w:pos="1984"/>
        <w:tab w:val="left" w:pos="2551"/>
      </w:tabs>
      <w:ind w:left="3118" w:hanging="1701"/>
    </w:pPr>
  </w:style>
  <w:style w:type="paragraph" w:customStyle="1" w:styleId="PointTriple3">
    <w:name w:val="PointTriple 3"/>
    <w:basedOn w:val="Normal"/>
    <w:rsid w:val="005643CD"/>
    <w:pPr>
      <w:tabs>
        <w:tab w:val="left" w:pos="2551"/>
        <w:tab w:val="left" w:pos="3118"/>
      </w:tabs>
      <w:ind w:left="3685" w:hanging="1701"/>
    </w:pPr>
  </w:style>
  <w:style w:type="paragraph" w:customStyle="1" w:styleId="PointTriple4">
    <w:name w:val="PointTriple 4"/>
    <w:basedOn w:val="Normal"/>
    <w:rsid w:val="005643CD"/>
    <w:pPr>
      <w:tabs>
        <w:tab w:val="left" w:pos="3118"/>
        <w:tab w:val="left" w:pos="3685"/>
      </w:tabs>
      <w:ind w:left="4252" w:hanging="1701"/>
    </w:pPr>
  </w:style>
  <w:style w:type="paragraph" w:customStyle="1" w:styleId="QuotedNumPar">
    <w:name w:val="Quoted NumPar"/>
    <w:basedOn w:val="Normal"/>
    <w:rsid w:val="005643CD"/>
    <w:pPr>
      <w:ind w:left="1417" w:hanging="567"/>
    </w:pPr>
  </w:style>
  <w:style w:type="paragraph" w:customStyle="1" w:styleId="QuotedText">
    <w:name w:val="Quoted Text"/>
    <w:basedOn w:val="Normal"/>
    <w:rsid w:val="005643CD"/>
    <w:pPr>
      <w:ind w:left="1417"/>
    </w:pPr>
  </w:style>
  <w:style w:type="paragraph" w:customStyle="1" w:styleId="Rfrencecroise">
    <w:name w:val="Référence croisée"/>
    <w:basedOn w:val="Normal"/>
    <w:rsid w:val="005643CD"/>
    <w:pPr>
      <w:spacing w:before="0" w:after="0"/>
      <w:jc w:val="center"/>
    </w:pPr>
  </w:style>
  <w:style w:type="paragraph" w:customStyle="1" w:styleId="Rfrenceinstitutionnelle">
    <w:name w:val="Référence institutionnelle"/>
    <w:basedOn w:val="Normal"/>
    <w:next w:val="Confidentialit"/>
    <w:rsid w:val="005643CD"/>
    <w:pPr>
      <w:spacing w:before="0" w:after="240"/>
      <w:ind w:left="5103"/>
      <w:jc w:val="left"/>
    </w:pPr>
  </w:style>
  <w:style w:type="paragraph" w:customStyle="1" w:styleId="Rfrenceinterinstitutionnelle">
    <w:name w:val="Référence interinstitutionnelle"/>
    <w:basedOn w:val="Normal"/>
    <w:next w:val="Normal"/>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ormal"/>
    <w:next w:val="Rfrenceinterinstitutionnelle"/>
    <w:rsid w:val="005643CD"/>
    <w:pPr>
      <w:spacing w:before="0" w:after="0"/>
      <w:ind w:left="5103"/>
      <w:jc w:val="left"/>
    </w:pPr>
  </w:style>
  <w:style w:type="paragraph" w:customStyle="1" w:styleId="SectionTitle">
    <w:name w:val="SectionTitle"/>
    <w:basedOn w:val="Normal"/>
    <w:next w:val="Heading1"/>
    <w:rsid w:val="005643CD"/>
    <w:pPr>
      <w:keepNext/>
      <w:spacing w:after="360"/>
      <w:jc w:val="center"/>
    </w:pPr>
    <w:rPr>
      <w:b/>
      <w:smallCaps/>
      <w:sz w:val="28"/>
    </w:rPr>
  </w:style>
  <w:style w:type="paragraph" w:customStyle="1" w:styleId="Sous-titreobjet">
    <w:name w:val="Sous-titre objet"/>
    <w:basedOn w:val="Normal"/>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ormal"/>
    <w:next w:val="Normal"/>
    <w:rsid w:val="005643CD"/>
    <w:pPr>
      <w:spacing w:before="360" w:after="0"/>
      <w:jc w:val="center"/>
    </w:pPr>
  </w:style>
  <w:style w:type="paragraph" w:customStyle="1" w:styleId="StatutPagedecouverture">
    <w:name w:val="Statut (Page de couverture)"/>
    <w:basedOn w:val="Statut"/>
    <w:next w:val="Normal"/>
    <w:rsid w:val="005643CD"/>
  </w:style>
  <w:style w:type="paragraph" w:customStyle="1" w:styleId="Supertitre">
    <w:name w:val="Supertitre"/>
    <w:basedOn w:val="Normal"/>
    <w:next w:val="Normal"/>
    <w:rsid w:val="005643CD"/>
    <w:pPr>
      <w:spacing w:before="0" w:after="600"/>
      <w:jc w:val="center"/>
    </w:pPr>
    <w:rPr>
      <w:b/>
    </w:rPr>
  </w:style>
  <w:style w:type="paragraph" w:customStyle="1" w:styleId="TableTitle">
    <w:name w:val="Table Title"/>
    <w:basedOn w:val="Normal"/>
    <w:next w:val="Normal"/>
    <w:rsid w:val="005643CD"/>
    <w:pPr>
      <w:jc w:val="center"/>
    </w:pPr>
    <w:rPr>
      <w:b/>
    </w:rPr>
  </w:style>
  <w:style w:type="paragraph" w:customStyle="1" w:styleId="Text1">
    <w:name w:val="Text 1"/>
    <w:basedOn w:val="Normal"/>
    <w:rsid w:val="005643CD"/>
    <w:pPr>
      <w:ind w:left="850"/>
    </w:pPr>
  </w:style>
  <w:style w:type="paragraph" w:customStyle="1" w:styleId="Text2">
    <w:name w:val="Text 2"/>
    <w:basedOn w:val="Normal"/>
    <w:rsid w:val="005643CD"/>
    <w:pPr>
      <w:ind w:left="1417"/>
    </w:pPr>
  </w:style>
  <w:style w:type="paragraph" w:customStyle="1" w:styleId="Text3">
    <w:name w:val="Text 3"/>
    <w:basedOn w:val="Normal"/>
    <w:rsid w:val="005643CD"/>
    <w:pPr>
      <w:ind w:left="1984"/>
    </w:pPr>
  </w:style>
  <w:style w:type="paragraph" w:customStyle="1" w:styleId="Text4">
    <w:name w:val="Text 4"/>
    <w:basedOn w:val="Normal"/>
    <w:rsid w:val="005643CD"/>
    <w:pPr>
      <w:ind w:left="2551"/>
    </w:pPr>
  </w:style>
  <w:style w:type="paragraph" w:customStyle="1" w:styleId="Tiret0">
    <w:name w:val="Tiret 0"/>
    <w:basedOn w:val="Point0"/>
    <w:rsid w:val="005643CD"/>
    <w:pPr>
      <w:numPr>
        <w:numId w:val="24"/>
      </w:numPr>
    </w:pPr>
  </w:style>
  <w:style w:type="paragraph" w:customStyle="1" w:styleId="Tiret1">
    <w:name w:val="Tiret 1"/>
    <w:basedOn w:val="Point1"/>
    <w:rsid w:val="005643CD"/>
    <w:pPr>
      <w:numPr>
        <w:numId w:val="25"/>
      </w:numPr>
    </w:pPr>
  </w:style>
  <w:style w:type="paragraph" w:customStyle="1" w:styleId="Tiret2">
    <w:name w:val="Tiret 2"/>
    <w:basedOn w:val="Point2"/>
    <w:rsid w:val="005643CD"/>
    <w:pPr>
      <w:numPr>
        <w:numId w:val="26"/>
      </w:numPr>
    </w:pPr>
  </w:style>
  <w:style w:type="paragraph" w:customStyle="1" w:styleId="Tiret3">
    <w:name w:val="Tiret 3"/>
    <w:basedOn w:val="Point3"/>
    <w:rsid w:val="005643CD"/>
    <w:pPr>
      <w:numPr>
        <w:numId w:val="27"/>
      </w:numPr>
    </w:pPr>
  </w:style>
  <w:style w:type="paragraph" w:customStyle="1" w:styleId="Tiret4">
    <w:name w:val="Tiret 4"/>
    <w:basedOn w:val="Point4"/>
    <w:rsid w:val="005643CD"/>
    <w:pPr>
      <w:numPr>
        <w:numId w:val="28"/>
      </w:numPr>
    </w:pPr>
  </w:style>
  <w:style w:type="paragraph" w:customStyle="1" w:styleId="Titrearticle">
    <w:name w:val="Titre article"/>
    <w:basedOn w:val="Normal"/>
    <w:next w:val="Normal"/>
    <w:rsid w:val="005643CD"/>
    <w:pPr>
      <w:keepNext/>
      <w:spacing w:before="360"/>
      <w:jc w:val="center"/>
    </w:pPr>
    <w:rPr>
      <w:i/>
    </w:rPr>
  </w:style>
  <w:style w:type="paragraph" w:customStyle="1" w:styleId="Titreobjet">
    <w:name w:val="Titre objet"/>
    <w:basedOn w:val="Normal"/>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TOC1">
    <w:name w:val="toc 1"/>
    <w:basedOn w:val="Normal"/>
    <w:next w:val="Normal"/>
    <w:uiPriority w:val="39"/>
    <w:rsid w:val="005643CD"/>
    <w:pPr>
      <w:tabs>
        <w:tab w:val="right" w:leader="dot" w:pos="9071"/>
      </w:tabs>
      <w:spacing w:before="60"/>
      <w:ind w:left="850" w:hanging="850"/>
      <w:jc w:val="left"/>
    </w:pPr>
  </w:style>
  <w:style w:type="paragraph" w:styleId="TOC2">
    <w:name w:val="toc 2"/>
    <w:basedOn w:val="Normal"/>
    <w:next w:val="Normal"/>
    <w:uiPriority w:val="39"/>
    <w:rsid w:val="005643CD"/>
    <w:pPr>
      <w:tabs>
        <w:tab w:val="right" w:leader="dot" w:pos="9071"/>
      </w:tabs>
      <w:spacing w:before="60"/>
      <w:ind w:left="850" w:hanging="850"/>
      <w:jc w:val="left"/>
    </w:pPr>
  </w:style>
  <w:style w:type="paragraph" w:styleId="TOC3">
    <w:name w:val="toc 3"/>
    <w:basedOn w:val="Normal"/>
    <w:next w:val="Normal"/>
    <w:uiPriority w:val="39"/>
    <w:rsid w:val="005643CD"/>
    <w:pPr>
      <w:tabs>
        <w:tab w:val="right" w:leader="dot" w:pos="9071"/>
      </w:tabs>
      <w:spacing w:before="60"/>
      <w:ind w:left="850" w:hanging="850"/>
      <w:jc w:val="left"/>
    </w:pPr>
  </w:style>
  <w:style w:type="paragraph" w:styleId="TOC4">
    <w:name w:val="toc 4"/>
    <w:basedOn w:val="Normal"/>
    <w:next w:val="Normal"/>
    <w:semiHidden/>
    <w:rsid w:val="005643CD"/>
    <w:pPr>
      <w:tabs>
        <w:tab w:val="right" w:leader="dot" w:pos="9071"/>
      </w:tabs>
      <w:spacing w:before="60"/>
      <w:ind w:left="850" w:hanging="850"/>
      <w:jc w:val="left"/>
    </w:pPr>
  </w:style>
  <w:style w:type="paragraph" w:styleId="TOC5">
    <w:name w:val="toc 5"/>
    <w:basedOn w:val="Normal"/>
    <w:next w:val="Normal"/>
    <w:semiHidden/>
    <w:rsid w:val="005643CD"/>
    <w:pPr>
      <w:tabs>
        <w:tab w:val="right" w:leader="dot" w:pos="9071"/>
      </w:tabs>
      <w:spacing w:before="300"/>
      <w:jc w:val="left"/>
    </w:pPr>
  </w:style>
  <w:style w:type="paragraph" w:styleId="TOC6">
    <w:name w:val="toc 6"/>
    <w:basedOn w:val="Normal"/>
    <w:next w:val="Normal"/>
    <w:semiHidden/>
    <w:rsid w:val="005643CD"/>
    <w:pPr>
      <w:tabs>
        <w:tab w:val="right" w:leader="dot" w:pos="9071"/>
      </w:tabs>
      <w:spacing w:before="240"/>
      <w:jc w:val="left"/>
    </w:pPr>
  </w:style>
  <w:style w:type="paragraph" w:styleId="TOC7">
    <w:name w:val="toc 7"/>
    <w:basedOn w:val="Normal"/>
    <w:next w:val="Normal"/>
    <w:semiHidden/>
    <w:rsid w:val="005643CD"/>
    <w:pPr>
      <w:tabs>
        <w:tab w:val="right" w:leader="dot" w:pos="9071"/>
      </w:tabs>
      <w:spacing w:before="180"/>
      <w:jc w:val="left"/>
    </w:pPr>
  </w:style>
  <w:style w:type="paragraph" w:styleId="TOC8">
    <w:name w:val="toc 8"/>
    <w:basedOn w:val="Normal"/>
    <w:next w:val="Normal"/>
    <w:semiHidden/>
    <w:rsid w:val="005643CD"/>
    <w:pPr>
      <w:tabs>
        <w:tab w:val="right" w:leader="dot" w:pos="9071"/>
      </w:tabs>
      <w:jc w:val="left"/>
    </w:pPr>
  </w:style>
  <w:style w:type="paragraph" w:styleId="TOC9">
    <w:name w:val="toc 9"/>
    <w:basedOn w:val="Normal"/>
    <w:next w:val="Normal"/>
    <w:semiHidden/>
    <w:rsid w:val="005643CD"/>
    <w:pPr>
      <w:tabs>
        <w:tab w:val="right" w:leader="dot" w:pos="9071"/>
      </w:tabs>
    </w:pPr>
  </w:style>
  <w:style w:type="paragraph" w:styleId="TOCHeading">
    <w:name w:val="TOC Heading"/>
    <w:basedOn w:val="Normal"/>
    <w:next w:val="Normal"/>
    <w:link w:val="TOCHeadingChar"/>
    <w:uiPriority w:val="39"/>
    <w:qFormat/>
    <w:rsid w:val="005643CD"/>
    <w:pPr>
      <w:spacing w:after="240"/>
      <w:jc w:val="center"/>
    </w:pPr>
    <w:rPr>
      <w:b/>
      <w:sz w:val="28"/>
    </w:rPr>
  </w:style>
  <w:style w:type="paragraph" w:customStyle="1" w:styleId="Typeacteprincipal">
    <w:name w:val="Type acte principal"/>
    <w:basedOn w:val="Normal"/>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ormal"/>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ormal"/>
    <w:next w:val="Confidentialit"/>
    <w:rsid w:val="005643CD"/>
    <w:pPr>
      <w:spacing w:before="0" w:after="240"/>
      <w:ind w:left="5103"/>
      <w:jc w:val="left"/>
    </w:pPr>
  </w:style>
  <w:style w:type="character" w:styleId="Hyperlink">
    <w:name w:val="Hyperlink"/>
    <w:uiPriority w:val="99"/>
    <w:unhideWhenUsed/>
    <w:rsid w:val="003052E0"/>
    <w:rPr>
      <w:color w:val="0000FF"/>
      <w:u w:val="single"/>
    </w:rPr>
  </w:style>
  <w:style w:type="character" w:customStyle="1" w:styleId="HeaderChar">
    <w:name w:val="Header Char"/>
    <w:link w:val="Header"/>
    <w:uiPriority w:val="99"/>
    <w:rsid w:val="003052E0"/>
    <w:rPr>
      <w:sz w:val="24"/>
      <w:szCs w:val="24"/>
      <w:lang w:eastAsia="bg-BG"/>
    </w:rPr>
  </w:style>
  <w:style w:type="character" w:customStyle="1" w:styleId="FooterChar">
    <w:name w:val="Footer Char"/>
    <w:link w:val="Footer"/>
    <w:uiPriority w:val="99"/>
    <w:rsid w:val="003052E0"/>
    <w:rPr>
      <w:sz w:val="24"/>
      <w:szCs w:val="24"/>
      <w:lang w:eastAsia="bg-BG"/>
    </w:rPr>
  </w:style>
  <w:style w:type="character" w:customStyle="1" w:styleId="FootnoteTextChar">
    <w:name w:val="Footnote Text Char"/>
    <w:link w:val="FootnoteText"/>
    <w:uiPriority w:val="99"/>
    <w:semiHidden/>
    <w:rsid w:val="003052E0"/>
    <w:rPr>
      <w:lang w:eastAsia="bg-BG"/>
    </w:rPr>
  </w:style>
  <w:style w:type="character" w:customStyle="1" w:styleId="Heading1Char">
    <w:name w:val="Heading 1 Char"/>
    <w:link w:val="Heading1"/>
    <w:rsid w:val="00E06DD8"/>
    <w:rPr>
      <w:b/>
      <w:bCs/>
      <w:smallCaps/>
      <w:sz w:val="24"/>
      <w:szCs w:val="32"/>
      <w:lang w:eastAsia="bg-BG"/>
    </w:rPr>
  </w:style>
  <w:style w:type="character" w:customStyle="1" w:styleId="Heading2Char">
    <w:name w:val="Heading 2 Char"/>
    <w:link w:val="Heading2"/>
    <w:rsid w:val="00E06DD8"/>
    <w:rPr>
      <w:b/>
      <w:bCs/>
      <w:iCs/>
      <w:sz w:val="24"/>
      <w:szCs w:val="28"/>
      <w:lang w:eastAsia="bg-BG"/>
    </w:rPr>
  </w:style>
  <w:style w:type="character" w:customStyle="1" w:styleId="Heading3Char">
    <w:name w:val="Heading 3 Char"/>
    <w:link w:val="Heading3"/>
    <w:rsid w:val="003052E0"/>
    <w:rPr>
      <w:bCs/>
      <w:i/>
      <w:sz w:val="24"/>
      <w:szCs w:val="26"/>
      <w:lang w:eastAsia="bg-BG"/>
    </w:rPr>
  </w:style>
  <w:style w:type="paragraph" w:customStyle="1" w:styleId="FooterCoverPage">
    <w:name w:val="Footer Cover Page"/>
    <w:basedOn w:val="Normal"/>
    <w:link w:val="FooterCoverPageChar"/>
    <w:rsid w:val="00ED7E2B"/>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sid w:val="00ED7E2B"/>
    <w:rPr>
      <w:b/>
      <w:sz w:val="28"/>
      <w:szCs w:val="24"/>
      <w:shd w:val="clear" w:color="auto" w:fill="auto"/>
      <w:lang w:eastAsia="bg-BG"/>
    </w:rPr>
  </w:style>
  <w:style w:type="character" w:customStyle="1" w:styleId="FooterCoverPageChar">
    <w:name w:val="Footer Cover Page Char"/>
    <w:link w:val="FooterCoverPage"/>
    <w:rsid w:val="00ED7E2B"/>
    <w:rPr>
      <w:sz w:val="24"/>
      <w:szCs w:val="24"/>
    </w:rPr>
  </w:style>
  <w:style w:type="paragraph" w:customStyle="1" w:styleId="HeaderCoverPage">
    <w:name w:val="Header Cover Page"/>
    <w:basedOn w:val="Normal"/>
    <w:link w:val="HeaderCoverPageChar"/>
    <w:rsid w:val="00ED7E2B"/>
    <w:pPr>
      <w:tabs>
        <w:tab w:val="center" w:pos="4535"/>
        <w:tab w:val="right" w:pos="9071"/>
      </w:tabs>
      <w:spacing w:before="0"/>
    </w:pPr>
  </w:style>
  <w:style w:type="character" w:customStyle="1" w:styleId="HeaderCoverPageChar">
    <w:name w:val="Header Cover Page Char"/>
    <w:link w:val="HeaderCoverPage"/>
    <w:rsid w:val="00ED7E2B"/>
    <w:rPr>
      <w:sz w:val="24"/>
      <w:szCs w:val="24"/>
    </w:rPr>
  </w:style>
  <w:style w:type="paragraph" w:styleId="BalloonText">
    <w:name w:val="Balloon Text"/>
    <w:basedOn w:val="Normal"/>
    <w:link w:val="BalloonTextChar"/>
    <w:rsid w:val="00A3056F"/>
    <w:pPr>
      <w:spacing w:before="0" w:after="0"/>
    </w:pPr>
    <w:rPr>
      <w:rFonts w:ascii="Tahoma" w:hAnsi="Tahoma" w:cs="Tahoma"/>
      <w:sz w:val="16"/>
      <w:szCs w:val="16"/>
    </w:rPr>
  </w:style>
  <w:style w:type="character" w:customStyle="1" w:styleId="BalloonTextChar">
    <w:name w:val="Balloon Text Char"/>
    <w:link w:val="BalloonText"/>
    <w:rsid w:val="00A3056F"/>
    <w:rPr>
      <w:rFonts w:ascii="Tahoma" w:hAnsi="Tahoma" w:cs="Tahoma"/>
      <w:sz w:val="16"/>
      <w:szCs w:val="16"/>
      <w:shd w:val="clear" w:color="auto" w:fill="auto"/>
      <w:lang w:eastAsia="bg-BG"/>
    </w:rPr>
  </w:style>
  <w:style w:type="character" w:styleId="CommentReference">
    <w:name w:val="annotation reference"/>
    <w:rsid w:val="00095D6B"/>
    <w:rPr>
      <w:sz w:val="16"/>
      <w:szCs w:val="16"/>
      <w:shd w:val="clear" w:color="auto" w:fill="auto"/>
    </w:rPr>
  </w:style>
  <w:style w:type="paragraph" w:styleId="CommentText">
    <w:name w:val="annotation text"/>
    <w:basedOn w:val="Normal"/>
    <w:link w:val="CommentTextChar"/>
    <w:rsid w:val="00095D6B"/>
    <w:rPr>
      <w:sz w:val="20"/>
      <w:szCs w:val="20"/>
    </w:rPr>
  </w:style>
  <w:style w:type="character" w:customStyle="1" w:styleId="CommentTextChar">
    <w:name w:val="Comment Text Char"/>
    <w:link w:val="CommentText"/>
    <w:rsid w:val="00095D6B"/>
    <w:rPr>
      <w:shd w:val="clear" w:color="auto" w:fill="auto"/>
      <w:lang w:eastAsia="bg-BG"/>
    </w:rPr>
  </w:style>
  <w:style w:type="paragraph" w:styleId="Revision">
    <w:name w:val="Revision"/>
    <w:hidden/>
    <w:uiPriority w:val="99"/>
    <w:semiHidden/>
    <w:rsid w:val="00095D6B"/>
    <w:rPr>
      <w:sz w:val="24"/>
      <w:szCs w:val="24"/>
    </w:rPr>
  </w:style>
  <w:style w:type="paragraph" w:styleId="ListParagraph">
    <w:name w:val="List Paragraph"/>
    <w:basedOn w:val="Normal"/>
    <w:uiPriority w:val="34"/>
    <w:qFormat/>
    <w:rsid w:val="00DE44D1"/>
    <w:pPr>
      <w:ind w:left="720"/>
    </w:pPr>
  </w:style>
  <w:style w:type="paragraph" w:styleId="ListBullet">
    <w:name w:val="List Bullet"/>
    <w:basedOn w:val="Normal"/>
    <w:rsid w:val="00AA520E"/>
    <w:pPr>
      <w:numPr>
        <w:numId w:val="41"/>
      </w:numPr>
      <w:spacing w:before="0" w:after="0"/>
      <w:jc w:val="left"/>
    </w:pPr>
  </w:style>
  <w:style w:type="character" w:styleId="FollowedHyperlink">
    <w:name w:val="FollowedHyperlink"/>
    <w:rsid w:val="00AD3027"/>
    <w:rPr>
      <w:color w:val="800080"/>
      <w:u w:val="single"/>
      <w:shd w:val="clear" w:color="auto" w:fill="auto"/>
    </w:rPr>
  </w:style>
  <w:style w:type="paragraph" w:customStyle="1" w:styleId="Default">
    <w:name w:val="Default"/>
    <w:rsid w:val="008A64A0"/>
    <w:pPr>
      <w:autoSpaceDE w:val="0"/>
      <w:autoSpaceDN w:val="0"/>
      <w:adjustRightInd w:val="0"/>
    </w:pPr>
    <w:rPr>
      <w:rFonts w:ascii="Verdana" w:hAnsi="Verdana" w:cs="Verdana"/>
      <w:color w:val="000000"/>
      <w:sz w:val="24"/>
      <w:szCs w:val="24"/>
    </w:rPr>
  </w:style>
  <w:style w:type="character" w:customStyle="1" w:styleId="st">
    <w:name w:val="st"/>
    <w:rsid w:val="008F0C09"/>
  </w:style>
  <w:style w:type="paragraph" w:styleId="CommentSubject">
    <w:name w:val="annotation subject"/>
    <w:basedOn w:val="CommentText"/>
    <w:next w:val="CommentText"/>
    <w:link w:val="CommentSubjectChar"/>
    <w:rsid w:val="00C12C5E"/>
    <w:rPr>
      <w:b/>
      <w:bCs/>
    </w:rPr>
  </w:style>
  <w:style w:type="character" w:customStyle="1" w:styleId="CommentSubjectChar">
    <w:name w:val="Comment Subject Char"/>
    <w:link w:val="CommentSubject"/>
    <w:rsid w:val="00C12C5E"/>
    <w:rPr>
      <w:b/>
      <w:bCs/>
      <w:shd w:val="clear" w:color="auto" w:fill="auto"/>
      <w:lang w:eastAsia="bg-BG"/>
    </w:rPr>
  </w:style>
  <w:style w:type="paragraph" w:styleId="NormalWeb">
    <w:name w:val="Normal (Web)"/>
    <w:basedOn w:val="Normal"/>
    <w:uiPriority w:val="99"/>
    <w:unhideWhenUsed/>
    <w:rsid w:val="00667430"/>
    <w:pPr>
      <w:spacing w:before="75" w:after="75"/>
      <w:jc w:val="left"/>
    </w:pPr>
  </w:style>
  <w:style w:type="character" w:customStyle="1" w:styleId="st1">
    <w:name w:val="st1"/>
    <w:basedOn w:val="DefaultParagraphFont"/>
    <w:rsid w:val="008B0D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643CD"/>
    <w:pPr>
      <w:spacing w:before="120" w:after="120"/>
      <w:jc w:val="both"/>
    </w:pPr>
    <w:rPr>
      <w:sz w:val="24"/>
      <w:szCs w:val="24"/>
    </w:rPr>
  </w:style>
  <w:style w:type="paragraph" w:styleId="Heading1">
    <w:name w:val="heading 1"/>
    <w:basedOn w:val="Normal"/>
    <w:next w:val="Normal"/>
    <w:link w:val="Heading1Char"/>
    <w:qFormat/>
    <w:rsid w:val="00E06DD8"/>
    <w:pPr>
      <w:keepNext/>
      <w:numPr>
        <w:numId w:val="32"/>
      </w:numPr>
      <w:spacing w:before="360"/>
      <w:outlineLvl w:val="0"/>
    </w:pPr>
    <w:rPr>
      <w:b/>
      <w:bCs/>
      <w:smallCaps/>
      <w:szCs w:val="32"/>
    </w:rPr>
  </w:style>
  <w:style w:type="paragraph" w:styleId="Heading2">
    <w:name w:val="heading 2"/>
    <w:basedOn w:val="Normal"/>
    <w:next w:val="Normal"/>
    <w:link w:val="Heading2Char"/>
    <w:qFormat/>
    <w:rsid w:val="00E06DD8"/>
    <w:pPr>
      <w:keepNext/>
      <w:numPr>
        <w:ilvl w:val="1"/>
        <w:numId w:val="32"/>
      </w:numPr>
      <w:outlineLvl w:val="1"/>
    </w:pPr>
    <w:rPr>
      <w:b/>
      <w:bCs/>
      <w:iCs/>
      <w:szCs w:val="28"/>
    </w:rPr>
  </w:style>
  <w:style w:type="paragraph" w:styleId="Heading3">
    <w:name w:val="heading 3"/>
    <w:basedOn w:val="Normal"/>
    <w:next w:val="Normal"/>
    <w:link w:val="Heading3Char"/>
    <w:qFormat/>
    <w:rsid w:val="005643CD"/>
    <w:pPr>
      <w:keepNext/>
      <w:numPr>
        <w:ilvl w:val="2"/>
        <w:numId w:val="32"/>
      </w:numPr>
      <w:outlineLvl w:val="2"/>
    </w:pPr>
    <w:rPr>
      <w:bCs/>
      <w:i/>
      <w:szCs w:val="26"/>
    </w:rPr>
  </w:style>
  <w:style w:type="paragraph" w:styleId="Heading4">
    <w:name w:val="heading 4"/>
    <w:basedOn w:val="Normal"/>
    <w:next w:val="Normal"/>
    <w:qFormat/>
    <w:rsid w:val="005643CD"/>
    <w:pPr>
      <w:keepNext/>
      <w:numPr>
        <w:ilvl w:val="3"/>
        <w:numId w:val="32"/>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rsid w:val="005643CD"/>
    <w:pPr>
      <w:spacing w:before="0" w:after="240"/>
      <w:jc w:val="center"/>
    </w:pPr>
    <w:rPr>
      <w:b/>
      <w:i/>
    </w:rPr>
  </w:style>
  <w:style w:type="paragraph" w:customStyle="1" w:styleId="AccompagnantPagedecouverture">
    <w:name w:val="Accompagnant (Page de couverture)"/>
    <w:basedOn w:val="Accompagnant"/>
    <w:next w:val="Normal"/>
    <w:rsid w:val="005643CD"/>
  </w:style>
  <w:style w:type="character" w:customStyle="1" w:styleId="Added">
    <w:name w:val="Added"/>
    <w:rsid w:val="005643CD"/>
    <w:rPr>
      <w:b/>
      <w:u w:val="single"/>
      <w:shd w:val="clear" w:color="auto" w:fill="auto"/>
    </w:rPr>
  </w:style>
  <w:style w:type="paragraph" w:customStyle="1" w:styleId="Address">
    <w:name w:val="Address"/>
    <w:basedOn w:val="Normal"/>
    <w:next w:val="Normal"/>
    <w:rsid w:val="005643CD"/>
    <w:pPr>
      <w:keepLines/>
      <w:spacing w:line="360" w:lineRule="auto"/>
      <w:ind w:left="3402"/>
      <w:jc w:val="left"/>
    </w:pPr>
  </w:style>
  <w:style w:type="paragraph" w:customStyle="1" w:styleId="Annexetitre">
    <w:name w:val="Annexe titre"/>
    <w:basedOn w:val="Normal"/>
    <w:next w:val="Normal"/>
    <w:rsid w:val="005643CD"/>
    <w:pPr>
      <w:jc w:val="center"/>
    </w:pPr>
    <w:rPr>
      <w:b/>
      <w:u w:val="single"/>
    </w:rPr>
  </w:style>
  <w:style w:type="paragraph" w:customStyle="1" w:styleId="Annexetitreexpos">
    <w:name w:val="Annexe titre (exposé)"/>
    <w:basedOn w:val="Normal"/>
    <w:next w:val="Normal"/>
    <w:rsid w:val="005643CD"/>
    <w:pPr>
      <w:jc w:val="center"/>
    </w:pPr>
    <w:rPr>
      <w:b/>
      <w:u w:val="single"/>
    </w:rPr>
  </w:style>
  <w:style w:type="paragraph" w:customStyle="1" w:styleId="Annexetitrefichefinancire">
    <w:name w:val="Annexe titre (fiche financière)"/>
    <w:basedOn w:val="Normal"/>
    <w:next w:val="Normal"/>
    <w:rsid w:val="005643CD"/>
    <w:pPr>
      <w:jc w:val="center"/>
    </w:pPr>
    <w:rPr>
      <w:b/>
      <w:u w:val="single"/>
    </w:rPr>
  </w:style>
  <w:style w:type="paragraph" w:customStyle="1" w:styleId="Applicationdirecte">
    <w:name w:val="Application directe"/>
    <w:basedOn w:val="Normal"/>
    <w:next w:val="Normal"/>
    <w:rsid w:val="005643CD"/>
    <w:pPr>
      <w:spacing w:before="480"/>
    </w:pPr>
  </w:style>
  <w:style w:type="paragraph" w:customStyle="1" w:styleId="Avertissementtitre">
    <w:name w:val="Avertissement titre"/>
    <w:basedOn w:val="Normal"/>
    <w:next w:val="Normal"/>
    <w:rsid w:val="005643CD"/>
    <w:pPr>
      <w:keepNext/>
      <w:spacing w:before="480"/>
    </w:pPr>
    <w:rPr>
      <w:u w:val="single"/>
    </w:rPr>
  </w:style>
  <w:style w:type="paragraph" w:customStyle="1" w:styleId="Bullet0">
    <w:name w:val="Bullet 0"/>
    <w:basedOn w:val="Normal"/>
    <w:rsid w:val="005643CD"/>
    <w:pPr>
      <w:numPr>
        <w:numId w:val="1"/>
      </w:numPr>
    </w:pPr>
  </w:style>
  <w:style w:type="paragraph" w:customStyle="1" w:styleId="Bullet1">
    <w:name w:val="Bullet 1"/>
    <w:basedOn w:val="Normal"/>
    <w:rsid w:val="005643CD"/>
    <w:pPr>
      <w:numPr>
        <w:numId w:val="2"/>
      </w:numPr>
    </w:pPr>
  </w:style>
  <w:style w:type="paragraph" w:customStyle="1" w:styleId="Bullet2">
    <w:name w:val="Bullet 2"/>
    <w:basedOn w:val="Normal"/>
    <w:rsid w:val="005643CD"/>
    <w:pPr>
      <w:numPr>
        <w:numId w:val="3"/>
      </w:numPr>
    </w:pPr>
  </w:style>
  <w:style w:type="paragraph" w:customStyle="1" w:styleId="Bullet3">
    <w:name w:val="Bullet 3"/>
    <w:basedOn w:val="Normal"/>
    <w:rsid w:val="005643CD"/>
    <w:pPr>
      <w:numPr>
        <w:numId w:val="4"/>
      </w:numPr>
    </w:pPr>
  </w:style>
  <w:style w:type="paragraph" w:customStyle="1" w:styleId="Bullet4">
    <w:name w:val="Bullet 4"/>
    <w:basedOn w:val="Normal"/>
    <w:rsid w:val="005643CD"/>
    <w:pPr>
      <w:numPr>
        <w:numId w:val="5"/>
      </w:numPr>
    </w:pPr>
  </w:style>
  <w:style w:type="paragraph" w:customStyle="1" w:styleId="ChapterTitle">
    <w:name w:val="ChapterTitle"/>
    <w:basedOn w:val="Normal"/>
    <w:next w:val="Normal"/>
    <w:rsid w:val="005643CD"/>
    <w:pPr>
      <w:keepNext/>
      <w:spacing w:after="360"/>
      <w:jc w:val="center"/>
    </w:pPr>
    <w:rPr>
      <w:b/>
      <w:sz w:val="32"/>
    </w:rPr>
  </w:style>
  <w:style w:type="paragraph" w:customStyle="1" w:styleId="Confidence">
    <w:name w:val="Confidence"/>
    <w:basedOn w:val="Normal"/>
    <w:next w:val="Normal"/>
    <w:rsid w:val="005643CD"/>
    <w:pPr>
      <w:spacing w:before="360"/>
      <w:jc w:val="center"/>
    </w:pPr>
  </w:style>
  <w:style w:type="paragraph" w:customStyle="1" w:styleId="Confidentialit">
    <w:name w:val="Confidentialité"/>
    <w:basedOn w:val="Normal"/>
    <w:next w:val="Normal"/>
    <w:rsid w:val="005643CD"/>
    <w:pPr>
      <w:spacing w:before="240" w:after="240"/>
      <w:ind w:left="5103"/>
    </w:pPr>
    <w:rPr>
      <w:u w:val="single"/>
    </w:rPr>
  </w:style>
  <w:style w:type="paragraph" w:customStyle="1" w:styleId="Considrant">
    <w:name w:val="Considérant"/>
    <w:basedOn w:val="Normal"/>
    <w:rsid w:val="005643CD"/>
    <w:pPr>
      <w:numPr>
        <w:numId w:val="6"/>
      </w:numPr>
    </w:pPr>
  </w:style>
  <w:style w:type="paragraph" w:customStyle="1" w:styleId="Corrigendum">
    <w:name w:val="Corrigendum"/>
    <w:basedOn w:val="Normal"/>
    <w:next w:val="Normal"/>
    <w:rsid w:val="005643CD"/>
    <w:pPr>
      <w:spacing w:before="0" w:after="240"/>
      <w:jc w:val="left"/>
    </w:pPr>
  </w:style>
  <w:style w:type="paragraph" w:customStyle="1" w:styleId="Datedadoption">
    <w:name w:val="Date d'adoption"/>
    <w:basedOn w:val="Normal"/>
    <w:next w:val="Normal"/>
    <w:rsid w:val="005643CD"/>
    <w:pPr>
      <w:spacing w:before="360" w:after="0"/>
      <w:jc w:val="center"/>
    </w:pPr>
    <w:rPr>
      <w:b/>
    </w:rPr>
  </w:style>
  <w:style w:type="paragraph" w:customStyle="1" w:styleId="DatedadoptionPagedecouverture">
    <w:name w:val="Date d'adoption (Page de couverture)"/>
    <w:basedOn w:val="Datedadoption"/>
    <w:next w:val="Normal"/>
    <w:rsid w:val="005643CD"/>
  </w:style>
  <w:style w:type="character" w:customStyle="1" w:styleId="Deleted">
    <w:name w:val="Deleted"/>
    <w:rsid w:val="005643CD"/>
    <w:rPr>
      <w:strike/>
      <w:shd w:val="clear" w:color="auto" w:fill="auto"/>
    </w:rPr>
  </w:style>
  <w:style w:type="paragraph" w:customStyle="1" w:styleId="Emission">
    <w:name w:val="Emission"/>
    <w:basedOn w:val="Normal"/>
    <w:next w:val="Normal"/>
    <w:rsid w:val="005643CD"/>
    <w:pPr>
      <w:spacing w:before="0" w:after="0"/>
      <w:ind w:left="5103"/>
      <w:jc w:val="left"/>
    </w:pPr>
  </w:style>
  <w:style w:type="paragraph" w:customStyle="1" w:styleId="Exposdesmotifstitre">
    <w:name w:val="Exposé des motifs titre"/>
    <w:basedOn w:val="Normal"/>
    <w:next w:val="Normal"/>
    <w:rsid w:val="005643CD"/>
    <w:pPr>
      <w:jc w:val="center"/>
    </w:pPr>
    <w:rPr>
      <w:b/>
      <w:u w:val="single"/>
    </w:rPr>
  </w:style>
  <w:style w:type="paragraph" w:customStyle="1" w:styleId="Fait">
    <w:name w:val="Fait à"/>
    <w:basedOn w:val="Normal"/>
    <w:next w:val="Normal"/>
    <w:rsid w:val="005643CD"/>
    <w:pPr>
      <w:keepNext/>
      <w:spacing w:after="0"/>
    </w:pPr>
  </w:style>
  <w:style w:type="paragraph" w:customStyle="1" w:styleId="Fichefinanciretitre">
    <w:name w:val="Fiche financière titre"/>
    <w:basedOn w:val="Normal"/>
    <w:next w:val="Normal"/>
    <w:rsid w:val="005643CD"/>
    <w:pPr>
      <w:jc w:val="center"/>
    </w:pPr>
    <w:rPr>
      <w:b/>
      <w:u w:val="single"/>
    </w:rPr>
  </w:style>
  <w:style w:type="paragraph" w:styleId="Footer">
    <w:name w:val="footer"/>
    <w:basedOn w:val="Normal"/>
    <w:link w:val="FooterChar"/>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643CD"/>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rsid w:val="005643CD"/>
    <w:rPr>
      <w:shd w:val="clear" w:color="auto" w:fill="auto"/>
      <w:vertAlign w:val="superscript"/>
    </w:rPr>
  </w:style>
  <w:style w:type="paragraph" w:styleId="FootnoteText">
    <w:name w:val="footnote text"/>
    <w:basedOn w:val="Normal"/>
    <w:link w:val="FootnoteTextChar"/>
    <w:uiPriority w:val="99"/>
    <w:semiHidden/>
    <w:rsid w:val="005643CD"/>
    <w:pPr>
      <w:spacing w:before="0" w:after="0"/>
      <w:ind w:left="720" w:hanging="720"/>
    </w:pPr>
    <w:rPr>
      <w:sz w:val="20"/>
      <w:szCs w:val="20"/>
    </w:rPr>
  </w:style>
  <w:style w:type="paragraph" w:customStyle="1" w:styleId="Formuledadoption">
    <w:name w:val="Formule d'adoption"/>
    <w:basedOn w:val="Normal"/>
    <w:next w:val="Normal"/>
    <w:rsid w:val="005643CD"/>
    <w:pPr>
      <w:keepNext/>
    </w:pPr>
  </w:style>
  <w:style w:type="paragraph" w:styleId="Header">
    <w:name w:val="header"/>
    <w:basedOn w:val="Normal"/>
    <w:link w:val="HeaderChar"/>
    <w:uiPriority w:val="99"/>
    <w:rsid w:val="005643CD"/>
    <w:pPr>
      <w:tabs>
        <w:tab w:val="center" w:pos="4535"/>
        <w:tab w:val="right" w:pos="9071"/>
      </w:tabs>
    </w:pPr>
  </w:style>
  <w:style w:type="paragraph" w:customStyle="1" w:styleId="HeaderLandscape">
    <w:name w:val="HeaderLandscape"/>
    <w:basedOn w:val="Normal"/>
    <w:rsid w:val="005643CD"/>
    <w:pPr>
      <w:tabs>
        <w:tab w:val="center" w:pos="7285"/>
        <w:tab w:val="right" w:pos="14003"/>
      </w:tabs>
    </w:pPr>
  </w:style>
  <w:style w:type="paragraph" w:customStyle="1" w:styleId="Institutionquiagit">
    <w:name w:val="Institution qui agit"/>
    <w:basedOn w:val="Normal"/>
    <w:next w:val="Normal"/>
    <w:rsid w:val="005643CD"/>
    <w:pPr>
      <w:keepNext/>
      <w:spacing w:before="600"/>
    </w:pPr>
  </w:style>
  <w:style w:type="paragraph" w:customStyle="1" w:styleId="Institutionquisigne">
    <w:name w:val="Institution qui signe"/>
    <w:basedOn w:val="Normal"/>
    <w:next w:val="Normal"/>
    <w:rsid w:val="005643CD"/>
    <w:pPr>
      <w:keepNext/>
      <w:tabs>
        <w:tab w:val="left" w:pos="4252"/>
      </w:tabs>
      <w:spacing w:before="720" w:after="0"/>
    </w:pPr>
    <w:rPr>
      <w:i/>
    </w:rPr>
  </w:style>
  <w:style w:type="paragraph" w:customStyle="1" w:styleId="Languesfaisantfoi">
    <w:name w:val="Langues faisant foi"/>
    <w:basedOn w:val="Normal"/>
    <w:next w:val="Normal"/>
    <w:rsid w:val="005643CD"/>
    <w:pPr>
      <w:spacing w:before="360" w:after="0"/>
      <w:jc w:val="center"/>
    </w:pPr>
  </w:style>
  <w:style w:type="paragraph" w:customStyle="1" w:styleId="IntrtEEE">
    <w:name w:val="Intérêt EEE"/>
    <w:basedOn w:val="Languesfaisantfoi"/>
    <w:next w:val="Normal"/>
    <w:rsid w:val="005643CD"/>
    <w:pPr>
      <w:spacing w:after="240"/>
    </w:pPr>
  </w:style>
  <w:style w:type="paragraph" w:customStyle="1" w:styleId="IntrtEEEPagedecouverture">
    <w:name w:val="Intérêt EEE (Page de couverture)"/>
    <w:basedOn w:val="IntrtEEE"/>
    <w:next w:val="Normal"/>
    <w:rsid w:val="005643CD"/>
  </w:style>
  <w:style w:type="paragraph" w:customStyle="1" w:styleId="Langue">
    <w:name w:val="Langue"/>
    <w:basedOn w:val="Normal"/>
    <w:next w:val="Normal"/>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rsid w:val="005643CD"/>
    <w:pPr>
      <w:spacing w:before="360" w:after="0"/>
      <w:jc w:val="center"/>
    </w:pPr>
  </w:style>
  <w:style w:type="paragraph" w:customStyle="1" w:styleId="ManualConsidrant">
    <w:name w:val="Manual Considérant"/>
    <w:basedOn w:val="Normal"/>
    <w:rsid w:val="005643CD"/>
    <w:pPr>
      <w:ind w:left="709" w:hanging="709"/>
    </w:pPr>
  </w:style>
  <w:style w:type="paragraph" w:customStyle="1" w:styleId="ManualHeading1">
    <w:name w:val="Manual Heading 1"/>
    <w:basedOn w:val="Normal"/>
    <w:next w:val="Normal"/>
    <w:rsid w:val="005643CD"/>
    <w:pPr>
      <w:keepNext/>
      <w:tabs>
        <w:tab w:val="left" w:pos="850"/>
      </w:tabs>
      <w:spacing w:before="360"/>
      <w:ind w:left="850" w:hanging="850"/>
      <w:outlineLvl w:val="0"/>
    </w:pPr>
    <w:rPr>
      <w:b/>
      <w:smallCaps/>
    </w:rPr>
  </w:style>
  <w:style w:type="paragraph" w:customStyle="1" w:styleId="ManualHeading2">
    <w:name w:val="Manual Heading 2"/>
    <w:basedOn w:val="Normal"/>
    <w:next w:val="Normal"/>
    <w:rsid w:val="005643CD"/>
    <w:pPr>
      <w:keepNext/>
      <w:tabs>
        <w:tab w:val="left" w:pos="850"/>
      </w:tabs>
      <w:ind w:left="850" w:hanging="850"/>
      <w:outlineLvl w:val="1"/>
    </w:pPr>
    <w:rPr>
      <w:b/>
    </w:rPr>
  </w:style>
  <w:style w:type="paragraph" w:customStyle="1" w:styleId="ManualHeading3">
    <w:name w:val="Manual Heading 3"/>
    <w:basedOn w:val="Normal"/>
    <w:next w:val="Normal"/>
    <w:rsid w:val="005643CD"/>
    <w:pPr>
      <w:keepNext/>
      <w:tabs>
        <w:tab w:val="left" w:pos="850"/>
      </w:tabs>
      <w:ind w:left="850" w:hanging="850"/>
      <w:outlineLvl w:val="2"/>
    </w:pPr>
    <w:rPr>
      <w:i/>
    </w:rPr>
  </w:style>
  <w:style w:type="paragraph" w:customStyle="1" w:styleId="ManualHeading4">
    <w:name w:val="Manual Heading 4"/>
    <w:basedOn w:val="Normal"/>
    <w:next w:val="Normal"/>
    <w:rsid w:val="005643CD"/>
    <w:pPr>
      <w:keepNext/>
      <w:tabs>
        <w:tab w:val="left" w:pos="850"/>
      </w:tabs>
      <w:ind w:left="850" w:hanging="850"/>
      <w:outlineLvl w:val="3"/>
    </w:pPr>
  </w:style>
  <w:style w:type="paragraph" w:customStyle="1" w:styleId="ManualNumPar1">
    <w:name w:val="Manual NumPar 1"/>
    <w:basedOn w:val="Normal"/>
    <w:next w:val="Normal"/>
    <w:rsid w:val="005643CD"/>
    <w:pPr>
      <w:ind w:left="850" w:hanging="850"/>
    </w:pPr>
  </w:style>
  <w:style w:type="paragraph" w:customStyle="1" w:styleId="ManualNumPar2">
    <w:name w:val="Manual NumPar 2"/>
    <w:basedOn w:val="Normal"/>
    <w:next w:val="Normal"/>
    <w:rsid w:val="005643CD"/>
    <w:pPr>
      <w:ind w:left="850" w:hanging="850"/>
    </w:pPr>
  </w:style>
  <w:style w:type="paragraph" w:customStyle="1" w:styleId="ManualNumPar3">
    <w:name w:val="Manual NumPar 3"/>
    <w:basedOn w:val="Normal"/>
    <w:next w:val="Normal"/>
    <w:rsid w:val="005643CD"/>
    <w:pPr>
      <w:ind w:left="850" w:hanging="850"/>
    </w:pPr>
  </w:style>
  <w:style w:type="paragraph" w:customStyle="1" w:styleId="ManualNumPar4">
    <w:name w:val="Manual NumPar 4"/>
    <w:basedOn w:val="Normal"/>
    <w:next w:val="Normal"/>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ormal"/>
    <w:next w:val="Emission"/>
    <w:rsid w:val="005643CD"/>
    <w:pPr>
      <w:spacing w:before="0" w:after="0"/>
      <w:jc w:val="left"/>
    </w:pPr>
    <w:rPr>
      <w:rFonts w:ascii="Arial" w:hAnsi="Arial" w:cs="Arial"/>
    </w:rPr>
  </w:style>
  <w:style w:type="paragraph" w:customStyle="1" w:styleId="NormalCentered">
    <w:name w:val="Normal Centered"/>
    <w:basedOn w:val="Normal"/>
    <w:rsid w:val="005643CD"/>
    <w:pPr>
      <w:jc w:val="center"/>
    </w:pPr>
  </w:style>
  <w:style w:type="paragraph" w:customStyle="1" w:styleId="NormalLeft">
    <w:name w:val="Normal Left"/>
    <w:basedOn w:val="Normal"/>
    <w:rsid w:val="005643CD"/>
    <w:pPr>
      <w:jc w:val="left"/>
    </w:pPr>
  </w:style>
  <w:style w:type="paragraph" w:customStyle="1" w:styleId="NormalRight">
    <w:name w:val="Normal Right"/>
    <w:basedOn w:val="Normal"/>
    <w:rsid w:val="005643CD"/>
    <w:pPr>
      <w:jc w:val="right"/>
    </w:pPr>
  </w:style>
  <w:style w:type="paragraph" w:customStyle="1" w:styleId="NumPar1">
    <w:name w:val="NumPar 1"/>
    <w:basedOn w:val="Normal"/>
    <w:next w:val="Normal"/>
    <w:rsid w:val="005643CD"/>
    <w:pPr>
      <w:numPr>
        <w:numId w:val="14"/>
      </w:numPr>
    </w:pPr>
  </w:style>
  <w:style w:type="paragraph" w:customStyle="1" w:styleId="NumPar2">
    <w:name w:val="NumPar 2"/>
    <w:basedOn w:val="Normal"/>
    <w:next w:val="Normal"/>
    <w:rsid w:val="005643CD"/>
    <w:pPr>
      <w:numPr>
        <w:ilvl w:val="1"/>
        <w:numId w:val="14"/>
      </w:numPr>
    </w:pPr>
  </w:style>
  <w:style w:type="paragraph" w:customStyle="1" w:styleId="NumPar3">
    <w:name w:val="NumPar 3"/>
    <w:basedOn w:val="Normal"/>
    <w:next w:val="Normal"/>
    <w:rsid w:val="005643CD"/>
    <w:pPr>
      <w:numPr>
        <w:ilvl w:val="2"/>
        <w:numId w:val="14"/>
      </w:numPr>
    </w:pPr>
  </w:style>
  <w:style w:type="paragraph" w:customStyle="1" w:styleId="NumPar4">
    <w:name w:val="NumPar 4"/>
    <w:basedOn w:val="Normal"/>
    <w:next w:val="Normal"/>
    <w:rsid w:val="005643CD"/>
    <w:pPr>
      <w:numPr>
        <w:ilvl w:val="3"/>
        <w:numId w:val="14"/>
      </w:numPr>
    </w:pPr>
  </w:style>
  <w:style w:type="paragraph" w:customStyle="1" w:styleId="Objetacteprincipal">
    <w:name w:val="Objet acte principal"/>
    <w:basedOn w:val="Normal"/>
    <w:next w:val="Normal"/>
    <w:rsid w:val="005643CD"/>
    <w:pPr>
      <w:spacing w:before="0" w:after="360"/>
      <w:jc w:val="center"/>
    </w:pPr>
    <w:rPr>
      <w:b/>
    </w:rPr>
  </w:style>
  <w:style w:type="paragraph" w:customStyle="1" w:styleId="ObjetacteprincipalPagedecouverture">
    <w:name w:val="Objet acte principal (Page de couverture)"/>
    <w:basedOn w:val="Objetacteprincipal"/>
    <w:next w:val="Normal"/>
    <w:rsid w:val="005643CD"/>
  </w:style>
  <w:style w:type="paragraph" w:customStyle="1" w:styleId="Objetexterne">
    <w:name w:val="Objet externe"/>
    <w:basedOn w:val="Normal"/>
    <w:next w:val="Normal"/>
    <w:rsid w:val="005643CD"/>
    <w:rPr>
      <w:i/>
      <w:caps/>
    </w:rPr>
  </w:style>
  <w:style w:type="paragraph" w:customStyle="1" w:styleId="Pagedecouverture">
    <w:name w:val="Page de couverture"/>
    <w:basedOn w:val="Normal"/>
    <w:next w:val="Normal"/>
    <w:rsid w:val="005643CD"/>
  </w:style>
  <w:style w:type="paragraph" w:customStyle="1" w:styleId="PartTitle">
    <w:name w:val="PartTitle"/>
    <w:basedOn w:val="Normal"/>
    <w:next w:val="ChapterTitle"/>
    <w:rsid w:val="005643CD"/>
    <w:pPr>
      <w:keepNext/>
      <w:pageBreakBefore/>
      <w:spacing w:after="360"/>
      <w:jc w:val="center"/>
    </w:pPr>
    <w:rPr>
      <w:b/>
      <w:sz w:val="36"/>
    </w:rPr>
  </w:style>
  <w:style w:type="paragraph" w:customStyle="1" w:styleId="Personnequisigne">
    <w:name w:val="Personne qui signe"/>
    <w:basedOn w:val="Normal"/>
    <w:next w:val="Institutionquisigne"/>
    <w:rsid w:val="005643CD"/>
    <w:pPr>
      <w:numPr>
        <w:numId w:val="31"/>
      </w:numPr>
      <w:tabs>
        <w:tab w:val="left" w:pos="4252"/>
      </w:tabs>
      <w:spacing w:before="0" w:after="0"/>
      <w:jc w:val="left"/>
    </w:pPr>
    <w:rPr>
      <w:i/>
    </w:rPr>
  </w:style>
  <w:style w:type="paragraph" w:customStyle="1" w:styleId="Point0">
    <w:name w:val="Point 0"/>
    <w:basedOn w:val="Normal"/>
    <w:rsid w:val="005643CD"/>
    <w:pPr>
      <w:ind w:left="850" w:hanging="850"/>
    </w:pPr>
  </w:style>
  <w:style w:type="paragraph" w:customStyle="1" w:styleId="Point0letter">
    <w:name w:val="Point 0 (letter)"/>
    <w:basedOn w:val="Normal"/>
    <w:rsid w:val="005643CD"/>
    <w:pPr>
      <w:numPr>
        <w:ilvl w:val="1"/>
        <w:numId w:val="23"/>
      </w:numPr>
    </w:pPr>
  </w:style>
  <w:style w:type="paragraph" w:customStyle="1" w:styleId="Point0number">
    <w:name w:val="Point 0 (number)"/>
    <w:basedOn w:val="Normal"/>
    <w:rsid w:val="005643CD"/>
    <w:pPr>
      <w:numPr>
        <w:numId w:val="23"/>
      </w:numPr>
    </w:pPr>
  </w:style>
  <w:style w:type="paragraph" w:customStyle="1" w:styleId="Point1">
    <w:name w:val="Point 1"/>
    <w:basedOn w:val="Normal"/>
    <w:rsid w:val="005643CD"/>
    <w:pPr>
      <w:ind w:left="1417" w:hanging="567"/>
    </w:pPr>
  </w:style>
  <w:style w:type="paragraph" w:customStyle="1" w:styleId="Point1letter">
    <w:name w:val="Point 1 (letter)"/>
    <w:basedOn w:val="Normal"/>
    <w:rsid w:val="005643CD"/>
    <w:pPr>
      <w:numPr>
        <w:ilvl w:val="3"/>
        <w:numId w:val="23"/>
      </w:numPr>
    </w:pPr>
  </w:style>
  <w:style w:type="paragraph" w:customStyle="1" w:styleId="Point1number">
    <w:name w:val="Point 1 (number)"/>
    <w:basedOn w:val="Normal"/>
    <w:rsid w:val="005643CD"/>
    <w:pPr>
      <w:numPr>
        <w:ilvl w:val="2"/>
        <w:numId w:val="23"/>
      </w:numPr>
    </w:pPr>
  </w:style>
  <w:style w:type="paragraph" w:customStyle="1" w:styleId="Point2">
    <w:name w:val="Point 2"/>
    <w:basedOn w:val="Normal"/>
    <w:rsid w:val="005643CD"/>
    <w:pPr>
      <w:ind w:left="1984" w:hanging="567"/>
    </w:pPr>
  </w:style>
  <w:style w:type="paragraph" w:customStyle="1" w:styleId="Point2letter">
    <w:name w:val="Point 2 (letter)"/>
    <w:basedOn w:val="Normal"/>
    <w:rsid w:val="005643CD"/>
    <w:pPr>
      <w:numPr>
        <w:ilvl w:val="5"/>
        <w:numId w:val="23"/>
      </w:numPr>
    </w:pPr>
  </w:style>
  <w:style w:type="paragraph" w:customStyle="1" w:styleId="Point2number">
    <w:name w:val="Point 2 (number)"/>
    <w:basedOn w:val="Normal"/>
    <w:rsid w:val="005643CD"/>
    <w:pPr>
      <w:numPr>
        <w:ilvl w:val="4"/>
        <w:numId w:val="23"/>
      </w:numPr>
    </w:pPr>
  </w:style>
  <w:style w:type="paragraph" w:customStyle="1" w:styleId="Point3">
    <w:name w:val="Point 3"/>
    <w:basedOn w:val="Normal"/>
    <w:rsid w:val="005643CD"/>
    <w:pPr>
      <w:ind w:left="2551" w:hanging="567"/>
    </w:pPr>
  </w:style>
  <w:style w:type="paragraph" w:customStyle="1" w:styleId="Point3letter">
    <w:name w:val="Point 3 (letter)"/>
    <w:basedOn w:val="Normal"/>
    <w:rsid w:val="005643CD"/>
    <w:pPr>
      <w:numPr>
        <w:ilvl w:val="7"/>
        <w:numId w:val="23"/>
      </w:numPr>
    </w:pPr>
  </w:style>
  <w:style w:type="paragraph" w:customStyle="1" w:styleId="Point3number">
    <w:name w:val="Point 3 (number)"/>
    <w:basedOn w:val="Normal"/>
    <w:rsid w:val="005643CD"/>
    <w:pPr>
      <w:numPr>
        <w:ilvl w:val="6"/>
        <w:numId w:val="23"/>
      </w:numPr>
    </w:pPr>
  </w:style>
  <w:style w:type="paragraph" w:customStyle="1" w:styleId="Point4">
    <w:name w:val="Point 4"/>
    <w:basedOn w:val="Normal"/>
    <w:rsid w:val="005643CD"/>
    <w:pPr>
      <w:ind w:left="3118" w:hanging="567"/>
    </w:pPr>
  </w:style>
  <w:style w:type="paragraph" w:customStyle="1" w:styleId="Point4letter">
    <w:name w:val="Point 4 (letter)"/>
    <w:basedOn w:val="Normal"/>
    <w:rsid w:val="005643CD"/>
    <w:pPr>
      <w:numPr>
        <w:ilvl w:val="8"/>
        <w:numId w:val="23"/>
      </w:numPr>
    </w:pPr>
  </w:style>
  <w:style w:type="paragraph" w:customStyle="1" w:styleId="PointDouble0">
    <w:name w:val="PointDouble 0"/>
    <w:basedOn w:val="Normal"/>
    <w:rsid w:val="005643CD"/>
    <w:pPr>
      <w:tabs>
        <w:tab w:val="left" w:pos="850"/>
      </w:tabs>
      <w:ind w:left="1417" w:hanging="1417"/>
    </w:pPr>
  </w:style>
  <w:style w:type="paragraph" w:customStyle="1" w:styleId="PointDouble1">
    <w:name w:val="PointDouble 1"/>
    <w:basedOn w:val="Normal"/>
    <w:rsid w:val="005643CD"/>
    <w:pPr>
      <w:tabs>
        <w:tab w:val="left" w:pos="1417"/>
      </w:tabs>
      <w:ind w:left="1984" w:hanging="1134"/>
    </w:pPr>
  </w:style>
  <w:style w:type="paragraph" w:customStyle="1" w:styleId="PointDouble2">
    <w:name w:val="PointDouble 2"/>
    <w:basedOn w:val="Normal"/>
    <w:rsid w:val="005643CD"/>
    <w:pPr>
      <w:tabs>
        <w:tab w:val="left" w:pos="1984"/>
      </w:tabs>
      <w:ind w:left="2551" w:hanging="1134"/>
    </w:pPr>
  </w:style>
  <w:style w:type="paragraph" w:customStyle="1" w:styleId="PointDouble3">
    <w:name w:val="PointDouble 3"/>
    <w:basedOn w:val="Normal"/>
    <w:rsid w:val="005643CD"/>
    <w:pPr>
      <w:tabs>
        <w:tab w:val="left" w:pos="2551"/>
      </w:tabs>
      <w:ind w:left="3118" w:hanging="1134"/>
    </w:pPr>
  </w:style>
  <w:style w:type="paragraph" w:customStyle="1" w:styleId="PointDouble4">
    <w:name w:val="PointDouble 4"/>
    <w:basedOn w:val="Normal"/>
    <w:rsid w:val="005643CD"/>
    <w:pPr>
      <w:tabs>
        <w:tab w:val="left" w:pos="3118"/>
      </w:tabs>
      <w:ind w:left="3685" w:hanging="1134"/>
    </w:pPr>
  </w:style>
  <w:style w:type="paragraph" w:customStyle="1" w:styleId="PointTriple0">
    <w:name w:val="PointTriple 0"/>
    <w:basedOn w:val="Normal"/>
    <w:rsid w:val="005643CD"/>
    <w:pPr>
      <w:tabs>
        <w:tab w:val="left" w:pos="850"/>
        <w:tab w:val="left" w:pos="1417"/>
      </w:tabs>
      <w:ind w:left="1984" w:hanging="1984"/>
    </w:pPr>
  </w:style>
  <w:style w:type="paragraph" w:customStyle="1" w:styleId="PointTriple1">
    <w:name w:val="PointTriple 1"/>
    <w:basedOn w:val="Normal"/>
    <w:rsid w:val="005643CD"/>
    <w:pPr>
      <w:tabs>
        <w:tab w:val="left" w:pos="1417"/>
        <w:tab w:val="left" w:pos="1984"/>
      </w:tabs>
      <w:ind w:left="2551" w:hanging="1701"/>
    </w:pPr>
  </w:style>
  <w:style w:type="paragraph" w:customStyle="1" w:styleId="PointTriple2">
    <w:name w:val="PointTriple 2"/>
    <w:basedOn w:val="Normal"/>
    <w:rsid w:val="005643CD"/>
    <w:pPr>
      <w:tabs>
        <w:tab w:val="left" w:pos="1984"/>
        <w:tab w:val="left" w:pos="2551"/>
      </w:tabs>
      <w:ind w:left="3118" w:hanging="1701"/>
    </w:pPr>
  </w:style>
  <w:style w:type="paragraph" w:customStyle="1" w:styleId="PointTriple3">
    <w:name w:val="PointTriple 3"/>
    <w:basedOn w:val="Normal"/>
    <w:rsid w:val="005643CD"/>
    <w:pPr>
      <w:tabs>
        <w:tab w:val="left" w:pos="2551"/>
        <w:tab w:val="left" w:pos="3118"/>
      </w:tabs>
      <w:ind w:left="3685" w:hanging="1701"/>
    </w:pPr>
  </w:style>
  <w:style w:type="paragraph" w:customStyle="1" w:styleId="PointTriple4">
    <w:name w:val="PointTriple 4"/>
    <w:basedOn w:val="Normal"/>
    <w:rsid w:val="005643CD"/>
    <w:pPr>
      <w:tabs>
        <w:tab w:val="left" w:pos="3118"/>
        <w:tab w:val="left" w:pos="3685"/>
      </w:tabs>
      <w:ind w:left="4252" w:hanging="1701"/>
    </w:pPr>
  </w:style>
  <w:style w:type="paragraph" w:customStyle="1" w:styleId="QuotedNumPar">
    <w:name w:val="Quoted NumPar"/>
    <w:basedOn w:val="Normal"/>
    <w:rsid w:val="005643CD"/>
    <w:pPr>
      <w:ind w:left="1417" w:hanging="567"/>
    </w:pPr>
  </w:style>
  <w:style w:type="paragraph" w:customStyle="1" w:styleId="QuotedText">
    <w:name w:val="Quoted Text"/>
    <w:basedOn w:val="Normal"/>
    <w:rsid w:val="005643CD"/>
    <w:pPr>
      <w:ind w:left="1417"/>
    </w:pPr>
  </w:style>
  <w:style w:type="paragraph" w:customStyle="1" w:styleId="Rfrencecroise">
    <w:name w:val="Référence croisée"/>
    <w:basedOn w:val="Normal"/>
    <w:rsid w:val="005643CD"/>
    <w:pPr>
      <w:spacing w:before="0" w:after="0"/>
      <w:jc w:val="center"/>
    </w:pPr>
  </w:style>
  <w:style w:type="paragraph" w:customStyle="1" w:styleId="Rfrenceinstitutionnelle">
    <w:name w:val="Référence institutionnelle"/>
    <w:basedOn w:val="Normal"/>
    <w:next w:val="Confidentialit"/>
    <w:rsid w:val="005643CD"/>
    <w:pPr>
      <w:spacing w:before="0" w:after="240"/>
      <w:ind w:left="5103"/>
      <w:jc w:val="left"/>
    </w:pPr>
  </w:style>
  <w:style w:type="paragraph" w:customStyle="1" w:styleId="Rfrenceinterinstitutionnelle">
    <w:name w:val="Référence interinstitutionnelle"/>
    <w:basedOn w:val="Normal"/>
    <w:next w:val="Normal"/>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ormal"/>
    <w:next w:val="Rfrenceinterinstitutionnelle"/>
    <w:rsid w:val="005643CD"/>
    <w:pPr>
      <w:spacing w:before="0" w:after="0"/>
      <w:ind w:left="5103"/>
      <w:jc w:val="left"/>
    </w:pPr>
  </w:style>
  <w:style w:type="paragraph" w:customStyle="1" w:styleId="SectionTitle">
    <w:name w:val="SectionTitle"/>
    <w:basedOn w:val="Normal"/>
    <w:next w:val="Heading1"/>
    <w:rsid w:val="005643CD"/>
    <w:pPr>
      <w:keepNext/>
      <w:spacing w:after="360"/>
      <w:jc w:val="center"/>
    </w:pPr>
    <w:rPr>
      <w:b/>
      <w:smallCaps/>
      <w:sz w:val="28"/>
    </w:rPr>
  </w:style>
  <w:style w:type="paragraph" w:customStyle="1" w:styleId="Sous-titreobjet">
    <w:name w:val="Sous-titre objet"/>
    <w:basedOn w:val="Normal"/>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ormal"/>
    <w:next w:val="Normal"/>
    <w:rsid w:val="005643CD"/>
    <w:pPr>
      <w:spacing w:before="360" w:after="0"/>
      <w:jc w:val="center"/>
    </w:pPr>
  </w:style>
  <w:style w:type="paragraph" w:customStyle="1" w:styleId="StatutPagedecouverture">
    <w:name w:val="Statut (Page de couverture)"/>
    <w:basedOn w:val="Statut"/>
    <w:next w:val="Normal"/>
    <w:rsid w:val="005643CD"/>
  </w:style>
  <w:style w:type="paragraph" w:customStyle="1" w:styleId="Supertitre">
    <w:name w:val="Supertitre"/>
    <w:basedOn w:val="Normal"/>
    <w:next w:val="Normal"/>
    <w:rsid w:val="005643CD"/>
    <w:pPr>
      <w:spacing w:before="0" w:after="600"/>
      <w:jc w:val="center"/>
    </w:pPr>
    <w:rPr>
      <w:b/>
    </w:rPr>
  </w:style>
  <w:style w:type="paragraph" w:customStyle="1" w:styleId="TableTitle">
    <w:name w:val="Table Title"/>
    <w:basedOn w:val="Normal"/>
    <w:next w:val="Normal"/>
    <w:rsid w:val="005643CD"/>
    <w:pPr>
      <w:jc w:val="center"/>
    </w:pPr>
    <w:rPr>
      <w:b/>
    </w:rPr>
  </w:style>
  <w:style w:type="paragraph" w:customStyle="1" w:styleId="Text1">
    <w:name w:val="Text 1"/>
    <w:basedOn w:val="Normal"/>
    <w:rsid w:val="005643CD"/>
    <w:pPr>
      <w:ind w:left="850"/>
    </w:pPr>
  </w:style>
  <w:style w:type="paragraph" w:customStyle="1" w:styleId="Text2">
    <w:name w:val="Text 2"/>
    <w:basedOn w:val="Normal"/>
    <w:rsid w:val="005643CD"/>
    <w:pPr>
      <w:ind w:left="1417"/>
    </w:pPr>
  </w:style>
  <w:style w:type="paragraph" w:customStyle="1" w:styleId="Text3">
    <w:name w:val="Text 3"/>
    <w:basedOn w:val="Normal"/>
    <w:rsid w:val="005643CD"/>
    <w:pPr>
      <w:ind w:left="1984"/>
    </w:pPr>
  </w:style>
  <w:style w:type="paragraph" w:customStyle="1" w:styleId="Text4">
    <w:name w:val="Text 4"/>
    <w:basedOn w:val="Normal"/>
    <w:rsid w:val="005643CD"/>
    <w:pPr>
      <w:ind w:left="2551"/>
    </w:pPr>
  </w:style>
  <w:style w:type="paragraph" w:customStyle="1" w:styleId="Tiret0">
    <w:name w:val="Tiret 0"/>
    <w:basedOn w:val="Point0"/>
    <w:rsid w:val="005643CD"/>
    <w:pPr>
      <w:numPr>
        <w:numId w:val="24"/>
      </w:numPr>
    </w:pPr>
  </w:style>
  <w:style w:type="paragraph" w:customStyle="1" w:styleId="Tiret1">
    <w:name w:val="Tiret 1"/>
    <w:basedOn w:val="Point1"/>
    <w:rsid w:val="005643CD"/>
    <w:pPr>
      <w:numPr>
        <w:numId w:val="25"/>
      </w:numPr>
    </w:pPr>
  </w:style>
  <w:style w:type="paragraph" w:customStyle="1" w:styleId="Tiret2">
    <w:name w:val="Tiret 2"/>
    <w:basedOn w:val="Point2"/>
    <w:rsid w:val="005643CD"/>
    <w:pPr>
      <w:numPr>
        <w:numId w:val="26"/>
      </w:numPr>
    </w:pPr>
  </w:style>
  <w:style w:type="paragraph" w:customStyle="1" w:styleId="Tiret3">
    <w:name w:val="Tiret 3"/>
    <w:basedOn w:val="Point3"/>
    <w:rsid w:val="005643CD"/>
    <w:pPr>
      <w:numPr>
        <w:numId w:val="27"/>
      </w:numPr>
    </w:pPr>
  </w:style>
  <w:style w:type="paragraph" w:customStyle="1" w:styleId="Tiret4">
    <w:name w:val="Tiret 4"/>
    <w:basedOn w:val="Point4"/>
    <w:rsid w:val="005643CD"/>
    <w:pPr>
      <w:numPr>
        <w:numId w:val="28"/>
      </w:numPr>
    </w:pPr>
  </w:style>
  <w:style w:type="paragraph" w:customStyle="1" w:styleId="Titrearticle">
    <w:name w:val="Titre article"/>
    <w:basedOn w:val="Normal"/>
    <w:next w:val="Normal"/>
    <w:rsid w:val="005643CD"/>
    <w:pPr>
      <w:keepNext/>
      <w:spacing w:before="360"/>
      <w:jc w:val="center"/>
    </w:pPr>
    <w:rPr>
      <w:i/>
    </w:rPr>
  </w:style>
  <w:style w:type="paragraph" w:customStyle="1" w:styleId="Titreobjet">
    <w:name w:val="Titre objet"/>
    <w:basedOn w:val="Normal"/>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TOC1">
    <w:name w:val="toc 1"/>
    <w:basedOn w:val="Normal"/>
    <w:next w:val="Normal"/>
    <w:uiPriority w:val="39"/>
    <w:rsid w:val="005643CD"/>
    <w:pPr>
      <w:tabs>
        <w:tab w:val="right" w:leader="dot" w:pos="9071"/>
      </w:tabs>
      <w:spacing w:before="60"/>
      <w:ind w:left="850" w:hanging="850"/>
      <w:jc w:val="left"/>
    </w:pPr>
  </w:style>
  <w:style w:type="paragraph" w:styleId="TOC2">
    <w:name w:val="toc 2"/>
    <w:basedOn w:val="Normal"/>
    <w:next w:val="Normal"/>
    <w:uiPriority w:val="39"/>
    <w:rsid w:val="005643CD"/>
    <w:pPr>
      <w:tabs>
        <w:tab w:val="right" w:leader="dot" w:pos="9071"/>
      </w:tabs>
      <w:spacing w:before="60"/>
      <w:ind w:left="850" w:hanging="850"/>
      <w:jc w:val="left"/>
    </w:pPr>
  </w:style>
  <w:style w:type="paragraph" w:styleId="TOC3">
    <w:name w:val="toc 3"/>
    <w:basedOn w:val="Normal"/>
    <w:next w:val="Normal"/>
    <w:uiPriority w:val="39"/>
    <w:rsid w:val="005643CD"/>
    <w:pPr>
      <w:tabs>
        <w:tab w:val="right" w:leader="dot" w:pos="9071"/>
      </w:tabs>
      <w:spacing w:before="60"/>
      <w:ind w:left="850" w:hanging="850"/>
      <w:jc w:val="left"/>
    </w:pPr>
  </w:style>
  <w:style w:type="paragraph" w:styleId="TOC4">
    <w:name w:val="toc 4"/>
    <w:basedOn w:val="Normal"/>
    <w:next w:val="Normal"/>
    <w:semiHidden/>
    <w:rsid w:val="005643CD"/>
    <w:pPr>
      <w:tabs>
        <w:tab w:val="right" w:leader="dot" w:pos="9071"/>
      </w:tabs>
      <w:spacing w:before="60"/>
      <w:ind w:left="850" w:hanging="850"/>
      <w:jc w:val="left"/>
    </w:pPr>
  </w:style>
  <w:style w:type="paragraph" w:styleId="TOC5">
    <w:name w:val="toc 5"/>
    <w:basedOn w:val="Normal"/>
    <w:next w:val="Normal"/>
    <w:semiHidden/>
    <w:rsid w:val="005643CD"/>
    <w:pPr>
      <w:tabs>
        <w:tab w:val="right" w:leader="dot" w:pos="9071"/>
      </w:tabs>
      <w:spacing w:before="300"/>
      <w:jc w:val="left"/>
    </w:pPr>
  </w:style>
  <w:style w:type="paragraph" w:styleId="TOC6">
    <w:name w:val="toc 6"/>
    <w:basedOn w:val="Normal"/>
    <w:next w:val="Normal"/>
    <w:semiHidden/>
    <w:rsid w:val="005643CD"/>
    <w:pPr>
      <w:tabs>
        <w:tab w:val="right" w:leader="dot" w:pos="9071"/>
      </w:tabs>
      <w:spacing w:before="240"/>
      <w:jc w:val="left"/>
    </w:pPr>
  </w:style>
  <w:style w:type="paragraph" w:styleId="TOC7">
    <w:name w:val="toc 7"/>
    <w:basedOn w:val="Normal"/>
    <w:next w:val="Normal"/>
    <w:semiHidden/>
    <w:rsid w:val="005643CD"/>
    <w:pPr>
      <w:tabs>
        <w:tab w:val="right" w:leader="dot" w:pos="9071"/>
      </w:tabs>
      <w:spacing w:before="180"/>
      <w:jc w:val="left"/>
    </w:pPr>
  </w:style>
  <w:style w:type="paragraph" w:styleId="TOC8">
    <w:name w:val="toc 8"/>
    <w:basedOn w:val="Normal"/>
    <w:next w:val="Normal"/>
    <w:semiHidden/>
    <w:rsid w:val="005643CD"/>
    <w:pPr>
      <w:tabs>
        <w:tab w:val="right" w:leader="dot" w:pos="9071"/>
      </w:tabs>
      <w:jc w:val="left"/>
    </w:pPr>
  </w:style>
  <w:style w:type="paragraph" w:styleId="TOC9">
    <w:name w:val="toc 9"/>
    <w:basedOn w:val="Normal"/>
    <w:next w:val="Normal"/>
    <w:semiHidden/>
    <w:rsid w:val="005643CD"/>
    <w:pPr>
      <w:tabs>
        <w:tab w:val="right" w:leader="dot" w:pos="9071"/>
      </w:tabs>
    </w:pPr>
  </w:style>
  <w:style w:type="paragraph" w:styleId="TOCHeading">
    <w:name w:val="TOC Heading"/>
    <w:basedOn w:val="Normal"/>
    <w:next w:val="Normal"/>
    <w:link w:val="TOCHeadingChar"/>
    <w:uiPriority w:val="39"/>
    <w:qFormat/>
    <w:rsid w:val="005643CD"/>
    <w:pPr>
      <w:spacing w:after="240"/>
      <w:jc w:val="center"/>
    </w:pPr>
    <w:rPr>
      <w:b/>
      <w:sz w:val="28"/>
    </w:rPr>
  </w:style>
  <w:style w:type="paragraph" w:customStyle="1" w:styleId="Typeacteprincipal">
    <w:name w:val="Type acte principal"/>
    <w:basedOn w:val="Normal"/>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ormal"/>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ormal"/>
    <w:next w:val="Confidentialit"/>
    <w:rsid w:val="005643CD"/>
    <w:pPr>
      <w:spacing w:before="0" w:after="240"/>
      <w:ind w:left="5103"/>
      <w:jc w:val="left"/>
    </w:pPr>
  </w:style>
  <w:style w:type="character" w:styleId="Hyperlink">
    <w:name w:val="Hyperlink"/>
    <w:uiPriority w:val="99"/>
    <w:unhideWhenUsed/>
    <w:rsid w:val="003052E0"/>
    <w:rPr>
      <w:color w:val="0000FF"/>
      <w:u w:val="single"/>
    </w:rPr>
  </w:style>
  <w:style w:type="character" w:customStyle="1" w:styleId="HeaderChar">
    <w:name w:val="Header Char"/>
    <w:link w:val="Header"/>
    <w:uiPriority w:val="99"/>
    <w:rsid w:val="003052E0"/>
    <w:rPr>
      <w:sz w:val="24"/>
      <w:szCs w:val="24"/>
      <w:lang w:eastAsia="bg-BG"/>
    </w:rPr>
  </w:style>
  <w:style w:type="character" w:customStyle="1" w:styleId="FooterChar">
    <w:name w:val="Footer Char"/>
    <w:link w:val="Footer"/>
    <w:uiPriority w:val="99"/>
    <w:rsid w:val="003052E0"/>
    <w:rPr>
      <w:sz w:val="24"/>
      <w:szCs w:val="24"/>
      <w:lang w:eastAsia="bg-BG"/>
    </w:rPr>
  </w:style>
  <w:style w:type="character" w:customStyle="1" w:styleId="FootnoteTextChar">
    <w:name w:val="Footnote Text Char"/>
    <w:link w:val="FootnoteText"/>
    <w:uiPriority w:val="99"/>
    <w:semiHidden/>
    <w:rsid w:val="003052E0"/>
    <w:rPr>
      <w:lang w:eastAsia="bg-BG"/>
    </w:rPr>
  </w:style>
  <w:style w:type="character" w:customStyle="1" w:styleId="Heading1Char">
    <w:name w:val="Heading 1 Char"/>
    <w:link w:val="Heading1"/>
    <w:rsid w:val="00E06DD8"/>
    <w:rPr>
      <w:b/>
      <w:bCs/>
      <w:smallCaps/>
      <w:sz w:val="24"/>
      <w:szCs w:val="32"/>
      <w:lang w:eastAsia="bg-BG"/>
    </w:rPr>
  </w:style>
  <w:style w:type="character" w:customStyle="1" w:styleId="Heading2Char">
    <w:name w:val="Heading 2 Char"/>
    <w:link w:val="Heading2"/>
    <w:rsid w:val="00E06DD8"/>
    <w:rPr>
      <w:b/>
      <w:bCs/>
      <w:iCs/>
      <w:sz w:val="24"/>
      <w:szCs w:val="28"/>
      <w:lang w:eastAsia="bg-BG"/>
    </w:rPr>
  </w:style>
  <w:style w:type="character" w:customStyle="1" w:styleId="Heading3Char">
    <w:name w:val="Heading 3 Char"/>
    <w:link w:val="Heading3"/>
    <w:rsid w:val="003052E0"/>
    <w:rPr>
      <w:bCs/>
      <w:i/>
      <w:sz w:val="24"/>
      <w:szCs w:val="26"/>
      <w:lang w:eastAsia="bg-BG"/>
    </w:rPr>
  </w:style>
  <w:style w:type="paragraph" w:customStyle="1" w:styleId="FooterCoverPage">
    <w:name w:val="Footer Cover Page"/>
    <w:basedOn w:val="Normal"/>
    <w:link w:val="FooterCoverPageChar"/>
    <w:rsid w:val="00ED7E2B"/>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sid w:val="00ED7E2B"/>
    <w:rPr>
      <w:b/>
      <w:sz w:val="28"/>
      <w:szCs w:val="24"/>
      <w:shd w:val="clear" w:color="auto" w:fill="auto"/>
      <w:lang w:eastAsia="bg-BG"/>
    </w:rPr>
  </w:style>
  <w:style w:type="character" w:customStyle="1" w:styleId="FooterCoverPageChar">
    <w:name w:val="Footer Cover Page Char"/>
    <w:link w:val="FooterCoverPage"/>
    <w:rsid w:val="00ED7E2B"/>
    <w:rPr>
      <w:sz w:val="24"/>
      <w:szCs w:val="24"/>
    </w:rPr>
  </w:style>
  <w:style w:type="paragraph" w:customStyle="1" w:styleId="HeaderCoverPage">
    <w:name w:val="Header Cover Page"/>
    <w:basedOn w:val="Normal"/>
    <w:link w:val="HeaderCoverPageChar"/>
    <w:rsid w:val="00ED7E2B"/>
    <w:pPr>
      <w:tabs>
        <w:tab w:val="center" w:pos="4535"/>
        <w:tab w:val="right" w:pos="9071"/>
      </w:tabs>
      <w:spacing w:before="0"/>
    </w:pPr>
  </w:style>
  <w:style w:type="character" w:customStyle="1" w:styleId="HeaderCoverPageChar">
    <w:name w:val="Header Cover Page Char"/>
    <w:link w:val="HeaderCoverPage"/>
    <w:rsid w:val="00ED7E2B"/>
    <w:rPr>
      <w:sz w:val="24"/>
      <w:szCs w:val="24"/>
    </w:rPr>
  </w:style>
  <w:style w:type="paragraph" w:styleId="BalloonText">
    <w:name w:val="Balloon Text"/>
    <w:basedOn w:val="Normal"/>
    <w:link w:val="BalloonTextChar"/>
    <w:rsid w:val="00A3056F"/>
    <w:pPr>
      <w:spacing w:before="0" w:after="0"/>
    </w:pPr>
    <w:rPr>
      <w:rFonts w:ascii="Tahoma" w:hAnsi="Tahoma" w:cs="Tahoma"/>
      <w:sz w:val="16"/>
      <w:szCs w:val="16"/>
    </w:rPr>
  </w:style>
  <w:style w:type="character" w:customStyle="1" w:styleId="BalloonTextChar">
    <w:name w:val="Balloon Text Char"/>
    <w:link w:val="BalloonText"/>
    <w:rsid w:val="00A3056F"/>
    <w:rPr>
      <w:rFonts w:ascii="Tahoma" w:hAnsi="Tahoma" w:cs="Tahoma"/>
      <w:sz w:val="16"/>
      <w:szCs w:val="16"/>
      <w:shd w:val="clear" w:color="auto" w:fill="auto"/>
      <w:lang w:eastAsia="bg-BG"/>
    </w:rPr>
  </w:style>
  <w:style w:type="character" w:styleId="CommentReference">
    <w:name w:val="annotation reference"/>
    <w:rsid w:val="00095D6B"/>
    <w:rPr>
      <w:sz w:val="16"/>
      <w:szCs w:val="16"/>
      <w:shd w:val="clear" w:color="auto" w:fill="auto"/>
    </w:rPr>
  </w:style>
  <w:style w:type="paragraph" w:styleId="CommentText">
    <w:name w:val="annotation text"/>
    <w:basedOn w:val="Normal"/>
    <w:link w:val="CommentTextChar"/>
    <w:rsid w:val="00095D6B"/>
    <w:rPr>
      <w:sz w:val="20"/>
      <w:szCs w:val="20"/>
    </w:rPr>
  </w:style>
  <w:style w:type="character" w:customStyle="1" w:styleId="CommentTextChar">
    <w:name w:val="Comment Text Char"/>
    <w:link w:val="CommentText"/>
    <w:rsid w:val="00095D6B"/>
    <w:rPr>
      <w:shd w:val="clear" w:color="auto" w:fill="auto"/>
      <w:lang w:eastAsia="bg-BG"/>
    </w:rPr>
  </w:style>
  <w:style w:type="paragraph" w:styleId="Revision">
    <w:name w:val="Revision"/>
    <w:hidden/>
    <w:uiPriority w:val="99"/>
    <w:semiHidden/>
    <w:rsid w:val="00095D6B"/>
    <w:rPr>
      <w:sz w:val="24"/>
      <w:szCs w:val="24"/>
    </w:rPr>
  </w:style>
  <w:style w:type="paragraph" w:styleId="ListParagraph">
    <w:name w:val="List Paragraph"/>
    <w:basedOn w:val="Normal"/>
    <w:uiPriority w:val="34"/>
    <w:qFormat/>
    <w:rsid w:val="00DE44D1"/>
    <w:pPr>
      <w:ind w:left="720"/>
    </w:pPr>
  </w:style>
  <w:style w:type="paragraph" w:styleId="ListBullet">
    <w:name w:val="List Bullet"/>
    <w:basedOn w:val="Normal"/>
    <w:rsid w:val="00AA520E"/>
    <w:pPr>
      <w:numPr>
        <w:numId w:val="41"/>
      </w:numPr>
      <w:spacing w:before="0" w:after="0"/>
      <w:jc w:val="left"/>
    </w:pPr>
  </w:style>
  <w:style w:type="character" w:styleId="FollowedHyperlink">
    <w:name w:val="FollowedHyperlink"/>
    <w:rsid w:val="00AD3027"/>
    <w:rPr>
      <w:color w:val="800080"/>
      <w:u w:val="single"/>
      <w:shd w:val="clear" w:color="auto" w:fill="auto"/>
    </w:rPr>
  </w:style>
  <w:style w:type="paragraph" w:customStyle="1" w:styleId="Default">
    <w:name w:val="Default"/>
    <w:rsid w:val="008A64A0"/>
    <w:pPr>
      <w:autoSpaceDE w:val="0"/>
      <w:autoSpaceDN w:val="0"/>
      <w:adjustRightInd w:val="0"/>
    </w:pPr>
    <w:rPr>
      <w:rFonts w:ascii="Verdana" w:hAnsi="Verdana" w:cs="Verdana"/>
      <w:color w:val="000000"/>
      <w:sz w:val="24"/>
      <w:szCs w:val="24"/>
    </w:rPr>
  </w:style>
  <w:style w:type="character" w:customStyle="1" w:styleId="st">
    <w:name w:val="st"/>
    <w:rsid w:val="008F0C09"/>
  </w:style>
  <w:style w:type="paragraph" w:styleId="CommentSubject">
    <w:name w:val="annotation subject"/>
    <w:basedOn w:val="CommentText"/>
    <w:next w:val="CommentText"/>
    <w:link w:val="CommentSubjectChar"/>
    <w:rsid w:val="00C12C5E"/>
    <w:rPr>
      <w:b/>
      <w:bCs/>
    </w:rPr>
  </w:style>
  <w:style w:type="character" w:customStyle="1" w:styleId="CommentSubjectChar">
    <w:name w:val="Comment Subject Char"/>
    <w:link w:val="CommentSubject"/>
    <w:rsid w:val="00C12C5E"/>
    <w:rPr>
      <w:b/>
      <w:bCs/>
      <w:shd w:val="clear" w:color="auto" w:fill="auto"/>
      <w:lang w:eastAsia="bg-BG"/>
    </w:rPr>
  </w:style>
  <w:style w:type="paragraph" w:styleId="NormalWeb">
    <w:name w:val="Normal (Web)"/>
    <w:basedOn w:val="Normal"/>
    <w:uiPriority w:val="99"/>
    <w:unhideWhenUsed/>
    <w:rsid w:val="00667430"/>
    <w:pPr>
      <w:spacing w:before="75" w:after="75"/>
      <w:jc w:val="left"/>
    </w:pPr>
  </w:style>
  <w:style w:type="character" w:customStyle="1" w:styleId="st1">
    <w:name w:val="st1"/>
    <w:basedOn w:val="DefaultParagraphFont"/>
    <w:rsid w:val="008B0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59259">
      <w:bodyDiv w:val="1"/>
      <w:marLeft w:val="0"/>
      <w:marRight w:val="0"/>
      <w:marTop w:val="0"/>
      <w:marBottom w:val="0"/>
      <w:divBdr>
        <w:top w:val="none" w:sz="0" w:space="0" w:color="auto"/>
        <w:left w:val="none" w:sz="0" w:space="0" w:color="auto"/>
        <w:bottom w:val="none" w:sz="0" w:space="0" w:color="auto"/>
        <w:right w:val="none" w:sz="0" w:space="0" w:color="auto"/>
      </w:divBdr>
    </w:div>
    <w:div w:id="471991321">
      <w:bodyDiv w:val="1"/>
      <w:marLeft w:val="0"/>
      <w:marRight w:val="0"/>
      <w:marTop w:val="0"/>
      <w:marBottom w:val="0"/>
      <w:divBdr>
        <w:top w:val="none" w:sz="0" w:space="0" w:color="auto"/>
        <w:left w:val="none" w:sz="0" w:space="0" w:color="auto"/>
        <w:bottom w:val="none" w:sz="0" w:space="0" w:color="auto"/>
        <w:right w:val="none" w:sz="0" w:space="0" w:color="auto"/>
      </w:divBdr>
      <w:divsChild>
        <w:div w:id="861280949">
          <w:marLeft w:val="0"/>
          <w:marRight w:val="0"/>
          <w:marTop w:val="0"/>
          <w:marBottom w:val="0"/>
          <w:divBdr>
            <w:top w:val="none" w:sz="0" w:space="0" w:color="auto"/>
            <w:left w:val="none" w:sz="0" w:space="0" w:color="auto"/>
            <w:bottom w:val="none" w:sz="0" w:space="0" w:color="auto"/>
            <w:right w:val="none" w:sz="0" w:space="0" w:color="auto"/>
          </w:divBdr>
          <w:divsChild>
            <w:div w:id="229117567">
              <w:marLeft w:val="0"/>
              <w:marRight w:val="0"/>
              <w:marTop w:val="0"/>
              <w:marBottom w:val="0"/>
              <w:divBdr>
                <w:top w:val="none" w:sz="0" w:space="0" w:color="auto"/>
                <w:left w:val="none" w:sz="0" w:space="0" w:color="auto"/>
                <w:bottom w:val="none" w:sz="0" w:space="0" w:color="auto"/>
                <w:right w:val="none" w:sz="0" w:space="0" w:color="auto"/>
              </w:divBdr>
              <w:divsChild>
                <w:div w:id="1105921982">
                  <w:marLeft w:val="0"/>
                  <w:marRight w:val="15"/>
                  <w:marTop w:val="900"/>
                  <w:marBottom w:val="375"/>
                  <w:divBdr>
                    <w:top w:val="none" w:sz="0" w:space="0" w:color="auto"/>
                    <w:left w:val="none" w:sz="0" w:space="0" w:color="auto"/>
                    <w:bottom w:val="none" w:sz="0" w:space="0" w:color="auto"/>
                    <w:right w:val="none" w:sz="0" w:space="0" w:color="auto"/>
                  </w:divBdr>
                </w:div>
              </w:divsChild>
            </w:div>
          </w:divsChild>
        </w:div>
      </w:divsChild>
    </w:div>
    <w:div w:id="539321609">
      <w:bodyDiv w:val="1"/>
      <w:marLeft w:val="0"/>
      <w:marRight w:val="0"/>
      <w:marTop w:val="0"/>
      <w:marBottom w:val="0"/>
      <w:divBdr>
        <w:top w:val="none" w:sz="0" w:space="0" w:color="auto"/>
        <w:left w:val="none" w:sz="0" w:space="0" w:color="auto"/>
        <w:bottom w:val="none" w:sz="0" w:space="0" w:color="auto"/>
        <w:right w:val="none" w:sz="0" w:space="0" w:color="auto"/>
      </w:divBdr>
    </w:div>
    <w:div w:id="556236363">
      <w:bodyDiv w:val="1"/>
      <w:marLeft w:val="0"/>
      <w:marRight w:val="0"/>
      <w:marTop w:val="0"/>
      <w:marBottom w:val="0"/>
      <w:divBdr>
        <w:top w:val="none" w:sz="0" w:space="0" w:color="auto"/>
        <w:left w:val="none" w:sz="0" w:space="0" w:color="auto"/>
        <w:bottom w:val="none" w:sz="0" w:space="0" w:color="auto"/>
        <w:right w:val="none" w:sz="0" w:space="0" w:color="auto"/>
      </w:divBdr>
      <w:divsChild>
        <w:div w:id="1396973504">
          <w:marLeft w:val="0"/>
          <w:marRight w:val="0"/>
          <w:marTop w:val="0"/>
          <w:marBottom w:val="0"/>
          <w:divBdr>
            <w:top w:val="none" w:sz="0" w:space="0" w:color="auto"/>
            <w:left w:val="none" w:sz="0" w:space="0" w:color="auto"/>
            <w:bottom w:val="none" w:sz="0" w:space="0" w:color="auto"/>
            <w:right w:val="none" w:sz="0" w:space="0" w:color="auto"/>
          </w:divBdr>
          <w:divsChild>
            <w:div w:id="134107340">
              <w:marLeft w:val="0"/>
              <w:marRight w:val="0"/>
              <w:marTop w:val="0"/>
              <w:marBottom w:val="0"/>
              <w:divBdr>
                <w:top w:val="none" w:sz="0" w:space="0" w:color="auto"/>
                <w:left w:val="none" w:sz="0" w:space="0" w:color="auto"/>
                <w:bottom w:val="none" w:sz="0" w:space="0" w:color="auto"/>
                <w:right w:val="none" w:sz="0" w:space="0" w:color="auto"/>
              </w:divBdr>
              <w:divsChild>
                <w:div w:id="2138524420">
                  <w:marLeft w:val="0"/>
                  <w:marRight w:val="0"/>
                  <w:marTop w:val="0"/>
                  <w:marBottom w:val="0"/>
                  <w:divBdr>
                    <w:top w:val="none" w:sz="0" w:space="0" w:color="auto"/>
                    <w:left w:val="none" w:sz="0" w:space="0" w:color="auto"/>
                    <w:bottom w:val="none" w:sz="0" w:space="0" w:color="auto"/>
                    <w:right w:val="none" w:sz="0" w:space="0" w:color="auto"/>
                  </w:divBdr>
                  <w:divsChild>
                    <w:div w:id="67927402">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019590">
      <w:bodyDiv w:val="1"/>
      <w:marLeft w:val="0"/>
      <w:marRight w:val="0"/>
      <w:marTop w:val="0"/>
      <w:marBottom w:val="0"/>
      <w:divBdr>
        <w:top w:val="none" w:sz="0" w:space="0" w:color="auto"/>
        <w:left w:val="none" w:sz="0" w:space="0" w:color="auto"/>
        <w:bottom w:val="none" w:sz="0" w:space="0" w:color="auto"/>
        <w:right w:val="none" w:sz="0" w:space="0" w:color="auto"/>
      </w:divBdr>
    </w:div>
    <w:div w:id="900334918">
      <w:bodyDiv w:val="1"/>
      <w:marLeft w:val="0"/>
      <w:marRight w:val="0"/>
      <w:marTop w:val="0"/>
      <w:marBottom w:val="0"/>
      <w:divBdr>
        <w:top w:val="none" w:sz="0" w:space="0" w:color="auto"/>
        <w:left w:val="none" w:sz="0" w:space="0" w:color="auto"/>
        <w:bottom w:val="none" w:sz="0" w:space="0" w:color="auto"/>
        <w:right w:val="none" w:sz="0" w:space="0" w:color="auto"/>
      </w:divBdr>
    </w:div>
    <w:div w:id="1055154351">
      <w:bodyDiv w:val="1"/>
      <w:marLeft w:val="0"/>
      <w:marRight w:val="0"/>
      <w:marTop w:val="0"/>
      <w:marBottom w:val="0"/>
      <w:divBdr>
        <w:top w:val="none" w:sz="0" w:space="0" w:color="auto"/>
        <w:left w:val="none" w:sz="0" w:space="0" w:color="auto"/>
        <w:bottom w:val="none" w:sz="0" w:space="0" w:color="auto"/>
        <w:right w:val="none" w:sz="0" w:space="0" w:color="auto"/>
      </w:divBdr>
    </w:div>
    <w:div w:id="1424641517">
      <w:bodyDiv w:val="1"/>
      <w:marLeft w:val="0"/>
      <w:marRight w:val="0"/>
      <w:marTop w:val="0"/>
      <w:marBottom w:val="0"/>
      <w:divBdr>
        <w:top w:val="none" w:sz="0" w:space="0" w:color="auto"/>
        <w:left w:val="none" w:sz="0" w:space="0" w:color="auto"/>
        <w:bottom w:val="none" w:sz="0" w:space="0" w:color="auto"/>
        <w:right w:val="none" w:sz="0" w:space="0" w:color="auto"/>
      </w:divBdr>
    </w:div>
    <w:div w:id="1444808554">
      <w:bodyDiv w:val="1"/>
      <w:marLeft w:val="0"/>
      <w:marRight w:val="0"/>
      <w:marTop w:val="0"/>
      <w:marBottom w:val="0"/>
      <w:divBdr>
        <w:top w:val="none" w:sz="0" w:space="0" w:color="auto"/>
        <w:left w:val="none" w:sz="0" w:space="0" w:color="auto"/>
        <w:bottom w:val="none" w:sz="0" w:space="0" w:color="auto"/>
        <w:right w:val="none" w:sz="0" w:space="0" w:color="auto"/>
      </w:divBdr>
    </w:div>
    <w:div w:id="1717587794">
      <w:bodyDiv w:val="1"/>
      <w:marLeft w:val="0"/>
      <w:marRight w:val="0"/>
      <w:marTop w:val="0"/>
      <w:marBottom w:val="0"/>
      <w:divBdr>
        <w:top w:val="none" w:sz="0" w:space="0" w:color="auto"/>
        <w:left w:val="none" w:sz="0" w:space="0" w:color="auto"/>
        <w:bottom w:val="none" w:sz="0" w:space="0" w:color="auto"/>
        <w:right w:val="none" w:sz="0" w:space="0" w:color="auto"/>
      </w:divBdr>
    </w:div>
    <w:div w:id="209173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www.fao.org/fao-who-codexalimentarius/download/standards/34/CXG_002e_2015.pdf" TargetMode="External"/><Relationship Id="rId13" Type="http://schemas.openxmlformats.org/officeDocument/2006/relationships/hyperlink" Target="http://netbeer.org/downloads/EBCU%20Manifesto%202009-2014.pdf" TargetMode="External"/><Relationship Id="rId18" Type="http://schemas.openxmlformats.org/officeDocument/2006/relationships/hyperlink" Target="http://www.wineinmoderation.eu/en/content/Wine-Diet.82/" TargetMode="External"/><Relationship Id="rId26" Type="http://schemas.openxmlformats.org/officeDocument/2006/relationships/hyperlink" Target="http://data.consilium.europa.eu/doc/document/ST-15050-2015-INIT/en/pdf" TargetMode="External"/><Relationship Id="rId3" Type="http://schemas.openxmlformats.org/officeDocument/2006/relationships/hyperlink" Target="http://eur-lex.europa.eu/legal-content/EN/TXT/?uri=COM:2008:0040:FIN" TargetMode="External"/><Relationship Id="rId21" Type="http://schemas.openxmlformats.org/officeDocument/2006/relationships/hyperlink" Target="https://webgate.ec.europa.eu/sanco/heidi/eahf/commitment/view/1721" TargetMode="External"/><Relationship Id="rId7" Type="http://schemas.openxmlformats.org/officeDocument/2006/relationships/hyperlink" Target="http://www.codexalimentarius.org/download/standards/32/CXS_001e.pdf" TargetMode="External"/><Relationship Id="rId12" Type="http://schemas.openxmlformats.org/officeDocument/2006/relationships/hyperlink" Target="file:///C:\Users\pelsssa\AppData\Local\Microsoft\Windows\Temporary%20Internet%20Files\Content.Outlook\QRBRV2F6\%D0%98%D0%BD%D1%84%D0%BE%D1%80%D0%BC%D0%B8%D1%80%D0%B0%D0%BD%20%D0%B8%D0%B7%D0%B1%D0%BE%D1%80%20%D0%BD%D0%B0%20%D1%85%D1%80%D0%B0%D0%BD%D0%B8%D1%82%D0%B5%D0%BB%D0%BD%D0%B8%20%D0%BF%D1%80%D0%BE%D0%B4%D1%83%D0%BA%D1%82%D0%B8%20%D1%81%20%D0%BE%D0%B3%D0%BB%D0%B5%D0%B4%20%D0%BF%D0%BE%D0%B4%D0%BE%D0%B1%D1%80%D1%8F%D0%B2%D0%B0%D0%BD%D0%B5%20%D0%B7%D0%B4%D1%80%D0%B0%D0%B2%D0%B5%D1%82%D0%BE%20%D0%BD%D0%B0%20%D0%BF%D0%BE%D1%82%D1%80%D0%B5%D0%B1%D0%B8%D1%82%D0%B5%D0%BB%D0%B8%D1%82%D0%B5%20%E2%80%94%20%D0%A1%D1%82%D0%B0%D0%BD%D0%BE%D0%B2%D0%B8%D1%89%D0%B5%20%D0%BD%D0%B0%20%D0%95%D0%B2%D1%80%D0%BE%D0%BF%D0%B5%D0%B9%D1%81%D0%BA%D0%B0%D1%82%D0%B0%20%D0%BE%D1%80%D0%B3%D0%B0%D0%BD%D0%B8%D0%B7%D0%B0%D1%86%D0%B8%D1%8F%20%D0%BD%D0%B0%20%D0%BF%D0%BE%D1%82%D1%80%D0%B5%D0%B1%D0%B8%D1%82%D0%B5%D0%BB%D0%B8%D1%82%D0%B5%20(BEUC)%20%D0%BE%D1%82%D0%BD%D0%BE%D1%81%D0%BD%D0%BE%20%D1%85%D1%80%D0%B0%D0%BD%D0%B5%D0%BD%D0%B5%D1%82%D0%BE%20(2015)." TargetMode="External"/><Relationship Id="rId17" Type="http://schemas.openxmlformats.org/officeDocument/2006/relationships/hyperlink" Target="http://spirits.eu/page.php?id=28&amp;parent_id=5" TargetMode="External"/><Relationship Id="rId25" Type="http://schemas.openxmlformats.org/officeDocument/2006/relationships/hyperlink" Target="http://www.europarl.europa.eu/sides/getDoc.do?pubRef=-//EP//TEXT+TA+P8-TA-2015-0174+0+DOC+XML+V0//EN" TargetMode="External"/><Relationship Id="rId2" Type="http://schemas.openxmlformats.org/officeDocument/2006/relationships/hyperlink" Target="http://eur-lex.europa.eu/legal-content/EN/TXT/?uri=celex:32003L0089F" TargetMode="External"/><Relationship Id="rId16" Type="http://schemas.openxmlformats.org/officeDocument/2006/relationships/hyperlink" Target="http://www.brewersofeurope.org/uploads/mycms-files/documents/publications/2014/european-beer-pledge-2014-web.pdf" TargetMode="External"/><Relationship Id="rId20" Type="http://schemas.openxmlformats.org/officeDocument/2006/relationships/hyperlink" Target="https://webgate.ec.europa.eu/sanco/heidi/eahf/commitment/view/1722" TargetMode="External"/><Relationship Id="rId1" Type="http://schemas.openxmlformats.org/officeDocument/2006/relationships/hyperlink" Target="http://eur-lex.europa.eu/legal-content/en/ALL/?uri=CELEX:31979L0112" TargetMode="External"/><Relationship Id="rId6" Type="http://schemas.openxmlformats.org/officeDocument/2006/relationships/hyperlink" Target="http://eur-lex.europa.eu/legal-content/en/ALL/?uri=CELEX:32006R1924" TargetMode="External"/><Relationship Id="rId11" Type="http://schemas.openxmlformats.org/officeDocument/2006/relationships/hyperlink" Target="http://www.dhs.de/fileadmin/user_upload/pdf/Pathways_for_Health-Project/delphisurvey_alcohol_labelling_crioc.pdf" TargetMode="External"/><Relationship Id="rId24" Type="http://schemas.openxmlformats.org/officeDocument/2006/relationships/hyperlink" Target="http://www.euro.who.int/__data/assets/pdf_file/0008/178163/E96726.pdf?ua=1" TargetMode="External"/><Relationship Id="rId5" Type="http://schemas.openxmlformats.org/officeDocument/2006/relationships/hyperlink" Target="http://eur-lex.europa.eu/legal-content/EN/TXT/?uri=celex:32008R0110" TargetMode="External"/><Relationship Id="rId15" Type="http://schemas.openxmlformats.org/officeDocument/2006/relationships/hyperlink" Target="http://www.eurocare.org/var/eurocare/storage/original/application/6ca93b669e6a6a2cd8eef1751f8697f2.pdf" TargetMode="External"/><Relationship Id="rId23" Type="http://schemas.openxmlformats.org/officeDocument/2006/relationships/hyperlink" Target="http://www.brewersofeurope.org/site/media-centre/post.php?doc_id=865" TargetMode="External"/><Relationship Id="rId10" Type="http://schemas.openxmlformats.org/officeDocument/2006/relationships/hyperlink" Target="file:///\\s-sanco-geo-clu\unitdir\E1\004.004.003.050.020%20LABELLING\F.I.C.%20-%20%D0%92%D1%8A%D0%B2%D0%B5%D0%B6%D0%B4%D0%B0%D0%BD%D0%B5%20%D0%B8%20%D0%BF%D1%80%D0%B8%D0%BB%D0%B0%D0%B3%D0%B0%D0%BD%D0%B5\%D0%94%D0%BE%D0%BA%D0%BB%D0%B0%D0%B4%20%D0%BE%D1%82%D0%BD%D0%BE%D1%81%D0%BD%D0%BE%20%D0%B0%D0%BB%D0%BA%D0%BE%D1%85%D0%BE%D0%BB%D0%BD%D0%B8%D1%82%D0%B5%20%D0%BD%D0%B0%D0%BF%D0%B8%D1%82%D0%BA%D0%B8\2.%20%D0%98%D0%B7%D1%81%D0%BB%D0%B5%D0%B4%D0%B2%D0%B0%D0%BD%D0%B5%20%D0%B7%D0%B0%20%D0%BE%D1%86%D0%B5%D0%BD%D0%BA%D0%B0%20%D0%BD%D0%B0%20%D0%BF%D0%BE%D1%82%D1%80%D0%B5%D0%B1%D0%B8%D1%82%D0%B5%D0%BB%D0%B8%D1%82%D0%B5%20\%20%D0%9E%D1%86%D0%B5%D0%BD%D0%BA%D0%B0%20%D0%BD%D0%B0%20%D0%BF%D0%BE%D1%82%D1%80%D0%B5%D0%B1%D0%B8%D1%82%D0%B5%D0%BB%D0%B8%D1%82%D0%B5:%20%D0%BF%D0%BE%D0%B7%D0%BD%D0%B0%D0%B2%D0%B0%D0%BD%D0%B5%20%D0%BD%D0%B0%20%D0%B8%D0%BD%D1%84%D0%BE%D1%80%D0%BC%D0%B0%D1%86%D0%B8%D1%8F%D1%82%D0%B0%20%D0%B7%D0%B0%20%D1%81%D1%8A%D1%81%D1%82%D0%B0%D0%B2%D0%BA%D0%B8%D1%82%D0%B5%20%D0%B8%20%D0%B7%D0%B0%20%D1%85%D1%80%D0%B0%D0%BD%D0%B8%D1%82%D0%B5%D0%BB%D0%BD%D0%B0%D1%82%D0%B0%20%D1%81%D1%82%D0%BE%D0%B9%D0%BD%D0%BE%D1%81%D1%82%20%E2%80%94%20%D0%B8%D0%BD%D1%84%D0%BE%D1%80%D0%BC%D0%B0%D1%86%D0%B8%D1%8F%20%D0%B8%D0%B7%D0%B2%D1%8A%D0%BD%20%D0%BF%D0%BE%D1%81%D0%BE%D1%87%D0%B5%D0%BD%D0%B0%D1%82%D0%B0%20%D0%B2%D1%8A%D1%80%D1%85%D1%83%20%D0%B5%D1%82%D0%B8%D0%BA%D0%B5%D1%82%D0%B0%20%D0%B8%20%D0%BD%D0%B5%D0%B9%D0%BD%D0%BE%D1%82%D0%BE%20%D0%B8%D0%B7%D0%BF%D0%BE%D0%BB%D0%B7%D0%B2%D0%B0%D0%BD%D0%B5%20%E2%80%94%20%D0%94%D0%BE%D0%BA%D0%BB%D0%B0%D0%B4%20%D0%BD%D0%B0%20GfK%20%E2%80%94%20%D0%91%D0%B5%D0%BB%D0%B3%D0%B8%D1%8F%20(2014)." TargetMode="External"/><Relationship Id="rId19" Type="http://schemas.openxmlformats.org/officeDocument/2006/relationships/hyperlink" Target="http://www.diageo.com/en-row/newsmedia/pages/resource.aspx?resourceid=2929" TargetMode="External"/><Relationship Id="rId4" Type="http://schemas.openxmlformats.org/officeDocument/2006/relationships/hyperlink" Target="http://eur-lex.europa.eu/legal-content/en/ALL/?uri=CELEX:31987L0250" TargetMode="External"/><Relationship Id="rId9" Type="http://schemas.openxmlformats.org/officeDocument/2006/relationships/hyperlink" Target="http://ec.europa.eu/food/safety/docs/labelling_legislation_study_food-info-vs-cons-decision_2014.pdf" TargetMode="External"/><Relationship Id="rId14" Type="http://schemas.openxmlformats.org/officeDocument/2006/relationships/hyperlink" Target="http://www.eurocare.org/var/eurocare/storage/original/application/6ca93b669e6a6a2cd8eef1751f8697f2.pdf" TargetMode="External"/><Relationship Id="rId22" Type="http://schemas.openxmlformats.org/officeDocument/2006/relationships/hyperlink" Target="http://spirits.eu/page.php?id=28&amp;parent_id=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B36B1-336F-484D-ACC0-732C2DD46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4029</Words>
  <Characters>26208</Characters>
  <Application>Microsoft Office Word</Application>
  <DocSecurity>0</DocSecurity>
  <Lines>468</Lines>
  <Paragraphs>114</Paragraphs>
  <ScaleCrop>false</ScaleCrop>
  <HeadingPairs>
    <vt:vector size="2" baseType="variant">
      <vt:variant>
        <vt:lpstr>Title</vt:lpstr>
      </vt:variant>
      <vt:variant>
        <vt:i4>1</vt:i4>
      </vt:variant>
    </vt:vector>
  </HeadingPairs>
  <TitlesOfParts>
    <vt:vector size="1" baseType="lpstr">
      <vt:lpstr>SANTE/11772/2016-EN</vt:lpstr>
    </vt:vector>
  </TitlesOfParts>
  <Company>European Commission</Company>
  <LinksUpToDate>false</LinksUpToDate>
  <CharactersWithSpaces>30123</CharactersWithSpaces>
  <SharedDoc>false</SharedDoc>
  <HLinks>
    <vt:vector size="282" baseType="variant">
      <vt:variant>
        <vt:i4>1900605</vt:i4>
      </vt:variant>
      <vt:variant>
        <vt:i4>104</vt:i4>
      </vt:variant>
      <vt:variant>
        <vt:i4>0</vt:i4>
      </vt:variant>
      <vt:variant>
        <vt:i4>5</vt:i4>
      </vt:variant>
      <vt:variant>
        <vt:lpwstr/>
      </vt:variant>
      <vt:variant>
        <vt:lpwstr>_Toc447189669</vt:lpwstr>
      </vt:variant>
      <vt:variant>
        <vt:i4>1900605</vt:i4>
      </vt:variant>
      <vt:variant>
        <vt:i4>98</vt:i4>
      </vt:variant>
      <vt:variant>
        <vt:i4>0</vt:i4>
      </vt:variant>
      <vt:variant>
        <vt:i4>5</vt:i4>
      </vt:variant>
      <vt:variant>
        <vt:lpwstr/>
      </vt:variant>
      <vt:variant>
        <vt:lpwstr>_Toc447189668</vt:lpwstr>
      </vt:variant>
      <vt:variant>
        <vt:i4>1900605</vt:i4>
      </vt:variant>
      <vt:variant>
        <vt:i4>92</vt:i4>
      </vt:variant>
      <vt:variant>
        <vt:i4>0</vt:i4>
      </vt:variant>
      <vt:variant>
        <vt:i4>5</vt:i4>
      </vt:variant>
      <vt:variant>
        <vt:lpwstr/>
      </vt:variant>
      <vt:variant>
        <vt:lpwstr>_Toc447189667</vt:lpwstr>
      </vt:variant>
      <vt:variant>
        <vt:i4>1900605</vt:i4>
      </vt:variant>
      <vt:variant>
        <vt:i4>86</vt:i4>
      </vt:variant>
      <vt:variant>
        <vt:i4>0</vt:i4>
      </vt:variant>
      <vt:variant>
        <vt:i4>5</vt:i4>
      </vt:variant>
      <vt:variant>
        <vt:lpwstr/>
      </vt:variant>
      <vt:variant>
        <vt:lpwstr>_Toc447189666</vt:lpwstr>
      </vt:variant>
      <vt:variant>
        <vt:i4>1900605</vt:i4>
      </vt:variant>
      <vt:variant>
        <vt:i4>80</vt:i4>
      </vt:variant>
      <vt:variant>
        <vt:i4>0</vt:i4>
      </vt:variant>
      <vt:variant>
        <vt:i4>5</vt:i4>
      </vt:variant>
      <vt:variant>
        <vt:lpwstr/>
      </vt:variant>
      <vt:variant>
        <vt:lpwstr>_Toc447189665</vt:lpwstr>
      </vt:variant>
      <vt:variant>
        <vt:i4>1900605</vt:i4>
      </vt:variant>
      <vt:variant>
        <vt:i4>74</vt:i4>
      </vt:variant>
      <vt:variant>
        <vt:i4>0</vt:i4>
      </vt:variant>
      <vt:variant>
        <vt:i4>5</vt:i4>
      </vt:variant>
      <vt:variant>
        <vt:lpwstr/>
      </vt:variant>
      <vt:variant>
        <vt:lpwstr>_Toc447189664</vt:lpwstr>
      </vt:variant>
      <vt:variant>
        <vt:i4>1900605</vt:i4>
      </vt:variant>
      <vt:variant>
        <vt:i4>68</vt:i4>
      </vt:variant>
      <vt:variant>
        <vt:i4>0</vt:i4>
      </vt:variant>
      <vt:variant>
        <vt:i4>5</vt:i4>
      </vt:variant>
      <vt:variant>
        <vt:lpwstr/>
      </vt:variant>
      <vt:variant>
        <vt:lpwstr>_Toc447189663</vt:lpwstr>
      </vt:variant>
      <vt:variant>
        <vt:i4>1900605</vt:i4>
      </vt:variant>
      <vt:variant>
        <vt:i4>62</vt:i4>
      </vt:variant>
      <vt:variant>
        <vt:i4>0</vt:i4>
      </vt:variant>
      <vt:variant>
        <vt:i4>5</vt:i4>
      </vt:variant>
      <vt:variant>
        <vt:lpwstr/>
      </vt:variant>
      <vt:variant>
        <vt:lpwstr>_Toc447189662</vt:lpwstr>
      </vt:variant>
      <vt:variant>
        <vt:i4>1900605</vt:i4>
      </vt:variant>
      <vt:variant>
        <vt:i4>56</vt:i4>
      </vt:variant>
      <vt:variant>
        <vt:i4>0</vt:i4>
      </vt:variant>
      <vt:variant>
        <vt:i4>5</vt:i4>
      </vt:variant>
      <vt:variant>
        <vt:lpwstr/>
      </vt:variant>
      <vt:variant>
        <vt:lpwstr>_Toc447189661</vt:lpwstr>
      </vt:variant>
      <vt:variant>
        <vt:i4>1900605</vt:i4>
      </vt:variant>
      <vt:variant>
        <vt:i4>50</vt:i4>
      </vt:variant>
      <vt:variant>
        <vt:i4>0</vt:i4>
      </vt:variant>
      <vt:variant>
        <vt:i4>5</vt:i4>
      </vt:variant>
      <vt:variant>
        <vt:lpwstr/>
      </vt:variant>
      <vt:variant>
        <vt:lpwstr>_Toc447189660</vt:lpwstr>
      </vt:variant>
      <vt:variant>
        <vt:i4>1966141</vt:i4>
      </vt:variant>
      <vt:variant>
        <vt:i4>44</vt:i4>
      </vt:variant>
      <vt:variant>
        <vt:i4>0</vt:i4>
      </vt:variant>
      <vt:variant>
        <vt:i4>5</vt:i4>
      </vt:variant>
      <vt:variant>
        <vt:lpwstr/>
      </vt:variant>
      <vt:variant>
        <vt:lpwstr>_Toc447189659</vt:lpwstr>
      </vt:variant>
      <vt:variant>
        <vt:i4>1966141</vt:i4>
      </vt:variant>
      <vt:variant>
        <vt:i4>38</vt:i4>
      </vt:variant>
      <vt:variant>
        <vt:i4>0</vt:i4>
      </vt:variant>
      <vt:variant>
        <vt:i4>5</vt:i4>
      </vt:variant>
      <vt:variant>
        <vt:lpwstr/>
      </vt:variant>
      <vt:variant>
        <vt:lpwstr>_Toc447189658</vt:lpwstr>
      </vt:variant>
      <vt:variant>
        <vt:i4>1966141</vt:i4>
      </vt:variant>
      <vt:variant>
        <vt:i4>32</vt:i4>
      </vt:variant>
      <vt:variant>
        <vt:i4>0</vt:i4>
      </vt:variant>
      <vt:variant>
        <vt:i4>5</vt:i4>
      </vt:variant>
      <vt:variant>
        <vt:lpwstr/>
      </vt:variant>
      <vt:variant>
        <vt:lpwstr>_Toc447189657</vt:lpwstr>
      </vt:variant>
      <vt:variant>
        <vt:i4>1966141</vt:i4>
      </vt:variant>
      <vt:variant>
        <vt:i4>26</vt:i4>
      </vt:variant>
      <vt:variant>
        <vt:i4>0</vt:i4>
      </vt:variant>
      <vt:variant>
        <vt:i4>5</vt:i4>
      </vt:variant>
      <vt:variant>
        <vt:lpwstr/>
      </vt:variant>
      <vt:variant>
        <vt:lpwstr>_Toc447189656</vt:lpwstr>
      </vt:variant>
      <vt:variant>
        <vt:i4>1966141</vt:i4>
      </vt:variant>
      <vt:variant>
        <vt:i4>20</vt:i4>
      </vt:variant>
      <vt:variant>
        <vt:i4>0</vt:i4>
      </vt:variant>
      <vt:variant>
        <vt:i4>5</vt:i4>
      </vt:variant>
      <vt:variant>
        <vt:lpwstr/>
      </vt:variant>
      <vt:variant>
        <vt:lpwstr>_Toc447189655</vt:lpwstr>
      </vt:variant>
      <vt:variant>
        <vt:i4>1966141</vt:i4>
      </vt:variant>
      <vt:variant>
        <vt:i4>14</vt:i4>
      </vt:variant>
      <vt:variant>
        <vt:i4>0</vt:i4>
      </vt:variant>
      <vt:variant>
        <vt:i4>5</vt:i4>
      </vt:variant>
      <vt:variant>
        <vt:lpwstr/>
      </vt:variant>
      <vt:variant>
        <vt:lpwstr>_Toc447189654</vt:lpwstr>
      </vt:variant>
      <vt:variant>
        <vt:i4>1966141</vt:i4>
      </vt:variant>
      <vt:variant>
        <vt:i4>8</vt:i4>
      </vt:variant>
      <vt:variant>
        <vt:i4>0</vt:i4>
      </vt:variant>
      <vt:variant>
        <vt:i4>5</vt:i4>
      </vt:variant>
      <vt:variant>
        <vt:lpwstr/>
      </vt:variant>
      <vt:variant>
        <vt:lpwstr>_Toc447189653</vt:lpwstr>
      </vt:variant>
      <vt:variant>
        <vt:i4>1966141</vt:i4>
      </vt:variant>
      <vt:variant>
        <vt:i4>2</vt:i4>
      </vt:variant>
      <vt:variant>
        <vt:i4>0</vt:i4>
      </vt:variant>
      <vt:variant>
        <vt:i4>5</vt:i4>
      </vt:variant>
      <vt:variant>
        <vt:lpwstr/>
      </vt:variant>
      <vt:variant>
        <vt:lpwstr>_Toc447189652</vt:lpwstr>
      </vt:variant>
      <vt:variant>
        <vt:i4>6619174</vt:i4>
      </vt:variant>
      <vt:variant>
        <vt:i4>84</vt:i4>
      </vt:variant>
      <vt:variant>
        <vt:i4>0</vt:i4>
      </vt:variant>
      <vt:variant>
        <vt:i4>5</vt:i4>
      </vt:variant>
      <vt:variant>
        <vt:lpwstr>http://data.consilium.europa.eu/doc/document/ST-15050-2015-INIT/en/pdf</vt:lpwstr>
      </vt:variant>
      <vt:variant>
        <vt:lpwstr/>
      </vt:variant>
      <vt:variant>
        <vt:i4>5832771</vt:i4>
      </vt:variant>
      <vt:variant>
        <vt:i4>81</vt:i4>
      </vt:variant>
      <vt:variant>
        <vt:i4>0</vt:i4>
      </vt:variant>
      <vt:variant>
        <vt:i4>5</vt:i4>
      </vt:variant>
      <vt:variant>
        <vt:lpwstr>http://www.europarl.europa.eu/sides/getDoc.do?pubRef=-//EP//TEXT+TA+P8-TA-2015-0174+0+DOC+XML+V0//EN</vt:lpwstr>
      </vt:variant>
      <vt:variant>
        <vt:lpwstr/>
      </vt:variant>
      <vt:variant>
        <vt:i4>6946823</vt:i4>
      </vt:variant>
      <vt:variant>
        <vt:i4>78</vt:i4>
      </vt:variant>
      <vt:variant>
        <vt:i4>0</vt:i4>
      </vt:variant>
      <vt:variant>
        <vt:i4>5</vt:i4>
      </vt:variant>
      <vt:variant>
        <vt:lpwstr>http://www.euro.who.int/__data/assets/pdf_file/0008/178163/E96726.pdf?ua=1</vt:lpwstr>
      </vt:variant>
      <vt:variant>
        <vt:lpwstr/>
      </vt:variant>
      <vt:variant>
        <vt:i4>7667734</vt:i4>
      </vt:variant>
      <vt:variant>
        <vt:i4>75</vt:i4>
      </vt:variant>
      <vt:variant>
        <vt:i4>0</vt:i4>
      </vt:variant>
      <vt:variant>
        <vt:i4>5</vt:i4>
      </vt:variant>
      <vt:variant>
        <vt:lpwstr>http://www.brewersofeurope.org/site/media-centre/post.php?doc_id=865</vt:lpwstr>
      </vt:variant>
      <vt:variant>
        <vt:lpwstr/>
      </vt:variant>
      <vt:variant>
        <vt:i4>7012382</vt:i4>
      </vt:variant>
      <vt:variant>
        <vt:i4>72</vt:i4>
      </vt:variant>
      <vt:variant>
        <vt:i4>0</vt:i4>
      </vt:variant>
      <vt:variant>
        <vt:i4>5</vt:i4>
      </vt:variant>
      <vt:variant>
        <vt:lpwstr>http://spirits.eu/page.php?id=28&amp;parent_id=5</vt:lpwstr>
      </vt:variant>
      <vt:variant>
        <vt:lpwstr/>
      </vt:variant>
      <vt:variant>
        <vt:i4>5439577</vt:i4>
      </vt:variant>
      <vt:variant>
        <vt:i4>69</vt:i4>
      </vt:variant>
      <vt:variant>
        <vt:i4>0</vt:i4>
      </vt:variant>
      <vt:variant>
        <vt:i4>5</vt:i4>
      </vt:variant>
      <vt:variant>
        <vt:lpwstr>https://www.drinkiq.com/</vt:lpwstr>
      </vt:variant>
      <vt:variant>
        <vt:lpwstr/>
      </vt:variant>
      <vt:variant>
        <vt:i4>2752609</vt:i4>
      </vt:variant>
      <vt:variant>
        <vt:i4>66</vt:i4>
      </vt:variant>
      <vt:variant>
        <vt:i4>0</vt:i4>
      </vt:variant>
      <vt:variant>
        <vt:i4>5</vt:i4>
      </vt:variant>
      <vt:variant>
        <vt:lpwstr>http://www.ceev.eu/policy-dossiers/internal-market-food-safety</vt:lpwstr>
      </vt:variant>
      <vt:variant>
        <vt:lpwstr/>
      </vt:variant>
      <vt:variant>
        <vt:i4>7012382</vt:i4>
      </vt:variant>
      <vt:variant>
        <vt:i4>63</vt:i4>
      </vt:variant>
      <vt:variant>
        <vt:i4>0</vt:i4>
      </vt:variant>
      <vt:variant>
        <vt:i4>5</vt:i4>
      </vt:variant>
      <vt:variant>
        <vt:lpwstr>http://spirits.eu/page.php?id=28&amp;parent_id=5</vt:lpwstr>
      </vt:variant>
      <vt:variant>
        <vt:lpwstr/>
      </vt:variant>
      <vt:variant>
        <vt:i4>65631</vt:i4>
      </vt:variant>
      <vt:variant>
        <vt:i4>60</vt:i4>
      </vt:variant>
      <vt:variant>
        <vt:i4>0</vt:i4>
      </vt:variant>
      <vt:variant>
        <vt:i4>5</vt:i4>
      </vt:variant>
      <vt:variant>
        <vt:lpwstr>http://www.brewersofeurope.org/uploads/mycms-files/documents/publications/2014/european-beer-pledge-2014-web.pdf</vt:lpwstr>
      </vt:variant>
      <vt:variant>
        <vt:lpwstr/>
      </vt:variant>
      <vt:variant>
        <vt:i4>7209017</vt:i4>
      </vt:variant>
      <vt:variant>
        <vt:i4>57</vt:i4>
      </vt:variant>
      <vt:variant>
        <vt:i4>0</vt:i4>
      </vt:variant>
      <vt:variant>
        <vt:i4>5</vt:i4>
      </vt:variant>
      <vt:variant>
        <vt:lpwstr>http://www.eurocare.org/var/eurocare/storage/original/application/6ca93b669e6a6a2cd8eef1751f8697f2.pdf</vt:lpwstr>
      </vt:variant>
      <vt:variant>
        <vt:lpwstr/>
      </vt:variant>
      <vt:variant>
        <vt:i4>7209017</vt:i4>
      </vt:variant>
      <vt:variant>
        <vt:i4>54</vt:i4>
      </vt:variant>
      <vt:variant>
        <vt:i4>0</vt:i4>
      </vt:variant>
      <vt:variant>
        <vt:i4>5</vt:i4>
      </vt:variant>
      <vt:variant>
        <vt:lpwstr>http://www.eurocare.org/var/eurocare/storage/original/application/6ca93b669e6a6a2cd8eef1751f8697f2.pdf</vt:lpwstr>
      </vt:variant>
      <vt:variant>
        <vt:lpwstr/>
      </vt:variant>
      <vt:variant>
        <vt:i4>1835016</vt:i4>
      </vt:variant>
      <vt:variant>
        <vt:i4>51</vt:i4>
      </vt:variant>
      <vt:variant>
        <vt:i4>0</vt:i4>
      </vt:variant>
      <vt:variant>
        <vt:i4>5</vt:i4>
      </vt:variant>
      <vt:variant>
        <vt:lpwstr>http://netbeer.org/downloads/EBCU Manifesto 2009-2014.pdf</vt:lpwstr>
      </vt:variant>
      <vt:variant>
        <vt:lpwstr/>
      </vt:variant>
      <vt:variant>
        <vt:i4>4194392</vt:i4>
      </vt:variant>
      <vt:variant>
        <vt:i4>48</vt:i4>
      </vt:variant>
      <vt:variant>
        <vt:i4>0</vt:i4>
      </vt:variant>
      <vt:variant>
        <vt:i4>5</vt:i4>
      </vt:variant>
      <vt:variant>
        <vt:lpwstr>http://www.beuc.eu/publications/beuc-x-2015-008_pca_beuc_position_paper_on_nutrition.pdf</vt:lpwstr>
      </vt:variant>
      <vt:variant>
        <vt:lpwstr/>
      </vt:variant>
      <vt:variant>
        <vt:i4>6029397</vt:i4>
      </vt:variant>
      <vt:variant>
        <vt:i4>45</vt:i4>
      </vt:variant>
      <vt:variant>
        <vt:i4>0</vt:i4>
      </vt:variant>
      <vt:variant>
        <vt:i4>5</vt:i4>
      </vt:variant>
      <vt:variant>
        <vt:lpwstr>http://www.dhs.de/fileadmin/user_upload/pdf/Pathways_for_Health-Project/delphisurvey_alcohol_labelling_crioc.pdf</vt:lpwstr>
      </vt:variant>
      <vt:variant>
        <vt:lpwstr/>
      </vt:variant>
      <vt:variant>
        <vt:i4>5242885</vt:i4>
      </vt:variant>
      <vt:variant>
        <vt:i4>42</vt:i4>
      </vt:variant>
      <vt:variant>
        <vt:i4>0</vt:i4>
      </vt:variant>
      <vt:variant>
        <vt:i4>5</vt:i4>
      </vt:variant>
      <vt:variant>
        <vt:lpwstr>http://www.brewersofeurope.org/uploads/mycms-files/documents/publications/2015/GfK report - CONSUMER INSIGHTS - FINAL.pdf</vt:lpwstr>
      </vt:variant>
      <vt:variant>
        <vt:lpwstr/>
      </vt:variant>
      <vt:variant>
        <vt:i4>3211311</vt:i4>
      </vt:variant>
      <vt:variant>
        <vt:i4>39</vt:i4>
      </vt:variant>
      <vt:variant>
        <vt:i4>0</vt:i4>
      </vt:variant>
      <vt:variant>
        <vt:i4>5</vt:i4>
      </vt:variant>
      <vt:variant>
        <vt:lpwstr>http://ec.europa.eu/food/safety/docs/labelling_legislation_study_food-info-vs-cons-decision_2014.pdf</vt:lpwstr>
      </vt:variant>
      <vt:variant>
        <vt:lpwstr/>
      </vt:variant>
      <vt:variant>
        <vt:i4>3080234</vt:i4>
      </vt:variant>
      <vt:variant>
        <vt:i4>36</vt:i4>
      </vt:variant>
      <vt:variant>
        <vt:i4>0</vt:i4>
      </vt:variant>
      <vt:variant>
        <vt:i4>5</vt:i4>
      </vt:variant>
      <vt:variant>
        <vt:lpwstr>http://www.fao.org/fao-who-codexalimentarius/download/standards/34/CXG_002e_2015.pdf</vt:lpwstr>
      </vt:variant>
      <vt:variant>
        <vt:lpwstr/>
      </vt:variant>
      <vt:variant>
        <vt:i4>2097236</vt:i4>
      </vt:variant>
      <vt:variant>
        <vt:i4>33</vt:i4>
      </vt:variant>
      <vt:variant>
        <vt:i4>0</vt:i4>
      </vt:variant>
      <vt:variant>
        <vt:i4>5</vt:i4>
      </vt:variant>
      <vt:variant>
        <vt:lpwstr>http://www.codexalimentarius.org/download/standards/32/CXS_001e.pdf</vt:lpwstr>
      </vt:variant>
      <vt:variant>
        <vt:lpwstr/>
      </vt:variant>
      <vt:variant>
        <vt:i4>5308424</vt:i4>
      </vt:variant>
      <vt:variant>
        <vt:i4>30</vt:i4>
      </vt:variant>
      <vt:variant>
        <vt:i4>0</vt:i4>
      </vt:variant>
      <vt:variant>
        <vt:i4>5</vt:i4>
      </vt:variant>
      <vt:variant>
        <vt:lpwstr>http://www.iard.org/policy-tables/beverage-alcohol-labeling-requirements/</vt:lpwstr>
      </vt:variant>
      <vt:variant>
        <vt:lpwstr/>
      </vt:variant>
      <vt:variant>
        <vt:i4>524358</vt:i4>
      </vt:variant>
      <vt:variant>
        <vt:i4>27</vt:i4>
      </vt:variant>
      <vt:variant>
        <vt:i4>0</vt:i4>
      </vt:variant>
      <vt:variant>
        <vt:i4>5</vt:i4>
      </vt:variant>
      <vt:variant>
        <vt:lpwstr>http://eur-lex.europa.eu/legal-content/en/ALL/?uri=CELEX%3A32006R1924</vt:lpwstr>
      </vt:variant>
      <vt:variant>
        <vt:lpwstr/>
      </vt:variant>
      <vt:variant>
        <vt:i4>3604541</vt:i4>
      </vt:variant>
      <vt:variant>
        <vt:i4>24</vt:i4>
      </vt:variant>
      <vt:variant>
        <vt:i4>0</vt:i4>
      </vt:variant>
      <vt:variant>
        <vt:i4>5</vt:i4>
      </vt:variant>
      <vt:variant>
        <vt:lpwstr>http://eur-lex.europa.eu/legal-content/en/ALL/?uri=CELEX:31991R1601</vt:lpwstr>
      </vt:variant>
      <vt:variant>
        <vt:lpwstr/>
      </vt:variant>
      <vt:variant>
        <vt:i4>2293821</vt:i4>
      </vt:variant>
      <vt:variant>
        <vt:i4>21</vt:i4>
      </vt:variant>
      <vt:variant>
        <vt:i4>0</vt:i4>
      </vt:variant>
      <vt:variant>
        <vt:i4>5</vt:i4>
      </vt:variant>
      <vt:variant>
        <vt:lpwstr>http://eur-lex.europa.eu/legal-content/EN/TXT/?uri=celex:32008R0110</vt:lpwstr>
      </vt:variant>
      <vt:variant>
        <vt:lpwstr/>
      </vt:variant>
      <vt:variant>
        <vt:i4>720974</vt:i4>
      </vt:variant>
      <vt:variant>
        <vt:i4>18</vt:i4>
      </vt:variant>
      <vt:variant>
        <vt:i4>0</vt:i4>
      </vt:variant>
      <vt:variant>
        <vt:i4>5</vt:i4>
      </vt:variant>
      <vt:variant>
        <vt:lpwstr>http://eur-lex.europa.eu/legal-content/EN/TXT/?qid=1458119824257&amp;uri=CELEX:32008R0479</vt:lpwstr>
      </vt:variant>
      <vt:variant>
        <vt:lpwstr/>
      </vt:variant>
      <vt:variant>
        <vt:i4>3473446</vt:i4>
      </vt:variant>
      <vt:variant>
        <vt:i4>15</vt:i4>
      </vt:variant>
      <vt:variant>
        <vt:i4>0</vt:i4>
      </vt:variant>
      <vt:variant>
        <vt:i4>5</vt:i4>
      </vt:variant>
      <vt:variant>
        <vt:lpwstr>http://eur-lex.europa.eu/legal-content/en/ALL/?uri=CELEX:31987L0250</vt:lpwstr>
      </vt:variant>
      <vt:variant>
        <vt:lpwstr/>
      </vt:variant>
      <vt:variant>
        <vt:i4>5242956</vt:i4>
      </vt:variant>
      <vt:variant>
        <vt:i4>12</vt:i4>
      </vt:variant>
      <vt:variant>
        <vt:i4>0</vt:i4>
      </vt:variant>
      <vt:variant>
        <vt:i4>5</vt:i4>
      </vt:variant>
      <vt:variant>
        <vt:lpwstr>http://eur-lex.europa.eu/legal-content/EN/TXT/?uri=COM:2008:0040:FIN</vt:lpwstr>
      </vt:variant>
      <vt:variant>
        <vt:lpwstr/>
      </vt:variant>
      <vt:variant>
        <vt:i4>7602277</vt:i4>
      </vt:variant>
      <vt:variant>
        <vt:i4>9</vt:i4>
      </vt:variant>
      <vt:variant>
        <vt:i4>0</vt:i4>
      </vt:variant>
      <vt:variant>
        <vt:i4>5</vt:i4>
      </vt:variant>
      <vt:variant>
        <vt:lpwstr>http://eur-lex.europa.eu/legal-content/EN/TXT/?uri=celex%3A32003L0089F</vt:lpwstr>
      </vt:variant>
      <vt:variant>
        <vt:lpwstr/>
      </vt:variant>
      <vt:variant>
        <vt:i4>2818082</vt:i4>
      </vt:variant>
      <vt:variant>
        <vt:i4>6</vt:i4>
      </vt:variant>
      <vt:variant>
        <vt:i4>0</vt:i4>
      </vt:variant>
      <vt:variant>
        <vt:i4>5</vt:i4>
      </vt:variant>
      <vt:variant>
        <vt:lpwstr>http://eur-lex.europa.eu/legal-content/EN/TXT/?uri=CELEX:32000L0013</vt:lpwstr>
      </vt:variant>
      <vt:variant>
        <vt:lpwstr/>
      </vt:variant>
      <vt:variant>
        <vt:i4>4128810</vt:i4>
      </vt:variant>
      <vt:variant>
        <vt:i4>3</vt:i4>
      </vt:variant>
      <vt:variant>
        <vt:i4>0</vt:i4>
      </vt:variant>
      <vt:variant>
        <vt:i4>5</vt:i4>
      </vt:variant>
      <vt:variant>
        <vt:lpwstr>http://eur-lex.europa.eu/legal-content/en/ALL/?uri=CELEX:31979L0112</vt:lpwstr>
      </vt:variant>
      <vt:variant>
        <vt:lpwstr/>
      </vt:variant>
      <vt:variant>
        <vt:i4>720975</vt:i4>
      </vt:variant>
      <vt:variant>
        <vt:i4>0</vt:i4>
      </vt:variant>
      <vt:variant>
        <vt:i4>0</vt:i4>
      </vt:variant>
      <vt:variant>
        <vt:i4>5</vt:i4>
      </vt:variant>
      <vt:variant>
        <vt:lpwstr>http://eur-lex.europa.eu/legal-content/EN/ALL/?uri=CELEX%3A32011R1169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SANTE/11772/2016-EN</dc:title>
  <dc:subject>Report</dc:subject>
  <dc:creator>DURACK - uyttersprot</dc:creator>
  <cp:keywords>11772</cp:keywords>
  <dc:description>Outlook 14,12,2016</dc:description>
  <cp:lastModifiedBy>JANSEN Colette (SG)</cp:lastModifiedBy>
  <cp:revision>15</cp:revision>
  <cp:lastPrinted>2016-12-05T13:16:00Z</cp:lastPrinted>
  <dcterms:created xsi:type="dcterms:W3CDTF">2017-01-19T15:24:00Z</dcterms:created>
  <dcterms:modified xsi:type="dcterms:W3CDTF">2017-03-08T11:03:00Z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