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AB8B01D2E0914977890C4E27FFA250B0" style="width:450.75pt;height:396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NormalCentered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t>PRILOG</w:t>
      </w:r>
    </w:p>
    <w:p>
      <w:pPr>
        <w:pStyle w:val="NormalCentered"/>
        <w:rPr>
          <w:noProof/>
        </w:rPr>
      </w:pPr>
    </w:p>
    <w:p>
      <w:pPr>
        <w:pStyle w:val="NormalCentered"/>
        <w:rPr>
          <w:b/>
          <w:noProof/>
        </w:rPr>
      </w:pPr>
      <w:r>
        <w:rPr>
          <w:b/>
          <w:noProof/>
        </w:rPr>
        <w:t>ODLUCI ZAJEDNIČKOG ODBORA REGIONALNE KONVENCIJE</w:t>
      </w:r>
      <w:r>
        <w:rPr>
          <w:b/>
          <w:noProof/>
        </w:rPr>
        <w:br/>
        <w:t xml:space="preserve">o pan-Euro-Mediteranskim povlaštenim pravilima podrijetla 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t>br.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t>od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t xml:space="preserve">o izmjeni odredaba Dodatka II. Regionalnoj konvenciji o pan-Euro-Mediteranskim povlaštenim pravilima podrijetla uvođenjem mogućnosti povrata carine i pune kumulacije u trgovini obuhvaćenoj Srednjoeuropskim ugovorom o slobodnoj trgovini (CEFTA), koji uključuje Republiku Moldovu i sudionike u procesu stabilizacije i pridruživanja Europske unije </w:t>
      </w:r>
    </w:p>
    <w:p>
      <w:pPr>
        <w:keepNext/>
        <w:spacing w:before="360" w:after="240"/>
        <w:rPr>
          <w:rFonts w:eastAsia="Times New Roman"/>
          <w:caps/>
          <w:noProof/>
          <w:szCs w:val="20"/>
        </w:rPr>
      </w:pPr>
      <w:r>
        <w:rPr>
          <w:caps/>
          <w:noProof/>
        </w:rPr>
        <w:t>Zajednički odbor,</w:t>
      </w:r>
    </w:p>
    <w:p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>uzimajući u obzir Regionalnu konvenciju o pan-Euro-Mediteranskim povlaštenim pravilima podrijetla</w:t>
      </w:r>
      <w:r>
        <w:rPr>
          <w:rStyle w:val="FootnoteReference"/>
          <w:noProof/>
        </w:rPr>
        <w:footnoteReference w:id="1"/>
      </w:r>
      <w:r>
        <w:rPr>
          <w:noProof/>
        </w:rPr>
        <w:t>, dalje u tekstu „Konvencija”,</w:t>
      </w:r>
    </w:p>
    <w:p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>budući da: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U članku 1. stavku 2. Konvencije propisano je da se u Dodatku II. utvrđuju posebne odredbe koje se primjenjuju između određenih ugovornih stranaka i kojima se odstupa od odredaba utvrđenih u Dodatku I.</w:t>
      </w:r>
    </w:p>
    <w:p>
      <w:pPr>
        <w:pStyle w:val="Considrant"/>
        <w:rPr>
          <w:noProof/>
        </w:rPr>
      </w:pPr>
      <w:r>
        <w:rPr>
          <w:noProof/>
        </w:rPr>
        <w:t>U članku 1. Dodatka II. Konvenciji propisano je da ugovorne strane mogu u svojoj bilateralnoj trgovini primijeniti posebne odredbe kojima se odstupa od odredaba utvrđenih Dodatkom I. te da su te odredbe utvrđene u prilozima Dodatku II.</w:t>
      </w:r>
    </w:p>
    <w:p>
      <w:pPr>
        <w:pStyle w:val="Considrant"/>
        <w:rPr>
          <w:noProof/>
        </w:rPr>
      </w:pPr>
      <w:r>
        <w:rPr>
          <w:noProof/>
        </w:rPr>
        <w:t>Republika Srbija je kao predsjedatelj Carinskog pododbora CEFTA-e o pravilima podrijetla u okviru Srednjoeuropskog ugovora o slobodnoj trgovini (CEFTA), koji uključuje Republiku Moldovu i sudionike u procesu stabilizacije i pridruživanja Europske unije (dalje u tekstu „stranke CEFTA-e”), obavijestila tajništvo Zajedničkog odbora Konvencije o Odluci 3/2015 Zajedničkog odbora Srednjoeuropskog ugovora o slobodnoj trgovini od 26. studenoga 2016. kojom se uvodi mogućnost povrata carine i mogućnost pune kumulacije u trgovini između Republike Moldove i sudionika u procesu stabilizacije i pridruživanja Europske unije u okviru CEFTA-e.</w:t>
      </w:r>
    </w:p>
    <w:p>
      <w:pPr>
        <w:pStyle w:val="Considrant"/>
        <w:rPr>
          <w:noProof/>
        </w:rPr>
      </w:pPr>
      <w:r>
        <w:rPr>
          <w:noProof/>
        </w:rPr>
        <w:t>U članku 4. stavku 3. točki (a) Konvencije propisano je da Zajednički odbor jednoglasno donosi izmjene Konvencije, uključujući izmjene dodataka,</w:t>
      </w:r>
    </w:p>
    <w:p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>DONIO JE OVU ODLUKU:</w:t>
      </w:r>
    </w:p>
    <w:p>
      <w:pPr>
        <w:keepNext/>
        <w:spacing w:before="360"/>
        <w:jc w:val="center"/>
        <w:rPr>
          <w:rFonts w:eastAsia="Calibri"/>
          <w:i/>
          <w:noProof/>
          <w:szCs w:val="20"/>
        </w:rPr>
      </w:pPr>
      <w:r>
        <w:rPr>
          <w:i/>
          <w:noProof/>
        </w:rPr>
        <w:t>Članak 1.</w:t>
      </w:r>
    </w:p>
    <w:p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 xml:space="preserve">Dodatak II. Konvenciji, koji sadržava odstupanja od odredaba Dodatka I. Konvenciji, mijenja se i dopunjuje prilozima XIII., G i H Dodatku II. Konvenciji, navedenima u prilozima ovoj Odluci. </w:t>
      </w:r>
    </w:p>
    <w:p>
      <w:pPr>
        <w:keepNext/>
        <w:spacing w:before="360"/>
        <w:jc w:val="center"/>
        <w:rPr>
          <w:rFonts w:eastAsia="Calibri"/>
          <w:i/>
          <w:noProof/>
          <w:szCs w:val="20"/>
        </w:rPr>
      </w:pPr>
      <w:r>
        <w:rPr>
          <w:i/>
          <w:noProof/>
        </w:rPr>
        <w:lastRenderedPageBreak/>
        <w:t>Članak 2.</w:t>
      </w:r>
    </w:p>
    <w:p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>U prilozima XIII., G i H Dodatku II. Konvenciji navedenima u prilozima ovoj Odluci utvrđeni su uvjeti za primjenu zabrane povrata carine i pune kumulacije u trgovini među strankama CEFTA-e.</w:t>
      </w:r>
    </w:p>
    <w:p>
      <w:pPr>
        <w:spacing w:before="0" w:after="240"/>
        <w:jc w:val="center"/>
        <w:rPr>
          <w:rFonts w:eastAsia="Times New Roman"/>
          <w:noProof/>
          <w:szCs w:val="20"/>
        </w:rPr>
      </w:pPr>
      <w:r>
        <w:rPr>
          <w:i/>
          <w:noProof/>
        </w:rPr>
        <w:t>Članak 3.</w:t>
      </w:r>
    </w:p>
    <w:p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>Prilozi čine sastavni dio ove Odluke.</w:t>
      </w:r>
    </w:p>
    <w:p>
      <w:pPr>
        <w:keepNext/>
        <w:spacing w:before="360"/>
        <w:jc w:val="center"/>
        <w:rPr>
          <w:rFonts w:eastAsia="Calibri"/>
          <w:i/>
          <w:noProof/>
          <w:szCs w:val="20"/>
        </w:rPr>
      </w:pPr>
      <w:r>
        <w:rPr>
          <w:i/>
          <w:noProof/>
        </w:rPr>
        <w:t>Članak 4.</w:t>
      </w:r>
    </w:p>
    <w:p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>Ova Odluka stupa na snagu na dan donošenja u Zajedničkom Odboru.</w:t>
      </w:r>
    </w:p>
    <w:p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>Datum početka primjene je ...</w:t>
      </w:r>
    </w:p>
    <w:p>
      <w:pPr>
        <w:keepNext/>
        <w:spacing w:before="0" w:after="0"/>
        <w:rPr>
          <w:rFonts w:eastAsia="Times New Roman"/>
          <w:noProof/>
          <w:szCs w:val="20"/>
        </w:rPr>
      </w:pPr>
      <w:r>
        <w:rPr>
          <w:noProof/>
        </w:rPr>
        <w:t>Sastavljeno u Bruxellesu</w:t>
      </w:r>
    </w:p>
    <w:p>
      <w:pPr>
        <w:keepNext/>
        <w:tabs>
          <w:tab w:val="left" w:pos="4252"/>
        </w:tabs>
        <w:spacing w:before="720" w:after="0"/>
        <w:rPr>
          <w:rFonts w:eastAsia="Times New Roman"/>
          <w:i/>
          <w:noProof/>
          <w:szCs w:val="20"/>
        </w:rPr>
      </w:pPr>
      <w:r>
        <w:rPr>
          <w:noProof/>
        </w:rPr>
        <w:tab/>
      </w:r>
      <w:r>
        <w:rPr>
          <w:i/>
          <w:noProof/>
        </w:rPr>
        <w:t>Za Zajednički odbor</w:t>
      </w:r>
    </w:p>
    <w:p>
      <w:pPr>
        <w:tabs>
          <w:tab w:val="left" w:pos="4252"/>
        </w:tabs>
        <w:spacing w:before="0" w:after="0"/>
        <w:jc w:val="left"/>
        <w:rPr>
          <w:rFonts w:eastAsia="Times New Roman"/>
          <w:i/>
          <w:noProof/>
          <w:szCs w:val="20"/>
        </w:rPr>
      </w:pPr>
      <w:r>
        <w:rPr>
          <w:noProof/>
        </w:rPr>
        <w:tab/>
      </w:r>
      <w:r>
        <w:rPr>
          <w:i/>
          <w:noProof/>
        </w:rPr>
        <w:t>Predsjednik</w:t>
      </w:r>
    </w:p>
    <w:p>
      <w:pPr>
        <w:tabs>
          <w:tab w:val="left" w:pos="4252"/>
        </w:tabs>
        <w:spacing w:before="0" w:after="0"/>
        <w:jc w:val="left"/>
        <w:rPr>
          <w:rFonts w:eastAsia="Times New Roman"/>
          <w:i/>
          <w:noProof/>
          <w:szCs w:val="20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Cs/>
          <w:noProof/>
          <w:color w:val="000000"/>
          <w:szCs w:val="24"/>
        </w:rPr>
      </w:pPr>
      <w:r>
        <w:rPr>
          <w:noProof/>
        </w:rPr>
        <w:br w:type="page"/>
      </w:r>
      <w:r>
        <w:rPr>
          <w:noProof/>
          <w:color w:val="000000"/>
        </w:rPr>
        <w:lastRenderedPageBreak/>
        <w:t>Prilog I.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Cs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Cs/>
          <w:i/>
          <w:noProof/>
          <w:color w:val="000000"/>
          <w:szCs w:val="24"/>
        </w:rPr>
      </w:pPr>
      <w:r>
        <w:rPr>
          <w:i/>
          <w:noProof/>
          <w:color w:val="000000"/>
        </w:rPr>
        <w:t>Prilog XIII. Dodatku II.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 xml:space="preserve">Trgovina obuhvaćena Srednjoeuropskim ugovorom o slobodnoj trgovini (CEFTA), koji uključuje Republiku Moldovu i sudionike u procesu stabilizacije i pridruživanja Europske unije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noProof/>
          <w:color w:val="000000"/>
          <w:szCs w:val="24"/>
        </w:rPr>
      </w:pPr>
      <w:r>
        <w:rPr>
          <w:i/>
          <w:noProof/>
          <w:color w:val="000000"/>
        </w:rPr>
        <w:t>Članak 1.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Isključivanje iz kumulacije podrijetla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Proizvodi za koje je podrijetlo stečeno primjenom odredaba predviđenih u ovom Prilogu isključuju se iz kumulacije iz članka 3. Dodatka I.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noProof/>
          <w:color w:val="000000"/>
          <w:szCs w:val="24"/>
        </w:rPr>
      </w:pPr>
      <w:r>
        <w:rPr>
          <w:i/>
          <w:noProof/>
          <w:color w:val="000000"/>
        </w:rPr>
        <w:t>Članak 2.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Kumulacija podrijetla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Za potrebe provedbe članka 2. stavka 1. točke (b) Dodatka I., prerada ili obrada koja je obavljena u Republici Moldovi ili sudionicima u procesu stabilizacije i pridruživanja Europske unije, dalje u tekstu „stranke CEFTA-e”, smatra se obavljenom u bilo kojoj drugoj stranci CEFTA-e ako se pribavljeni proizvodi podvrgnu daljnjoj preradi ili obradi u predmetnoj stranci. Ako su u skladu s ovom odredbom proizvodi s podrijetlom dobiveni u dvjema predmetnim zemljama ili više njih, smatraju se proizvodima podrijetlom iz stranke CEFTA-e samo ako obrada ili prerada premašuje postupke iz članka 6. Dodatka I.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noProof/>
          <w:color w:val="000000"/>
          <w:szCs w:val="24"/>
        </w:rPr>
      </w:pPr>
      <w:r>
        <w:rPr>
          <w:i/>
          <w:noProof/>
          <w:color w:val="000000"/>
        </w:rPr>
        <w:t>Članak 3.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>Dokazi o podrijetlu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1. Ne dovodeći u pitanje članak 16. stavke 4. i 5. Dodatka I., potvrdu o prometu robe EUR.1 izdaju carinske vlasti stranke CEFTA-e ako se predmetni proizvodi mogu smatrati proizvodima podrijetlom iz stranke CEFTA-e primjenom kumulacije iz članka 2. ovog Priloga i ispunjavaju ostale zahtjeve iz Dodatka I.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2. Ne dovodeći u pitanje članak 21. stavke 2. i 3. Dodatka I., izjava o podrijetlu može se izdati ako se predmetni proizvodi mogu smatrati proizvodima podrijetlom iz stranke CEFTA-e primjenom kumulacije iz članka 2. ovog Priloga i ispunjavaju ostale zahtjeve iz Dodatka I.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noProof/>
          <w:color w:val="000000"/>
          <w:szCs w:val="24"/>
        </w:rPr>
      </w:pPr>
      <w:r>
        <w:rPr>
          <w:i/>
          <w:noProof/>
          <w:color w:val="000000"/>
        </w:rPr>
        <w:t>Članak 4.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Izjave dobavljača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1. Prilikom izdavanja potvrde o prometu robe EUR.1 ili izjave o podrijetlu proizvoda u jednoj od stranaka CEFTA-e za proizvode s podrijetlom, za čiju je proizvodnju upotrijebljena roba iz drugih stranaka CEFTA-e, koja je u tim strankama obrađena ili prerađena bez stjecanja povlaštenog statusa podrijetla, uzima se u obzir izjava dobavljača izdana za te proizvode u skladu s ovim člankom.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2. Izjava dobavljača iz stavka 1. ovog članka smatra se dokazom obrade ili prerade izvršene u strankama CEFTA-e na predmetnim proizvodima kada se utvrđuje mogu li se proizvodi za </w:t>
      </w:r>
      <w:r>
        <w:rPr>
          <w:noProof/>
          <w:color w:val="000000"/>
        </w:rPr>
        <w:lastRenderedPageBreak/>
        <w:t xml:space="preserve">čiju je proizvodnju upotrijebljena ta roba smatrati proizvodima podrijetlom iz stranaka CEFTA-e i ispunjavaju li ostale zahtjeve iz Dodatka I.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3. Dobavljač sastavlja zasebnu izjavu, osim u slučajevima predviđenima stavkom 4. ovog članka, za svaku pošiljku robe u obliku propisanom u Prilogu G ovom Dodatku na listu papira priloženom računu, dostavnici ili drugoj komercijalnoj ispravi u kojoj se predmetni proizvod opisuje dovoljno podrobno da bi se mogao prepoznati.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4. Kada dobavljač određenom kupcu redovito isporučuje robu za koju se očekuje da će obrada ili prerada izvršene u strankama CEFTA-e ostati nepromijenjene tijekom duljeg vremenskog razdoblja, on može izdati jedinstvenu izjavu dobavljača koja obuhvaća naknadne pošiljke navedene robe (dalje u tekstu „dugoročna izjava dobavljača”).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Dugoročna izjava dobavljača uobičajeno vrijedi do jedne godine od datuma izdavanja izjave. Carinske vlasti stranke CEFTA-a u kojoj je izjava izdana utvrđuju uvjete pod kojima se mogu upotrijebiti dulja razdoblja.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Dugoročnu izjavu dobavljača, u kojoj se predmetna roba opisuje dovoljno podrobno da bi se mogla prepoznati, sastavlja dobavljač u obliku propisanom u Prilogu H ovom Dodatku. Izjava se dostavlja predmetnom kupcu prije isporuke prve pošiljke robe obuhvaćene tom izjavom ili zajedno s prvom pošiljkom robe.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Dobavljač odmah obavješćuje svog kupca ako dugoročna izjava dobavljača više nije važeća za isporučenu robu.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5. Izjava dobavljača iz stavaka 3. i 4. ovog članka ispisuje se pisaćim strojem ili tiska, na engleskom jeziku, u skladu s odredbama nacionalnog prava stranke CEFTA-e u kojoj je izjava izdana, te ovjerena rukom pisanim izvornim potpisom dobavljača. Izjava može biti pisana i rukom; u tom se slučaju izjava piše tintom i tiskanim slovima.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6. Dobavljač koji sastavlja izjavu mora u svakom trenutku biti spreman, na zahtjev carinskih vlasti stranke CEFTA-e u kojoj je izjava izdana, podnijeti sve odgovarajuće isprave kojima se dokazuje da su podaci navedeni u toj izjavi točni.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noProof/>
          <w:color w:val="000000"/>
          <w:szCs w:val="24"/>
        </w:rPr>
      </w:pPr>
      <w:r>
        <w:rPr>
          <w:i/>
          <w:noProof/>
          <w:color w:val="000000"/>
        </w:rPr>
        <w:t>Članak 5.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>Popratni dokumenti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Izjava dobavljača kojom se dokazuje da su obrada ili prerada izvršene u strankama CEFTA-e na uporabljenim materijalima, izdana u jednoj od tih stranaka, smatra se ispravom iz članka 16. stavka 3. i članka 21. stavka 5. Dodatka I. i članka 4. stavka 6. ovog Priloga koja se upotrebljava u svrhu dokazivanja da se proizvodi obuhvaćeni potvrdom o prometu robe EUR.1 ili izjavom o podrijetlu proizvoda mogu smatrati proizvodima podrijetlom iz stranke CEFTA-e i ispunjavaju ostale zahtjeve iz Dodatka I.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Cs/>
          <w:i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Cs/>
          <w:i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noProof/>
          <w:color w:val="000000"/>
          <w:szCs w:val="24"/>
        </w:rPr>
      </w:pPr>
      <w:r>
        <w:rPr>
          <w:i/>
          <w:noProof/>
          <w:color w:val="000000"/>
        </w:rPr>
        <w:t>Članak 6.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Čuvanje izjava dobavljača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Dobavljač koji sastavlja izjavu dobavljača mora najmanje tri godine čuvati primjerke izjava i računa, dostavnica ili drugih komercijalnih isprava kojima se izjava prilaže i isprave navedene u članku 4. stavku 6. ovog Priloga.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Dobavljač koji sastavlja dugoročnu izjavu dobavljača mora najmanje tri godine čuvati primjerke izjava i svih računa, dostavnica ili drugih komercijalnih isprava o robi obuhvaćenoj tom izjavom poslanom predmetnom kupcu te isprave navedene u članku 4. stavku 6. ovog Priloga. To razdoblje počinje od datuma isteka valjanosti dugoročne izjave dobavljača.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noProof/>
          <w:color w:val="000000"/>
          <w:szCs w:val="24"/>
        </w:rPr>
      </w:pPr>
      <w:r>
        <w:rPr>
          <w:i/>
          <w:noProof/>
          <w:color w:val="000000"/>
        </w:rPr>
        <w:t>Članak 7.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Upravna suradnja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Ne dovodeći u pitanje članke 31. i 32. Dodatka I., kako bi osigurale pravilnu primjenu ovog Priloga, stranke CEFTA-e uzajamno se pomažu putem nadležnih carinskih vlasti u pogledu provjere potvrda o prometu robe EUR.1, izjava o podrijetlu proizvoda ili izjava dobavljača i točnosti podataka koji se navode u tim ispravama.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noProof/>
          <w:color w:val="000000"/>
          <w:szCs w:val="24"/>
        </w:rPr>
      </w:pPr>
      <w:r>
        <w:rPr>
          <w:i/>
          <w:noProof/>
          <w:color w:val="000000"/>
        </w:rPr>
        <w:t>Članak 8.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Provjera izjava dobavljača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1. Naknadne provjere izjava dobavljača ili dugoročnih izjava dobavljača mogu se obavljati nasumično ili kad god carinske vlasti stranke u kojoj su takve izjave uzete u obzir prilikom izdavanja potvrda o prometu robe EUR.1 ili za izdavanje izjava o podrijetlu proizvoda, imaju osnovane razloge za sumnju u vjerodostojnost isprave ili u točnost informacija u toj ispravi.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2. Za potrebe provedbe odredbi stavka 1. ovog članka, carinske vlasti stranke iz stavka 1. ovog članka vraćaju izjavu dobavljača ili dugoročnu izjavu dobavljača i račune, dostavnice ili druge komercijalne isprave koji se odnose na robu obuhvaćenu ovom izjavom, carinskim vlastima stranke u kojoj je izjava izdana, uz navođenje, kad god je to prikladno, formalnih ili sadržajnih razloga za upit.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One prosljeđuju, kao dokaz zahtjevu za naknadnu provjeru, sve pribavljene isprave i informacije koje upućuju na to da su podaci navedeni u izjavi dobavljača ili dugoročnoj izjavi dobavljača netočni.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3. Provjeru obavljaju carinske vlasti stranke u kojoj je izdana izjava dobavljača ili dugoročna izjava dobavljača. U tu svrhu, one imaju pravo zatražiti sve dokaze i izvršiti sve provjere dobavljačevih računa ili druge provjere koje smatraju primjerenima.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4. Carinske vlasti koje su zatražile provjeru u najkraćem se mogućem roku obavješćuje o rezultatima provjere. U tim se rezultatima mora jasno navesti jesu li informacije u izjavi dobavljača ili u dugoročnoj izjavi dobavljača točne i carinskim vlastima omogućiti ocjenu može li se i u kojoj mjeri ta izjava dobavljača uzeti u obzir za izdavanje potvrde o prometu robe EUR.1 ili izjave o podrijetlu proizvoda.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noProof/>
          <w:color w:val="000000"/>
          <w:szCs w:val="24"/>
        </w:rPr>
      </w:pPr>
      <w:r>
        <w:rPr>
          <w:i/>
          <w:noProof/>
          <w:color w:val="000000"/>
        </w:rPr>
        <w:t>Članak 9.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Kazne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lastRenderedPageBreak/>
        <w:t xml:space="preserve">Sankcije se primjenjuju protiv svake osobe koja izradi ili potakne na izradu isprave koja sadrži netočne podatke u svrhu stjecanja povlaštenog tretmana za proizvode.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noProof/>
          <w:color w:val="000000"/>
          <w:szCs w:val="24"/>
        </w:rPr>
      </w:pPr>
      <w:r>
        <w:rPr>
          <w:i/>
          <w:noProof/>
          <w:color w:val="000000"/>
        </w:rPr>
        <w:t>Članak 10.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Zabrana povrata ili izuzeća od carina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Zabrana iz članka 14. stavka 1. Dodatka I. ne primjenjuje se u bilateralnoj trgovini među strankama CEFTA-e.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lastRenderedPageBreak/>
        <w:t>PRILOG II.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noProof/>
          <w:color w:val="000000"/>
          <w:szCs w:val="24"/>
        </w:rPr>
      </w:pPr>
      <w:r>
        <w:rPr>
          <w:i/>
          <w:noProof/>
          <w:color w:val="000000"/>
        </w:rPr>
        <w:t>PRILOG G Dodatku II.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>Izjava dobavljača za robu koja je obrađena ili prerađena u strankama CEFTA-e bez dobivanja povlaštenog statusa podrijetla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Izjava dobavljača, čiji se tekst nalazi u nastavku, mora se sastaviti u skladu s bilješkama. Međutim, bilješke nije potrebno navesti.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noProof/>
          <w:color w:val="000000"/>
        </w:rPr>
        <w:t>IZJAVA DOBAVLJAČA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Cs/>
          <w:noProof/>
          <w:color w:val="000000"/>
          <w:szCs w:val="24"/>
        </w:rPr>
      </w:pPr>
      <w:r>
        <w:rPr>
          <w:noProof/>
          <w:color w:val="000000"/>
        </w:rPr>
        <w:t>za robu koja je obrađena ili prerađena u strankama CEFTA-e bez dobivanja povlaštenog statusa podrijetla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Ja, dolje potpisani dobavljač robe obuhvaćene priloženom ispravom, izjavljujem da:</w:t>
      </w:r>
    </w:p>
    <w:p>
      <w:pPr>
        <w:autoSpaceDE w:val="0"/>
        <w:autoSpaceDN w:val="0"/>
        <w:adjustRightInd w:val="0"/>
        <w:spacing w:before="0" w:after="0"/>
        <w:jc w:val="left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left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1. Sljedeći materijali, koji nisu podrijetlom iz stranaka CEFTA-e, uporabljeni su u strankama CEFTA-e za izradu te robe: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contextualSpacing/>
        <w:mirrorIndents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contextualSpacing/>
        <w:mirrorIndents/>
        <w:jc w:val="left"/>
        <w:rPr>
          <w:rFonts w:eastAsia="Times New Roman"/>
          <w:noProof/>
          <w:color w:val="000000"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106"/>
        <w:gridCol w:w="2106"/>
        <w:gridCol w:w="2108"/>
      </w:tblGrid>
      <w:tr>
        <w:trPr>
          <w:trHeight w:val="377"/>
        </w:trPr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lastRenderedPageBreak/>
              <w:t xml:space="preserve">Opis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isporučene robe(</w:t>
            </w:r>
            <w:r>
              <w:rPr>
                <w:rStyle w:val="FootnoteReference"/>
                <w:noProof/>
              </w:rPr>
              <w:footnoteReference w:id="2"/>
            </w:r>
            <w:r>
              <w:rPr>
                <w:noProof/>
                <w:color w:val="000000"/>
              </w:rPr>
              <w:t>)</w:t>
            </w: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Opis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uporabljenih materijala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bez podrijetla </w:t>
            </w: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Tarifni broj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uporabljenih materijala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bez podrijetla(</w:t>
            </w:r>
            <w:r>
              <w:rPr>
                <w:rStyle w:val="FootnoteReference"/>
                <w:noProof/>
              </w:rPr>
              <w:footnoteReference w:id="3"/>
            </w:r>
            <w:r>
              <w:rPr>
                <w:noProof/>
                <w:color w:val="000000"/>
              </w:rPr>
              <w:t xml:space="preserve">) </w:t>
            </w:r>
          </w:p>
        </w:tc>
        <w:tc>
          <w:tcPr>
            <w:tcW w:w="2108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Vrijednost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uporabljenih materijala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bez podrijetla</w:t>
            </w:r>
            <w:r>
              <w:rPr>
                <w:noProof/>
                <w:color w:val="000000"/>
                <w:vertAlign w:val="superscript"/>
              </w:rPr>
              <w:t>(</w:t>
            </w:r>
            <w:r>
              <w:rPr>
                <w:rStyle w:val="FootnoteReference"/>
                <w:noProof/>
              </w:rPr>
              <w:footnoteReference w:id="4"/>
            </w:r>
            <w:r>
              <w:rPr>
                <w:noProof/>
                <w:color w:val="000000"/>
                <w:vertAlign w:val="superscript"/>
              </w:rPr>
              <w:t>)</w:t>
            </w:r>
            <w:r>
              <w:rPr>
                <w:noProof/>
                <w:color w:val="000000"/>
              </w:rPr>
              <w:t xml:space="preserve"> </w:t>
            </w:r>
          </w:p>
        </w:tc>
      </w:tr>
      <w:tr>
        <w:trPr>
          <w:trHeight w:val="377"/>
        </w:trPr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jc w:val="left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8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  <w:tr>
        <w:trPr>
          <w:trHeight w:val="377"/>
        </w:trPr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jc w:val="left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8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  <w:tr>
        <w:trPr>
          <w:trHeight w:val="377"/>
        </w:trPr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jc w:val="left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8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  <w:tr>
        <w:trPr>
          <w:trHeight w:val="377"/>
        </w:trPr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jc w:val="left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8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  <w:tr>
        <w:trPr>
          <w:trHeight w:val="377"/>
        </w:trPr>
        <w:tc>
          <w:tcPr>
            <w:tcW w:w="6318" w:type="dxa"/>
            <w:gridSpan w:val="3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jc w:val="right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Ukupna vrijednost</w:t>
            </w:r>
          </w:p>
        </w:tc>
        <w:tc>
          <w:tcPr>
            <w:tcW w:w="2108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</w:tbl>
    <w:p>
      <w:pPr>
        <w:tabs>
          <w:tab w:val="left" w:pos="4252"/>
        </w:tabs>
        <w:spacing w:before="0" w:after="0"/>
        <w:contextualSpacing/>
        <w:mirrorIndents/>
        <w:rPr>
          <w:rFonts w:eastAsia="Times New Roman"/>
          <w:noProof/>
          <w:szCs w:val="24"/>
        </w:rPr>
      </w:pPr>
    </w:p>
    <w:p>
      <w:pPr>
        <w:tabs>
          <w:tab w:val="left" w:pos="4252"/>
        </w:tabs>
        <w:spacing w:before="0" w:after="0"/>
        <w:contextualSpacing/>
        <w:mirrorIndents/>
        <w:rPr>
          <w:rFonts w:eastAsia="Times New Roman"/>
          <w:noProof/>
          <w:szCs w:val="24"/>
        </w:rPr>
      </w:pPr>
      <w:r>
        <w:rPr>
          <w:noProof/>
        </w:rPr>
        <w:t>2. Svi drugi materijali uporabljeni u strankama CEFTA-e za izradu te robe podrijetlom su iz stranaka CEFTA-e.</w:t>
      </w:r>
    </w:p>
    <w:p>
      <w:pPr>
        <w:tabs>
          <w:tab w:val="left" w:pos="4252"/>
        </w:tabs>
        <w:spacing w:before="0" w:after="0"/>
        <w:contextualSpacing/>
        <w:mirrorIndents/>
        <w:rPr>
          <w:rFonts w:eastAsia="Times New Roman"/>
          <w:noProof/>
          <w:szCs w:val="24"/>
        </w:rPr>
      </w:pPr>
    </w:p>
    <w:p>
      <w:pPr>
        <w:tabs>
          <w:tab w:val="left" w:pos="4252"/>
        </w:tabs>
        <w:spacing w:before="0" w:after="0"/>
        <w:contextualSpacing/>
        <w:mirrorIndents/>
        <w:rPr>
          <w:rFonts w:eastAsia="Times New Roman"/>
          <w:noProof/>
          <w:szCs w:val="24"/>
        </w:rPr>
      </w:pPr>
      <w:r>
        <w:rPr>
          <w:noProof/>
        </w:rPr>
        <w:t>3. Sljedeća roba obrađena je ili prerađena izvan stranaka CEFTA-e u skladu s člankom 11. Dodatka I. Regionalnoj konvenciji o pan-Euro-Mediteranskim povlaštenim pravilima podrijetla i tamo je dobila sljedeću ukupnu dodanu vrijednost:</w:t>
      </w:r>
    </w:p>
    <w:p>
      <w:pPr>
        <w:tabs>
          <w:tab w:val="left" w:pos="4252"/>
        </w:tabs>
        <w:spacing w:before="0" w:after="0"/>
        <w:contextualSpacing/>
        <w:mirrorIndents/>
        <w:rPr>
          <w:rFonts w:eastAsia="Times New Roman"/>
          <w:noProof/>
          <w:szCs w:val="24"/>
        </w:rPr>
      </w:pPr>
    </w:p>
    <w:p>
      <w:pPr>
        <w:tabs>
          <w:tab w:val="left" w:pos="4252"/>
        </w:tabs>
        <w:spacing w:before="0" w:after="0"/>
        <w:contextualSpacing/>
        <w:mirrorIndents/>
        <w:rPr>
          <w:rFonts w:eastAsia="Times New Roman"/>
          <w:noProof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>
        <w:tc>
          <w:tcPr>
            <w:tcW w:w="4417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Opis isporučene robe 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………………………………………….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………………………………………….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………………………………………….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………………………………………….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Ukupna dodana vrijednost dobivena izvan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stranaka CEFTA-e</w:t>
            </w:r>
            <w:r>
              <w:rPr>
                <w:rStyle w:val="FootnoteReference"/>
                <w:noProof/>
              </w:rPr>
              <w:footnoteReference w:id="5"/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………………………………………….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………………………………………….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………………………………………….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………………………………………….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</w:tc>
      </w:tr>
      <w:tr>
        <w:tc>
          <w:tcPr>
            <w:tcW w:w="4417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………………………………………….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(Mjesto i datum)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………………………………………….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………………………………………….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………………………………………….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jc w:val="center"/>
              <w:rPr>
                <w:rFonts w:eastAsia="Times New Roman"/>
                <w:i/>
                <w:noProof/>
                <w:szCs w:val="24"/>
              </w:rPr>
            </w:pP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(Adresa i potpis dobavljača; osim toga, ime osobe koja potpisuje izjavu mora biti čitko napisano)</w:t>
            </w: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</w:tc>
      </w:tr>
    </w:tbl>
    <w:p>
      <w:pPr>
        <w:tabs>
          <w:tab w:val="left" w:pos="4252"/>
        </w:tabs>
        <w:spacing w:before="0" w:after="0"/>
        <w:contextualSpacing/>
        <w:mirrorIndents/>
        <w:rPr>
          <w:rFonts w:eastAsia="Times New Roman"/>
          <w:noProof/>
          <w:szCs w:val="24"/>
        </w:rPr>
      </w:pPr>
    </w:p>
    <w:p>
      <w:pPr>
        <w:tabs>
          <w:tab w:val="left" w:pos="4252"/>
        </w:tabs>
        <w:spacing w:before="0" w:after="0"/>
        <w:contextualSpacing/>
        <w:mirrorIndents/>
        <w:rPr>
          <w:rFonts w:eastAsia="Times New Roman"/>
          <w:noProof/>
          <w:szCs w:val="24"/>
        </w:rPr>
      </w:pPr>
    </w:p>
    <w:p>
      <w:pPr>
        <w:tabs>
          <w:tab w:val="left" w:pos="4252"/>
        </w:tabs>
        <w:spacing w:before="0" w:after="0"/>
        <w:contextualSpacing/>
        <w:mirrorIndents/>
        <w:rPr>
          <w:rFonts w:eastAsia="Times New Roman"/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contextualSpacing/>
        <w:mirrorIndents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contextualSpacing/>
        <w:mirrorIndents/>
        <w:jc w:val="left"/>
        <w:rPr>
          <w:rFonts w:eastAsia="Times New Roman"/>
          <w:noProof/>
          <w:color w:val="000000"/>
          <w:szCs w:val="24"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tabs>
          <w:tab w:val="left" w:pos="4252"/>
        </w:tabs>
        <w:spacing w:before="0" w:after="240"/>
        <w:contextualSpacing/>
        <w:mirrorIndents/>
        <w:jc w:val="center"/>
        <w:rPr>
          <w:rFonts w:eastAsia="Times New Roman"/>
          <w:noProof/>
          <w:szCs w:val="24"/>
        </w:rPr>
      </w:pPr>
      <w:r>
        <w:rPr>
          <w:noProof/>
        </w:rPr>
        <w:lastRenderedPageBreak/>
        <w:t>PRILOG III.</w:t>
      </w:r>
    </w:p>
    <w:p>
      <w:pPr>
        <w:tabs>
          <w:tab w:val="left" w:pos="4252"/>
        </w:tabs>
        <w:spacing w:before="0" w:after="240"/>
        <w:contextualSpacing/>
        <w:mirrorIndents/>
        <w:jc w:val="center"/>
        <w:rPr>
          <w:rFonts w:eastAsia="Times New Roman"/>
          <w:b/>
          <w:bCs/>
          <w:noProof/>
          <w:szCs w:val="24"/>
        </w:rPr>
      </w:pPr>
      <w:r>
        <w:rPr>
          <w:rFonts w:eastAsia="Times New Roman"/>
          <w:i/>
          <w:noProof/>
          <w:szCs w:val="24"/>
        </w:rPr>
        <w:br/>
      </w:r>
      <w:r>
        <w:rPr>
          <w:i/>
          <w:noProof/>
        </w:rPr>
        <w:t>PRILOG H Dodatku II.</w:t>
      </w:r>
      <w:r>
        <w:rPr>
          <w:b/>
          <w:noProof/>
        </w:rPr>
        <w:t xml:space="preserve"> </w:t>
      </w:r>
    </w:p>
    <w:p>
      <w:pPr>
        <w:tabs>
          <w:tab w:val="left" w:pos="4252"/>
        </w:tabs>
        <w:spacing w:before="0" w:after="240"/>
        <w:contextualSpacing/>
        <w:mirrorIndents/>
        <w:jc w:val="center"/>
        <w:rPr>
          <w:rFonts w:eastAsia="Times New Roman"/>
          <w:b/>
          <w:bCs/>
          <w:noProof/>
          <w:szCs w:val="24"/>
        </w:rPr>
      </w:pPr>
    </w:p>
    <w:p>
      <w:pPr>
        <w:tabs>
          <w:tab w:val="left" w:pos="4252"/>
        </w:tabs>
        <w:spacing w:before="0" w:after="240"/>
        <w:contextualSpacing/>
        <w:mirrorIndents/>
        <w:jc w:val="center"/>
        <w:rPr>
          <w:rFonts w:eastAsia="Times New Roman"/>
          <w:b/>
          <w:bCs/>
          <w:noProof/>
          <w:szCs w:val="24"/>
        </w:rPr>
      </w:pPr>
      <w:r>
        <w:rPr>
          <w:b/>
          <w:noProof/>
        </w:rPr>
        <w:t>Dugoročna izjava dobavljača za robu koja je obrađena ili prerađena u strankama CEFTA-e bez dobivanja povlaštenog statusa podrijetla</w:t>
      </w:r>
    </w:p>
    <w:p>
      <w:pPr>
        <w:tabs>
          <w:tab w:val="left" w:pos="4252"/>
        </w:tabs>
        <w:spacing w:before="0" w:after="240"/>
        <w:jc w:val="center"/>
        <w:rPr>
          <w:rFonts w:eastAsia="Times New Roman"/>
          <w:i/>
          <w:noProof/>
          <w:szCs w:val="24"/>
        </w:rPr>
      </w:pPr>
    </w:p>
    <w:p>
      <w:pPr>
        <w:tabs>
          <w:tab w:val="left" w:pos="4252"/>
        </w:tabs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Dugoročna izjava dobavljača, čiji se tekst nalazi u nastavku, mora se sastaviti u skladu s bilješkama. Međutim, bilješke nije potrebno navesti.</w:t>
      </w:r>
    </w:p>
    <w:p>
      <w:pPr>
        <w:tabs>
          <w:tab w:val="left" w:pos="4252"/>
        </w:tabs>
        <w:spacing w:before="0" w:after="240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</w:rPr>
        <w:t>DUGOROČNA IZJAVA DOBAVLJAČA</w:t>
      </w:r>
    </w:p>
    <w:p>
      <w:pPr>
        <w:tabs>
          <w:tab w:val="left" w:pos="4252"/>
        </w:tabs>
        <w:spacing w:before="0" w:after="240"/>
        <w:jc w:val="center"/>
        <w:rPr>
          <w:rFonts w:eastAsia="Times New Roman"/>
          <w:noProof/>
          <w:szCs w:val="24"/>
        </w:rPr>
      </w:pPr>
      <w:r>
        <w:rPr>
          <w:noProof/>
        </w:rPr>
        <w:t>za robu koja je obrađena ili prerađena u strankama CEFTA-e bez dobivanja povlaštenog statusa podrijetla</w:t>
      </w:r>
    </w:p>
    <w:p>
      <w:pPr>
        <w:tabs>
          <w:tab w:val="left" w:pos="4252"/>
        </w:tabs>
        <w:spacing w:before="0" w:after="240"/>
        <w:rPr>
          <w:rFonts w:eastAsia="Times New Roman"/>
          <w:noProof/>
          <w:szCs w:val="24"/>
        </w:rPr>
      </w:pPr>
    </w:p>
    <w:p>
      <w:pPr>
        <w:tabs>
          <w:tab w:val="left" w:pos="4252"/>
        </w:tabs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 xml:space="preserve">Ja, dolje potpisani dobavljač robe obuhvaćene priloženom ispravom, koja se redovito isporučuje ……………………………………… </w:t>
      </w:r>
      <w:r>
        <w:rPr>
          <w:rStyle w:val="FootnoteReference"/>
          <w:noProof/>
        </w:rPr>
        <w:footnoteReference w:id="6"/>
      </w:r>
      <w:r>
        <w:rPr>
          <w:noProof/>
        </w:rPr>
        <w:t>, izjavljujem da:</w:t>
      </w:r>
    </w:p>
    <w:p>
      <w:pPr>
        <w:tabs>
          <w:tab w:val="left" w:pos="4252"/>
        </w:tabs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1. Sljedeći materijali, koji nisu podrijetlom iz stranaka CEFTA-e, uporabljeni su u strankama CEFTA-e za izradu te robe: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106"/>
        <w:gridCol w:w="2106"/>
        <w:gridCol w:w="2108"/>
      </w:tblGrid>
      <w:tr>
        <w:trPr>
          <w:trHeight w:val="377"/>
        </w:trPr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Opis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isporučene robe(</w:t>
            </w:r>
            <w:r>
              <w:rPr>
                <w:rStyle w:val="FootnoteReference"/>
                <w:noProof/>
              </w:rPr>
              <w:footnoteReference w:id="7"/>
            </w:r>
            <w:r>
              <w:rPr>
                <w:noProof/>
                <w:color w:val="000000"/>
              </w:rPr>
              <w:t>)</w:t>
            </w: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Opis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uporabljenih materijala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bez podrijetla </w:t>
            </w: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Tarifni broj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uporabljenih materijala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bez podrijetla(</w:t>
            </w:r>
            <w:r>
              <w:rPr>
                <w:rStyle w:val="FootnoteReference"/>
                <w:noProof/>
              </w:rPr>
              <w:footnoteReference w:id="8"/>
            </w:r>
            <w:r>
              <w:rPr>
                <w:noProof/>
                <w:color w:val="000000"/>
              </w:rPr>
              <w:t xml:space="preserve">) </w:t>
            </w:r>
          </w:p>
        </w:tc>
        <w:tc>
          <w:tcPr>
            <w:tcW w:w="2108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Vrijednost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uporabljenih materijala </w:t>
            </w:r>
          </w:p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bez podrijetla</w:t>
            </w:r>
            <w:r>
              <w:rPr>
                <w:noProof/>
                <w:color w:val="000000"/>
                <w:vertAlign w:val="superscript"/>
              </w:rPr>
              <w:t>(</w:t>
            </w:r>
            <w:r>
              <w:rPr>
                <w:rStyle w:val="FootnoteReference"/>
                <w:noProof/>
              </w:rPr>
              <w:footnoteReference w:id="9"/>
            </w:r>
            <w:r>
              <w:rPr>
                <w:noProof/>
                <w:color w:val="000000"/>
                <w:vertAlign w:val="superscript"/>
              </w:rPr>
              <w:t>)</w:t>
            </w:r>
            <w:r>
              <w:rPr>
                <w:noProof/>
                <w:color w:val="000000"/>
              </w:rPr>
              <w:t xml:space="preserve"> </w:t>
            </w:r>
          </w:p>
        </w:tc>
      </w:tr>
      <w:tr>
        <w:trPr>
          <w:trHeight w:val="377"/>
        </w:trPr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jc w:val="left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8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  <w:tr>
        <w:trPr>
          <w:trHeight w:val="377"/>
        </w:trPr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jc w:val="left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8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  <w:tr>
        <w:trPr>
          <w:trHeight w:val="377"/>
        </w:trPr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jc w:val="left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8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  <w:tr>
        <w:trPr>
          <w:trHeight w:val="377"/>
        </w:trPr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jc w:val="left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6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2108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  <w:tr>
        <w:trPr>
          <w:trHeight w:val="377"/>
        </w:trPr>
        <w:tc>
          <w:tcPr>
            <w:tcW w:w="6318" w:type="dxa"/>
            <w:gridSpan w:val="3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jc w:val="right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lastRenderedPageBreak/>
              <w:t>Ukupna vrijednost</w:t>
            </w:r>
          </w:p>
        </w:tc>
        <w:tc>
          <w:tcPr>
            <w:tcW w:w="2108" w:type="dxa"/>
          </w:tcPr>
          <w:p>
            <w:pPr>
              <w:autoSpaceDE w:val="0"/>
              <w:autoSpaceDN w:val="0"/>
              <w:adjustRightInd w:val="0"/>
              <w:spacing w:before="0" w:after="0"/>
              <w:contextualSpacing/>
              <w:mirrorIndents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</w:tbl>
    <w:p>
      <w:pPr>
        <w:tabs>
          <w:tab w:val="left" w:pos="4252"/>
        </w:tabs>
        <w:spacing w:before="0" w:after="0"/>
        <w:contextualSpacing/>
        <w:mirrorIndents/>
        <w:rPr>
          <w:rFonts w:eastAsia="Times New Roman"/>
          <w:noProof/>
          <w:szCs w:val="24"/>
        </w:rPr>
      </w:pPr>
    </w:p>
    <w:p>
      <w:pPr>
        <w:tabs>
          <w:tab w:val="left" w:pos="4252"/>
        </w:tabs>
        <w:spacing w:before="0" w:after="240"/>
        <w:rPr>
          <w:rFonts w:eastAsia="Times New Roman"/>
          <w:noProof/>
          <w:szCs w:val="24"/>
        </w:rPr>
      </w:pPr>
    </w:p>
    <w:p>
      <w:pPr>
        <w:tabs>
          <w:tab w:val="left" w:pos="4252"/>
        </w:tabs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2. Svi drugi materijali uporabljeni u strankama CEFTA-e za izradu te robe podrijetlom su iz stranaka CEFTA-e.</w:t>
      </w:r>
    </w:p>
    <w:p>
      <w:pPr>
        <w:tabs>
          <w:tab w:val="left" w:pos="4252"/>
        </w:tabs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3. Sljedeća roba obrađena je ili prerađena izvan stranaka CEFTA-e u skladu s člankom 11. Dodatka I. Regionalnoj konvenciji o pan-Euro-Mediteranskim povlaštenim pravilima podrijetla i tamo je dobila sljedeću ukupnu dodanu vrijednost: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5246"/>
      </w:tblGrid>
      <w:tr>
        <w:tc>
          <w:tcPr>
            <w:tcW w:w="3588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 xml:space="preserve">Opis isporučene robe </w:t>
            </w:r>
          </w:p>
        </w:tc>
        <w:tc>
          <w:tcPr>
            <w:tcW w:w="5246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Ukupna dodana vrijednost dobivena izvan stranaka CEFTA-e</w:t>
            </w:r>
            <w:r>
              <w:rPr>
                <w:rStyle w:val="FootnoteReference"/>
                <w:noProof/>
              </w:rPr>
              <w:footnoteReference w:id="10"/>
            </w:r>
          </w:p>
        </w:tc>
      </w:tr>
      <w:tr>
        <w:tc>
          <w:tcPr>
            <w:tcW w:w="3588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</w:tc>
      </w:tr>
      <w:tr>
        <w:tc>
          <w:tcPr>
            <w:tcW w:w="3588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</w:tc>
      </w:tr>
      <w:tr>
        <w:tc>
          <w:tcPr>
            <w:tcW w:w="3588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0"/>
              <w:contextualSpacing/>
              <w:mirrorIndents/>
              <w:rPr>
                <w:rFonts w:eastAsia="Times New Roman"/>
                <w:noProof/>
                <w:szCs w:val="24"/>
              </w:rPr>
            </w:pPr>
          </w:p>
        </w:tc>
      </w:tr>
    </w:tbl>
    <w:p>
      <w:pPr>
        <w:tabs>
          <w:tab w:val="left" w:pos="4252"/>
        </w:tabs>
        <w:spacing w:before="0" w:after="240"/>
        <w:rPr>
          <w:rFonts w:eastAsia="Times New Roman"/>
          <w:noProof/>
          <w:szCs w:val="24"/>
        </w:rPr>
      </w:pPr>
    </w:p>
    <w:p>
      <w:pPr>
        <w:tabs>
          <w:tab w:val="left" w:pos="4252"/>
        </w:tabs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Ova izjava vrijedi za sve daljnje isporuke ove robe otpremljene od………………………………………………………………</w:t>
      </w:r>
    </w:p>
    <w:p>
      <w:pPr>
        <w:tabs>
          <w:tab w:val="left" w:pos="4252"/>
        </w:tabs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do………………………………………………………………..</w:t>
      </w:r>
      <w:r>
        <w:rPr>
          <w:rStyle w:val="FootnoteReference"/>
          <w:noProof/>
        </w:rPr>
        <w:footnoteReference w:id="11"/>
      </w:r>
      <w:r>
        <w:rPr>
          <w:noProof/>
        </w:rPr>
        <w:t>.</w:t>
      </w:r>
    </w:p>
    <w:p>
      <w:pPr>
        <w:tabs>
          <w:tab w:val="left" w:pos="4252"/>
        </w:tabs>
        <w:spacing w:before="0" w:after="240"/>
        <w:rPr>
          <w:rFonts w:eastAsia="Times New Roman"/>
          <w:noProof/>
          <w:szCs w:val="24"/>
        </w:rPr>
      </w:pPr>
      <w:r>
        <w:rPr>
          <w:noProof/>
        </w:rPr>
        <w:t>Obvezujem se da ću odmah obavijestiti…………………………………………….(1) ako ova izjava više nije valjana.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8"/>
        <w:gridCol w:w="5376"/>
      </w:tblGrid>
      <w:tr>
        <w:tc>
          <w:tcPr>
            <w:tcW w:w="3468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240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5366" w:type="dxa"/>
            <w:shd w:val="clear" w:color="auto" w:fill="auto"/>
          </w:tcPr>
          <w:p>
            <w:pPr>
              <w:tabs>
                <w:tab w:val="left" w:pos="4252"/>
              </w:tabs>
              <w:spacing w:before="0" w:after="2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……………………………………………………….</w:t>
            </w:r>
          </w:p>
          <w:p>
            <w:pPr>
              <w:tabs>
                <w:tab w:val="left" w:pos="4252"/>
              </w:tabs>
              <w:spacing w:before="0" w:after="240"/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(Mjesto i datum)</w:t>
            </w:r>
          </w:p>
          <w:p>
            <w:pPr>
              <w:tabs>
                <w:tab w:val="left" w:pos="4252"/>
              </w:tabs>
              <w:spacing w:before="0" w:after="2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………………………………………………………..</w:t>
            </w:r>
          </w:p>
          <w:p>
            <w:pPr>
              <w:tabs>
                <w:tab w:val="left" w:pos="4252"/>
              </w:tabs>
              <w:spacing w:before="0" w:after="2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………………………………………………………..</w:t>
            </w:r>
          </w:p>
          <w:p>
            <w:pPr>
              <w:tabs>
                <w:tab w:val="left" w:pos="4252"/>
              </w:tabs>
              <w:spacing w:before="0" w:after="2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………………………………………………………..</w:t>
            </w:r>
          </w:p>
          <w:p>
            <w:pPr>
              <w:tabs>
                <w:tab w:val="left" w:pos="4252"/>
              </w:tabs>
              <w:spacing w:before="0" w:after="240"/>
              <w:rPr>
                <w:rFonts w:eastAsia="Times New Roman"/>
                <w:i/>
                <w:noProof/>
                <w:szCs w:val="24"/>
              </w:rPr>
            </w:pPr>
          </w:p>
          <w:p>
            <w:pPr>
              <w:tabs>
                <w:tab w:val="left" w:pos="4252"/>
              </w:tabs>
              <w:spacing w:before="0" w:after="240"/>
              <w:jc w:val="center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(Adresa i potpis dobavljača; osim toga, ime osobe koja potpisuje izjavu mora biti čitko napisano)</w:t>
            </w:r>
          </w:p>
          <w:p>
            <w:pPr>
              <w:tabs>
                <w:tab w:val="left" w:pos="4252"/>
              </w:tabs>
              <w:spacing w:before="0" w:after="240"/>
              <w:rPr>
                <w:rFonts w:eastAsia="Times New Roman"/>
                <w:noProof/>
                <w:szCs w:val="24"/>
              </w:rPr>
            </w:pPr>
          </w:p>
        </w:tc>
      </w:tr>
    </w:tbl>
    <w:p>
      <w:pPr>
        <w:rPr>
          <w:noProof/>
        </w:rPr>
      </w:pPr>
    </w:p>
    <w:sectPr>
      <w:footnotePr>
        <w:numRestart w:val="eachSect"/>
      </w:footnote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HR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HR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SL L 54, 26.2.2013., str. 4.</w:t>
      </w:r>
    </w:p>
  </w:footnote>
  <w:footnote w:id="2">
    <w:p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ab/>
      </w:r>
      <w:r>
        <w:rPr>
          <w:sz w:val="16"/>
        </w:rPr>
        <w:t>Kada se račun, dostavnica ili druga komercijalna isprava kojoj se prilaže izjava odnosi na različite vrste robe ili na robu koja ne uključuje materijale bez podrijetla u istom opsegu, dobavljač ih mora jasno razlikovati.</w:t>
      </w:r>
      <w:r>
        <w:rPr>
          <w:sz w:val="16"/>
        </w:rPr>
        <w:br/>
        <w:t>Primjer:</w:t>
      </w:r>
      <w:r>
        <w:rPr>
          <w:sz w:val="16"/>
        </w:rPr>
        <w:br/>
        <w:t>Isprava se odnosi na različite modele električnih motora iz tarifnog broja 8501 koji će se uporabiti u proizvodnji perilica za rublje iz tarifnog broja 8450. Vrsta i vrijednost materijala bez podrijetla uporabljenih u proizvodnji tih motora razlikuje se od jednog do drugog modela. Stoga se razlikovanje između modela vrši u prvom stupcu, a oznake u ostalim stupcima moraju se navesti odvojeno za svaki model kako bi se proizvođaču perilica za rublje omogućila pravilna procjena o tome imaju li njegovi proizvodi status proizvoda s podrijetlom ovisno o uporabljenom modelu električnog motora.</w:t>
      </w:r>
    </w:p>
  </w:footnote>
  <w:footnote w:id="3">
    <w:p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ab/>
      </w:r>
      <w:r>
        <w:rPr>
          <w:sz w:val="16"/>
        </w:rPr>
        <w:t>Oznake u ovim stupcima navode se samo ako su potrebne.</w:t>
      </w:r>
    </w:p>
    <w:p>
      <w:pPr>
        <w:pStyle w:val="FootnoteText"/>
        <w:ind w:firstLine="0"/>
        <w:rPr>
          <w:sz w:val="16"/>
        </w:rPr>
      </w:pPr>
      <w:r>
        <w:rPr>
          <w:sz w:val="16"/>
        </w:rPr>
        <w:t>Primjeri:</w:t>
      </w:r>
      <w:r>
        <w:rPr>
          <w:sz w:val="16"/>
        </w:rPr>
        <w:br/>
        <w:t>Prema pravilu za odjeću iz ex. Poglavlja 62 može se uporabiti pređa bez podrijetla. Ako proizvođač takve odjeće u Srbiji upotrebljava tkaninu uvezenu iz Crne Gore koja je tamo proizvedena tkanjem pređe bez podrijetla, dovoljno je da dobavljač iz Crne Gore u svojoj izjavi opiše materijal bez podrijetla koji je uporabljen kao pređa, pri čemu nije nužno navesti tarifni broj i vrijednost takve pređe.</w:t>
      </w:r>
    </w:p>
    <w:p>
      <w:pPr>
        <w:pStyle w:val="FootnoteText"/>
        <w:ind w:firstLine="0"/>
        <w:rPr>
          <w:sz w:val="16"/>
        </w:rPr>
      </w:pPr>
      <w:r>
        <w:rPr>
          <w:sz w:val="16"/>
        </w:rPr>
        <w:t>Proizvođač željeznih proizvoda iz tarifnog broja 7217 koji ih je proizveo iz željeznih šipki bez podrijetla, u drugom stupcu treba navesti „željezne šipke”. Kada se ta žica upotrebljava u proizvodnji stroja za koji pravilo sadržava ograničenja u pogledu svih materijala bez podrijetla uporabljenih do određenog postotka vrijednosti, potrebno je u trećem stupcu navesti vrijednost šipki bez podrijetla.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6"/>
        </w:rPr>
        <w:t>„Vrijednost materijala” znači carinska vrijednost u trenutku uvoza uporabljenih materijala bez podrijetla ili, ako ona nije poznata i ne može se utvrditi, prvu utvrdivu cijenu plaćenu za materijale u jednoj od stranaka CEFTA-e. Točna vrijednost za svaki uporabljeni materijal bez podrijetla navodi se za svaku jedinicu robe koja je navedena u prvom stupcu.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6"/>
        </w:rPr>
        <w:t>„Ukupna dodana vrijednost” znači svi troškovi akumulirani izvan stranaka CEFTA-e, uključujući i vrijednost svih tamo dodanih materijala. Točan iznos ukupne dodane vrijednosti dobivene izvan stranaka CEFTA-e navodi se za svaku jedinicu robe koja je navedena u prvom stupcu.</w:t>
      </w:r>
    </w:p>
  </w:footnote>
  <w:footnote w:id="6">
    <w:p>
      <w:pPr>
        <w:pStyle w:val="FootnoteText"/>
        <w:keepNext/>
        <w:keepLines/>
        <w:pageBreakBefore/>
        <w:rPr>
          <w:sz w:val="16"/>
        </w:rPr>
      </w:pPr>
      <w:r>
        <w:rPr>
          <w:rStyle w:val="FootnoteReference"/>
        </w:rPr>
        <w:footnoteRef/>
      </w:r>
      <w:r>
        <w:tab/>
      </w:r>
      <w:r>
        <w:rPr>
          <w:sz w:val="16"/>
        </w:rPr>
        <w:t>Ime i adresa kupca.</w:t>
      </w:r>
    </w:p>
  </w:footnote>
  <w:footnote w:id="7">
    <w:p>
      <w:pPr>
        <w:pStyle w:val="FootnoteText"/>
        <w:keepNext/>
        <w:keepLines/>
        <w:pageBreakBefore/>
        <w:rPr>
          <w:sz w:val="16"/>
        </w:rPr>
      </w:pPr>
      <w:r>
        <w:rPr>
          <w:rStyle w:val="FootnoteReference"/>
        </w:rPr>
        <w:footnoteRef/>
      </w:r>
      <w:r>
        <w:tab/>
      </w:r>
      <w:r>
        <w:rPr>
          <w:sz w:val="16"/>
        </w:rPr>
        <w:t xml:space="preserve">Kada se račun, dostavnica ili druga komercijalna isprava kojoj se prilaže izjava odnosi na različite vrste robe ili na robu koja ne uključuje materijale bez podrijetla u istom opsegu, dobavljač ih mora jasno razlikovati. </w:t>
      </w:r>
    </w:p>
    <w:p>
      <w:pPr>
        <w:pStyle w:val="FootnoteText"/>
        <w:keepNext/>
        <w:keepLines/>
        <w:pageBreakBefore/>
        <w:ind w:firstLine="0"/>
        <w:rPr>
          <w:sz w:val="16"/>
        </w:rPr>
      </w:pPr>
      <w:r>
        <w:rPr>
          <w:sz w:val="16"/>
        </w:rPr>
        <w:t xml:space="preserve">Primjer: </w:t>
      </w:r>
      <w:r>
        <w:rPr>
          <w:sz w:val="16"/>
        </w:rPr>
        <w:br/>
        <w:t>Isprava se odnosi na različite modele električnih motora iz tarifnog broja 8501 koji će se uporabiti u proizvodnji perilica za rublje iz tarifnog broja 8450. Vrsta i vrijednost materijala bez podrijetla uporabljenih u proizvodnji tih motora razlikuje se od jednog do drugog modela. Stoga se razlikovanje između modela vrši u prvom stupcu, a oznake u ostalim stupcima moraju se navesti odvojeno za svaki model kako bi se proizvođaču perilica za rublje omogućila pravilna procjena o tome imaju li njegovi proizvodi status proizvoda s podrijetlom ovisno o uporabljenom modelu električnog motora.</w:t>
      </w:r>
    </w:p>
  </w:footnote>
  <w:footnote w:id="8">
    <w:p>
      <w:pPr>
        <w:pStyle w:val="FootnoteText"/>
        <w:keepNext/>
        <w:keepLines/>
        <w:pageBreakBefore/>
        <w:rPr>
          <w:sz w:val="16"/>
        </w:rPr>
      </w:pPr>
      <w:r>
        <w:rPr>
          <w:rStyle w:val="FootnoteReference"/>
        </w:rPr>
        <w:footnoteRef/>
      </w:r>
      <w:r>
        <w:tab/>
      </w:r>
      <w:r>
        <w:rPr>
          <w:sz w:val="16"/>
        </w:rPr>
        <w:t>Oznake u ovim stupcima navode se samo ako su potrebne.</w:t>
      </w:r>
    </w:p>
    <w:p>
      <w:pPr>
        <w:pStyle w:val="FootnoteText"/>
        <w:keepNext/>
        <w:keepLines/>
        <w:pageBreakBefore/>
        <w:ind w:firstLine="0"/>
        <w:rPr>
          <w:sz w:val="12"/>
        </w:rPr>
      </w:pPr>
      <w:r>
        <w:rPr>
          <w:sz w:val="16"/>
        </w:rPr>
        <w:t>Primjeri:</w:t>
      </w:r>
      <w:r>
        <w:rPr>
          <w:sz w:val="16"/>
        </w:rPr>
        <w:br/>
        <w:t>Prema pravilu za odjeću iz ex. Poglavlja 62 može se uporabiti pređa bez podrijetla. Ako proizvođač takve odjeće u Srbiji upotrebljava tkaninu uvezenu iz Crne Gore koja je tamo proizvedena tkanjem pređe bez podrijetla, dovoljno je da dobavljač iz Crne Gore u svojoj izjavi opiše materijal bez podrijetla koji je uporabljen kao pređa, pri čemu nije nužno navesti tarifni broj i vrijednost takve pređe. Proizvođač željeznih proizvoda iz tarifnog broja 7217 koji ih je proizveo iz željeznih šipki bez podrijetla, u drugom stupcu treba navesti „željezne šipke”. Kada se ta žica upotrebljava u proizvodnji stroja za koji pravilo sadržava ograničenja u pogledu svih materijala bez podrijetla uporabljenih do određenog postotka vrijednosti, potrebno je u trećem stupcu navesti vrijednost šipki bez podrijetla.</w:t>
      </w:r>
    </w:p>
  </w:footnote>
  <w:footnote w:id="9">
    <w:p>
      <w:pPr>
        <w:pStyle w:val="FootnoteText"/>
        <w:keepNext/>
        <w:keepLines/>
        <w:pageBreakBefore/>
        <w:rPr>
          <w:sz w:val="16"/>
        </w:rPr>
      </w:pPr>
      <w:r>
        <w:rPr>
          <w:rStyle w:val="FootnoteReference"/>
        </w:rPr>
        <w:footnoteRef/>
      </w:r>
      <w:r>
        <w:tab/>
      </w:r>
      <w:r>
        <w:rPr>
          <w:sz w:val="16"/>
        </w:rPr>
        <w:t>„Vrijednost materijala” znači carinska vrijednost u trenutku uvoza uporabljenih materijala bez podrijetla ili, ako ona nije poznata i ne može se utvrditi, prvu utvrdivu cijenu plaćenu za materijale u jednoj od stranaka CEFTA-e.</w:t>
      </w:r>
      <w:r>
        <w:rPr>
          <w:sz w:val="16"/>
        </w:rPr>
        <w:br/>
        <w:t>Točna vrijednost za svaki uporabljeni materijal bez podrijetla navodi se za svaku jedinicu robe koja je navedena u prvom stupcu.</w:t>
      </w:r>
    </w:p>
  </w:footnote>
  <w:footnote w:id="10">
    <w:p>
      <w:pPr>
        <w:pStyle w:val="FootnoteText"/>
        <w:keepNext/>
        <w:keepLines/>
        <w:pageBreakBefore/>
        <w:rPr>
          <w:sz w:val="16"/>
        </w:rPr>
      </w:pPr>
      <w:r>
        <w:rPr>
          <w:rStyle w:val="FootnoteReference"/>
        </w:rPr>
        <w:footnoteRef/>
      </w:r>
      <w:r>
        <w:tab/>
      </w:r>
      <w:r>
        <w:rPr>
          <w:sz w:val="16"/>
        </w:rPr>
        <w:t>„Ukupna dodana vrijednost” znači svi troškovi akumulirani izvan stranaka CEFTA-e, uključujući i vrijednost svih tamo dodanih materijala. Točan iznos ukupne dodane vrijednosti dobivene izvan stranaka CEFTA-e navodi se za svaku jedinicu robe koja je navedena u prvom stupcu.</w:t>
      </w:r>
    </w:p>
  </w:footnote>
  <w:footnote w:id="11">
    <w:p>
      <w:pPr>
        <w:pStyle w:val="FootnoteText"/>
        <w:keepNext/>
        <w:keepLines/>
        <w:pageBreakBefore/>
        <w:rPr>
          <w:sz w:val="16"/>
        </w:rPr>
      </w:pPr>
      <w:r>
        <w:rPr>
          <w:rStyle w:val="FootnoteReference"/>
        </w:rPr>
        <w:footnoteRef/>
      </w:r>
      <w:r>
        <w:tab/>
      </w:r>
      <w:r>
        <w:rPr>
          <w:sz w:val="16"/>
        </w:rPr>
        <w:t>Umetnuti datume. Rok valjanosti dugoročne izjave dobavljača obično ne bi trebao biti dulji od 12 mjeseci, podložno uvjetima koje odrede carinske vlasti države u kojoj je dugoročna izjava dobavljača izdana.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21C31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7044C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5123C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1701B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AA821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CAB4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19A7D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60408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3-20 11:56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B8B01D2E0914977890C4E27FFA250B0"/>
    <w:docVar w:name="LW_CROSSREFERENCE" w:val="&lt;UNUSED&gt;"/>
    <w:docVar w:name="LW_DocType" w:val="ANNEX"/>
    <w:docVar w:name="LW_EMISSION" w:val="21.3.2017."/>
    <w:docVar w:name="LW_EMISSION_ISODATE" w:val="2017-03-21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17"/>
    <w:docVar w:name="LW_LANGUE" w:val="HR"/>
    <w:docVar w:name="LW_MARKING" w:val="&lt;UNUSED&gt;"/>
    <w:docVar w:name="LW_NOM.INST" w:val="EUROPSKA KOMISIJA"/>
    <w:docVar w:name="LW_NOM.INST_JOINTDOC" w:val="&lt;EMPTY&gt;"/>
    <w:docVar w:name="LW_OBJETACTEPRINCIPAL.CP" w:val="o stajali\u353?tu koje je potrebno zauzeti u ime Europske unije u Zajednickom odboru osnovanom na temelju Regionalne konvencije o pan-Euro-Mediteranskim povla\u353?tenim pravilima o podrijetlu, u pogledu izmjena Dodatka II. toj Konvenciji"/>
    <w:docVar w:name="LW_PART_NBR" w:val="1"/>
    <w:docVar w:name="LW_PART_NBR_TOTAL" w:val="1"/>
    <w:docVar w:name="LW_REF.INST.NEW" w:val="COM"/>
    <w:docVar w:name="LW_REF.INST.NEW_ADOPTED" w:val="final"/>
    <w:docVar w:name="LW_REF.INST.NEW_TEXT" w:val="(2017) 133"/>
    <w:docVar w:name="LW_REF.INTERNE" w:val="&lt;UNUSED&gt;"/>
    <w:docVar w:name="LW_SUPERTITRE" w:val="&lt;UNUSED&gt;"/>
    <w:docVar w:name="LW_TITRE.OBJ.CP" w:val="&lt;UNUSED&gt;"/>
    <w:docVar w:name="LW_TYPE.DOC.CP" w:val="PRILOG"/>
    <w:docVar w:name="LW_TYPEACTEPRINCIPAL.CP" w:val="Prijedlogu odluke Vije\u263?a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01B6-CB29-4F51-A764-83FE9257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13</Pages>
  <Words>1965</Words>
  <Characters>11735</Characters>
  <Application>Microsoft Office Word</Application>
  <DocSecurity>0</DocSecurity>
  <Lines>404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DIGIT/A3</cp:lastModifiedBy>
  <cp:revision>7</cp:revision>
  <cp:lastPrinted>2016-10-26T15:19:00Z</cp:lastPrinted>
  <dcterms:created xsi:type="dcterms:W3CDTF">2017-03-10T13:27:00Z</dcterms:created>
  <dcterms:modified xsi:type="dcterms:W3CDTF">2017-03-20T10:56:00Z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LWCR Document">
    <vt:lpwstr>True</vt:lpwstr>
  </property>
  <property fmtid="{D5CDD505-2E9C-101B-9397-08002B2CF9AE}" pid="13" name="LWCR Version">
    <vt:lpwstr>1.6.413</vt:lpwstr>
  </property>
  <property fmtid="{D5CDD505-2E9C-101B-9397-08002B2CF9AE}" pid="14" name="DQCStatus">
    <vt:lpwstr>Green (DQC version 03)</vt:lpwstr>
  </property>
</Properties>
</file>