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67CDC61E64054961A6AFE1B6FF8C41DD" style="width:450.75pt;height:3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NormalCentered"/>
        <w:rPr>
          <w:b/>
          <w:noProof/>
        </w:rPr>
      </w:pPr>
      <w:bookmarkStart w:id="0" w:name="_GoBack"/>
      <w:bookmarkEnd w:id="0"/>
      <w:r>
        <w:rPr>
          <w:b/>
          <w:noProof/>
        </w:rPr>
        <w:lastRenderedPageBreak/>
        <w:t>LISA</w:t>
      </w:r>
    </w:p>
    <w:p>
      <w:pPr>
        <w:pStyle w:val="NormalCentered"/>
        <w:rPr>
          <w:noProof/>
        </w:rPr>
      </w:pPr>
    </w:p>
    <w:p>
      <w:pPr>
        <w:pStyle w:val="NormalCentered"/>
        <w:rPr>
          <w:b/>
          <w:noProof/>
        </w:rPr>
      </w:pPr>
      <w:r>
        <w:rPr>
          <w:b/>
          <w:noProof/>
        </w:rPr>
        <w:t xml:space="preserve">Euroopa – Vahemere piirkonna sooduspäritolureeglite PIIRKONDLIKU KONVENTSIOONI ÜHISKOMITEE OTSUS </w:t>
      </w:r>
    </w:p>
    <w:p>
      <w:pPr>
        <w:pStyle w:val="NormalCentered"/>
        <w:rPr>
          <w:b/>
          <w:noProof/>
        </w:rPr>
      </w:pPr>
      <w:r>
        <w:rPr>
          <w:b/>
          <w:noProof/>
        </w:rPr>
        <w:t>nr,</w:t>
      </w:r>
    </w:p>
    <w:p>
      <w:pPr>
        <w:pStyle w:val="NormalCentered"/>
        <w:rPr>
          <w:b/>
          <w:noProof/>
        </w:rPr>
      </w:pPr>
      <w:r>
        <w:rPr>
          <w:b/>
          <w:noProof/>
        </w:rPr>
        <w:t>…,</w:t>
      </w:r>
    </w:p>
    <w:p>
      <w:pPr>
        <w:pStyle w:val="NormalCentered"/>
        <w:rPr>
          <w:b/>
          <w:noProof/>
        </w:rPr>
      </w:pPr>
      <w:r>
        <w:rPr>
          <w:b/>
          <w:noProof/>
        </w:rPr>
        <w:t xml:space="preserve">millega muudetakse Euroopa – Vahemere piirkonna sooduspäritolureeglite piirkondliku konventsiooni II liite sätteid, võttes kasutusele võimaluse tollimaksu tagastamiseks ja täielikuks kumulatsiooniks kaubanduses, mis kuulub Kesk-Euroopa vabakaubanduslepingu (CEFTA) alla, mille osalised on Moldova Vabariik ning Euroopa Liidu stabiliseerimis- ja assotsieerimisprotsessis osalevad riigid </w:t>
      </w:r>
    </w:p>
    <w:p>
      <w:pPr>
        <w:keepNext/>
        <w:spacing w:before="360" w:after="240"/>
        <w:rPr>
          <w:rFonts w:eastAsia="Times New Roman"/>
          <w:caps/>
          <w:noProof/>
          <w:szCs w:val="20"/>
        </w:rPr>
      </w:pPr>
      <w:r>
        <w:rPr>
          <w:caps/>
          <w:noProof/>
        </w:rPr>
        <w:t>Ühiskomitee,</w:t>
      </w:r>
    </w:p>
    <w:p>
      <w:pPr>
        <w:spacing w:before="0" w:after="240"/>
        <w:rPr>
          <w:rFonts w:eastAsia="Times New Roman"/>
          <w:noProof/>
          <w:szCs w:val="20"/>
        </w:rPr>
      </w:pPr>
      <w:r>
        <w:rPr>
          <w:noProof/>
        </w:rPr>
        <w:t>võttes arvesse Euroopa – Vahemere piirkonna sooduspäritolureeglite piirkondlikku konventsiooni</w:t>
      </w:r>
      <w:r>
        <w:rPr>
          <w:rStyle w:val="FootnoteReference"/>
          <w:noProof/>
        </w:rPr>
        <w:footnoteReference w:id="1"/>
      </w:r>
      <w:r>
        <w:rPr>
          <w:noProof/>
        </w:rPr>
        <w:t xml:space="preserve"> (edaspidi „konventsioon“)</w:t>
      </w:r>
    </w:p>
    <w:p>
      <w:pPr>
        <w:spacing w:before="0" w:after="240"/>
        <w:rPr>
          <w:rFonts w:eastAsia="Times New Roman"/>
          <w:noProof/>
          <w:szCs w:val="20"/>
        </w:rPr>
      </w:pPr>
      <w:r>
        <w:rPr>
          <w:noProof/>
        </w:rPr>
        <w:t>ning arvestades järgmist:</w:t>
      </w:r>
    </w:p>
    <w:p>
      <w:pPr>
        <w:pStyle w:val="Considrant"/>
        <w:numPr>
          <w:ilvl w:val="0"/>
          <w:numId w:val="9"/>
        </w:numPr>
        <w:rPr>
          <w:noProof/>
        </w:rPr>
      </w:pPr>
      <w:r>
        <w:rPr>
          <w:noProof/>
        </w:rPr>
        <w:t>Konventsiooni artikli 1 lõikega 2 on ette nähtud, et II liites sätestatakse teatavate konventsiooniosaliste vahel kohaldatavad erisätted, mis kalduvad kõrvale I liite sätetest.</w:t>
      </w:r>
    </w:p>
    <w:p>
      <w:pPr>
        <w:pStyle w:val="Considrant"/>
        <w:rPr>
          <w:noProof/>
        </w:rPr>
      </w:pPr>
      <w:r>
        <w:rPr>
          <w:noProof/>
        </w:rPr>
        <w:t>Konventsiooni II liite artikli 1 kohaselt võivad konventsiooniosalised omavahelises kahepoolses kaubavahetuses kohaldada erisätteid, mis erinevad konventsiooni I liite sätetest. Kõnealused erisätted on sätestatud II liite lisades.</w:t>
      </w:r>
    </w:p>
    <w:p>
      <w:pPr>
        <w:pStyle w:val="Considrant"/>
        <w:rPr>
          <w:noProof/>
        </w:rPr>
      </w:pPr>
      <w:r>
        <w:rPr>
          <w:noProof/>
        </w:rPr>
        <w:t>Serbia Vabariik, kes täidab esimehe ülesandeid tolli ja päritolureegleid käsitlevas allkomitees Moldova Vabariiki ning Euroopa Liidu stabiliseerimis- ja assotsieerimisprotsessis osalevaid riike (edaspidi „CEFTA osalised“) hõlmava Kesk-Euroopa vabakaubanduslepingu (edaspidi „CEFTA“) raames, teavitas konventsiooni ühiskomitee sekretariaati Kesk-Euroopa vabakaubanduslepingu ühiskomitee 26. novembri 2016. aasta otsusest 3/2015, millega võetakse kasutusele võimalus tollimaksu tagastamiseks ja täielikuks kumulatsiooniks Moldova Vabariigi ning Euroopa Liidu stabiliseerimis- ja assotsieerimisprotsessis osalevate riikide vahelises kaubanduses.</w:t>
      </w:r>
    </w:p>
    <w:p>
      <w:pPr>
        <w:pStyle w:val="Considrant"/>
        <w:rPr>
          <w:noProof/>
        </w:rPr>
      </w:pPr>
      <w:r>
        <w:rPr>
          <w:noProof/>
        </w:rPr>
        <w:t>Konventsiooni artikli 4 lõike 3 punktis a on sätestatud, et ühiskomitee võtab ühehäälselt vastu konventsiooni, sh selle liidete muudatused,</w:t>
      </w:r>
    </w:p>
    <w:p>
      <w:pPr>
        <w:spacing w:before="0" w:after="240"/>
        <w:rPr>
          <w:rFonts w:eastAsia="Times New Roman"/>
          <w:noProof/>
          <w:szCs w:val="20"/>
        </w:rPr>
      </w:pPr>
      <w:r>
        <w:rPr>
          <w:noProof/>
        </w:rPr>
        <w:t>ON VASTU VÕTNUD KÄESOLEVA OTSUSE:</w:t>
      </w:r>
    </w:p>
    <w:p>
      <w:pPr>
        <w:keepNext/>
        <w:spacing w:before="360"/>
        <w:jc w:val="center"/>
        <w:rPr>
          <w:rFonts w:eastAsia="Calibri"/>
          <w:i/>
          <w:noProof/>
          <w:szCs w:val="20"/>
        </w:rPr>
      </w:pPr>
      <w:r>
        <w:rPr>
          <w:i/>
          <w:noProof/>
        </w:rPr>
        <w:t>Artikkel 1</w:t>
      </w:r>
    </w:p>
    <w:p>
      <w:pPr>
        <w:spacing w:before="0" w:after="240"/>
        <w:rPr>
          <w:rFonts w:eastAsia="Times New Roman"/>
          <w:noProof/>
          <w:szCs w:val="20"/>
        </w:rPr>
      </w:pPr>
      <w:r>
        <w:rPr>
          <w:noProof/>
        </w:rPr>
        <w:t xml:space="preserve">Konventsiooni II liidet, mis sisaldab erandeid konventsiooni I liite sätetest, muudetakse ja täiendatakse konventsiooni II liite XIII, G ja H lisaga, mis sisalduvad käesoleva otsuse lisades. </w:t>
      </w:r>
    </w:p>
    <w:p>
      <w:pPr>
        <w:keepNext/>
        <w:spacing w:before="360"/>
        <w:jc w:val="center"/>
        <w:rPr>
          <w:rFonts w:eastAsia="Calibri"/>
          <w:i/>
          <w:noProof/>
          <w:szCs w:val="20"/>
        </w:rPr>
      </w:pPr>
      <w:r>
        <w:rPr>
          <w:i/>
          <w:noProof/>
        </w:rPr>
        <w:t>Artikkel 2</w:t>
      </w:r>
    </w:p>
    <w:p>
      <w:pPr>
        <w:spacing w:before="0" w:after="240"/>
        <w:rPr>
          <w:rFonts w:eastAsia="Times New Roman"/>
          <w:noProof/>
          <w:szCs w:val="20"/>
        </w:rPr>
      </w:pPr>
      <w:r>
        <w:rPr>
          <w:noProof/>
        </w:rPr>
        <w:t>Konventsiooni II liite XIII, G ja H lisades, mis sisalduvad käesoleva otsuse lisades, kehtestatakse CEFTA osaliste vahelises kaubavahetuses tollimaksu tagastamise ja täieliku kumulatsiooni kohaldamise tingimused.</w:t>
      </w:r>
    </w:p>
    <w:p>
      <w:pPr>
        <w:spacing w:before="0" w:after="240"/>
        <w:jc w:val="center"/>
        <w:rPr>
          <w:rFonts w:eastAsia="Times New Roman"/>
          <w:noProof/>
          <w:szCs w:val="20"/>
        </w:rPr>
      </w:pPr>
      <w:r>
        <w:rPr>
          <w:i/>
          <w:noProof/>
        </w:rPr>
        <w:t>Artikkel 3</w:t>
      </w:r>
    </w:p>
    <w:p>
      <w:pPr>
        <w:spacing w:before="0" w:after="240"/>
        <w:rPr>
          <w:rFonts w:eastAsia="Times New Roman"/>
          <w:noProof/>
          <w:szCs w:val="20"/>
        </w:rPr>
      </w:pPr>
      <w:r>
        <w:rPr>
          <w:noProof/>
        </w:rPr>
        <w:t>Lisad on käesoleva otsuse lahutamatud osad.</w:t>
      </w:r>
    </w:p>
    <w:p>
      <w:pPr>
        <w:keepNext/>
        <w:spacing w:before="360"/>
        <w:jc w:val="center"/>
        <w:rPr>
          <w:rFonts w:eastAsia="Calibri"/>
          <w:i/>
          <w:noProof/>
          <w:szCs w:val="20"/>
        </w:rPr>
      </w:pPr>
      <w:r>
        <w:rPr>
          <w:i/>
          <w:noProof/>
        </w:rPr>
        <w:t>Artikkel 4</w:t>
      </w:r>
    </w:p>
    <w:p>
      <w:pPr>
        <w:spacing w:before="0" w:after="240"/>
        <w:rPr>
          <w:rFonts w:eastAsia="Times New Roman"/>
          <w:noProof/>
          <w:szCs w:val="20"/>
        </w:rPr>
      </w:pPr>
      <w:r>
        <w:rPr>
          <w:noProof/>
        </w:rPr>
        <w:t>Käesolev otsus jõustub selle ühiskomitees vastuvõtmise kuupäeval.</w:t>
      </w:r>
    </w:p>
    <w:p>
      <w:pPr>
        <w:spacing w:before="0" w:after="240"/>
        <w:rPr>
          <w:rFonts w:eastAsia="Times New Roman"/>
          <w:noProof/>
          <w:szCs w:val="20"/>
        </w:rPr>
      </w:pPr>
      <w:r>
        <w:rPr>
          <w:noProof/>
        </w:rPr>
        <w:t>Kohaldamise kuupäev on ...</w:t>
      </w:r>
    </w:p>
    <w:p>
      <w:pPr>
        <w:keepNext/>
        <w:spacing w:before="0" w:after="0"/>
        <w:rPr>
          <w:rFonts w:eastAsia="Times New Roman"/>
          <w:noProof/>
          <w:szCs w:val="20"/>
        </w:rPr>
      </w:pPr>
      <w:r>
        <w:rPr>
          <w:noProof/>
        </w:rPr>
        <w:t>Brüssel,</w:t>
      </w:r>
    </w:p>
    <w:p>
      <w:pPr>
        <w:keepNext/>
        <w:tabs>
          <w:tab w:val="left" w:pos="4252"/>
        </w:tabs>
        <w:spacing w:before="720" w:after="0"/>
        <w:rPr>
          <w:rFonts w:eastAsia="Times New Roman"/>
          <w:i/>
          <w:noProof/>
          <w:szCs w:val="20"/>
        </w:rPr>
      </w:pPr>
      <w:r>
        <w:rPr>
          <w:noProof/>
        </w:rPr>
        <w:tab/>
      </w:r>
      <w:r>
        <w:rPr>
          <w:i/>
          <w:noProof/>
        </w:rPr>
        <w:t>Ühiskomitee nimel</w:t>
      </w:r>
    </w:p>
    <w:p>
      <w:pPr>
        <w:tabs>
          <w:tab w:val="left" w:pos="4252"/>
        </w:tabs>
        <w:spacing w:before="0" w:after="0"/>
        <w:jc w:val="left"/>
        <w:rPr>
          <w:rFonts w:eastAsia="Times New Roman"/>
          <w:i/>
          <w:noProof/>
          <w:szCs w:val="20"/>
        </w:rPr>
      </w:pPr>
      <w:r>
        <w:rPr>
          <w:noProof/>
        </w:rPr>
        <w:tab/>
      </w:r>
      <w:r>
        <w:rPr>
          <w:i/>
          <w:noProof/>
        </w:rPr>
        <w:t>eesistuja</w:t>
      </w:r>
    </w:p>
    <w:p>
      <w:pPr>
        <w:tabs>
          <w:tab w:val="left" w:pos="4252"/>
        </w:tabs>
        <w:spacing w:before="0" w:after="0"/>
        <w:jc w:val="left"/>
        <w:rPr>
          <w:rFonts w:eastAsia="Times New Roman"/>
          <w:i/>
          <w:noProof/>
          <w:szCs w:val="20"/>
        </w:rPr>
      </w:pPr>
    </w:p>
    <w:p>
      <w:pPr>
        <w:autoSpaceDE w:val="0"/>
        <w:autoSpaceDN w:val="0"/>
        <w:adjustRightInd w:val="0"/>
        <w:spacing w:before="0" w:after="0"/>
        <w:jc w:val="center"/>
        <w:rPr>
          <w:rFonts w:eastAsia="Times New Roman"/>
          <w:bCs/>
          <w:noProof/>
          <w:color w:val="000000"/>
          <w:szCs w:val="24"/>
        </w:rPr>
      </w:pPr>
      <w:r>
        <w:rPr>
          <w:noProof/>
        </w:rPr>
        <w:br w:type="page"/>
      </w:r>
      <w:r>
        <w:rPr>
          <w:noProof/>
          <w:color w:val="000000"/>
        </w:rPr>
        <w:t>I lisa</w:t>
      </w:r>
    </w:p>
    <w:p>
      <w:pPr>
        <w:autoSpaceDE w:val="0"/>
        <w:autoSpaceDN w:val="0"/>
        <w:adjustRightInd w:val="0"/>
        <w:spacing w:before="0" w:after="0"/>
        <w:jc w:val="center"/>
        <w:rPr>
          <w:rFonts w:eastAsia="Times New Roman"/>
          <w:bCs/>
          <w:noProof/>
          <w:color w:val="000000"/>
          <w:szCs w:val="24"/>
        </w:rPr>
      </w:pPr>
    </w:p>
    <w:p>
      <w:pPr>
        <w:autoSpaceDE w:val="0"/>
        <w:autoSpaceDN w:val="0"/>
        <w:adjustRightInd w:val="0"/>
        <w:spacing w:before="0" w:after="0"/>
        <w:jc w:val="center"/>
        <w:rPr>
          <w:rFonts w:eastAsia="Times New Roman"/>
          <w:bCs/>
          <w:i/>
          <w:noProof/>
          <w:color w:val="000000"/>
          <w:szCs w:val="24"/>
        </w:rPr>
      </w:pPr>
      <w:r>
        <w:rPr>
          <w:i/>
          <w:noProof/>
          <w:color w:val="000000"/>
        </w:rPr>
        <w:t>II liite XIII lisa</w:t>
      </w:r>
    </w:p>
    <w:p>
      <w:pPr>
        <w:autoSpaceDE w:val="0"/>
        <w:autoSpaceDN w:val="0"/>
        <w:adjustRightInd w:val="0"/>
        <w:spacing w:before="0" w:after="0"/>
        <w:rPr>
          <w:rFonts w:eastAsia="Times New Roman"/>
          <w:b/>
          <w:noProof/>
          <w:color w:val="000000"/>
          <w:szCs w:val="24"/>
        </w:rPr>
      </w:pPr>
    </w:p>
    <w:p>
      <w:pPr>
        <w:autoSpaceDE w:val="0"/>
        <w:autoSpaceDN w:val="0"/>
        <w:adjustRightInd w:val="0"/>
        <w:spacing w:before="0" w:after="0"/>
        <w:jc w:val="center"/>
        <w:rPr>
          <w:rFonts w:eastAsia="Times New Roman"/>
          <w:noProof/>
          <w:color w:val="000000"/>
          <w:szCs w:val="24"/>
        </w:rPr>
      </w:pPr>
      <w:r>
        <w:rPr>
          <w:b/>
          <w:noProof/>
          <w:color w:val="000000"/>
        </w:rPr>
        <w:t xml:space="preserve">Kaubandus, mida hõlmab Kesk-Euroopa vabakaubandusleping (edaspidi „CEFTA“), kuhu kuuluvad Moldova Vabariik ning Euroopa Liidu stabiliseerimis- ja assotsieerimisprotsessis osalevad riigid </w:t>
      </w:r>
    </w:p>
    <w:p>
      <w:pPr>
        <w:autoSpaceDE w:val="0"/>
        <w:autoSpaceDN w:val="0"/>
        <w:adjustRightInd w:val="0"/>
        <w:spacing w:before="0" w:after="0"/>
        <w:rPr>
          <w:rFonts w:eastAsia="Times New Roman"/>
          <w:b/>
          <w:bCs/>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1</w:t>
      </w:r>
    </w:p>
    <w:p>
      <w:pPr>
        <w:autoSpaceDE w:val="0"/>
        <w:autoSpaceDN w:val="0"/>
        <w:adjustRightInd w:val="0"/>
        <w:spacing w:before="0" w:after="0"/>
        <w:jc w:val="center"/>
        <w:rPr>
          <w:rFonts w:eastAsia="Times New Roman"/>
          <w:noProof/>
          <w:color w:val="000000"/>
          <w:szCs w:val="24"/>
        </w:rPr>
      </w:pPr>
      <w:r>
        <w:rPr>
          <w:b/>
          <w:noProof/>
          <w:color w:val="000000"/>
        </w:rPr>
        <w:t>Päritolu kumulatsioonist väljajätmine</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Tooted, mis on omandanud oma päritolu käesoleva lisa sätete kohaldamise kaudu, jäetakse I liite artiklis 3 sätestatud kumulatsioonist välja. </w:t>
      </w:r>
    </w:p>
    <w:p>
      <w:pPr>
        <w:autoSpaceDE w:val="0"/>
        <w:autoSpaceDN w:val="0"/>
        <w:adjustRightInd w:val="0"/>
        <w:spacing w:before="0" w:after="0"/>
        <w:rPr>
          <w:rFonts w:eastAsia="Times New Roman"/>
          <w:b/>
          <w:bCs/>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2</w:t>
      </w:r>
    </w:p>
    <w:p>
      <w:pPr>
        <w:autoSpaceDE w:val="0"/>
        <w:autoSpaceDN w:val="0"/>
        <w:adjustRightInd w:val="0"/>
        <w:spacing w:before="0" w:after="0"/>
        <w:jc w:val="center"/>
        <w:rPr>
          <w:rFonts w:eastAsia="Times New Roman"/>
          <w:noProof/>
          <w:color w:val="000000"/>
          <w:szCs w:val="24"/>
        </w:rPr>
      </w:pPr>
      <w:r>
        <w:rPr>
          <w:b/>
          <w:noProof/>
          <w:color w:val="000000"/>
        </w:rPr>
        <w:t>Päritolu kumulatsioon</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I liite artikli 2 lõike 1 punkti b kohaldamisel käsitatakse Moldova Vabariigis või Euroopa Liidu stabiliseerimis- ja assotsieerimisprotsessis osalevates riikides (edaspidi „CEFTA osalised“) läbitud tööd või töötlust mis tahes muus CEFTA osalises läbitud töö või töötlusena, kui saadud või toodetud tooted läbivad hiljem töö või töötluse asjaomases osalises. Kui päritolustaatusega tooted on käesoleva sätte kohaselt saadud või toodetud kahes või enamas asjaomases lepinguosalises, loetakse need CEFTA osalisest pärinevateks üksnes juhul, kui töö ja töötlus on I liite artiklis 6 nimetatud toimingutest ulatuslikum. </w:t>
      </w:r>
    </w:p>
    <w:p>
      <w:pPr>
        <w:autoSpaceDE w:val="0"/>
        <w:autoSpaceDN w:val="0"/>
        <w:adjustRightInd w:val="0"/>
        <w:spacing w:before="0" w:after="0"/>
        <w:rPr>
          <w:rFonts w:eastAsia="Times New Roman"/>
          <w:noProof/>
          <w:color w:val="000000"/>
          <w:szCs w:val="24"/>
        </w:rPr>
      </w:pPr>
      <w:r>
        <w:rPr>
          <w:noProof/>
          <w:color w:val="000000"/>
        </w:rPr>
        <w:t xml:space="preserve">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3</w:t>
      </w:r>
    </w:p>
    <w:p>
      <w:pPr>
        <w:autoSpaceDE w:val="0"/>
        <w:autoSpaceDN w:val="0"/>
        <w:adjustRightInd w:val="0"/>
        <w:spacing w:before="0" w:after="0"/>
        <w:jc w:val="center"/>
        <w:rPr>
          <w:rFonts w:eastAsia="Times New Roman"/>
          <w:b/>
          <w:bCs/>
          <w:noProof/>
          <w:color w:val="000000"/>
          <w:szCs w:val="24"/>
        </w:rPr>
      </w:pPr>
      <w:r>
        <w:rPr>
          <w:b/>
          <w:noProof/>
          <w:color w:val="000000"/>
        </w:rPr>
        <w:t>Päritolutõend</w:t>
      </w:r>
    </w:p>
    <w:p>
      <w:pPr>
        <w:autoSpaceDE w:val="0"/>
        <w:autoSpaceDN w:val="0"/>
        <w:adjustRightInd w:val="0"/>
        <w:spacing w:before="0" w:after="0"/>
        <w:jc w:val="center"/>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1. Ilma et see piiraks I liite artikli 16 lõigete 4 ja 5 kohaldamist, annavad CEFTA osalise tolliasutused välja EUR.1 liikumissertifikaadi, kui asjaomaseid tooteid saab käsitada CEFTA osalisest pärit toodetena ja nende suhtes kohaldatakse käesoleva lisa artiklis 2 osutatud kumulatsiooni ning need vastavad I liite muudele tingimustele.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2. Ilma et see piiraks I liite artikli 21 lõigete 2 ja 3 kohaldamist, võib koostada päritoludeklaratsiooni, kui asjaomaseid tooteid saab käsitada CEFTA osalisest pärit toodetena ja nende suhtes kohaldatakse käesoleva lisa artiklis 2 viidatud kumulatsiooni ning need vastavad I liite muudele tingimustele.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4</w:t>
      </w:r>
    </w:p>
    <w:p>
      <w:pPr>
        <w:autoSpaceDE w:val="0"/>
        <w:autoSpaceDN w:val="0"/>
        <w:adjustRightInd w:val="0"/>
        <w:spacing w:before="0" w:after="0"/>
        <w:jc w:val="center"/>
        <w:rPr>
          <w:rFonts w:eastAsia="Times New Roman"/>
          <w:noProof/>
          <w:color w:val="000000"/>
          <w:szCs w:val="24"/>
        </w:rPr>
      </w:pPr>
      <w:r>
        <w:rPr>
          <w:b/>
          <w:noProof/>
          <w:color w:val="000000"/>
        </w:rPr>
        <w:t>Tarnija deklaratsioonid</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1. Kui CEFTA osaline väljastab liikumissertifikaadi EUR.1 või koostab päritoludeklaratsiooni päritolustaatusega toodete kohta, mille valmistamisel on kasutatud teiste CEFTA osaliste territooriumilt pärit kaupu, mis on läbinud töö või töötluse kõnealustes osalistes, kuid ei ole sooduspäritolustaatust saanud, võetakse arvesse käesoleva artikli kohaselt nende kaupade kohta tehtud tarnija deklaratsioone.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2. Käesoleva artikli lõikes 1 nimetatud tarnija deklaratsiooni käsitatakse tõendina selle kohta, et asjaomased tooted on läbinud CEFTA osalistes töö või töötluse, selleks et kindlaks määrata, kas tooteid, mille valmistamisel nimetatud kaupu kasutati, võib lugeda CEFTA osalistest pärinevateks ja I liite muudele tingimustele vastavateks toodeteks.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3. Kui välja arvata käesoleva artikli lõikega 4 ette nähtud juhud, esitab tarnija iga kaubasaadetise kohta eraldi tarnija deklaratsiooni käesoleva liite G lisas sätestatud vormis paberilehel, mis on lisatud kaubaarvele, saatelehele või mõnele muule äridokumendile, milles kõnealuseid kaupu on kirjeldatud piisavalt täpselt, et neid oleks võimalik identifitseerida.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4. Kui tarnija tarnib konkreetsele kliendile regulaarselt kaupu, mille suhtes CEFTA osalistes toimunud töö või töötlus jääb eeldatavalt pikaks ajaks muutumatuks, võib ta mitme kaubasaadetise kohta esitada ühe deklaratsiooni (edaspidi „pikaajaline tarnija deklaratsioon“).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Pikaajalise tarnija deklaratsiooni kehtivusaeg on tavaliselt kuni üks aasta alates deklaratsiooni koostamise kuupäevast. Selle CEFTA osalise toll, kus deklaratsioon on koostatud, kehtestab tingimused, mille kohaselt võib rakendada pikemaid ajavahemikke.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Pikaajalise tarnija deklaratsiooni koostab tarnija käesoleva liite H lisas sätestatud vormis ja kirjeldab selles asjaomaseid kaupu piisavalt täpselt, et neid oleks võimalik identifitseerida. Deklaratsioon esitatakse asjaomasele kliendile enne talle esimese nimetatud deklaratsioonis käsitletud kaubasaadetise lähetamist või koos esimese saadetisega.</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Tarnija teatab kliendile viivitamata, kui pikaajaline tarnija deklaratsioon tarnitavate kaupade suhtes enam ei kehti.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5. Käesoleva artikli lõigetes 3 ja 4 nimetatud tarnija deklaratsioon trükitakse inglise keeles vastavalt selle CEFTA osalise siseriiklikule õigusele, kus deklaratsioon koostatakse, ning see peab kandma tarnija omakäelist originaalallkirja. Deklaratsioon võib olla ka käsitsi kirjutatud; sel juhul kasutatakse tinti ja trükitähti.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6. Deklaratsiooni koostav tarnija on valmis igal ajal esitama selle CEFTA osalise tollile, kus deklaratsioon koostatakse, kõik asjakohased dokumendid, mis tõendavad deklaratsioonil esitatud andmete õigsust.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5</w:t>
      </w:r>
    </w:p>
    <w:p>
      <w:pPr>
        <w:autoSpaceDE w:val="0"/>
        <w:autoSpaceDN w:val="0"/>
        <w:adjustRightInd w:val="0"/>
        <w:spacing w:before="0" w:after="0"/>
        <w:jc w:val="center"/>
        <w:rPr>
          <w:rFonts w:eastAsia="Times New Roman"/>
          <w:b/>
          <w:bCs/>
          <w:noProof/>
          <w:color w:val="000000"/>
          <w:szCs w:val="24"/>
        </w:rPr>
      </w:pPr>
      <w:r>
        <w:rPr>
          <w:b/>
          <w:noProof/>
          <w:color w:val="000000"/>
        </w:rPr>
        <w:t>Täiendavad dokumendid</w:t>
      </w:r>
    </w:p>
    <w:p>
      <w:pPr>
        <w:autoSpaceDE w:val="0"/>
        <w:autoSpaceDN w:val="0"/>
        <w:adjustRightInd w:val="0"/>
        <w:spacing w:before="0" w:after="0"/>
        <w:jc w:val="center"/>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Tarnija deklaratsiooni, kus tõendatakse tööd või töötlust, mille kasutatud materjalid on läbinud CEFTA osalistes, ja mis on koostatud ühes eespool nimetatud osalises, käsitatakse I liite artikli 16 lõikes 3 ja artikli 21 lõikes 5 ning käesoleva lisa artikli 4 lõikes 6 viidatud dokumendina, mida kasutatakse selleks, et tõendada, et EUR.1 liikumissertifikaadiga või päritoludeklaratsiooniga hõlmatud tooteid võib lugeda CEFTA osalisest pärinevateks ja I liite muudele nõuetele vastavateks toodeteks.</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jc w:val="center"/>
        <w:rPr>
          <w:rFonts w:eastAsia="Times New Roman"/>
          <w:bCs/>
          <w:i/>
          <w:noProof/>
          <w:color w:val="000000"/>
          <w:szCs w:val="24"/>
        </w:rPr>
      </w:pPr>
    </w:p>
    <w:p>
      <w:pPr>
        <w:autoSpaceDE w:val="0"/>
        <w:autoSpaceDN w:val="0"/>
        <w:adjustRightInd w:val="0"/>
        <w:spacing w:before="0" w:after="0"/>
        <w:jc w:val="center"/>
        <w:rPr>
          <w:rFonts w:eastAsia="Times New Roman"/>
          <w:bCs/>
          <w:i/>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6</w:t>
      </w:r>
    </w:p>
    <w:p>
      <w:pPr>
        <w:autoSpaceDE w:val="0"/>
        <w:autoSpaceDN w:val="0"/>
        <w:adjustRightInd w:val="0"/>
        <w:spacing w:before="0" w:after="0"/>
        <w:jc w:val="center"/>
        <w:rPr>
          <w:rFonts w:eastAsia="Times New Roman"/>
          <w:noProof/>
          <w:color w:val="000000"/>
          <w:szCs w:val="24"/>
        </w:rPr>
      </w:pPr>
      <w:r>
        <w:rPr>
          <w:b/>
          <w:noProof/>
          <w:color w:val="000000"/>
        </w:rPr>
        <w:t>Tarnija deklaratsiooni säilitamine</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Tarnija deklaratsiooni koostanud tarnija säilitab deklaratsiooni koopiat ja kõigi arvete, saatelehtede või muude äridokumentide koopiaid, millele deklaratsioon on lisatud, samuti käesoleva lisa artikli 4 lõikes 6 nimetatud dokumente vähemalt kolm aastat.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Pikaajalise tarnija deklaratsiooni koostanud tarnija säilitab selle deklaratsiooni, kõikide arvete, saatelehtede või selles deklaratsioonis nimetatud kaupu käsitlevate ja kliendile saadetud muude äridokumentide koopiaid ja käesoleva lisa artikli 4 lõikes 6 nimetatud dokumente vähemalt kolm aastat. See tähtaeg algab päeval, mil pikaajalise tarnija deklaratsiooni kehtivusaeg lõpeb.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7</w:t>
      </w:r>
    </w:p>
    <w:p>
      <w:pPr>
        <w:autoSpaceDE w:val="0"/>
        <w:autoSpaceDN w:val="0"/>
        <w:adjustRightInd w:val="0"/>
        <w:spacing w:before="0" w:after="0"/>
        <w:jc w:val="center"/>
        <w:rPr>
          <w:rFonts w:eastAsia="Times New Roman"/>
          <w:noProof/>
          <w:color w:val="000000"/>
          <w:szCs w:val="24"/>
        </w:rPr>
      </w:pPr>
      <w:r>
        <w:rPr>
          <w:b/>
          <w:noProof/>
          <w:color w:val="000000"/>
        </w:rPr>
        <w:t>Halduskoostöö</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Ilma et see piiraks I liite artiklite 31 ja 32 kohaldamist, abistavad CEFTA osalised käesoleva protokolli nõuetekohase kohaldamise tagamiseks üksteist oma vastavate tolliasutuste kaudu, kontrollides kaupade liikumissertifikaatide EUR.1, päritoludeklaratsioonide või tarnijate deklaratsioonide ehtsust ning nendes dokumentides esitatud teabe õigsust. </w:t>
      </w:r>
    </w:p>
    <w:p>
      <w:pPr>
        <w:autoSpaceDE w:val="0"/>
        <w:autoSpaceDN w:val="0"/>
        <w:adjustRightInd w:val="0"/>
        <w:spacing w:before="0" w:after="0"/>
        <w:rPr>
          <w:rFonts w:eastAsia="Times New Roman"/>
          <w:b/>
          <w:bCs/>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8</w:t>
      </w:r>
    </w:p>
    <w:p>
      <w:pPr>
        <w:autoSpaceDE w:val="0"/>
        <w:autoSpaceDN w:val="0"/>
        <w:adjustRightInd w:val="0"/>
        <w:spacing w:before="0" w:after="0"/>
        <w:jc w:val="center"/>
        <w:rPr>
          <w:rFonts w:eastAsia="Times New Roman"/>
          <w:noProof/>
          <w:color w:val="000000"/>
          <w:szCs w:val="24"/>
        </w:rPr>
      </w:pPr>
      <w:r>
        <w:rPr>
          <w:b/>
          <w:noProof/>
          <w:color w:val="000000"/>
        </w:rPr>
        <w:t>Tarnija deklaratsioonide kontrollimine</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1. Järelkontrolli tarnija deklaratsioonide või pikaajaliste tarnija deklaratsioonide üle tehakse pisteliselt või siis, kui selle osalise tollil, kus deklaratsiooni põhjal on välja antud liikumissertifikaat EUR.1 või koostatud päritoludeklaratsioon, on tekkinud põhjendatud kahtlus dokumendi ehtsuses või seal esitatud andmete õigsuses.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2. Käesoleva artikli lõike 1 rakendamisel tagastab lõikes 1 nimetatud osalise toll tarnija deklaratsiooni või pikaajalise tarnija deklaratsiooni ja arved, saatelehed või muud äridokumendid, mis käsitlevad deklaratsioonis märgitud kaupu, selle deklaratsiooni koostanud osalise tollile, vajaduse korral kontrollitaotluse sisu ja vormi põhjendades.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Järelkontrolli taotluse toetuseks edastatakse kõik saadud dokumendid ja kogu teave, millest võib järeldada, et tarnija deklaratsioonis või pikaajalises tarnija deklaratsioonis esitatud andmed ei ole õiged.</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3. Kontrolli teostab selle osalise toll, kus tarnija deklaratsioon või pikaajaline tarnija deklaratsioon koostati. Selleks on tal õigus nõuda mis tahes tõendeid ja kontrollida tarnija raamatupidamisdokumente ning teha muid kontrollimisi, mida ta peab asjakohaseks.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4. Kontrolli tulemused teatatakse kontrolli taotlenud tolliasutusele niipea kui võimalik. Tulemustest peab selgesti ilmnema, kas tarnija deklaratsioonis või pikaajalises tarnija deklaratsioonis esitatud teave on õige, ja need peavad võimaldama otsustada, kas ja millisel määral saab seda deklaratsiooni arvestada liikumissertifikaatide EUR.1 väljaandmisel või päritoludeklaratsioonide koostamisel.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9</w:t>
      </w:r>
    </w:p>
    <w:p>
      <w:pPr>
        <w:autoSpaceDE w:val="0"/>
        <w:autoSpaceDN w:val="0"/>
        <w:adjustRightInd w:val="0"/>
        <w:spacing w:before="0" w:after="0"/>
        <w:jc w:val="center"/>
        <w:rPr>
          <w:rFonts w:eastAsia="Times New Roman"/>
          <w:noProof/>
          <w:color w:val="000000"/>
          <w:szCs w:val="24"/>
        </w:rPr>
      </w:pPr>
      <w:r>
        <w:rPr>
          <w:b/>
          <w:noProof/>
          <w:color w:val="000000"/>
        </w:rPr>
        <w:t>Karistused</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Karistus määratakse igale isikule, kes toodete sooduskohtlemise saavutamiseks koostab või laseb koostada valeandmeid sisaldava dokumendi.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Artikkel 10</w:t>
      </w:r>
    </w:p>
    <w:p>
      <w:pPr>
        <w:autoSpaceDE w:val="0"/>
        <w:autoSpaceDN w:val="0"/>
        <w:adjustRightInd w:val="0"/>
        <w:spacing w:before="0" w:after="0"/>
        <w:jc w:val="center"/>
        <w:rPr>
          <w:rFonts w:eastAsia="Times New Roman"/>
          <w:noProof/>
          <w:color w:val="000000"/>
          <w:szCs w:val="24"/>
        </w:rPr>
      </w:pPr>
      <w:r>
        <w:rPr>
          <w:b/>
          <w:noProof/>
          <w:color w:val="000000"/>
        </w:rPr>
        <w:t>Tollimaksude tagastamise või tollimaksudest vabastamise keeld</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I liite artikli 14 lõikes 1 sätestatud keeldu ei kohaldata CEFTA osaliste vahelise kahepoolse kaubanduse suhtes.</w:t>
      </w:r>
    </w:p>
    <w:p>
      <w:pPr>
        <w:autoSpaceDE w:val="0"/>
        <w:autoSpaceDN w:val="0"/>
        <w:adjustRightInd w:val="0"/>
        <w:spacing w:before="0" w:after="0"/>
        <w:jc w:val="center"/>
        <w:rPr>
          <w:rFonts w:eastAsia="Times New Roman"/>
          <w:noProof/>
          <w:color w:val="000000"/>
          <w:szCs w:val="24"/>
        </w:rPr>
        <w:sectPr>
          <w:footerReference w:type="default" r:id="rId16"/>
          <w:footerReference w:type="first" r:id="rId17"/>
          <w:pgSz w:w="11907" w:h="16839"/>
          <w:pgMar w:top="1134" w:right="1417" w:bottom="1134" w:left="1417" w:header="709" w:footer="709" w:gutter="0"/>
          <w:cols w:space="720"/>
          <w:docGrid w:linePitch="360"/>
        </w:sectPr>
      </w:pPr>
    </w:p>
    <w:p>
      <w:pPr>
        <w:autoSpaceDE w:val="0"/>
        <w:autoSpaceDN w:val="0"/>
        <w:adjustRightInd w:val="0"/>
        <w:spacing w:before="0" w:after="0"/>
        <w:jc w:val="center"/>
        <w:rPr>
          <w:rFonts w:eastAsia="Times New Roman"/>
          <w:noProof/>
          <w:color w:val="000000"/>
          <w:szCs w:val="24"/>
        </w:rPr>
      </w:pPr>
      <w:r>
        <w:rPr>
          <w:noProof/>
          <w:color w:val="000000"/>
        </w:rPr>
        <w:t>II LISA</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jc w:val="center"/>
        <w:rPr>
          <w:rFonts w:eastAsia="Times New Roman"/>
          <w:i/>
          <w:noProof/>
          <w:color w:val="000000"/>
          <w:szCs w:val="24"/>
        </w:rPr>
      </w:pPr>
      <w:r>
        <w:rPr>
          <w:i/>
          <w:noProof/>
          <w:color w:val="000000"/>
        </w:rPr>
        <w:t>II liite G LISA</w:t>
      </w:r>
    </w:p>
    <w:p>
      <w:pPr>
        <w:autoSpaceDE w:val="0"/>
        <w:autoSpaceDN w:val="0"/>
        <w:adjustRightInd w:val="0"/>
        <w:spacing w:before="0" w:after="0"/>
        <w:rPr>
          <w:rFonts w:eastAsia="Times New Roman"/>
          <w:b/>
          <w:bCs/>
          <w:noProof/>
          <w:color w:val="000000"/>
          <w:szCs w:val="24"/>
        </w:rPr>
      </w:pPr>
    </w:p>
    <w:p>
      <w:pPr>
        <w:autoSpaceDE w:val="0"/>
        <w:autoSpaceDN w:val="0"/>
        <w:adjustRightInd w:val="0"/>
        <w:spacing w:before="0" w:after="0"/>
        <w:jc w:val="center"/>
        <w:rPr>
          <w:rFonts w:eastAsia="Times New Roman"/>
          <w:b/>
          <w:bCs/>
          <w:noProof/>
          <w:color w:val="000000"/>
          <w:szCs w:val="24"/>
        </w:rPr>
      </w:pPr>
      <w:r>
        <w:rPr>
          <w:b/>
          <w:noProof/>
          <w:color w:val="000000"/>
        </w:rPr>
        <w:t>Tarnija deklaratsioon kaupade kohta, mis on läbinud töö või töötluse CEFTA osalises, kuid ei ole saanud sooduspäritolustaatust</w:t>
      </w:r>
    </w:p>
    <w:p>
      <w:pPr>
        <w:autoSpaceDE w:val="0"/>
        <w:autoSpaceDN w:val="0"/>
        <w:adjustRightInd w:val="0"/>
        <w:spacing w:before="0" w:after="0"/>
        <w:rPr>
          <w:rFonts w:eastAsia="Times New Roman"/>
          <w:b/>
          <w:bCs/>
          <w:noProof/>
          <w:color w:val="000000"/>
          <w:szCs w:val="24"/>
        </w:rPr>
      </w:pP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 xml:space="preserve">Tarnija deklaratsioon, mille tekst on toodud allpool, tuleb koostada kooskõlas joonealuste märkustega. Joonealuseid märkusi ei ole siiski vaja uuesti esitada. </w:t>
      </w:r>
    </w:p>
    <w:p>
      <w:pPr>
        <w:autoSpaceDE w:val="0"/>
        <w:autoSpaceDN w:val="0"/>
        <w:adjustRightInd w:val="0"/>
        <w:spacing w:before="0" w:after="0"/>
        <w:rPr>
          <w:rFonts w:eastAsia="Times New Roman"/>
          <w:b/>
          <w:bCs/>
          <w:noProof/>
          <w:color w:val="000000"/>
          <w:szCs w:val="24"/>
        </w:rPr>
      </w:pPr>
    </w:p>
    <w:p>
      <w:pPr>
        <w:autoSpaceDE w:val="0"/>
        <w:autoSpaceDN w:val="0"/>
        <w:adjustRightInd w:val="0"/>
        <w:spacing w:before="0" w:after="0"/>
        <w:jc w:val="center"/>
        <w:rPr>
          <w:rFonts w:eastAsia="Times New Roman"/>
          <w:b/>
          <w:bCs/>
          <w:noProof/>
          <w:color w:val="000000"/>
          <w:szCs w:val="24"/>
        </w:rPr>
      </w:pPr>
      <w:r>
        <w:rPr>
          <w:b/>
          <w:noProof/>
          <w:color w:val="000000"/>
        </w:rPr>
        <w:t>TARNIJA DEKLARATSIOON</w:t>
      </w:r>
    </w:p>
    <w:p>
      <w:pPr>
        <w:autoSpaceDE w:val="0"/>
        <w:autoSpaceDN w:val="0"/>
        <w:adjustRightInd w:val="0"/>
        <w:spacing w:before="0" w:after="0"/>
        <w:jc w:val="center"/>
        <w:rPr>
          <w:rFonts w:eastAsia="Times New Roman"/>
          <w:bCs/>
          <w:noProof/>
          <w:color w:val="000000"/>
          <w:szCs w:val="24"/>
        </w:rPr>
      </w:pPr>
      <w:r>
        <w:rPr>
          <w:noProof/>
          <w:color w:val="000000"/>
        </w:rPr>
        <w:t>kaupade kohta, mis on läbinud töö või töötluse CEFTA osalises, kuid ei ole saanud sooduspäritolustaatust</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rPr>
          <w:rFonts w:eastAsia="Times New Roman"/>
          <w:noProof/>
          <w:color w:val="000000"/>
          <w:szCs w:val="24"/>
        </w:rPr>
      </w:pPr>
      <w:r>
        <w:rPr>
          <w:noProof/>
          <w:color w:val="000000"/>
        </w:rPr>
        <w:t>Mina, allakirjutanu, käesoleva dokumendiga hõlmatud kaupade tarnija, kinnitan, et:</w:t>
      </w:r>
    </w:p>
    <w:p>
      <w:pPr>
        <w:autoSpaceDE w:val="0"/>
        <w:autoSpaceDN w:val="0"/>
        <w:adjustRightInd w:val="0"/>
        <w:spacing w:before="0" w:after="0"/>
        <w:jc w:val="left"/>
        <w:rPr>
          <w:rFonts w:eastAsia="Times New Roman"/>
          <w:noProof/>
          <w:color w:val="000000"/>
          <w:szCs w:val="24"/>
        </w:rPr>
      </w:pPr>
    </w:p>
    <w:p>
      <w:pPr>
        <w:autoSpaceDE w:val="0"/>
        <w:autoSpaceDN w:val="0"/>
        <w:adjustRightInd w:val="0"/>
        <w:spacing w:before="0" w:after="0"/>
        <w:jc w:val="left"/>
        <w:rPr>
          <w:rFonts w:eastAsia="Times New Roman"/>
          <w:noProof/>
          <w:color w:val="000000"/>
          <w:szCs w:val="24"/>
        </w:rPr>
      </w:pPr>
      <w:r>
        <w:rPr>
          <w:noProof/>
          <w:color w:val="000000"/>
        </w:rPr>
        <w:t xml:space="preserve">1. Dokumendis loetletud ja CEFTA osalises toodetud kaupade valmistamiseks on kasutatud järgmisi väljastpoolt CEFTA osaliste territooriumi pärit materjale: </w:t>
      </w:r>
    </w:p>
    <w:p>
      <w:pPr>
        <w:autoSpaceDE w:val="0"/>
        <w:autoSpaceDN w:val="0"/>
        <w:adjustRightInd w:val="0"/>
        <w:spacing w:before="0" w:after="0"/>
        <w:rPr>
          <w:rFonts w:eastAsia="Times New Roman"/>
          <w:noProof/>
          <w:color w:val="000000"/>
          <w:szCs w:val="24"/>
        </w:rPr>
      </w:pPr>
    </w:p>
    <w:p>
      <w:pPr>
        <w:autoSpaceDE w:val="0"/>
        <w:autoSpaceDN w:val="0"/>
        <w:adjustRightInd w:val="0"/>
        <w:spacing w:before="0" w:after="0"/>
        <w:contextualSpacing/>
        <w:mirrorIndents/>
        <w:rPr>
          <w:rFonts w:eastAsia="Times New Roman"/>
          <w:noProof/>
          <w:color w:val="000000"/>
          <w:szCs w:val="24"/>
        </w:rPr>
      </w:pPr>
    </w:p>
    <w:p>
      <w:pPr>
        <w:autoSpaceDE w:val="0"/>
        <w:autoSpaceDN w:val="0"/>
        <w:adjustRightInd w:val="0"/>
        <w:spacing w:before="0" w:after="0"/>
        <w:contextualSpacing/>
        <w:mirrorIndents/>
        <w:jc w:val="left"/>
        <w:rPr>
          <w:rFonts w:eastAsia="Times New Roman"/>
          <w:noProof/>
          <w:color w:val="000000"/>
          <w:szCs w:val="24"/>
        </w:rPr>
        <w:sectPr>
          <w:pgSz w:w="11907" w:h="16839"/>
          <w:pgMar w:top="1134" w:right="1417" w:bottom="1134" w:left="1417" w:header="709" w:footer="709"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2106"/>
        <w:gridCol w:w="2106"/>
        <w:gridCol w:w="2108"/>
      </w:tblGrid>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r>
              <w:rPr>
                <w:noProof/>
                <w:color w:val="000000"/>
              </w:rPr>
              <w:t xml:space="preserve">Tarnitud kaupade </w:t>
            </w:r>
          </w:p>
          <w:p>
            <w:pPr>
              <w:autoSpaceDE w:val="0"/>
              <w:autoSpaceDN w:val="0"/>
              <w:adjustRightInd w:val="0"/>
              <w:spacing w:before="0" w:after="0"/>
              <w:contextualSpacing/>
              <w:mirrorIndents/>
              <w:rPr>
                <w:rFonts w:eastAsia="Times New Roman"/>
                <w:noProof/>
                <w:color w:val="000000"/>
                <w:szCs w:val="24"/>
              </w:rPr>
            </w:pPr>
            <w:r>
              <w:rPr>
                <w:noProof/>
                <w:color w:val="000000"/>
              </w:rPr>
              <w:t>kirjeldus(</w:t>
            </w:r>
            <w:r>
              <w:rPr>
                <w:rStyle w:val="FootnoteReference"/>
                <w:noProof/>
              </w:rPr>
              <w:footnoteReference w:id="2"/>
            </w:r>
            <w:r>
              <w:rPr>
                <w:noProof/>
                <w:color w:val="000000"/>
              </w:rPr>
              <w:t>)</w:t>
            </w:r>
          </w:p>
        </w:tc>
        <w:tc>
          <w:tcPr>
            <w:tcW w:w="2106" w:type="dxa"/>
          </w:tcPr>
          <w:p>
            <w:pPr>
              <w:autoSpaceDE w:val="0"/>
              <w:autoSpaceDN w:val="0"/>
              <w:adjustRightInd w:val="0"/>
              <w:spacing w:before="0" w:after="0"/>
              <w:contextualSpacing/>
              <w:mirrorIndents/>
              <w:rPr>
                <w:rFonts w:eastAsia="Times New Roman"/>
                <w:noProof/>
                <w:color w:val="000000"/>
                <w:szCs w:val="24"/>
              </w:rPr>
            </w:pPr>
            <w:r>
              <w:rPr>
                <w:noProof/>
                <w:color w:val="000000"/>
              </w:rPr>
              <w:t xml:space="preserve">Kasutatud </w:t>
            </w:r>
          </w:p>
          <w:p>
            <w:pPr>
              <w:autoSpaceDE w:val="0"/>
              <w:autoSpaceDN w:val="0"/>
              <w:adjustRightInd w:val="0"/>
              <w:spacing w:before="0" w:after="0"/>
              <w:contextualSpacing/>
              <w:mirrorIndents/>
              <w:rPr>
                <w:rFonts w:eastAsia="Times New Roman"/>
                <w:noProof/>
                <w:color w:val="000000"/>
                <w:szCs w:val="24"/>
              </w:rPr>
            </w:pPr>
            <w:r>
              <w:rPr>
                <w:noProof/>
                <w:color w:val="000000"/>
              </w:rPr>
              <w:t xml:space="preserve">päritolustaatuseta </w:t>
            </w:r>
          </w:p>
          <w:p>
            <w:pPr>
              <w:autoSpaceDE w:val="0"/>
              <w:autoSpaceDN w:val="0"/>
              <w:adjustRightInd w:val="0"/>
              <w:spacing w:before="0" w:after="0"/>
              <w:contextualSpacing/>
              <w:mirrorIndents/>
              <w:rPr>
                <w:rFonts w:eastAsia="Times New Roman"/>
                <w:noProof/>
                <w:color w:val="000000"/>
                <w:szCs w:val="24"/>
              </w:rPr>
            </w:pPr>
            <w:r>
              <w:rPr>
                <w:noProof/>
                <w:color w:val="000000"/>
              </w:rPr>
              <w:t xml:space="preserve">materjali kirjeldus </w:t>
            </w:r>
          </w:p>
        </w:tc>
        <w:tc>
          <w:tcPr>
            <w:tcW w:w="2106" w:type="dxa"/>
          </w:tcPr>
          <w:p>
            <w:pPr>
              <w:autoSpaceDE w:val="0"/>
              <w:autoSpaceDN w:val="0"/>
              <w:adjustRightInd w:val="0"/>
              <w:spacing w:before="0" w:after="0"/>
              <w:contextualSpacing/>
              <w:mirrorIndents/>
              <w:rPr>
                <w:rFonts w:eastAsia="Times New Roman"/>
                <w:noProof/>
                <w:color w:val="000000"/>
                <w:szCs w:val="24"/>
              </w:rPr>
            </w:pPr>
            <w:r>
              <w:rPr>
                <w:noProof/>
                <w:color w:val="000000"/>
              </w:rPr>
              <w:t xml:space="preserve">Kasutatud </w:t>
            </w:r>
          </w:p>
          <w:p>
            <w:pPr>
              <w:autoSpaceDE w:val="0"/>
              <w:autoSpaceDN w:val="0"/>
              <w:adjustRightInd w:val="0"/>
              <w:spacing w:before="0" w:after="0"/>
              <w:contextualSpacing/>
              <w:mirrorIndents/>
              <w:rPr>
                <w:rFonts w:eastAsia="Times New Roman"/>
                <w:noProof/>
                <w:color w:val="000000"/>
                <w:szCs w:val="24"/>
              </w:rPr>
            </w:pPr>
            <w:r>
              <w:rPr>
                <w:noProof/>
                <w:color w:val="000000"/>
              </w:rPr>
              <w:t xml:space="preserve">päritolustaatuseta </w:t>
            </w:r>
          </w:p>
          <w:p>
            <w:pPr>
              <w:autoSpaceDE w:val="0"/>
              <w:autoSpaceDN w:val="0"/>
              <w:adjustRightInd w:val="0"/>
              <w:spacing w:before="0" w:after="0"/>
              <w:contextualSpacing/>
              <w:mirrorIndents/>
              <w:rPr>
                <w:rFonts w:eastAsia="Times New Roman"/>
                <w:noProof/>
                <w:color w:val="000000"/>
                <w:szCs w:val="24"/>
              </w:rPr>
            </w:pPr>
            <w:r>
              <w:rPr>
                <w:noProof/>
                <w:color w:val="000000"/>
              </w:rPr>
              <w:t>materjali rubriik(</w:t>
            </w:r>
            <w:r>
              <w:rPr>
                <w:rStyle w:val="FootnoteReference"/>
                <w:noProof/>
              </w:rPr>
              <w:footnoteReference w:id="3"/>
            </w:r>
            <w:r>
              <w:rPr>
                <w:noProof/>
                <w:color w:val="000000"/>
              </w:rPr>
              <w:t xml:space="preserve">) </w:t>
            </w:r>
          </w:p>
        </w:tc>
        <w:tc>
          <w:tcPr>
            <w:tcW w:w="2108" w:type="dxa"/>
          </w:tcPr>
          <w:p>
            <w:pPr>
              <w:autoSpaceDE w:val="0"/>
              <w:autoSpaceDN w:val="0"/>
              <w:adjustRightInd w:val="0"/>
              <w:spacing w:before="0" w:after="0"/>
              <w:contextualSpacing/>
              <w:mirrorIndents/>
              <w:rPr>
                <w:rFonts w:eastAsia="Times New Roman"/>
                <w:noProof/>
                <w:color w:val="000000"/>
                <w:szCs w:val="24"/>
              </w:rPr>
            </w:pPr>
            <w:r>
              <w:rPr>
                <w:noProof/>
                <w:color w:val="000000"/>
              </w:rPr>
              <w:t xml:space="preserve">Kasutatud </w:t>
            </w:r>
          </w:p>
          <w:p>
            <w:pPr>
              <w:autoSpaceDE w:val="0"/>
              <w:autoSpaceDN w:val="0"/>
              <w:adjustRightInd w:val="0"/>
              <w:spacing w:before="0" w:after="0"/>
              <w:contextualSpacing/>
              <w:mirrorIndents/>
              <w:rPr>
                <w:rFonts w:eastAsia="Times New Roman"/>
                <w:noProof/>
                <w:color w:val="000000"/>
                <w:szCs w:val="24"/>
              </w:rPr>
            </w:pPr>
            <w:r>
              <w:rPr>
                <w:noProof/>
                <w:color w:val="000000"/>
              </w:rPr>
              <w:t xml:space="preserve">päritolustaatuseta </w:t>
            </w:r>
          </w:p>
          <w:p>
            <w:pPr>
              <w:autoSpaceDE w:val="0"/>
              <w:autoSpaceDN w:val="0"/>
              <w:adjustRightInd w:val="0"/>
              <w:spacing w:before="0" w:after="0"/>
              <w:contextualSpacing/>
              <w:mirrorIndents/>
              <w:rPr>
                <w:rFonts w:eastAsia="Times New Roman"/>
                <w:noProof/>
                <w:color w:val="000000"/>
                <w:szCs w:val="24"/>
              </w:rPr>
            </w:pPr>
            <w:r>
              <w:rPr>
                <w:noProof/>
                <w:color w:val="000000"/>
              </w:rPr>
              <w:t>materjali kirjeldus</w:t>
            </w:r>
            <w:r>
              <w:rPr>
                <w:noProof/>
                <w:color w:val="000000"/>
                <w:vertAlign w:val="superscript"/>
              </w:rPr>
              <w:t>(</w:t>
            </w:r>
            <w:r>
              <w:rPr>
                <w:rStyle w:val="FootnoteReference"/>
                <w:noProof/>
              </w:rPr>
              <w:footnoteReference w:id="4"/>
            </w:r>
            <w:r>
              <w:rPr>
                <w:noProof/>
                <w:color w:val="000000"/>
                <w:vertAlign w:val="superscript"/>
              </w:rPr>
              <w:t>)</w:t>
            </w:r>
            <w:r>
              <w:rPr>
                <w:noProof/>
                <w:color w:val="000000"/>
              </w:rPr>
              <w:t xml:space="preserve"> </w:t>
            </w:r>
          </w:p>
        </w:tc>
      </w:tr>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8" w:type="dxa"/>
          </w:tcPr>
          <w:p>
            <w:pPr>
              <w:autoSpaceDE w:val="0"/>
              <w:autoSpaceDN w:val="0"/>
              <w:adjustRightInd w:val="0"/>
              <w:spacing w:before="0" w:after="0"/>
              <w:contextualSpacing/>
              <w:mirrorIndents/>
              <w:rPr>
                <w:rFonts w:eastAsia="Times New Roman"/>
                <w:noProof/>
                <w:color w:val="000000"/>
                <w:szCs w:val="24"/>
              </w:rPr>
            </w:pPr>
          </w:p>
        </w:tc>
      </w:tr>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8" w:type="dxa"/>
          </w:tcPr>
          <w:p>
            <w:pPr>
              <w:autoSpaceDE w:val="0"/>
              <w:autoSpaceDN w:val="0"/>
              <w:adjustRightInd w:val="0"/>
              <w:spacing w:before="0" w:after="0"/>
              <w:contextualSpacing/>
              <w:mirrorIndents/>
              <w:rPr>
                <w:rFonts w:eastAsia="Times New Roman"/>
                <w:noProof/>
                <w:color w:val="000000"/>
                <w:szCs w:val="24"/>
              </w:rPr>
            </w:pPr>
          </w:p>
        </w:tc>
      </w:tr>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8" w:type="dxa"/>
          </w:tcPr>
          <w:p>
            <w:pPr>
              <w:autoSpaceDE w:val="0"/>
              <w:autoSpaceDN w:val="0"/>
              <w:adjustRightInd w:val="0"/>
              <w:spacing w:before="0" w:after="0"/>
              <w:contextualSpacing/>
              <w:mirrorIndents/>
              <w:rPr>
                <w:rFonts w:eastAsia="Times New Roman"/>
                <w:noProof/>
                <w:color w:val="000000"/>
                <w:szCs w:val="24"/>
              </w:rPr>
            </w:pPr>
          </w:p>
        </w:tc>
      </w:tr>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8" w:type="dxa"/>
          </w:tcPr>
          <w:p>
            <w:pPr>
              <w:autoSpaceDE w:val="0"/>
              <w:autoSpaceDN w:val="0"/>
              <w:adjustRightInd w:val="0"/>
              <w:spacing w:before="0" w:after="0"/>
              <w:contextualSpacing/>
              <w:mirrorIndents/>
              <w:rPr>
                <w:rFonts w:eastAsia="Times New Roman"/>
                <w:noProof/>
                <w:color w:val="000000"/>
                <w:szCs w:val="24"/>
              </w:rPr>
            </w:pPr>
          </w:p>
        </w:tc>
      </w:tr>
      <w:tr>
        <w:trPr>
          <w:trHeight w:val="377"/>
        </w:trPr>
        <w:tc>
          <w:tcPr>
            <w:tcW w:w="6318" w:type="dxa"/>
            <w:gridSpan w:val="3"/>
          </w:tcPr>
          <w:p>
            <w:pPr>
              <w:autoSpaceDE w:val="0"/>
              <w:autoSpaceDN w:val="0"/>
              <w:adjustRightInd w:val="0"/>
              <w:spacing w:before="0" w:after="0"/>
              <w:contextualSpacing/>
              <w:mirrorIndents/>
              <w:jc w:val="right"/>
              <w:rPr>
                <w:rFonts w:eastAsia="Times New Roman"/>
                <w:b/>
                <w:noProof/>
                <w:color w:val="000000"/>
                <w:szCs w:val="24"/>
              </w:rPr>
            </w:pPr>
            <w:r>
              <w:rPr>
                <w:b/>
                <w:noProof/>
                <w:color w:val="000000"/>
              </w:rPr>
              <w:t>Koguväärtus</w:t>
            </w:r>
          </w:p>
        </w:tc>
        <w:tc>
          <w:tcPr>
            <w:tcW w:w="2108" w:type="dxa"/>
          </w:tcPr>
          <w:p>
            <w:pPr>
              <w:autoSpaceDE w:val="0"/>
              <w:autoSpaceDN w:val="0"/>
              <w:adjustRightInd w:val="0"/>
              <w:spacing w:before="0" w:after="0"/>
              <w:contextualSpacing/>
              <w:mirrorIndents/>
              <w:rPr>
                <w:rFonts w:eastAsia="Times New Roman"/>
                <w:noProof/>
                <w:color w:val="000000"/>
                <w:szCs w:val="24"/>
              </w:rPr>
            </w:pPr>
          </w:p>
        </w:tc>
      </w:tr>
    </w:tbl>
    <w:p>
      <w:pPr>
        <w:tabs>
          <w:tab w:val="left" w:pos="4252"/>
        </w:tabs>
        <w:spacing w:before="0" w:after="0"/>
        <w:contextualSpacing/>
        <w:mirrorIndents/>
        <w:rPr>
          <w:rFonts w:eastAsia="Times New Roman"/>
          <w:noProof/>
          <w:szCs w:val="24"/>
        </w:rPr>
      </w:pPr>
    </w:p>
    <w:p>
      <w:pPr>
        <w:tabs>
          <w:tab w:val="left" w:pos="4252"/>
        </w:tabs>
        <w:spacing w:before="0" w:after="0"/>
        <w:contextualSpacing/>
        <w:mirrorIndents/>
        <w:rPr>
          <w:rFonts w:eastAsia="Times New Roman"/>
          <w:noProof/>
          <w:szCs w:val="24"/>
        </w:rPr>
      </w:pPr>
      <w:r>
        <w:rPr>
          <w:noProof/>
        </w:rPr>
        <w:t>2. Kõik teised CEFTA osalistes nende kaupade valmistamiseks kasutatud materjalid pärinevad CEFTA osalistest.</w:t>
      </w:r>
    </w:p>
    <w:p>
      <w:pPr>
        <w:tabs>
          <w:tab w:val="left" w:pos="4252"/>
        </w:tabs>
        <w:spacing w:before="0" w:after="0"/>
        <w:contextualSpacing/>
        <w:mirrorIndents/>
        <w:rPr>
          <w:rFonts w:eastAsia="Times New Roman"/>
          <w:noProof/>
          <w:szCs w:val="24"/>
        </w:rPr>
      </w:pPr>
    </w:p>
    <w:p>
      <w:pPr>
        <w:tabs>
          <w:tab w:val="left" w:pos="4252"/>
        </w:tabs>
        <w:spacing w:before="0" w:after="0"/>
        <w:contextualSpacing/>
        <w:mirrorIndents/>
        <w:rPr>
          <w:rFonts w:eastAsia="Times New Roman"/>
          <w:noProof/>
          <w:szCs w:val="24"/>
        </w:rPr>
      </w:pPr>
      <w:r>
        <w:rPr>
          <w:noProof/>
        </w:rPr>
        <w:t>3. Järgmised kaubad on läbinud töö või töötluse väljaspool CEFTA osalisi vastavalt Euroopa – Vahemere piirkonna sooduspäritolureeglite piirkondliku konventsiooni I liite artiklile 11 ja on seal saanud järgmise kogulisandväärtuse:</w:t>
      </w:r>
    </w:p>
    <w:p>
      <w:pPr>
        <w:tabs>
          <w:tab w:val="left" w:pos="4252"/>
        </w:tabs>
        <w:spacing w:before="0" w:after="0"/>
        <w:contextualSpacing/>
        <w:mirrorIndents/>
        <w:rPr>
          <w:rFonts w:eastAsia="Times New Roman"/>
          <w:noProof/>
          <w:szCs w:val="24"/>
        </w:rPr>
      </w:pPr>
    </w:p>
    <w:p>
      <w:pPr>
        <w:tabs>
          <w:tab w:val="left" w:pos="4252"/>
        </w:tabs>
        <w:spacing w:before="0" w:after="0"/>
        <w:contextualSpacing/>
        <w:mirrorIndents/>
        <w:rPr>
          <w:rFonts w:eastAsia="Times New Roman"/>
          <w:noProof/>
          <w:szCs w:val="24"/>
        </w:rPr>
      </w:pPr>
    </w:p>
    <w:tbl>
      <w:tblPr>
        <w:tblW w:w="0" w:type="auto"/>
        <w:tblLook w:val="04A0" w:firstRow="1" w:lastRow="0" w:firstColumn="1" w:lastColumn="0" w:noHBand="0" w:noVBand="1"/>
      </w:tblPr>
      <w:tblGrid>
        <w:gridCol w:w="4417"/>
        <w:gridCol w:w="4417"/>
      </w:tblGrid>
      <w:tr>
        <w:tc>
          <w:tcPr>
            <w:tcW w:w="4417" w:type="dxa"/>
            <w:shd w:val="clear" w:color="auto" w:fill="auto"/>
          </w:tcPr>
          <w:p>
            <w:pPr>
              <w:tabs>
                <w:tab w:val="left" w:pos="4252"/>
              </w:tabs>
              <w:spacing w:before="0" w:after="0"/>
              <w:contextualSpacing/>
              <w:mirrorIndents/>
              <w:rPr>
                <w:rFonts w:eastAsia="Times New Roman"/>
                <w:noProof/>
                <w:szCs w:val="24"/>
              </w:rPr>
            </w:pPr>
            <w:r>
              <w:rPr>
                <w:noProof/>
              </w:rPr>
              <w:t xml:space="preserve">Tarnitud kaupade kirjeldus </w:t>
            </w:r>
          </w:p>
          <w:p>
            <w:pPr>
              <w:tabs>
                <w:tab w:val="left" w:pos="4252"/>
              </w:tabs>
              <w:spacing w:before="0" w:after="0"/>
              <w:contextualSpacing/>
              <w:mirrorIndents/>
              <w:rPr>
                <w:rFonts w:eastAsia="Times New Roman"/>
                <w:noProof/>
                <w:szCs w:val="24"/>
              </w:rPr>
            </w:pP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p>
        </w:tc>
        <w:tc>
          <w:tcPr>
            <w:tcW w:w="4417" w:type="dxa"/>
            <w:shd w:val="clear" w:color="auto" w:fill="auto"/>
          </w:tcPr>
          <w:p>
            <w:pPr>
              <w:tabs>
                <w:tab w:val="left" w:pos="4252"/>
              </w:tabs>
              <w:spacing w:before="0" w:after="0"/>
              <w:contextualSpacing/>
              <w:mirrorIndents/>
              <w:rPr>
                <w:rFonts w:eastAsia="Times New Roman"/>
                <w:noProof/>
                <w:szCs w:val="24"/>
              </w:rPr>
            </w:pPr>
            <w:r>
              <w:rPr>
                <w:noProof/>
              </w:rPr>
              <w:t>Väljaspool CEFTA osaliste territooriumi saadud</w:t>
            </w:r>
          </w:p>
          <w:p>
            <w:pPr>
              <w:tabs>
                <w:tab w:val="left" w:pos="4252"/>
              </w:tabs>
              <w:spacing w:before="0" w:after="0"/>
              <w:contextualSpacing/>
              <w:mirrorIndents/>
              <w:rPr>
                <w:rFonts w:eastAsia="Times New Roman"/>
                <w:noProof/>
                <w:szCs w:val="24"/>
              </w:rPr>
            </w:pPr>
            <w:r>
              <w:rPr>
                <w:noProof/>
              </w:rPr>
              <w:t>kogulisandväärtus</w:t>
            </w:r>
            <w:r>
              <w:rPr>
                <w:rStyle w:val="FootnoteReference"/>
                <w:noProof/>
              </w:rPr>
              <w:footnoteReference w:id="5"/>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p>
        </w:tc>
      </w:tr>
      <w:tr>
        <w:tc>
          <w:tcPr>
            <w:tcW w:w="4417" w:type="dxa"/>
            <w:shd w:val="clear" w:color="auto" w:fill="auto"/>
          </w:tcPr>
          <w:p>
            <w:pPr>
              <w:tabs>
                <w:tab w:val="left" w:pos="4252"/>
              </w:tabs>
              <w:spacing w:before="0" w:after="0"/>
              <w:contextualSpacing/>
              <w:mirrorIndents/>
              <w:rPr>
                <w:rFonts w:eastAsia="Times New Roman"/>
                <w:noProof/>
                <w:szCs w:val="24"/>
              </w:rPr>
            </w:pPr>
          </w:p>
        </w:tc>
        <w:tc>
          <w:tcPr>
            <w:tcW w:w="4417" w:type="dxa"/>
            <w:shd w:val="clear" w:color="auto" w:fill="auto"/>
          </w:tcPr>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jc w:val="center"/>
              <w:rPr>
                <w:rFonts w:eastAsia="Times New Roman"/>
                <w:i/>
                <w:noProof/>
                <w:szCs w:val="24"/>
              </w:rPr>
            </w:pPr>
            <w:r>
              <w:rPr>
                <w:i/>
                <w:noProof/>
              </w:rPr>
              <w:t>(koht ja kuupäev)</w:t>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rPr>
                <w:rFonts w:eastAsia="Times New Roman"/>
                <w:noProof/>
                <w:szCs w:val="24"/>
              </w:rPr>
            </w:pPr>
            <w:r>
              <w:rPr>
                <w:noProof/>
              </w:rPr>
              <w:t>………………………………………….</w:t>
            </w:r>
          </w:p>
          <w:p>
            <w:pPr>
              <w:tabs>
                <w:tab w:val="left" w:pos="4252"/>
              </w:tabs>
              <w:spacing w:before="0" w:after="0"/>
              <w:contextualSpacing/>
              <w:mirrorIndents/>
              <w:jc w:val="center"/>
              <w:rPr>
                <w:rFonts w:eastAsia="Times New Roman"/>
                <w:i/>
                <w:noProof/>
                <w:szCs w:val="24"/>
              </w:rPr>
            </w:pPr>
          </w:p>
          <w:p>
            <w:pPr>
              <w:tabs>
                <w:tab w:val="left" w:pos="4252"/>
              </w:tabs>
              <w:spacing w:before="0" w:after="0"/>
              <w:contextualSpacing/>
              <w:mirrorIndents/>
              <w:jc w:val="center"/>
              <w:rPr>
                <w:rFonts w:eastAsia="Times New Roman"/>
                <w:i/>
                <w:noProof/>
                <w:szCs w:val="24"/>
              </w:rPr>
            </w:pPr>
            <w:r>
              <w:rPr>
                <w:i/>
                <w:noProof/>
              </w:rPr>
              <w:t>(Tarnija aadress ja allkiri; lisaks sellele tuleb kirjutada loetavalt allakirjutaja nimi)</w:t>
            </w:r>
          </w:p>
          <w:p>
            <w:pPr>
              <w:tabs>
                <w:tab w:val="left" w:pos="4252"/>
              </w:tabs>
              <w:spacing w:before="0" w:after="0"/>
              <w:contextualSpacing/>
              <w:mirrorIndents/>
              <w:rPr>
                <w:rFonts w:eastAsia="Times New Roman"/>
                <w:noProof/>
                <w:szCs w:val="24"/>
              </w:rPr>
            </w:pPr>
          </w:p>
        </w:tc>
      </w:tr>
    </w:tbl>
    <w:p>
      <w:pPr>
        <w:tabs>
          <w:tab w:val="left" w:pos="4252"/>
        </w:tabs>
        <w:spacing w:before="0" w:after="0"/>
        <w:contextualSpacing/>
        <w:mirrorIndents/>
        <w:rPr>
          <w:rFonts w:eastAsia="Times New Roman"/>
          <w:noProof/>
          <w:szCs w:val="24"/>
        </w:rPr>
      </w:pPr>
    </w:p>
    <w:p>
      <w:pPr>
        <w:tabs>
          <w:tab w:val="left" w:pos="4252"/>
        </w:tabs>
        <w:spacing w:before="0" w:after="0"/>
        <w:contextualSpacing/>
        <w:mirrorIndents/>
        <w:rPr>
          <w:rFonts w:eastAsia="Times New Roman"/>
          <w:noProof/>
          <w:szCs w:val="24"/>
        </w:rPr>
      </w:pPr>
    </w:p>
    <w:p>
      <w:pPr>
        <w:tabs>
          <w:tab w:val="left" w:pos="4252"/>
        </w:tabs>
        <w:spacing w:before="0" w:after="0"/>
        <w:contextualSpacing/>
        <w:mirrorIndents/>
        <w:rPr>
          <w:rFonts w:eastAsia="Times New Roman"/>
          <w:noProof/>
          <w:szCs w:val="24"/>
        </w:rPr>
      </w:pPr>
    </w:p>
    <w:p>
      <w:pPr>
        <w:autoSpaceDE w:val="0"/>
        <w:autoSpaceDN w:val="0"/>
        <w:adjustRightInd w:val="0"/>
        <w:spacing w:before="0" w:after="0"/>
        <w:contextualSpacing/>
        <w:mirrorIndents/>
        <w:rPr>
          <w:rFonts w:eastAsia="Times New Roman"/>
          <w:noProof/>
          <w:color w:val="000000"/>
          <w:szCs w:val="24"/>
        </w:rPr>
      </w:pPr>
    </w:p>
    <w:p>
      <w:pPr>
        <w:autoSpaceDE w:val="0"/>
        <w:autoSpaceDN w:val="0"/>
        <w:adjustRightInd w:val="0"/>
        <w:spacing w:before="0" w:after="0"/>
        <w:contextualSpacing/>
        <w:mirrorIndents/>
        <w:jc w:val="left"/>
        <w:rPr>
          <w:rFonts w:eastAsia="Times New Roman"/>
          <w:noProof/>
          <w:color w:val="000000"/>
          <w:szCs w:val="24"/>
        </w:rPr>
        <w:sectPr>
          <w:pgSz w:w="11907" w:h="16839"/>
          <w:pgMar w:top="1134" w:right="1417" w:bottom="1134" w:left="1417" w:header="709" w:footer="709" w:gutter="0"/>
          <w:cols w:space="720"/>
          <w:docGrid w:linePitch="360"/>
        </w:sectPr>
      </w:pPr>
    </w:p>
    <w:p>
      <w:pPr>
        <w:tabs>
          <w:tab w:val="left" w:pos="4252"/>
        </w:tabs>
        <w:spacing w:before="0" w:after="240"/>
        <w:contextualSpacing/>
        <w:mirrorIndents/>
        <w:jc w:val="center"/>
        <w:rPr>
          <w:rFonts w:eastAsia="Times New Roman"/>
          <w:noProof/>
          <w:szCs w:val="24"/>
        </w:rPr>
      </w:pPr>
      <w:r>
        <w:rPr>
          <w:noProof/>
        </w:rPr>
        <w:t>III LISA</w:t>
      </w:r>
    </w:p>
    <w:p>
      <w:pPr>
        <w:tabs>
          <w:tab w:val="left" w:pos="4252"/>
        </w:tabs>
        <w:spacing w:before="0" w:after="240"/>
        <w:contextualSpacing/>
        <w:mirrorIndents/>
        <w:jc w:val="center"/>
        <w:rPr>
          <w:rFonts w:eastAsia="Times New Roman"/>
          <w:b/>
          <w:bCs/>
          <w:noProof/>
          <w:szCs w:val="24"/>
        </w:rPr>
      </w:pPr>
      <w:r>
        <w:rPr>
          <w:rFonts w:eastAsia="Times New Roman"/>
          <w:i/>
          <w:noProof/>
          <w:szCs w:val="24"/>
        </w:rPr>
        <w:br/>
      </w:r>
      <w:r>
        <w:rPr>
          <w:i/>
          <w:noProof/>
        </w:rPr>
        <w:t>II liite H LISA</w:t>
      </w:r>
      <w:r>
        <w:rPr>
          <w:b/>
          <w:noProof/>
        </w:rPr>
        <w:t xml:space="preserve"> </w:t>
      </w:r>
    </w:p>
    <w:p>
      <w:pPr>
        <w:tabs>
          <w:tab w:val="left" w:pos="4252"/>
        </w:tabs>
        <w:spacing w:before="0" w:after="240"/>
        <w:contextualSpacing/>
        <w:mirrorIndents/>
        <w:jc w:val="center"/>
        <w:rPr>
          <w:rFonts w:eastAsia="Times New Roman"/>
          <w:b/>
          <w:bCs/>
          <w:noProof/>
          <w:szCs w:val="24"/>
        </w:rPr>
      </w:pPr>
    </w:p>
    <w:p>
      <w:pPr>
        <w:tabs>
          <w:tab w:val="left" w:pos="4252"/>
        </w:tabs>
        <w:spacing w:before="0" w:after="240"/>
        <w:contextualSpacing/>
        <w:mirrorIndents/>
        <w:jc w:val="center"/>
        <w:rPr>
          <w:rFonts w:eastAsia="Times New Roman"/>
          <w:b/>
          <w:bCs/>
          <w:noProof/>
          <w:szCs w:val="24"/>
        </w:rPr>
      </w:pPr>
      <w:r>
        <w:rPr>
          <w:b/>
          <w:noProof/>
        </w:rPr>
        <w:t>Pikaajaline tarnija deklaratsioon kaupade kohta, mis on läbinud töö või töötluse CEFTA osalises, kuid ei ole saanud sooduspäritolustaatust</w:t>
      </w:r>
    </w:p>
    <w:p>
      <w:pPr>
        <w:tabs>
          <w:tab w:val="left" w:pos="4252"/>
        </w:tabs>
        <w:spacing w:before="0" w:after="240"/>
        <w:jc w:val="center"/>
        <w:rPr>
          <w:rFonts w:eastAsia="Times New Roman"/>
          <w:i/>
          <w:noProof/>
          <w:szCs w:val="24"/>
        </w:rPr>
      </w:pPr>
    </w:p>
    <w:p>
      <w:pPr>
        <w:tabs>
          <w:tab w:val="left" w:pos="4252"/>
        </w:tabs>
        <w:spacing w:before="0" w:after="240"/>
        <w:rPr>
          <w:rFonts w:eastAsia="Times New Roman"/>
          <w:noProof/>
          <w:szCs w:val="24"/>
        </w:rPr>
      </w:pPr>
      <w:r>
        <w:rPr>
          <w:noProof/>
        </w:rPr>
        <w:t>Pikaajaline tarnija deklaratsioon, mille tekst on esitatud allpool, tuleb koostada kooskõlas joonealuste märkustega. Joonealuseid märkusi ei ole siiski vaja uuesti esitada.</w:t>
      </w:r>
    </w:p>
    <w:p>
      <w:pPr>
        <w:tabs>
          <w:tab w:val="left" w:pos="4252"/>
        </w:tabs>
        <w:spacing w:before="0" w:after="240"/>
        <w:jc w:val="center"/>
        <w:rPr>
          <w:rFonts w:eastAsia="Times New Roman"/>
          <w:b/>
          <w:noProof/>
          <w:szCs w:val="24"/>
        </w:rPr>
      </w:pPr>
      <w:r>
        <w:rPr>
          <w:b/>
          <w:noProof/>
        </w:rPr>
        <w:t>PIKAAJALINE TARNIJA DEKLARATSIOON</w:t>
      </w:r>
    </w:p>
    <w:p>
      <w:pPr>
        <w:tabs>
          <w:tab w:val="left" w:pos="4252"/>
        </w:tabs>
        <w:spacing w:before="0" w:after="240"/>
        <w:jc w:val="center"/>
        <w:rPr>
          <w:rFonts w:eastAsia="Times New Roman"/>
          <w:noProof/>
          <w:szCs w:val="24"/>
        </w:rPr>
      </w:pPr>
      <w:r>
        <w:rPr>
          <w:noProof/>
        </w:rPr>
        <w:t>kaupade kohta, mis on läbinud töö või töötluse CEFTA osalises, kuid ei ole saanud sooduspäritolustaatust</w:t>
      </w:r>
    </w:p>
    <w:p>
      <w:pPr>
        <w:tabs>
          <w:tab w:val="left" w:pos="4252"/>
        </w:tabs>
        <w:spacing w:before="0" w:after="240"/>
        <w:rPr>
          <w:rFonts w:eastAsia="Times New Roman"/>
          <w:noProof/>
          <w:szCs w:val="24"/>
        </w:rPr>
      </w:pPr>
    </w:p>
    <w:p>
      <w:pPr>
        <w:tabs>
          <w:tab w:val="left" w:pos="4252"/>
        </w:tabs>
        <w:spacing w:before="0" w:after="240"/>
        <w:rPr>
          <w:rFonts w:eastAsia="Times New Roman"/>
          <w:noProof/>
          <w:szCs w:val="24"/>
        </w:rPr>
      </w:pPr>
      <w:r>
        <w:rPr>
          <w:noProof/>
        </w:rPr>
        <w:t>Mina, allakirjutanu, lisatud dokumendiga hõlmatud ning regulaarselt …............................</w:t>
      </w:r>
      <w:r>
        <w:rPr>
          <w:rStyle w:val="FootnoteReference"/>
          <w:noProof/>
        </w:rPr>
        <w:footnoteReference w:id="6"/>
      </w:r>
      <w:r>
        <w:rPr>
          <w:noProof/>
        </w:rPr>
        <w:t xml:space="preserve"> saadetavate kaupade tarnija, kinnitan, et:</w:t>
      </w:r>
    </w:p>
    <w:p>
      <w:pPr>
        <w:tabs>
          <w:tab w:val="left" w:pos="4252"/>
        </w:tabs>
        <w:spacing w:before="0" w:after="240"/>
        <w:rPr>
          <w:rFonts w:eastAsia="Times New Roman"/>
          <w:noProof/>
          <w:szCs w:val="24"/>
        </w:rPr>
      </w:pPr>
      <w:r>
        <w:rPr>
          <w:noProof/>
        </w:rPr>
        <w:t>1. Dokumendis loetletud ja CEFTA osalises toodetud kaupade valmistamiseks on kasutatud järgmisi väljastpoolt CEFTA osaliste territooriumi pärit materjale: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2106"/>
        <w:gridCol w:w="2106"/>
        <w:gridCol w:w="2108"/>
      </w:tblGrid>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r>
              <w:rPr>
                <w:noProof/>
                <w:color w:val="000000"/>
              </w:rPr>
              <w:t xml:space="preserve">Tarnitud kaupade </w:t>
            </w:r>
          </w:p>
          <w:p>
            <w:pPr>
              <w:autoSpaceDE w:val="0"/>
              <w:autoSpaceDN w:val="0"/>
              <w:adjustRightInd w:val="0"/>
              <w:spacing w:before="0" w:after="0"/>
              <w:contextualSpacing/>
              <w:mirrorIndents/>
              <w:rPr>
                <w:rFonts w:eastAsia="Times New Roman"/>
                <w:noProof/>
                <w:color w:val="000000"/>
                <w:szCs w:val="24"/>
              </w:rPr>
            </w:pPr>
            <w:r>
              <w:rPr>
                <w:noProof/>
                <w:color w:val="000000"/>
              </w:rPr>
              <w:t>kirjeldus(</w:t>
            </w:r>
            <w:r>
              <w:rPr>
                <w:rStyle w:val="FootnoteReference"/>
                <w:noProof/>
              </w:rPr>
              <w:footnoteReference w:id="7"/>
            </w:r>
            <w:r>
              <w:rPr>
                <w:noProof/>
                <w:color w:val="000000"/>
              </w:rPr>
              <w:t>)</w:t>
            </w:r>
          </w:p>
        </w:tc>
        <w:tc>
          <w:tcPr>
            <w:tcW w:w="2106" w:type="dxa"/>
          </w:tcPr>
          <w:p>
            <w:pPr>
              <w:autoSpaceDE w:val="0"/>
              <w:autoSpaceDN w:val="0"/>
              <w:adjustRightInd w:val="0"/>
              <w:spacing w:before="0" w:after="0"/>
              <w:contextualSpacing/>
              <w:mirrorIndents/>
              <w:rPr>
                <w:rFonts w:eastAsia="Times New Roman"/>
                <w:noProof/>
                <w:color w:val="000000"/>
                <w:szCs w:val="24"/>
              </w:rPr>
            </w:pPr>
            <w:r>
              <w:rPr>
                <w:noProof/>
                <w:color w:val="000000"/>
              </w:rPr>
              <w:t xml:space="preserve">Kasutatud </w:t>
            </w:r>
          </w:p>
          <w:p>
            <w:pPr>
              <w:autoSpaceDE w:val="0"/>
              <w:autoSpaceDN w:val="0"/>
              <w:adjustRightInd w:val="0"/>
              <w:spacing w:before="0" w:after="0"/>
              <w:contextualSpacing/>
              <w:mirrorIndents/>
              <w:rPr>
                <w:rFonts w:eastAsia="Times New Roman"/>
                <w:noProof/>
                <w:color w:val="000000"/>
                <w:szCs w:val="24"/>
              </w:rPr>
            </w:pPr>
            <w:r>
              <w:rPr>
                <w:noProof/>
                <w:color w:val="000000"/>
              </w:rPr>
              <w:t xml:space="preserve">päritolustaatuseta </w:t>
            </w:r>
          </w:p>
          <w:p>
            <w:pPr>
              <w:autoSpaceDE w:val="0"/>
              <w:autoSpaceDN w:val="0"/>
              <w:adjustRightInd w:val="0"/>
              <w:spacing w:before="0" w:after="0"/>
              <w:contextualSpacing/>
              <w:mirrorIndents/>
              <w:rPr>
                <w:rFonts w:eastAsia="Times New Roman"/>
                <w:noProof/>
                <w:color w:val="000000"/>
                <w:szCs w:val="24"/>
              </w:rPr>
            </w:pPr>
            <w:r>
              <w:rPr>
                <w:noProof/>
                <w:color w:val="000000"/>
              </w:rPr>
              <w:t xml:space="preserve">materjali kirjeldus </w:t>
            </w:r>
          </w:p>
        </w:tc>
        <w:tc>
          <w:tcPr>
            <w:tcW w:w="2106" w:type="dxa"/>
          </w:tcPr>
          <w:p>
            <w:pPr>
              <w:autoSpaceDE w:val="0"/>
              <w:autoSpaceDN w:val="0"/>
              <w:adjustRightInd w:val="0"/>
              <w:spacing w:before="0" w:after="0"/>
              <w:contextualSpacing/>
              <w:mirrorIndents/>
              <w:rPr>
                <w:rFonts w:eastAsia="Times New Roman"/>
                <w:noProof/>
                <w:color w:val="000000"/>
                <w:szCs w:val="24"/>
              </w:rPr>
            </w:pPr>
            <w:r>
              <w:rPr>
                <w:noProof/>
                <w:color w:val="000000"/>
              </w:rPr>
              <w:t xml:space="preserve">Kasutatud </w:t>
            </w:r>
          </w:p>
          <w:p>
            <w:pPr>
              <w:autoSpaceDE w:val="0"/>
              <w:autoSpaceDN w:val="0"/>
              <w:adjustRightInd w:val="0"/>
              <w:spacing w:before="0" w:after="0"/>
              <w:contextualSpacing/>
              <w:mirrorIndents/>
              <w:rPr>
                <w:rFonts w:eastAsia="Times New Roman"/>
                <w:noProof/>
                <w:color w:val="000000"/>
                <w:szCs w:val="24"/>
              </w:rPr>
            </w:pPr>
            <w:r>
              <w:rPr>
                <w:noProof/>
                <w:color w:val="000000"/>
              </w:rPr>
              <w:t xml:space="preserve">päritolustaatuseta </w:t>
            </w:r>
          </w:p>
          <w:p>
            <w:pPr>
              <w:autoSpaceDE w:val="0"/>
              <w:autoSpaceDN w:val="0"/>
              <w:adjustRightInd w:val="0"/>
              <w:spacing w:before="0" w:after="0"/>
              <w:contextualSpacing/>
              <w:mirrorIndents/>
              <w:rPr>
                <w:rFonts w:eastAsia="Times New Roman"/>
                <w:noProof/>
                <w:color w:val="000000"/>
                <w:szCs w:val="24"/>
              </w:rPr>
            </w:pPr>
            <w:r>
              <w:rPr>
                <w:noProof/>
                <w:color w:val="000000"/>
              </w:rPr>
              <w:t>materjali rubriik(</w:t>
            </w:r>
            <w:r>
              <w:rPr>
                <w:rStyle w:val="FootnoteReference"/>
                <w:noProof/>
              </w:rPr>
              <w:footnoteReference w:id="8"/>
            </w:r>
            <w:r>
              <w:rPr>
                <w:noProof/>
                <w:color w:val="000000"/>
              </w:rPr>
              <w:t xml:space="preserve">) </w:t>
            </w:r>
          </w:p>
        </w:tc>
        <w:tc>
          <w:tcPr>
            <w:tcW w:w="2108" w:type="dxa"/>
          </w:tcPr>
          <w:p>
            <w:pPr>
              <w:autoSpaceDE w:val="0"/>
              <w:autoSpaceDN w:val="0"/>
              <w:adjustRightInd w:val="0"/>
              <w:spacing w:before="0" w:after="0"/>
              <w:contextualSpacing/>
              <w:mirrorIndents/>
              <w:rPr>
                <w:rFonts w:eastAsia="Times New Roman"/>
                <w:noProof/>
                <w:color w:val="000000"/>
                <w:szCs w:val="24"/>
              </w:rPr>
            </w:pPr>
            <w:r>
              <w:rPr>
                <w:noProof/>
                <w:color w:val="000000"/>
              </w:rPr>
              <w:t xml:space="preserve">Kasutatud </w:t>
            </w:r>
          </w:p>
          <w:p>
            <w:pPr>
              <w:autoSpaceDE w:val="0"/>
              <w:autoSpaceDN w:val="0"/>
              <w:adjustRightInd w:val="0"/>
              <w:spacing w:before="0" w:after="0"/>
              <w:contextualSpacing/>
              <w:mirrorIndents/>
              <w:rPr>
                <w:rFonts w:eastAsia="Times New Roman"/>
                <w:noProof/>
                <w:color w:val="000000"/>
                <w:szCs w:val="24"/>
              </w:rPr>
            </w:pPr>
            <w:r>
              <w:rPr>
                <w:noProof/>
                <w:color w:val="000000"/>
              </w:rPr>
              <w:t xml:space="preserve">päritolustaatuseta </w:t>
            </w:r>
          </w:p>
          <w:p>
            <w:pPr>
              <w:autoSpaceDE w:val="0"/>
              <w:autoSpaceDN w:val="0"/>
              <w:adjustRightInd w:val="0"/>
              <w:spacing w:before="0" w:after="0"/>
              <w:contextualSpacing/>
              <w:mirrorIndents/>
              <w:rPr>
                <w:rFonts w:eastAsia="Times New Roman"/>
                <w:noProof/>
                <w:color w:val="000000"/>
                <w:szCs w:val="24"/>
              </w:rPr>
            </w:pPr>
            <w:r>
              <w:rPr>
                <w:noProof/>
                <w:color w:val="000000"/>
              </w:rPr>
              <w:t>materjali kirjeldus</w:t>
            </w:r>
            <w:r>
              <w:rPr>
                <w:noProof/>
                <w:color w:val="000000"/>
                <w:vertAlign w:val="superscript"/>
              </w:rPr>
              <w:t>(</w:t>
            </w:r>
            <w:r>
              <w:rPr>
                <w:rStyle w:val="FootnoteReference"/>
                <w:noProof/>
              </w:rPr>
              <w:footnoteReference w:id="9"/>
            </w:r>
            <w:r>
              <w:rPr>
                <w:noProof/>
                <w:color w:val="000000"/>
                <w:vertAlign w:val="superscript"/>
              </w:rPr>
              <w:t>)</w:t>
            </w:r>
            <w:r>
              <w:rPr>
                <w:noProof/>
                <w:color w:val="000000"/>
              </w:rPr>
              <w:t xml:space="preserve"> </w:t>
            </w:r>
          </w:p>
        </w:tc>
      </w:tr>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8" w:type="dxa"/>
          </w:tcPr>
          <w:p>
            <w:pPr>
              <w:autoSpaceDE w:val="0"/>
              <w:autoSpaceDN w:val="0"/>
              <w:adjustRightInd w:val="0"/>
              <w:spacing w:before="0" w:after="0"/>
              <w:contextualSpacing/>
              <w:mirrorIndents/>
              <w:rPr>
                <w:rFonts w:eastAsia="Times New Roman"/>
                <w:noProof/>
                <w:color w:val="000000"/>
                <w:szCs w:val="24"/>
              </w:rPr>
            </w:pPr>
          </w:p>
        </w:tc>
      </w:tr>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8" w:type="dxa"/>
          </w:tcPr>
          <w:p>
            <w:pPr>
              <w:autoSpaceDE w:val="0"/>
              <w:autoSpaceDN w:val="0"/>
              <w:adjustRightInd w:val="0"/>
              <w:spacing w:before="0" w:after="0"/>
              <w:contextualSpacing/>
              <w:mirrorIndents/>
              <w:rPr>
                <w:rFonts w:eastAsia="Times New Roman"/>
                <w:noProof/>
                <w:color w:val="000000"/>
                <w:szCs w:val="24"/>
              </w:rPr>
            </w:pPr>
          </w:p>
        </w:tc>
      </w:tr>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8" w:type="dxa"/>
          </w:tcPr>
          <w:p>
            <w:pPr>
              <w:autoSpaceDE w:val="0"/>
              <w:autoSpaceDN w:val="0"/>
              <w:adjustRightInd w:val="0"/>
              <w:spacing w:before="0" w:after="0"/>
              <w:contextualSpacing/>
              <w:mirrorIndents/>
              <w:rPr>
                <w:rFonts w:eastAsia="Times New Roman"/>
                <w:noProof/>
                <w:color w:val="000000"/>
                <w:szCs w:val="24"/>
              </w:rPr>
            </w:pPr>
          </w:p>
        </w:tc>
      </w:tr>
      <w:tr>
        <w:trPr>
          <w:trHeight w:val="377"/>
        </w:trPr>
        <w:tc>
          <w:tcPr>
            <w:tcW w:w="2106" w:type="dxa"/>
          </w:tcPr>
          <w:p>
            <w:pPr>
              <w:autoSpaceDE w:val="0"/>
              <w:autoSpaceDN w:val="0"/>
              <w:adjustRightInd w:val="0"/>
              <w:spacing w:before="0" w:after="0"/>
              <w:contextualSpacing/>
              <w:mirrorIndents/>
              <w:jc w:val="left"/>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6" w:type="dxa"/>
          </w:tcPr>
          <w:p>
            <w:pPr>
              <w:autoSpaceDE w:val="0"/>
              <w:autoSpaceDN w:val="0"/>
              <w:adjustRightInd w:val="0"/>
              <w:spacing w:before="0" w:after="0"/>
              <w:contextualSpacing/>
              <w:mirrorIndents/>
              <w:rPr>
                <w:rFonts w:eastAsia="Times New Roman"/>
                <w:noProof/>
                <w:color w:val="000000"/>
                <w:szCs w:val="24"/>
              </w:rPr>
            </w:pPr>
          </w:p>
        </w:tc>
        <w:tc>
          <w:tcPr>
            <w:tcW w:w="2108" w:type="dxa"/>
          </w:tcPr>
          <w:p>
            <w:pPr>
              <w:autoSpaceDE w:val="0"/>
              <w:autoSpaceDN w:val="0"/>
              <w:adjustRightInd w:val="0"/>
              <w:spacing w:before="0" w:after="0"/>
              <w:contextualSpacing/>
              <w:mirrorIndents/>
              <w:rPr>
                <w:rFonts w:eastAsia="Times New Roman"/>
                <w:noProof/>
                <w:color w:val="000000"/>
                <w:szCs w:val="24"/>
              </w:rPr>
            </w:pPr>
          </w:p>
        </w:tc>
      </w:tr>
      <w:tr>
        <w:trPr>
          <w:trHeight w:val="377"/>
        </w:trPr>
        <w:tc>
          <w:tcPr>
            <w:tcW w:w="6318" w:type="dxa"/>
            <w:gridSpan w:val="3"/>
          </w:tcPr>
          <w:p>
            <w:pPr>
              <w:autoSpaceDE w:val="0"/>
              <w:autoSpaceDN w:val="0"/>
              <w:adjustRightInd w:val="0"/>
              <w:spacing w:before="0" w:after="0"/>
              <w:contextualSpacing/>
              <w:mirrorIndents/>
              <w:jc w:val="right"/>
              <w:rPr>
                <w:rFonts w:eastAsia="Times New Roman"/>
                <w:b/>
                <w:noProof/>
                <w:color w:val="000000"/>
                <w:szCs w:val="24"/>
              </w:rPr>
            </w:pPr>
            <w:r>
              <w:rPr>
                <w:b/>
                <w:noProof/>
                <w:color w:val="000000"/>
              </w:rPr>
              <w:t>Koguväärtus</w:t>
            </w:r>
          </w:p>
        </w:tc>
        <w:tc>
          <w:tcPr>
            <w:tcW w:w="2108" w:type="dxa"/>
          </w:tcPr>
          <w:p>
            <w:pPr>
              <w:autoSpaceDE w:val="0"/>
              <w:autoSpaceDN w:val="0"/>
              <w:adjustRightInd w:val="0"/>
              <w:spacing w:before="0" w:after="0"/>
              <w:contextualSpacing/>
              <w:mirrorIndents/>
              <w:rPr>
                <w:rFonts w:eastAsia="Times New Roman"/>
                <w:noProof/>
                <w:color w:val="000000"/>
                <w:szCs w:val="24"/>
              </w:rPr>
            </w:pPr>
          </w:p>
        </w:tc>
      </w:tr>
    </w:tbl>
    <w:p>
      <w:pPr>
        <w:tabs>
          <w:tab w:val="left" w:pos="4252"/>
        </w:tabs>
        <w:spacing w:before="0" w:after="0"/>
        <w:contextualSpacing/>
        <w:mirrorIndents/>
        <w:rPr>
          <w:rFonts w:eastAsia="Times New Roman"/>
          <w:noProof/>
          <w:szCs w:val="24"/>
        </w:rPr>
      </w:pPr>
    </w:p>
    <w:p>
      <w:pPr>
        <w:tabs>
          <w:tab w:val="left" w:pos="4252"/>
        </w:tabs>
        <w:spacing w:before="0" w:after="240"/>
        <w:rPr>
          <w:rFonts w:eastAsia="Times New Roman"/>
          <w:noProof/>
          <w:szCs w:val="24"/>
        </w:rPr>
      </w:pPr>
    </w:p>
    <w:p>
      <w:pPr>
        <w:tabs>
          <w:tab w:val="left" w:pos="4252"/>
        </w:tabs>
        <w:spacing w:before="0" w:after="240"/>
        <w:rPr>
          <w:rFonts w:eastAsia="Times New Roman"/>
          <w:noProof/>
          <w:szCs w:val="24"/>
        </w:rPr>
      </w:pPr>
      <w:r>
        <w:rPr>
          <w:noProof/>
        </w:rPr>
        <w:t>2. Kõik teised CEFTA osalistes nende kaupade valmistamiseks kasutatud materjalid pärinevad CEFTA osalistest.</w:t>
      </w:r>
    </w:p>
    <w:p>
      <w:pPr>
        <w:tabs>
          <w:tab w:val="left" w:pos="4252"/>
        </w:tabs>
        <w:spacing w:before="0" w:after="240"/>
        <w:rPr>
          <w:rFonts w:eastAsia="Times New Roman"/>
          <w:noProof/>
          <w:szCs w:val="24"/>
        </w:rPr>
      </w:pPr>
      <w:r>
        <w:rPr>
          <w:noProof/>
        </w:rPr>
        <w:t>3. Järgmised kaubad on läbinud töö või töötluse väljaspool CEFTA osalisi vastavalt Euroopa – Vahemere piirkonna sooduspäritolureeglite piirkondliku konventsiooni I liite artiklile 11 ja on seal saanud järgmise kogulisandväärtuse: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588"/>
        <w:gridCol w:w="5246"/>
      </w:tblGrid>
      <w:tr>
        <w:tc>
          <w:tcPr>
            <w:tcW w:w="3588" w:type="dxa"/>
            <w:shd w:val="clear" w:color="auto" w:fill="auto"/>
          </w:tcPr>
          <w:p>
            <w:pPr>
              <w:tabs>
                <w:tab w:val="left" w:pos="4252"/>
              </w:tabs>
              <w:spacing w:before="0" w:after="0"/>
              <w:contextualSpacing/>
              <w:mirrorIndents/>
              <w:rPr>
                <w:rFonts w:eastAsia="Times New Roman"/>
                <w:noProof/>
                <w:sz w:val="22"/>
                <w:szCs w:val="24"/>
              </w:rPr>
            </w:pPr>
            <w:r>
              <w:rPr>
                <w:noProof/>
                <w:sz w:val="22"/>
              </w:rPr>
              <w:t xml:space="preserve">Tarnitud kaupade kirjeldus </w:t>
            </w:r>
          </w:p>
        </w:tc>
        <w:tc>
          <w:tcPr>
            <w:tcW w:w="5246" w:type="dxa"/>
            <w:shd w:val="clear" w:color="auto" w:fill="auto"/>
          </w:tcPr>
          <w:p>
            <w:pPr>
              <w:tabs>
                <w:tab w:val="left" w:pos="4252"/>
              </w:tabs>
              <w:spacing w:before="0" w:after="0"/>
              <w:contextualSpacing/>
              <w:mirrorIndents/>
              <w:rPr>
                <w:rFonts w:eastAsia="Times New Roman"/>
                <w:noProof/>
                <w:sz w:val="22"/>
                <w:szCs w:val="24"/>
              </w:rPr>
            </w:pPr>
            <w:r>
              <w:rPr>
                <w:noProof/>
                <w:sz w:val="22"/>
              </w:rPr>
              <w:t>Väljaspool CEFTA osaliste territooriumi saadud kogulisandväärtus</w:t>
            </w:r>
            <w:r>
              <w:rPr>
                <w:rStyle w:val="FootnoteReference"/>
                <w:noProof/>
              </w:rPr>
              <w:footnoteReference w:id="10"/>
            </w:r>
          </w:p>
        </w:tc>
      </w:tr>
      <w:tr>
        <w:tc>
          <w:tcPr>
            <w:tcW w:w="3588" w:type="dxa"/>
            <w:shd w:val="clear" w:color="auto" w:fill="auto"/>
          </w:tcPr>
          <w:p>
            <w:pPr>
              <w:tabs>
                <w:tab w:val="left" w:pos="4252"/>
              </w:tabs>
              <w:spacing w:before="0" w:after="0"/>
              <w:contextualSpacing/>
              <w:mirrorIndents/>
              <w:rPr>
                <w:rFonts w:eastAsia="Times New Roman"/>
                <w:noProof/>
                <w:szCs w:val="24"/>
              </w:rPr>
            </w:pPr>
          </w:p>
          <w:p>
            <w:pPr>
              <w:tabs>
                <w:tab w:val="left" w:pos="4252"/>
              </w:tabs>
              <w:spacing w:before="0" w:after="0"/>
              <w:contextualSpacing/>
              <w:mirrorIndents/>
              <w:rPr>
                <w:rFonts w:eastAsia="Times New Roman"/>
                <w:noProof/>
                <w:szCs w:val="24"/>
              </w:rPr>
            </w:pPr>
          </w:p>
        </w:tc>
        <w:tc>
          <w:tcPr>
            <w:tcW w:w="5246" w:type="dxa"/>
            <w:shd w:val="clear" w:color="auto" w:fill="auto"/>
          </w:tcPr>
          <w:p>
            <w:pPr>
              <w:tabs>
                <w:tab w:val="left" w:pos="4252"/>
              </w:tabs>
              <w:spacing w:before="0" w:after="0"/>
              <w:contextualSpacing/>
              <w:mirrorIndents/>
              <w:rPr>
                <w:rFonts w:eastAsia="Times New Roman"/>
                <w:noProof/>
                <w:szCs w:val="24"/>
              </w:rPr>
            </w:pPr>
          </w:p>
        </w:tc>
      </w:tr>
      <w:tr>
        <w:tc>
          <w:tcPr>
            <w:tcW w:w="3588" w:type="dxa"/>
            <w:shd w:val="clear" w:color="auto" w:fill="auto"/>
          </w:tcPr>
          <w:p>
            <w:pPr>
              <w:tabs>
                <w:tab w:val="left" w:pos="4252"/>
              </w:tabs>
              <w:spacing w:before="0" w:after="0"/>
              <w:contextualSpacing/>
              <w:mirrorIndents/>
              <w:rPr>
                <w:rFonts w:eastAsia="Times New Roman"/>
                <w:noProof/>
                <w:szCs w:val="24"/>
              </w:rPr>
            </w:pPr>
          </w:p>
          <w:p>
            <w:pPr>
              <w:tabs>
                <w:tab w:val="left" w:pos="4252"/>
              </w:tabs>
              <w:spacing w:before="0" w:after="0"/>
              <w:contextualSpacing/>
              <w:mirrorIndents/>
              <w:rPr>
                <w:rFonts w:eastAsia="Times New Roman"/>
                <w:noProof/>
                <w:szCs w:val="24"/>
              </w:rPr>
            </w:pPr>
          </w:p>
        </w:tc>
        <w:tc>
          <w:tcPr>
            <w:tcW w:w="5246" w:type="dxa"/>
            <w:shd w:val="clear" w:color="auto" w:fill="auto"/>
          </w:tcPr>
          <w:p>
            <w:pPr>
              <w:tabs>
                <w:tab w:val="left" w:pos="4252"/>
              </w:tabs>
              <w:spacing w:before="0" w:after="0"/>
              <w:contextualSpacing/>
              <w:mirrorIndents/>
              <w:rPr>
                <w:rFonts w:eastAsia="Times New Roman"/>
                <w:noProof/>
                <w:szCs w:val="24"/>
              </w:rPr>
            </w:pPr>
          </w:p>
        </w:tc>
      </w:tr>
      <w:tr>
        <w:tc>
          <w:tcPr>
            <w:tcW w:w="3588" w:type="dxa"/>
            <w:shd w:val="clear" w:color="auto" w:fill="auto"/>
          </w:tcPr>
          <w:p>
            <w:pPr>
              <w:tabs>
                <w:tab w:val="left" w:pos="4252"/>
              </w:tabs>
              <w:spacing w:before="0" w:after="0"/>
              <w:contextualSpacing/>
              <w:mirrorIndents/>
              <w:rPr>
                <w:rFonts w:eastAsia="Times New Roman"/>
                <w:noProof/>
                <w:szCs w:val="24"/>
              </w:rPr>
            </w:pPr>
          </w:p>
          <w:p>
            <w:pPr>
              <w:tabs>
                <w:tab w:val="left" w:pos="4252"/>
              </w:tabs>
              <w:spacing w:before="0" w:after="0"/>
              <w:contextualSpacing/>
              <w:mirrorIndents/>
              <w:rPr>
                <w:rFonts w:eastAsia="Times New Roman"/>
                <w:noProof/>
                <w:szCs w:val="24"/>
              </w:rPr>
            </w:pPr>
          </w:p>
        </w:tc>
        <w:tc>
          <w:tcPr>
            <w:tcW w:w="5246" w:type="dxa"/>
            <w:shd w:val="clear" w:color="auto" w:fill="auto"/>
          </w:tcPr>
          <w:p>
            <w:pPr>
              <w:tabs>
                <w:tab w:val="left" w:pos="4252"/>
              </w:tabs>
              <w:spacing w:before="0" w:after="0"/>
              <w:contextualSpacing/>
              <w:mirrorIndents/>
              <w:rPr>
                <w:rFonts w:eastAsia="Times New Roman"/>
                <w:noProof/>
                <w:szCs w:val="24"/>
              </w:rPr>
            </w:pPr>
          </w:p>
        </w:tc>
      </w:tr>
    </w:tbl>
    <w:p>
      <w:pPr>
        <w:tabs>
          <w:tab w:val="left" w:pos="4252"/>
        </w:tabs>
        <w:spacing w:before="0" w:after="240"/>
        <w:rPr>
          <w:rFonts w:eastAsia="Times New Roman"/>
          <w:noProof/>
          <w:szCs w:val="24"/>
        </w:rPr>
      </w:pPr>
    </w:p>
    <w:p>
      <w:pPr>
        <w:tabs>
          <w:tab w:val="left" w:pos="4252"/>
        </w:tabs>
        <w:spacing w:before="0" w:after="240"/>
        <w:rPr>
          <w:rFonts w:eastAsia="Times New Roman"/>
          <w:noProof/>
          <w:szCs w:val="24"/>
        </w:rPr>
      </w:pPr>
      <w:r>
        <w:rPr>
          <w:noProof/>
        </w:rPr>
        <w:t>Käesolev deklaratsioon kehtib nimetatud toodete kõikide edaspidiste saadetiste kohta ........................................................….(kust)</w:t>
      </w:r>
    </w:p>
    <w:p>
      <w:pPr>
        <w:tabs>
          <w:tab w:val="left" w:pos="4252"/>
        </w:tabs>
        <w:spacing w:before="0" w:after="240"/>
        <w:rPr>
          <w:rFonts w:eastAsia="Times New Roman"/>
          <w:noProof/>
          <w:szCs w:val="24"/>
        </w:rPr>
      </w:pPr>
      <w:r>
        <w:rPr>
          <w:noProof/>
        </w:rPr>
        <w:t>.................................................................(kuhu)</w:t>
      </w:r>
      <w:r>
        <w:rPr>
          <w:rStyle w:val="FootnoteReference"/>
          <w:noProof/>
        </w:rPr>
        <w:footnoteReference w:id="11"/>
      </w:r>
      <w:r>
        <w:rPr>
          <w:noProof/>
        </w:rPr>
        <w:t>.</w:t>
      </w:r>
    </w:p>
    <w:p>
      <w:pPr>
        <w:tabs>
          <w:tab w:val="left" w:pos="4252"/>
        </w:tabs>
        <w:spacing w:before="0" w:after="240"/>
        <w:rPr>
          <w:rFonts w:eastAsia="Times New Roman"/>
          <w:noProof/>
          <w:szCs w:val="24"/>
        </w:rPr>
      </w:pPr>
      <w:r>
        <w:rPr>
          <w:noProof/>
        </w:rPr>
        <w:t>Kohustun .......................................1) deklaratsiooni kehtivuse lõppemisest viivitamata teavitama.</w:t>
      </w:r>
    </w:p>
    <w:tbl>
      <w:tblPr>
        <w:tblW w:w="0" w:type="auto"/>
        <w:tblLook w:val="04A0" w:firstRow="1" w:lastRow="0" w:firstColumn="1" w:lastColumn="0" w:noHBand="0" w:noVBand="1"/>
      </w:tblPr>
      <w:tblGrid>
        <w:gridCol w:w="3468"/>
        <w:gridCol w:w="5376"/>
      </w:tblGrid>
      <w:tr>
        <w:tc>
          <w:tcPr>
            <w:tcW w:w="3468" w:type="dxa"/>
            <w:shd w:val="clear" w:color="auto" w:fill="auto"/>
          </w:tcPr>
          <w:p>
            <w:pPr>
              <w:tabs>
                <w:tab w:val="left" w:pos="4252"/>
              </w:tabs>
              <w:spacing w:before="0" w:after="240"/>
              <w:rPr>
                <w:rFonts w:eastAsia="Times New Roman"/>
                <w:noProof/>
                <w:szCs w:val="24"/>
              </w:rPr>
            </w:pPr>
          </w:p>
        </w:tc>
        <w:tc>
          <w:tcPr>
            <w:tcW w:w="5366" w:type="dxa"/>
            <w:shd w:val="clear" w:color="auto" w:fill="auto"/>
          </w:tcPr>
          <w:p>
            <w:pPr>
              <w:tabs>
                <w:tab w:val="left" w:pos="4252"/>
              </w:tabs>
              <w:spacing w:before="0" w:after="240"/>
              <w:rPr>
                <w:rFonts w:eastAsia="Times New Roman"/>
                <w:noProof/>
                <w:szCs w:val="24"/>
              </w:rPr>
            </w:pPr>
            <w:r>
              <w:rPr>
                <w:noProof/>
              </w:rPr>
              <w:t>……………………………………………………….</w:t>
            </w:r>
          </w:p>
          <w:p>
            <w:pPr>
              <w:tabs>
                <w:tab w:val="left" w:pos="4252"/>
              </w:tabs>
              <w:spacing w:before="0" w:after="240"/>
              <w:jc w:val="center"/>
              <w:rPr>
                <w:rFonts w:eastAsia="Times New Roman"/>
                <w:i/>
                <w:noProof/>
                <w:szCs w:val="24"/>
              </w:rPr>
            </w:pPr>
            <w:r>
              <w:rPr>
                <w:i/>
                <w:noProof/>
              </w:rPr>
              <w:t>(koht ja kuupäev)</w:t>
            </w:r>
          </w:p>
          <w:p>
            <w:pPr>
              <w:tabs>
                <w:tab w:val="left" w:pos="4252"/>
              </w:tabs>
              <w:spacing w:before="0" w:after="240"/>
              <w:rPr>
                <w:rFonts w:eastAsia="Times New Roman"/>
                <w:noProof/>
                <w:szCs w:val="24"/>
              </w:rPr>
            </w:pPr>
            <w:r>
              <w:rPr>
                <w:noProof/>
              </w:rPr>
              <w:t>………………………………………………………..</w:t>
            </w:r>
          </w:p>
          <w:p>
            <w:pPr>
              <w:tabs>
                <w:tab w:val="left" w:pos="4252"/>
              </w:tabs>
              <w:spacing w:before="0" w:after="240"/>
              <w:rPr>
                <w:rFonts w:eastAsia="Times New Roman"/>
                <w:noProof/>
                <w:szCs w:val="24"/>
              </w:rPr>
            </w:pPr>
            <w:r>
              <w:rPr>
                <w:noProof/>
              </w:rPr>
              <w:t>………………………………………………………..</w:t>
            </w:r>
          </w:p>
          <w:p>
            <w:pPr>
              <w:tabs>
                <w:tab w:val="left" w:pos="4252"/>
              </w:tabs>
              <w:spacing w:before="0" w:after="240"/>
              <w:rPr>
                <w:rFonts w:eastAsia="Times New Roman"/>
                <w:noProof/>
                <w:szCs w:val="24"/>
              </w:rPr>
            </w:pPr>
            <w:r>
              <w:rPr>
                <w:noProof/>
              </w:rPr>
              <w:t>………………………………………………………..</w:t>
            </w:r>
          </w:p>
          <w:p>
            <w:pPr>
              <w:tabs>
                <w:tab w:val="left" w:pos="4252"/>
              </w:tabs>
              <w:spacing w:before="0" w:after="240"/>
              <w:rPr>
                <w:rFonts w:eastAsia="Times New Roman"/>
                <w:i/>
                <w:noProof/>
                <w:szCs w:val="24"/>
              </w:rPr>
            </w:pPr>
          </w:p>
          <w:p>
            <w:pPr>
              <w:tabs>
                <w:tab w:val="left" w:pos="4252"/>
              </w:tabs>
              <w:spacing w:before="0" w:after="240"/>
              <w:jc w:val="center"/>
              <w:rPr>
                <w:rFonts w:eastAsia="Times New Roman"/>
                <w:i/>
                <w:noProof/>
                <w:szCs w:val="24"/>
              </w:rPr>
            </w:pPr>
            <w:r>
              <w:rPr>
                <w:i/>
                <w:noProof/>
              </w:rPr>
              <w:t>(Tarnija aadress ja allkiri; lisaks sellele tuleb kirjutada loetavalt allakirjutaja nimi)</w:t>
            </w:r>
          </w:p>
          <w:p>
            <w:pPr>
              <w:tabs>
                <w:tab w:val="left" w:pos="4252"/>
              </w:tabs>
              <w:spacing w:before="0" w:after="240"/>
              <w:rPr>
                <w:rFonts w:eastAsia="Times New Roman"/>
                <w:noProof/>
                <w:szCs w:val="24"/>
              </w:rPr>
            </w:pPr>
          </w:p>
        </w:tc>
      </w:tr>
    </w:tbl>
    <w:p>
      <w:pPr>
        <w:rPr>
          <w:noProof/>
        </w:rPr>
      </w:pPr>
    </w:p>
    <w:sectPr>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ELT L 54, 26.2.2013, lk 4.</w:t>
      </w:r>
    </w:p>
  </w:footnote>
  <w:footnote w:id="2">
    <w:p>
      <w:pPr>
        <w:pStyle w:val="FootnoteText"/>
        <w:rPr>
          <w:sz w:val="16"/>
        </w:rPr>
      </w:pPr>
      <w:r>
        <w:rPr>
          <w:rStyle w:val="FootnoteReference"/>
        </w:rPr>
        <w:footnoteRef/>
      </w:r>
      <w:r>
        <w:tab/>
      </w:r>
      <w:r>
        <w:rPr>
          <w:sz w:val="16"/>
        </w:rPr>
        <w:t>Kui arve, saateleht või muu dokument, millele käesolev deklaratsioon on lisatud, käsitleb mitut liiki kaupa või kaupu, mis ei sisalda päritolustaatuseta materjale samas mahus, peab tarnija neid selgelt eristama.</w:t>
      </w:r>
      <w:r>
        <w:rPr>
          <w:sz w:val="16"/>
        </w:rPr>
        <w:br/>
        <w:t>Näide</w:t>
      </w:r>
      <w:r>
        <w:rPr>
          <w:sz w:val="16"/>
        </w:rPr>
        <w:br/>
        <w:t>Dokument hõlmab erinevaid rubriiki 8501 kuuluvaid elektrimootoreid, mida kasutatakse rubriiki 8450 kuuluvate pesumasinate valmistamisel. Mootorite valmistamisel kasutatud päritolustaatuseta materjalide liik ja väärtus võivad mudeliti erineda. Seetõttu tuleb mudelid loetleda eraldi esimeses veerus ja teistes veergudes esitada andmed iga mudeli kohta, et pesumasinate tootja saaks sõltuvalt kasutatud mootori mudelist õigesti hinnata iga oma kauba päritolustaatust.</w:t>
      </w:r>
    </w:p>
  </w:footnote>
  <w:footnote w:id="3">
    <w:p>
      <w:pPr>
        <w:pStyle w:val="FootnoteText"/>
        <w:rPr>
          <w:sz w:val="16"/>
        </w:rPr>
      </w:pPr>
      <w:r>
        <w:rPr>
          <w:rStyle w:val="FootnoteReference"/>
        </w:rPr>
        <w:footnoteRef/>
      </w:r>
      <w:r>
        <w:tab/>
      </w:r>
      <w:r>
        <w:rPr>
          <w:sz w:val="16"/>
        </w:rPr>
        <w:t>Nendes veergudes nõutud andmed tuleb esitada üksnes vajaduse korral.</w:t>
      </w:r>
    </w:p>
    <w:p>
      <w:pPr>
        <w:pStyle w:val="FootnoteText"/>
        <w:ind w:firstLine="0"/>
        <w:rPr>
          <w:sz w:val="16"/>
        </w:rPr>
      </w:pPr>
      <w:r>
        <w:rPr>
          <w:sz w:val="16"/>
        </w:rPr>
        <w:t>Näited</w:t>
      </w:r>
      <w:r>
        <w:rPr>
          <w:sz w:val="16"/>
        </w:rPr>
        <w:br/>
        <w:t>Reegel ex grupi 62 rõivaste kohta lubab kasutada päritolustaatuseta lõnga. Seega kui Serbia rõivatootja kasutab Montenegrost imporditud kangast, mis on seal kootud päritolustaatuseta lõngast, piisab sellest, kui Montenegro tarnija kirjeldab oma deklaratsioonis lõngana kasutatud päritolustaatuseta materjali ning selle lõnga rubriigi ja väärtuse märkimine pole vajalik.</w:t>
      </w:r>
    </w:p>
    <w:p>
      <w:pPr>
        <w:pStyle w:val="FootnoteText"/>
        <w:ind w:firstLine="0"/>
        <w:rPr>
          <w:sz w:val="16"/>
        </w:rPr>
      </w:pPr>
      <w:r>
        <w:rPr>
          <w:sz w:val="16"/>
        </w:rPr>
        <w:t>Tootja, kes valmistab rubriiki 7217 kuuluvat raudtraati päritolustaatuseta raudlattidest, peab teise veergu märkima „raudlatid“. Kui seda traati kasutatakse masinate valmistamiseks, mille suhtes on päritolureeglitega kindlaks määratud päritolustaatuseta materjalide väärtuse piirmäär, tuleb kolmandasse veergu märkida päritolustaatuseta lattide väärtus.</w:t>
      </w:r>
    </w:p>
  </w:footnote>
  <w:footnote w:id="4">
    <w:p>
      <w:pPr>
        <w:pStyle w:val="FootnoteText"/>
      </w:pPr>
      <w:r>
        <w:rPr>
          <w:rStyle w:val="FootnoteReference"/>
        </w:rPr>
        <w:footnoteRef/>
      </w:r>
      <w:r>
        <w:tab/>
      </w:r>
      <w:r>
        <w:rPr>
          <w:sz w:val="16"/>
        </w:rPr>
        <w:t>„Materjalide väärtus“ – kasutatud päritolustaatuseta materjalide tolliväärtus importimise ajal või kui see ei ole teada ja seda ei ole võimalik kindlaks teha, siis esimene tuvastatav hind, mida nende materjalide eest makstakse ühes CEFTA osalises. Igat liiki päritolustaatuseta materjali puhul, mida on kasutatud, tuleb märkida täpne väärtus esimeses veerus näidatud kauba ühiku kohta.</w:t>
      </w:r>
    </w:p>
  </w:footnote>
  <w:footnote w:id="5">
    <w:p>
      <w:pPr>
        <w:pStyle w:val="FootnoteText"/>
      </w:pPr>
      <w:r>
        <w:rPr>
          <w:rStyle w:val="FootnoteReference"/>
        </w:rPr>
        <w:footnoteRef/>
      </w:r>
      <w:r>
        <w:tab/>
      </w:r>
      <w:r>
        <w:rPr>
          <w:sz w:val="16"/>
        </w:rPr>
        <w:t>„Kogulisandväärtus“ – kõik väljaspool CEFTA osaliste territooriumi akumuleerunud kulud, kaasa arvatud kõigi seal lisatud materjalide väärtus. Esimeses veerus näidatud kauba ühiku kohta tuleb märkida täpne kogulisandväärtus, mis on saadud väljaspool CEFTA osaliste territooriumi.</w:t>
      </w:r>
    </w:p>
  </w:footnote>
  <w:footnote w:id="6">
    <w:p>
      <w:pPr>
        <w:pStyle w:val="FootnoteText"/>
        <w:keepNext/>
        <w:keepLines/>
        <w:pageBreakBefore/>
        <w:rPr>
          <w:sz w:val="16"/>
        </w:rPr>
      </w:pPr>
      <w:r>
        <w:rPr>
          <w:rStyle w:val="FootnoteReference"/>
        </w:rPr>
        <w:footnoteRef/>
      </w:r>
      <w:r>
        <w:tab/>
      </w:r>
      <w:r>
        <w:rPr>
          <w:sz w:val="16"/>
        </w:rPr>
        <w:t>Kliendi nimi ja aadress.</w:t>
      </w:r>
    </w:p>
  </w:footnote>
  <w:footnote w:id="7">
    <w:p>
      <w:pPr>
        <w:pStyle w:val="FootnoteText"/>
        <w:keepNext/>
        <w:keepLines/>
        <w:pageBreakBefore/>
        <w:rPr>
          <w:sz w:val="16"/>
        </w:rPr>
      </w:pPr>
      <w:r>
        <w:rPr>
          <w:rStyle w:val="FootnoteReference"/>
        </w:rPr>
        <w:footnoteRef/>
      </w:r>
      <w:r>
        <w:tab/>
      </w:r>
      <w:r>
        <w:rPr>
          <w:sz w:val="16"/>
        </w:rPr>
        <w:t xml:space="preserve">Kui arve, saateleht või muu dokument, millele käesolev deklaratsioon on lisatud, käsitleb mitut liiki kaupa või kaupu, mis ei sisalda päritolustaatuseta materjale samas mahus, peab tarnija neid selgelt eristama. </w:t>
      </w:r>
    </w:p>
    <w:p>
      <w:pPr>
        <w:pStyle w:val="FootnoteText"/>
        <w:keepNext/>
        <w:keepLines/>
        <w:pageBreakBefore/>
        <w:ind w:firstLine="0"/>
        <w:rPr>
          <w:sz w:val="16"/>
        </w:rPr>
      </w:pPr>
      <w:r>
        <w:rPr>
          <w:sz w:val="16"/>
        </w:rPr>
        <w:t xml:space="preserve">Näide </w:t>
      </w:r>
      <w:r>
        <w:rPr>
          <w:sz w:val="16"/>
        </w:rPr>
        <w:br/>
        <w:t>Dokument hõlmab erinevaid rubriiki 8501 kuuluvaid elektrimootoreid, mida kasutatakse rubriiki 8450 kuuluvate pesumasinate valmistamisel. Mootorite valmistamisel kasutatud päritolustaatuseta materjalide liik ja väärtus võivad mudeliti erineda. Seetõttu tuleb mudelid loetleda eraldi esimeses veerus ja teistes veergudes esitada andmed iga mudeli kohta, et pesumasinate tootja saaks sõltuvalt kasutatud mootori mudelist õigesti hinnata iga oma kauba päritolustaatust.</w:t>
      </w:r>
    </w:p>
  </w:footnote>
  <w:footnote w:id="8">
    <w:p>
      <w:pPr>
        <w:pStyle w:val="FootnoteText"/>
        <w:keepNext/>
        <w:keepLines/>
        <w:pageBreakBefore/>
        <w:rPr>
          <w:sz w:val="16"/>
        </w:rPr>
      </w:pPr>
      <w:r>
        <w:rPr>
          <w:rStyle w:val="FootnoteReference"/>
        </w:rPr>
        <w:footnoteRef/>
      </w:r>
      <w:r>
        <w:tab/>
      </w:r>
      <w:r>
        <w:rPr>
          <w:sz w:val="16"/>
        </w:rPr>
        <w:t>Nendes veergudes nõutud andmed tuleb esitada üksnes vajaduse korral.</w:t>
      </w:r>
    </w:p>
    <w:p>
      <w:pPr>
        <w:pStyle w:val="FootnoteText"/>
        <w:keepNext/>
        <w:keepLines/>
        <w:pageBreakBefore/>
        <w:ind w:firstLine="0"/>
        <w:rPr>
          <w:sz w:val="12"/>
        </w:rPr>
      </w:pPr>
      <w:r>
        <w:rPr>
          <w:sz w:val="16"/>
        </w:rPr>
        <w:t>Näited</w:t>
      </w:r>
      <w:r>
        <w:rPr>
          <w:sz w:val="16"/>
        </w:rPr>
        <w:br/>
        <w:t>Reegel ex grupi 62 rõivaste kohta lubab kasutada päritolustaatuseta lõnga. Seega kui Serbia rõivatootja kasutab Montenegrost imporditud kangast, mis on seal kootud päritolustaatuseta lõngast, piisab sellest, kui Montenegro tarnija kirjeldab oma deklaratsioonis lõngana kasutatud päritolustaatuseta materjali ning selle lõnga rubriigi ja väärtuse märkimine pole vajalik. Tootja, kes valmistab rubriiki 7217 kuuluvat raudtraati päritolustaatuseta raudlattidest, peab teise veergu märkima „raudlatid“. Kui seda traati kasutatakse masinate valmistamiseks, mille suhtes on päritolureeglitega kindlaks määratud päritolustaatuseta materjalide väärtuse piirmäär, tuleb kolmandasse veergu märkida päritolustaatuseta lattide väärtus.</w:t>
      </w:r>
    </w:p>
  </w:footnote>
  <w:footnote w:id="9">
    <w:p>
      <w:pPr>
        <w:pStyle w:val="FootnoteText"/>
        <w:keepNext/>
        <w:keepLines/>
        <w:pageBreakBefore/>
        <w:rPr>
          <w:sz w:val="16"/>
        </w:rPr>
      </w:pPr>
      <w:r>
        <w:rPr>
          <w:rStyle w:val="FootnoteReference"/>
        </w:rPr>
        <w:footnoteRef/>
      </w:r>
      <w:r>
        <w:tab/>
      </w:r>
      <w:r>
        <w:rPr>
          <w:sz w:val="16"/>
        </w:rPr>
        <w:t>„Materjalide väärtus“ – kasutatud päritolustaatuseta materjalide tolliväärtus importimise ajal või kui see ei ole teada ja seda ei ole võimalik kindlaks teha, siis esimene tuvastatav hind, mida nende materjalide eest makstakse ühes CEFTA osalises.</w:t>
      </w:r>
      <w:r>
        <w:rPr>
          <w:sz w:val="16"/>
        </w:rPr>
        <w:br/>
        <w:t>Igat liiki päritolustaatuseta materjali puhul, mida on kasutatud, tuleb märkida täpne väärtus esimeses veerus näidatud kauba ühiku kohta.</w:t>
      </w:r>
    </w:p>
  </w:footnote>
  <w:footnote w:id="10">
    <w:p>
      <w:pPr>
        <w:pStyle w:val="FootnoteText"/>
        <w:keepNext/>
        <w:keepLines/>
        <w:pageBreakBefore/>
        <w:rPr>
          <w:sz w:val="16"/>
        </w:rPr>
      </w:pPr>
      <w:r>
        <w:rPr>
          <w:rStyle w:val="FootnoteReference"/>
        </w:rPr>
        <w:footnoteRef/>
      </w:r>
      <w:r>
        <w:tab/>
      </w:r>
      <w:r>
        <w:rPr>
          <w:sz w:val="16"/>
        </w:rPr>
        <w:t>„Kogulisandväärtus“ – kõik väljaspool CEFTA osaliste territooriumi akumuleerunud kulud, kaasa arvatud kõigi seal lisatud materjalide väärtus. Esimeses veerus näidatud kauba ühiku kohta tuleb märkida täpne kogulisandväärtus, mis on saadud väljaspool CEFTA osaliste territooriumi.</w:t>
      </w:r>
    </w:p>
  </w:footnote>
  <w:footnote w:id="11">
    <w:p>
      <w:pPr>
        <w:pStyle w:val="FootnoteText"/>
        <w:keepNext/>
        <w:keepLines/>
        <w:pageBreakBefore/>
        <w:rPr>
          <w:sz w:val="16"/>
        </w:rPr>
      </w:pPr>
      <w:r>
        <w:rPr>
          <w:rStyle w:val="FootnoteReference"/>
        </w:rPr>
        <w:footnoteRef/>
      </w:r>
      <w:r>
        <w:tab/>
      </w:r>
      <w:r>
        <w:rPr>
          <w:sz w:val="16"/>
        </w:rPr>
        <w:t>Märkida kuupäevad. Tarnija deklaratsiooni kehtivusaeg ei tohiks üldjuhul olla pikem kui 12 kuud vastavalt selle riigi tolliasutuse kehtestatud tingimustele, kus tarnija deklaratsioon koostatakse.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21C313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7044C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45123CB8"/>
    <w:lvl w:ilvl="0">
      <w:start w:val="1"/>
      <w:numFmt w:val="decimal"/>
      <w:pStyle w:val="ListNumber2"/>
      <w:lvlText w:val="%1."/>
      <w:lvlJc w:val="left"/>
      <w:pPr>
        <w:tabs>
          <w:tab w:val="num" w:pos="643"/>
        </w:tabs>
        <w:ind w:left="643" w:hanging="360"/>
      </w:pPr>
    </w:lvl>
  </w:abstractNum>
  <w:abstractNum w:abstractNumId="3">
    <w:nsid w:val="FFFFFF81"/>
    <w:multiLevelType w:val="singleLevel"/>
    <w:tmpl w:val="21701B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AA8211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CAB46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19A7D3E"/>
    <w:lvl w:ilvl="0">
      <w:start w:val="1"/>
      <w:numFmt w:val="decimal"/>
      <w:pStyle w:val="ListNumber"/>
      <w:lvlText w:val="%1."/>
      <w:lvlJc w:val="left"/>
      <w:pPr>
        <w:tabs>
          <w:tab w:val="num" w:pos="360"/>
        </w:tabs>
        <w:ind w:left="360" w:hanging="360"/>
      </w:pPr>
    </w:lvl>
  </w:abstractNum>
  <w:abstractNum w:abstractNumId="7">
    <w:nsid w:val="FFFFFF89"/>
    <w:multiLevelType w:val="singleLevel"/>
    <w:tmpl w:val="7604085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3-10 15:01:4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63"/>
    <w:docVar w:name="DQCResult_UnknownFonts" w:val="0;0"/>
    <w:docVar w:name="DQCResult_UnknownStyles" w:val="0;0"/>
    <w:docVar w:name="DQCStatus" w:val="Yellow"/>
    <w:docVar w:name="DQCVersion" w:val="3"/>
    <w:docVar w:name="DQCWithWarnings" w:val="0"/>
    <w:docVar w:name="LW_ACCOMPAGNANT.CP" w:val="järgmise dokumendi juurde:"/>
    <w:docVar w:name="LW_ANNEX_NBR_FIRST" w:val="1"/>
    <w:docVar w:name="LW_ANNEX_NBR_LAST" w:val="1"/>
    <w:docVar w:name="LW_CONFIDENCE" w:val=" "/>
    <w:docVar w:name="LW_CONST_RESTREINT_UE" w:val="RESTREINT UE"/>
    <w:docVar w:name="LW_CORRIGENDUM" w:val="&lt;UNUSED&gt;"/>
    <w:docVar w:name="LW_COVERPAGE_GUID" w:val="67CDC61E64054961A6AFE1B6FF8C41DD"/>
    <w:docVar w:name="LW_CROSSREFERENCE" w:val="&lt;UNUSED&gt;"/>
    <w:docVar w:name="LW_DocType" w:val="ANNEX"/>
    <w:docVar w:name="LW_EMISSION" w:val="21.3.2017"/>
    <w:docVar w:name="LW_EMISSION_ISODATE" w:val="2017-03-21"/>
    <w:docVar w:name="LW_EMISSION_LOCATION" w:val="BRX"/>
    <w:docVar w:name="LW_EMISSION_PREFIX" w:val="Brüssel,"/>
    <w:docVar w:name="LW_EMISSION_SUFFIX" w:val=" "/>
    <w:docVar w:name="LW_ID_DOCSTRUCTURE" w:val="COM/ANNEX"/>
    <w:docVar w:name="LW_ID_DOCTYPE" w:val="SG-017"/>
    <w:docVar w:name="LW_LANGUE" w:val="ET"/>
    <w:docVar w:name="LW_MARKING" w:val="&lt;UNUSED&gt;"/>
    <w:docVar w:name="LW_NOM.INST" w:val="EUROOPA KOMISJON"/>
    <w:docVar w:name="LW_NOM.INST_JOINTDOC" w:val="&lt;EMPTY&gt;"/>
    <w:docVar w:name="LW_OBJETACTEPRINCIPAL.CP" w:val="Euroopa \u8211? Vahemere piirkonna sooduspäritolureeglite piirkondliku konventsiooniga loodud ühiskomitees Euroopa Liidu nimel võetava seisukoha kohta seoses kõnealuse konventsiooni II liite muutmisega"/>
    <w:docVar w:name="LW_PART_NBR" w:val="1"/>
    <w:docVar w:name="LW_PART_NBR_TOTAL" w:val="1"/>
    <w:docVar w:name="LW_REF.INST.NEW" w:val="COM"/>
    <w:docVar w:name="LW_REF.INST.NEW_ADOPTED" w:val="final"/>
    <w:docVar w:name="LW_REF.INST.NEW_TEXT" w:val="(2017) 133"/>
    <w:docVar w:name="LW_REF.INTERNE" w:val="&lt;UNUSED&gt;"/>
    <w:docVar w:name="LW_SUPERTITRE" w:val="&lt;UNUSED&gt;"/>
    <w:docVar w:name="LW_TITRE.OBJ.CP" w:val="&lt;UNUSED&gt;"/>
    <w:docVar w:name="LW_TYPE.DOC.CP" w:val="LISA"/>
    <w:docVar w:name="LW_TYPEACTEPRINCIPAL.CP" w:val="Ettepanek: NÕUKOGU OTS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742CE-4346-40B8-AB9C-D832FB95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13</Pages>
  <Words>1665</Words>
  <Characters>12538</Characters>
  <Application>Microsoft Office Word</Application>
  <DocSecurity>0</DocSecurity>
  <Lines>391</Lines>
  <Paragraphs>165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DQC</dc:creator>
  <cp:lastModifiedBy>DIGIT/A3</cp:lastModifiedBy>
  <cp:revision>8</cp:revision>
  <cp:lastPrinted>2016-10-26T15:19:00Z</cp:lastPrinted>
  <dcterms:created xsi:type="dcterms:W3CDTF">2017-03-10T14:01:00Z</dcterms:created>
  <dcterms:modified xsi:type="dcterms:W3CDTF">2017-03-20T10:55:00Z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Yellow (DQC version 03)</vt:lpwstr>
  </property>
</Properties>
</file>