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1445F5F221142A78B71349AFA8EEFB4" style="width:450.75pt;height:37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rPr>
          <w:noProof/>
        </w:rPr>
      </w:pPr>
      <w:r>
        <w:rPr>
          <w:noProof/>
        </w:rPr>
        <w:t>С проекта на решение на Съвместния комитет на ЕИП (приложен към предложението за решение на Съвета) се цели изменението на Протокол 3 към Споразумението за Европейското икономическо пространство (Споразумението за ЕИП), с който се определя търговският режим за някои категории преработени селскостопански продукти между Европейския съюз, от една страна, и страните от ЕИП (Норвегия, Исландия и Лихтенщайн), от друга страна.</w:t>
      </w:r>
    </w:p>
    <w:p>
      <w:pPr>
        <w:rPr>
          <w:noProof/>
          <w:szCs w:val="24"/>
        </w:rPr>
      </w:pPr>
      <w:r>
        <w:rPr>
          <w:noProof/>
        </w:rPr>
        <w:t>Исландия и Европейският съюз, представляван от Европейската комисия, се споразумяха да премахнат митата за някои продукти, изброени в този протокол. Тези отстъпки ще се прилагат единствено за продукти с произход съответно от Европейския съюз и от Исландия.</w:t>
      </w:r>
    </w:p>
    <w:p>
      <w:pPr>
        <w:rPr>
          <w:noProof/>
          <w:color w:val="000000"/>
          <w:szCs w:val="24"/>
        </w:rPr>
      </w:pPr>
      <w:r>
        <w:rPr>
          <w:noProof/>
        </w:rPr>
        <w:t>Следва да се отбележи, че Споразумението за ЕИП препраща само към произход от ЕИП. С цел да се гарантира, че новите отстъпки ще се прилагат само двустранно между ЕС и Исландия, с настоящото изменение на Протокол 3 се въвежда препратка към произхода от ЕС и от Исландия по смисъла на Регионалната конвенция за паневросредиземноморските преференциални правила за произход.</w:t>
      </w:r>
    </w:p>
    <w:p>
      <w:pPr>
        <w:pStyle w:val="ManualHeading2"/>
        <w:rPr>
          <w:rFonts w:eastAsia="Arial Unicode MS"/>
          <w:noProof/>
        </w:rPr>
      </w:pPr>
      <w:r>
        <w:rPr>
          <w:noProof/>
          <w:color w:val="000000"/>
          <w:u w:color="000000"/>
          <w:bdr w:val="nil"/>
        </w:rPr>
        <w:t>•</w:t>
      </w:r>
      <w:r>
        <w:rPr>
          <w:noProof/>
        </w:rPr>
        <w:tab/>
        <w:t>Съгласуваност със съществуващите разпоредби в тази област на политиката</w:t>
      </w:r>
    </w:p>
    <w:p>
      <w:pPr>
        <w:pStyle w:val="Text1"/>
        <w:ind w:left="0"/>
        <w:rPr>
          <w:noProof/>
        </w:rPr>
      </w:pPr>
      <w:r>
        <w:rPr>
          <w:noProof/>
        </w:rPr>
        <w:t>Проектът на решението допринася за по-нататъшното либерализиране и стимулиране на търговията между Европейския съюз и Исландия. Това е в пълно съответствие с целта на ЕС да се подобри достъпът до пазара на трети държави за продукти на ЕС.</w:t>
      </w:r>
    </w:p>
    <w:p>
      <w:pPr>
        <w:pStyle w:val="Text1"/>
        <w:ind w:left="0"/>
        <w:rPr>
          <w:noProof/>
        </w:rPr>
      </w:pPr>
      <w:r>
        <w:rPr>
          <w:noProof/>
        </w:rPr>
        <w:t>Двустранните търговски отстъпки са включени в Протокол 2 към Споразумението между Европейската икономическа общност и Република Исландия, подписано на 22 юли 1972 г. („Двустранното споразумение за свободна търговия“). Въпреки това Протокол 3 към Споразумението за ЕИП вече предоставя по-благоприятно тарифно третиране на практика за всички продукти, изброени в стария двустранен протокол, сключен с Исландия, и в съответствие с член 120 от Споразумението за ЕИП това споразумение има предимство пред разпоредбите на двустранното споразумение. Освен това проектът на решението е в съответствие с общата цел на двустранното споразумение за свободна търговия „да [се] премахнат постепенно пречките пред по-голямата част от [...] търговски[я] обмен“.</w:t>
      </w:r>
    </w:p>
    <w:p>
      <w:pPr>
        <w:pStyle w:val="ManualHeading2"/>
        <w:rPr>
          <w:rFonts w:eastAsia="Arial Unicode MS"/>
          <w:noProof/>
        </w:rPr>
      </w:pPr>
      <w:r>
        <w:rPr>
          <w:noProof/>
          <w:color w:val="000000"/>
          <w:u w:color="000000"/>
          <w:bdr w:val="nil"/>
        </w:rPr>
        <w:t>•</w:t>
      </w:r>
      <w:r>
        <w:rPr>
          <w:noProof/>
        </w:rPr>
        <w:tab/>
        <w:t>Съгласуваност с други политики на Съюза</w:t>
      </w:r>
    </w:p>
    <w:p>
      <w:pPr>
        <w:rPr>
          <w:noProof/>
        </w:rPr>
      </w:pPr>
      <w:r>
        <w:rPr>
          <w:noProof/>
        </w:rPr>
        <w:t>Постепенната либерализация на търговията с преработени селскостопански продукти между Европейския съюз, от една страна, и страните от ЕИП (Норвегия, Исландия и Лихтенщайн), от друга страна, е в пълно съответствие с целите на Споразумението за ЕИП, чиято цел е създаването на динамично и хомогенно Европейско икономическо пространство, основано на общи правила и еднакви условия на конкуренция.</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rPr>
          <w:noProof/>
        </w:rPr>
      </w:pPr>
      <w:r>
        <w:rPr>
          <w:noProof/>
        </w:rPr>
        <w:t>В член 2, параграф 2 от Протокол 3 към Споразумението за ЕИП се предвижда, че митата, установени в приложенията към таблица I от Протокол 3 към Споразумението за ЕИП, могат да бъдат адаптирани от Съвместния комитет на ЕИП, като се вземат предвид взаимните отстъпки.</w:t>
      </w:r>
    </w:p>
    <w:p>
      <w:pPr>
        <w:rPr>
          <w:noProof/>
          <w:szCs w:val="24"/>
        </w:rPr>
      </w:pPr>
      <w:r>
        <w:rPr>
          <w:noProof/>
        </w:rPr>
        <w:t>В член 1, параграф 3 от Регламент (ЕО) № 2894/94 на Съвета</w:t>
      </w:r>
      <w:r>
        <w:rPr>
          <w:rStyle w:val="FootnoteReference"/>
          <w:noProof/>
        </w:rPr>
        <w:footnoteReference w:id="1"/>
      </w:r>
      <w:r>
        <w:rPr>
          <w:noProof/>
        </w:rPr>
        <w:t xml:space="preserve"> относно условията за прилагане на Споразумението за ЕИП се предвижда, че Съветът определя позицията, която трябва да се заеме от името на Съюза по отношение на подобни решения, въз основа на предложение на Комисията.</w:t>
      </w:r>
    </w:p>
    <w:p>
      <w:pPr>
        <w:rPr>
          <w:noProof/>
        </w:rPr>
      </w:pPr>
      <w:r>
        <w:rPr>
          <w:noProof/>
        </w:rPr>
        <w:t>В сътрудничество с ЕСВД Комисията представя проекта на решение на Съвместния комитет на ЕИП пред Съвета, който следва да го приеме като позиция на Съюза. Комисията се надява да има възможност да представи позицията на Съюза пред Съвместния комитет на ЕИП възможно най-скоро.</w:t>
      </w:r>
    </w:p>
    <w:p>
      <w:pPr>
        <w:pStyle w:val="ManualHeading2"/>
        <w:rPr>
          <w:rFonts w:eastAsia="Arial Unicode MS"/>
          <w:noProof/>
          <w:u w:color="000000"/>
          <w:bdr w:val="nil"/>
        </w:rPr>
      </w:pPr>
      <w:r>
        <w:rPr>
          <w:noProof/>
        </w:rPr>
        <w:t>•</w:t>
      </w:r>
      <w:r>
        <w:rPr>
          <w:noProof/>
        </w:rPr>
        <w:tab/>
        <w:t>Субсидиарност (при неизключителна компетентност)</w:t>
      </w:r>
    </w:p>
    <w:p>
      <w:pPr>
        <w:rPr>
          <w:rFonts w:cs="EUAlbertina"/>
          <w:noProof/>
          <w:color w:val="000000"/>
        </w:rPr>
      </w:pPr>
      <w:r>
        <w:rPr>
          <w:noProof/>
        </w:rPr>
        <w:t>Предложението се отнася до общата търговска политика, за която в съответствие с член 3 от ДФЕС ЕС има изключителна компетентност.</w:t>
      </w:r>
    </w:p>
    <w:p>
      <w:pPr>
        <w:pBdr>
          <w:top w:val="nil"/>
          <w:left w:val="nil"/>
          <w:bottom w:val="nil"/>
          <w:right w:val="nil"/>
          <w:between w:val="nil"/>
          <w:bar w:val="nil"/>
        </w:pBdr>
        <w:spacing w:before="0" w:after="240"/>
        <w:rPr>
          <w:bCs/>
          <w:noProof/>
          <w:szCs w:val="24"/>
        </w:rPr>
      </w:pPr>
      <w:r>
        <w:rPr>
          <w:noProof/>
        </w:rPr>
        <w:t>Процесът на изменение на разпоредбите на Протокол 3 към Споразумението за ЕИП се извършва в съответствие с Регламент (ЕО) № 2894/94 на Съвета от 28 ноември 1994 г. относно условията за прилагане на Споразумението за Европейското икономическо пространство.</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noProof/>
        </w:rPr>
      </w:pPr>
      <w:r>
        <w:rPr>
          <w:noProof/>
          <w:color w:val="000000"/>
        </w:rPr>
        <w:t>В съответствие с принципа на пропорционалност предложението не надхвърля необходимото за постигането на целта му — да</w:t>
      </w:r>
      <w:r>
        <w:rPr>
          <w:noProof/>
        </w:rPr>
        <w:t xml:space="preserve"> създаде динамично и хомогенно Европейско икономическо пространство, основано на общи правила и еднакви условия на конкуренция.</w:t>
      </w:r>
    </w:p>
    <w:p>
      <w:pPr>
        <w:pBdr>
          <w:top w:val="nil"/>
          <w:left w:val="nil"/>
          <w:bottom w:val="nil"/>
          <w:right w:val="nil"/>
          <w:between w:val="nil"/>
          <w:bar w:val="nil"/>
        </w:pBdr>
        <w:spacing w:before="0" w:after="240"/>
        <w:rPr>
          <w:rFonts w:eastAsia="Arial Unicode MS"/>
          <w:b/>
          <w:noProof/>
          <w:u w:color="000000"/>
          <w:bdr w:val="nil"/>
        </w:rPr>
      </w:pPr>
      <w:r>
        <w:rPr>
          <w:noProof/>
        </w:rPr>
        <w:t>•</w:t>
      </w:r>
      <w:r>
        <w:rPr>
          <w:noProof/>
        </w:rPr>
        <w:tab/>
      </w:r>
      <w:r>
        <w:rPr>
          <w:b/>
          <w:noProof/>
          <w:u w:color="000000"/>
          <w:bdr w:val="nil"/>
        </w:rPr>
        <w:t>Избор на инструмент</w:t>
      </w:r>
    </w:p>
    <w:p>
      <w:pPr>
        <w:pBdr>
          <w:top w:val="nil"/>
          <w:left w:val="nil"/>
          <w:bottom w:val="nil"/>
          <w:right w:val="nil"/>
          <w:between w:val="nil"/>
          <w:bar w:val="nil"/>
        </w:pBdr>
        <w:spacing w:before="0" w:after="240"/>
        <w:rPr>
          <w:bCs/>
          <w:noProof/>
          <w:szCs w:val="24"/>
        </w:rPr>
      </w:pPr>
      <w:r>
        <w:rPr>
          <w:noProof/>
        </w:rPr>
        <w:t>В съответствие с член 98 от Споразумението за ЕИП избраният инструмент е решение на Съвместния комитет на ЕИП. Съвместния комитет на ЕИП осигурява ефективното изпълнение и функциониране на Споразумението за ЕИП. За тази цел той взема решения в случаите, предвидени в Споразумението за ЕИП.</w:t>
      </w:r>
    </w:p>
    <w:p>
      <w:pPr>
        <w:pStyle w:val="ManualHeading1"/>
        <w:rPr>
          <w:noProof/>
        </w:rPr>
      </w:pPr>
      <w:r>
        <w:rPr>
          <w:noProof/>
        </w:rPr>
        <w:t>3.</w:t>
      </w:r>
      <w:r>
        <w:rPr>
          <w:noProof/>
        </w:rPr>
        <w:tab/>
        <w:t>ОТРАЖЕНИЕ ВЪРХУ БЮДЖЕТА</w:t>
      </w:r>
    </w:p>
    <w:p>
      <w:pPr>
        <w:autoSpaceDE w:val="0"/>
        <w:autoSpaceDN w:val="0"/>
        <w:adjustRightInd w:val="0"/>
        <w:spacing w:before="0" w:after="0"/>
        <w:rPr>
          <w:noProof/>
          <w:szCs w:val="24"/>
        </w:rPr>
      </w:pPr>
      <w:r>
        <w:rPr>
          <w:noProof/>
        </w:rPr>
        <w:t>С предложението ще се премахнат вносните мита, събирани при вноса на повечето преработени селскостопански продукти от Исландия в ЕС. Очаква се отражението върху приходите на ЕС да възлиза на 0,5 милиона евро годишно.</w:t>
      </w:r>
    </w:p>
    <w:p>
      <w:pPr>
        <w:pStyle w:val="ManualHeading1"/>
        <w:rPr>
          <w:noProof/>
        </w:rPr>
      </w:pPr>
      <w:r>
        <w:rPr>
          <w:noProof/>
        </w:rPr>
        <w:t>4.</w:t>
      </w:r>
      <w:r>
        <w:rPr>
          <w:noProof/>
        </w:rPr>
        <w:tab/>
        <w:t>ДРУГИ ЕЛЕМЕНТИ</w:t>
      </w:r>
    </w:p>
    <w:p>
      <w:pPr>
        <w:pStyle w:val="ManualHeading2"/>
        <w:ind w:left="0" w:firstLine="0"/>
        <w:rPr>
          <w:b w:val="0"/>
          <w:noProof/>
          <w:szCs w:val="24"/>
        </w:rPr>
      </w:pPr>
      <w:r>
        <w:rPr>
          <w:b w:val="0"/>
          <w:noProof/>
        </w:rPr>
        <w:t>Проектът на решение на Съвместния комитет на ЕИП, приложен към проекта на решение на Съвета, влиза в сила веднага след като бъдат внесени всички нотификации, предвидени в член 103, параграф 1 от Споразумението за ЕИП, или в деня на влизане в сила на Споразумението под формата на размяна на писма между Европейския съюз и Исландия относно допълнителните търговски преференции за селскостопански продукти, в зависимост от това коя от двете дати е по-късна. Настоящото споразумение е договорено от Генерална дирекция „Земеделие и развитие на селските райони“ на Европейската комисия в съответствие с член 19 от Споразумението за ЕИП.</w:t>
      </w:r>
    </w:p>
    <w:p>
      <w:pPr>
        <w:rPr>
          <w:noProof/>
        </w:rPr>
      </w:pPr>
      <w:r>
        <w:rPr>
          <w:noProof/>
        </w:rPr>
        <w:br w:type="page"/>
      </w:r>
    </w:p>
    <w:p>
      <w:pPr>
        <w:pStyle w:val="Rfrenceinterinstitutionnelle"/>
        <w:rPr>
          <w:noProof/>
        </w:rPr>
      </w:pPr>
      <w:r>
        <w:rPr>
          <w:noProof/>
        </w:rPr>
        <w:t>2017/0069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позицията, която трябва да се заеме от името на Европейския съюз</w:t>
      </w:r>
      <w:r>
        <w:rPr>
          <w:noProof/>
        </w:rPr>
        <w:br/>
        <w:t>в рамките на Съвместния комитет на ЕИП във връзка с изменението на Протокол 3 към Споразумението за ЕИП относно продуктите, посочени в член 8, параграф 3, буква б) от Споразумението</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114 във връзка с член 218, параграф 9 от него,</w:t>
      </w:r>
    </w:p>
    <w:p>
      <w:pPr>
        <w:rPr>
          <w:noProof/>
        </w:rPr>
      </w:pPr>
      <w:r>
        <w:rPr>
          <w:noProof/>
        </w:rPr>
        <w:t>като взе предвид Регламент (ЕО) № 2894/94 на Съвета от 28 ноември 1994 г.</w:t>
      </w:r>
      <w:r>
        <w:rPr>
          <w:rStyle w:val="FootnoteReference"/>
          <w:noProof/>
        </w:rPr>
        <w:footnoteReference w:id="2"/>
      </w:r>
      <w:r>
        <w:rPr>
          <w:noProof/>
        </w:rPr>
        <w:t xml:space="preserve"> относно условията за прилагане на Споразумението за Европейското икономическо пространство, и по-специално член 1, параграф 3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Споразумението за Европейското икономическо пространство („Споразумението за ЕИП“) влезе в сила на 1 януари 1994 г.</w:t>
      </w:r>
    </w:p>
    <w:p>
      <w:pPr>
        <w:pStyle w:val="ManualConsidrant"/>
        <w:rPr>
          <w:noProof/>
        </w:rPr>
      </w:pPr>
      <w:r>
        <w:t>(2)</w:t>
      </w:r>
      <w:r>
        <w:tab/>
      </w:r>
      <w:r>
        <w:rPr>
          <w:noProof/>
        </w:rPr>
        <w:t xml:space="preserve">В съответствие с член 98 от Споразумението за ЕИП Съвместният комитет на ЕИП може да реши да измени, </w:t>
      </w:r>
      <w:r>
        <w:rPr>
          <w:i/>
          <w:noProof/>
        </w:rPr>
        <w:t>inter alia</w:t>
      </w:r>
      <w:r>
        <w:rPr>
          <w:noProof/>
        </w:rPr>
        <w:t>, Протокол 3 за продуктите, посочени в член 8, параграф 3, буква б) от Споразумението за ЕИП, с който се определят специални търговски режими за някои селскостопански и преработени селскостопански продукти между договарящите се страни.</w:t>
      </w:r>
    </w:p>
    <w:p>
      <w:pPr>
        <w:pStyle w:val="ManualConsidrant"/>
        <w:rPr>
          <w:noProof/>
          <w:color w:val="000000"/>
          <w:szCs w:val="24"/>
        </w:rPr>
      </w:pPr>
      <w:r>
        <w:t>(3)</w:t>
      </w:r>
      <w:r>
        <w:tab/>
      </w:r>
      <w:r>
        <w:rPr>
          <w:noProof/>
        </w:rPr>
        <w:t>В член 2, параграф 2 от Протокол 3 към Споразумението за ЕИП се предвижда, че митата, установени в приложенията към таблица I от Протокол 3 към Споразумението за ЕИП, могат да бъдат адаптирани от Съвместния комитет на ЕИП, като се вземат предвид взаимните отстъпки. Исландия и Европейският съюз се споразумяха да премахнат митата за някои продукти, изброени в Протокол 3 към Споразумението за ЕИП. Тези отстъпки ще се прилагат единствено за продукти с произход съответно от Европейския съюз и от Исландия по смисъла на Регионалната конвенция за паневросредиземноморските преференциални правила за произход.</w:t>
      </w:r>
    </w:p>
    <w:p>
      <w:pPr>
        <w:pStyle w:val="ManualConsidrant"/>
        <w:rPr>
          <w:noProof/>
        </w:rPr>
      </w:pPr>
      <w:r>
        <w:t>(4)</w:t>
      </w:r>
      <w:r>
        <w:tab/>
      </w:r>
      <w:r>
        <w:rPr>
          <w:noProof/>
        </w:rPr>
        <w:t>Поради това Протокол 3 към Споразумението за ЕИП следва да бъде съответно изменен.</w:t>
      </w:r>
    </w:p>
    <w:p>
      <w:pPr>
        <w:pStyle w:val="ManualConsidrant"/>
        <w:rPr>
          <w:noProof/>
        </w:rPr>
      </w:pPr>
      <w:r>
        <w:t>(5)</w:t>
      </w:r>
      <w:r>
        <w:tab/>
      </w:r>
      <w:r>
        <w:rPr>
          <w:noProof/>
        </w:rPr>
        <w:t>Ето защо позицията на Съюза в рамките на Съвместния комитет на ЕИП следва да се основава на приложения проект на решение,</w:t>
      </w:r>
    </w:p>
    <w:p>
      <w:pPr>
        <w:pStyle w:val="Formuledadoption"/>
        <w:rPr>
          <w:noProof/>
        </w:rPr>
      </w:pPr>
      <w:r>
        <w:rPr>
          <w:noProof/>
        </w:rPr>
        <w:t>ПРИЕ НАСТОЯЩОТО РЕШЕНИЕ:</w:t>
      </w:r>
    </w:p>
    <w:p>
      <w:pPr>
        <w:pStyle w:val="Titrearticle"/>
        <w:rPr>
          <w:noProof/>
        </w:rPr>
      </w:pPr>
      <w:r>
        <w:rPr>
          <w:noProof/>
        </w:rPr>
        <w:t>Член 1</w:t>
      </w:r>
    </w:p>
    <w:p>
      <w:pPr>
        <w:rPr>
          <w:noProof/>
        </w:rPr>
      </w:pPr>
      <w:r>
        <w:rPr>
          <w:noProof/>
        </w:rPr>
        <w:t>Позицията, която трябва да се заеме от името на Съюза в рамките на Съвместния комитет на ЕИП относно предложеното изменение на Протокол 3 към Споразумението за ЕИП, се основава на проекта на решение на Съвместния комитет на ЕИП, приложен към настоящото решение.</w:t>
      </w:r>
    </w:p>
    <w:p>
      <w:pPr>
        <w:pStyle w:val="Titrearticle"/>
        <w:rPr>
          <w:noProof/>
        </w:rPr>
      </w:pPr>
      <w:r>
        <w:rPr>
          <w:noProof/>
        </w:rPr>
        <w:t>Член 2</w:t>
      </w:r>
    </w:p>
    <w:p>
      <w:pPr>
        <w:keepLines/>
        <w:rPr>
          <w:noProof/>
        </w:rPr>
      </w:pPr>
      <w:r>
        <w:rPr>
          <w:noProof/>
        </w:rPr>
        <w:t>Настоящото решение влиза в сила в деня на приемането му.</w:t>
      </w: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p>
    <w:p>
      <w:pPr>
        <w:pStyle w:val="Fichefinanciretitre"/>
        <w:rPr>
          <w:noProof/>
        </w:rPr>
      </w:pPr>
      <w:r>
        <w:rPr>
          <w:noProof/>
        </w:rPr>
        <w:br w:type="page"/>
        <w:t>ЗАКОНОДАТЕЛНА ФИНАНСОВА ОБОСНОВКА ЗА ПРЕДЛОЖЕНИЯ С ОТРАЖЕНИЕ ВЪРХУ БЮДЖЕТА, СТРОГО ОГРАНИЧЕНО ДО ПРИХОДНАТА ЧАСТ</w:t>
      </w:r>
    </w:p>
    <w:p>
      <w:pPr>
        <w:pStyle w:val="ManualHeading1"/>
        <w:rPr>
          <w:noProof/>
        </w:rPr>
      </w:pPr>
      <w:r>
        <w:t>1.</w:t>
      </w:r>
      <w:r>
        <w:tab/>
      </w:r>
      <w:r>
        <w:rPr>
          <w:noProof/>
        </w:rPr>
        <w:t>НАИМЕНОВАНИЕ НА ПРЕДЛОЖЕНИЕТО</w:t>
      </w:r>
    </w:p>
    <w:p>
      <w:pPr>
        <w:ind w:left="720"/>
        <w:rPr>
          <w:noProof/>
        </w:rPr>
      </w:pPr>
      <w:r>
        <w:rPr>
          <w:noProof/>
        </w:rPr>
        <w:t>Решение на Съвместния комитет на ЕИП за изменение на Протокол 3 към Споразумението за ЕИП относно продуктите, посочени в член 8, параграф 3, буква б) от Споразумението</w:t>
      </w:r>
    </w:p>
    <w:p>
      <w:pPr>
        <w:ind w:firstLine="357"/>
        <w:rPr>
          <w:noProof/>
        </w:rPr>
      </w:pPr>
    </w:p>
    <w:p>
      <w:pPr>
        <w:pStyle w:val="ManualHeading1"/>
        <w:rPr>
          <w:noProof/>
        </w:rPr>
      </w:pPr>
      <w:r>
        <w:t>2.</w:t>
      </w:r>
      <w:r>
        <w:tab/>
      </w:r>
      <w:r>
        <w:rPr>
          <w:noProof/>
        </w:rPr>
        <w:t>БЮДЖЕТНИ РЕДОВЕ</w:t>
      </w:r>
    </w:p>
    <w:p>
      <w:pPr>
        <w:rPr>
          <w:noProof/>
          <w:kern w:val="32"/>
        </w:rPr>
      </w:pPr>
    </w:p>
    <w:p>
      <w:pPr>
        <w:ind w:left="720"/>
        <w:rPr>
          <w:noProof/>
        </w:rPr>
      </w:pPr>
      <w:r>
        <w:rPr>
          <w:noProof/>
        </w:rPr>
        <w:t>Глава и статия: 1 2 0 — Мита и други задължения, посочени в член 2, параграф 1, буква а) от Решение 2007/436/ЕО, Евратом</w:t>
      </w:r>
    </w:p>
    <w:p>
      <w:pPr>
        <w:ind w:left="720"/>
        <w:rPr>
          <w:noProof/>
        </w:rPr>
      </w:pPr>
      <w:r>
        <w:rPr>
          <w:noProof/>
        </w:rPr>
        <w:t>Сума, предвидена в бюджета по глава 1 2 0: 20 000,5 милиона евро (проектобюджет за 2017 г.)</w:t>
      </w:r>
    </w:p>
    <w:p>
      <w:pPr>
        <w:ind w:left="360"/>
        <w:rPr>
          <w:noProof/>
        </w:rPr>
      </w:pPr>
    </w:p>
    <w:p>
      <w:pPr>
        <w:pStyle w:val="ManualHeading1"/>
        <w:rPr>
          <w:noProof/>
        </w:rPr>
      </w:pPr>
      <w:r>
        <w:t>3.</w:t>
      </w:r>
      <w:r>
        <w:tab/>
      </w:r>
      <w:r>
        <w:rPr>
          <w:noProof/>
        </w:rPr>
        <w:t xml:space="preserve">ФИНАНСОВО ОТРАЖЕНИЕ </w:t>
      </w:r>
    </w:p>
    <w:p>
      <w:pPr>
        <w:pStyle w:val="Text2"/>
        <w:rPr>
          <w:noProof/>
        </w:rPr>
      </w:pPr>
      <w:r>
        <w:rPr>
          <w:noProof/>
        </w:rPr>
        <w:sym w:font="Wingdings" w:char="F0FE"/>
      </w:r>
      <w:r>
        <w:rPr>
          <w:noProof/>
        </w:rPr>
        <w:t xml:space="preserve"> Предложението няма финансово отражение върху разходите, но има финансово отражение върху приходите, както следва</w:t>
      </w:r>
      <w:r>
        <w:rPr>
          <w:rStyle w:val="FootnoteReference"/>
          <w:noProof/>
        </w:rPr>
        <w:footnoteReference w:id="3"/>
      </w:r>
      <w:r>
        <w:rPr>
          <w:noProof/>
        </w:rPr>
        <w:t>:</w:t>
      </w:r>
    </w:p>
    <w:p>
      <w:pPr>
        <w:pStyle w:val="NormalRight"/>
        <w:rPr>
          <w:noProof/>
          <w:sz w:val="18"/>
        </w:rPr>
      </w:pPr>
      <w:r>
        <w:rPr>
          <w:noProof/>
        </w:rPr>
        <w:t>(в милиони евро до първия знак след десетичната запетая)</w:t>
      </w:r>
    </w:p>
    <w:tbl>
      <w:tblPr>
        <w:tblW w:w="83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22"/>
        <w:gridCol w:w="2880"/>
        <w:gridCol w:w="2070"/>
        <w:gridCol w:w="2070"/>
      </w:tblGrid>
      <w:tr>
        <w:trPr>
          <w:cantSplit/>
        </w:trPr>
        <w:tc>
          <w:tcPr>
            <w:tcW w:w="1322" w:type="dxa"/>
          </w:tcPr>
          <w:p>
            <w:pPr>
              <w:rPr>
                <w:noProof/>
              </w:rPr>
            </w:pPr>
            <w:r>
              <w:rPr>
                <w:noProof/>
              </w:rPr>
              <w:t>Бюджетен ред</w:t>
            </w:r>
          </w:p>
        </w:tc>
        <w:tc>
          <w:tcPr>
            <w:tcW w:w="2880" w:type="dxa"/>
          </w:tcPr>
          <w:p>
            <w:pPr>
              <w:jc w:val="center"/>
              <w:rPr>
                <w:noProof/>
              </w:rPr>
            </w:pPr>
            <w:r>
              <w:rPr>
                <w:noProof/>
              </w:rPr>
              <w:t>Приходи</w:t>
            </w:r>
          </w:p>
        </w:tc>
        <w:tc>
          <w:tcPr>
            <w:tcW w:w="2070" w:type="dxa"/>
            <w:shd w:val="clear" w:color="auto" w:fill="auto"/>
          </w:tcPr>
          <w:p>
            <w:pPr>
              <w:jc w:val="center"/>
              <w:rPr>
                <w:noProof/>
              </w:rPr>
            </w:pPr>
            <w:r>
              <w:rPr>
                <w:noProof/>
              </w:rPr>
              <w:t>2017 г.</w:t>
            </w:r>
          </w:p>
        </w:tc>
        <w:tc>
          <w:tcPr>
            <w:tcW w:w="2070" w:type="dxa"/>
            <w:shd w:val="clear" w:color="auto" w:fill="auto"/>
          </w:tcPr>
          <w:p>
            <w:pPr>
              <w:jc w:val="center"/>
              <w:rPr>
                <w:noProof/>
              </w:rPr>
            </w:pPr>
            <w:r>
              <w:rPr>
                <w:noProof/>
              </w:rPr>
              <w:t>2018 г.</w:t>
            </w:r>
          </w:p>
        </w:tc>
      </w:tr>
      <w:tr>
        <w:trPr>
          <w:cantSplit/>
        </w:trPr>
        <w:tc>
          <w:tcPr>
            <w:tcW w:w="1322" w:type="dxa"/>
            <w:shd w:val="clear" w:color="auto" w:fill="auto"/>
          </w:tcPr>
          <w:p>
            <w:pPr>
              <w:rPr>
                <w:noProof/>
              </w:rPr>
            </w:pPr>
            <w:r>
              <w:rPr>
                <w:noProof/>
              </w:rPr>
              <w:t>Статия 1 2 0</w:t>
            </w:r>
          </w:p>
        </w:tc>
        <w:tc>
          <w:tcPr>
            <w:tcW w:w="2880" w:type="dxa"/>
          </w:tcPr>
          <w:p>
            <w:pPr>
              <w:rPr>
                <w:i/>
                <w:noProof/>
              </w:rPr>
            </w:pPr>
            <w:r>
              <w:rPr>
                <w:i/>
                <w:noProof/>
              </w:rPr>
              <w:t>Отражение върху собствените ресурси</w:t>
            </w:r>
          </w:p>
        </w:tc>
        <w:tc>
          <w:tcPr>
            <w:tcW w:w="2070" w:type="dxa"/>
            <w:shd w:val="clear" w:color="auto" w:fill="auto"/>
          </w:tcPr>
          <w:p>
            <w:pPr>
              <w:rPr>
                <w:noProof/>
              </w:rPr>
            </w:pPr>
            <w:r>
              <w:rPr>
                <w:noProof/>
              </w:rPr>
              <w:t>– 0,5</w:t>
            </w:r>
          </w:p>
        </w:tc>
        <w:tc>
          <w:tcPr>
            <w:tcW w:w="2070" w:type="dxa"/>
            <w:shd w:val="clear" w:color="auto" w:fill="auto"/>
          </w:tcPr>
          <w:p>
            <w:pPr>
              <w:rPr>
                <w:noProof/>
              </w:rPr>
            </w:pPr>
            <w:r>
              <w:rPr>
                <w:noProof/>
              </w:rPr>
              <w:t>– 0,5</w:t>
            </w:r>
          </w:p>
        </w:tc>
      </w:tr>
    </w:tbl>
    <w:p>
      <w:pPr>
        <w:pStyle w:val="Text2"/>
        <w:rPr>
          <w:b/>
          <w:i/>
          <w:noProof/>
        </w:rPr>
      </w:pPr>
    </w:p>
    <w:tbl>
      <w:tblPr>
        <w:tblW w:w="83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22"/>
        <w:gridCol w:w="1440"/>
        <w:gridCol w:w="1440"/>
        <w:gridCol w:w="1260"/>
        <w:gridCol w:w="1440"/>
        <w:gridCol w:w="1440"/>
      </w:tblGrid>
      <w:tr>
        <w:trPr>
          <w:cantSplit/>
        </w:trPr>
        <w:tc>
          <w:tcPr>
            <w:tcW w:w="8342" w:type="dxa"/>
            <w:gridSpan w:val="6"/>
          </w:tcPr>
          <w:p>
            <w:pPr>
              <w:jc w:val="center"/>
              <w:rPr>
                <w:noProof/>
                <w:sz w:val="18"/>
              </w:rPr>
            </w:pPr>
            <w:r>
              <w:rPr>
                <w:noProof/>
                <w:sz w:val="18"/>
              </w:rPr>
              <w:t>Положение след действието</w:t>
            </w:r>
          </w:p>
        </w:tc>
      </w:tr>
      <w:tr>
        <w:trPr>
          <w:cantSplit/>
        </w:trPr>
        <w:tc>
          <w:tcPr>
            <w:tcW w:w="1322" w:type="dxa"/>
          </w:tcPr>
          <w:p>
            <w:pPr>
              <w:jc w:val="center"/>
              <w:rPr>
                <w:noProof/>
                <w:sz w:val="18"/>
              </w:rPr>
            </w:pPr>
          </w:p>
        </w:tc>
        <w:tc>
          <w:tcPr>
            <w:tcW w:w="1440" w:type="dxa"/>
          </w:tcPr>
          <w:p>
            <w:pPr>
              <w:jc w:val="center"/>
              <w:rPr>
                <w:noProof/>
                <w:sz w:val="18"/>
              </w:rPr>
            </w:pPr>
            <w:r>
              <w:rPr>
                <w:noProof/>
              </w:rPr>
              <w:t>2019 г.</w:t>
            </w:r>
          </w:p>
        </w:tc>
        <w:tc>
          <w:tcPr>
            <w:tcW w:w="1440" w:type="dxa"/>
          </w:tcPr>
          <w:p>
            <w:pPr>
              <w:jc w:val="center"/>
              <w:rPr>
                <w:noProof/>
                <w:sz w:val="18"/>
              </w:rPr>
            </w:pPr>
            <w:r>
              <w:rPr>
                <w:noProof/>
              </w:rPr>
              <w:t>2020 г.</w:t>
            </w:r>
          </w:p>
        </w:tc>
        <w:tc>
          <w:tcPr>
            <w:tcW w:w="1260" w:type="dxa"/>
          </w:tcPr>
          <w:p>
            <w:pPr>
              <w:jc w:val="center"/>
              <w:rPr>
                <w:noProof/>
                <w:sz w:val="18"/>
              </w:rPr>
            </w:pPr>
            <w:r>
              <w:rPr>
                <w:noProof/>
              </w:rPr>
              <w:t>2021 г.</w:t>
            </w:r>
          </w:p>
        </w:tc>
        <w:tc>
          <w:tcPr>
            <w:tcW w:w="1440" w:type="dxa"/>
          </w:tcPr>
          <w:p>
            <w:pPr>
              <w:jc w:val="center"/>
              <w:rPr>
                <w:noProof/>
                <w:sz w:val="18"/>
              </w:rPr>
            </w:pPr>
            <w:r>
              <w:rPr>
                <w:noProof/>
              </w:rPr>
              <w:t>2022 г.</w:t>
            </w:r>
          </w:p>
        </w:tc>
        <w:tc>
          <w:tcPr>
            <w:tcW w:w="1440" w:type="dxa"/>
          </w:tcPr>
          <w:p>
            <w:pPr>
              <w:jc w:val="center"/>
              <w:rPr>
                <w:noProof/>
                <w:sz w:val="18"/>
              </w:rPr>
            </w:pPr>
            <w:r>
              <w:rPr>
                <w:noProof/>
              </w:rPr>
              <w:t>2023 г.</w:t>
            </w:r>
          </w:p>
        </w:tc>
      </w:tr>
      <w:tr>
        <w:trPr>
          <w:cantSplit/>
        </w:trPr>
        <w:tc>
          <w:tcPr>
            <w:tcW w:w="1322" w:type="dxa"/>
          </w:tcPr>
          <w:p>
            <w:pPr>
              <w:rPr>
                <w:noProof/>
              </w:rPr>
            </w:pPr>
            <w:r>
              <w:rPr>
                <w:noProof/>
              </w:rPr>
              <w:t>Статия 1 2 0</w:t>
            </w:r>
          </w:p>
        </w:tc>
        <w:tc>
          <w:tcPr>
            <w:tcW w:w="1440" w:type="dxa"/>
          </w:tcPr>
          <w:p>
            <w:pPr>
              <w:rPr>
                <w:noProof/>
              </w:rPr>
            </w:pPr>
            <w:r>
              <w:rPr>
                <w:noProof/>
              </w:rPr>
              <w:t>– 0,5</w:t>
            </w:r>
          </w:p>
        </w:tc>
        <w:tc>
          <w:tcPr>
            <w:tcW w:w="1440" w:type="dxa"/>
          </w:tcPr>
          <w:p>
            <w:pPr>
              <w:rPr>
                <w:noProof/>
              </w:rPr>
            </w:pPr>
            <w:r>
              <w:rPr>
                <w:noProof/>
              </w:rPr>
              <w:t>– 0,5</w:t>
            </w:r>
          </w:p>
        </w:tc>
        <w:tc>
          <w:tcPr>
            <w:tcW w:w="1260" w:type="dxa"/>
          </w:tcPr>
          <w:p>
            <w:pPr>
              <w:rPr>
                <w:noProof/>
              </w:rPr>
            </w:pPr>
            <w:r>
              <w:rPr>
                <w:noProof/>
              </w:rPr>
              <w:t>– 0,5</w:t>
            </w:r>
          </w:p>
        </w:tc>
        <w:tc>
          <w:tcPr>
            <w:tcW w:w="1440" w:type="dxa"/>
          </w:tcPr>
          <w:p>
            <w:pPr>
              <w:rPr>
                <w:noProof/>
              </w:rPr>
            </w:pPr>
            <w:r>
              <w:rPr>
                <w:noProof/>
              </w:rPr>
              <w:t>– 0,5</w:t>
            </w:r>
          </w:p>
        </w:tc>
        <w:tc>
          <w:tcPr>
            <w:tcW w:w="1440" w:type="dxa"/>
          </w:tcPr>
          <w:p>
            <w:pPr>
              <w:rPr>
                <w:noProof/>
              </w:rPr>
            </w:pPr>
            <w:r>
              <w:rPr>
                <w:noProof/>
              </w:rPr>
              <w:t>– 0,5</w:t>
            </w:r>
          </w:p>
        </w:tc>
      </w:tr>
    </w:tbl>
    <w:p>
      <w:pPr>
        <w:rPr>
          <w:noProof/>
        </w:rPr>
      </w:pPr>
      <w:r>
        <w:rPr>
          <w:b/>
          <w:i/>
          <w:noProof/>
        </w:rPr>
        <w:t xml:space="preserve"> </w:t>
      </w:r>
    </w:p>
    <w:p>
      <w:pPr>
        <w:pStyle w:val="ManualHeading1"/>
        <w:rPr>
          <w:noProof/>
        </w:rPr>
      </w:pPr>
      <w:r>
        <w:t>4.</w:t>
      </w:r>
      <w:r>
        <w:tab/>
      </w:r>
      <w:r>
        <w:rPr>
          <w:noProof/>
        </w:rPr>
        <w:t>МЕРКИ ЗА БОРБА С ИЗМАМИТЕ</w:t>
      </w:r>
    </w:p>
    <w:p>
      <w:pPr>
        <w:ind w:left="720"/>
        <w:rPr>
          <w:noProof/>
        </w:rPr>
      </w:pPr>
      <w:r>
        <w:rPr>
          <w:noProof/>
        </w:rPr>
        <w:t>Разпоредбите за вносните мита включват мерките, необходими за предотвратяване на измами и нарушения (прилагане на контрола, предвиден в Митническия кодекс на Общността и неговите разпоредби за прилагане).</w:t>
      </w:r>
    </w:p>
    <w:p>
      <w:pPr>
        <w:pStyle w:val="ManualHeading1"/>
        <w:rPr>
          <w:noProof/>
        </w:rPr>
      </w:pPr>
      <w:r>
        <w:t>5.</w:t>
      </w:r>
      <w:r>
        <w:tab/>
      </w:r>
      <w:r>
        <w:rPr>
          <w:noProof/>
        </w:rPr>
        <w:t>ДРУГИ ЗАБЕЛЕЖКИ</w:t>
      </w:r>
    </w:p>
    <w:p>
      <w:pPr>
        <w:ind w:left="720"/>
        <w:rPr>
          <w:noProof/>
        </w:rPr>
      </w:pPr>
      <w:r>
        <w:rPr>
          <w:noProof/>
        </w:rPr>
        <w:t>Отражението в раздел 3 отговаря на приблизителна оценка на размера на митата, реално събрани в периода 2013—2015 г., след приспадане на 20 % за разходи по събирането. Приблизителната оценка за митата се основава на търговските данни от COMEXT за вноса, регистриран по клаузите за най-облагодетелствана нация и преференциално третиране, които вече се прилагат, и на приложимата през 2016 г. тарифа в такива случаи. В случай на сложни смесени мита е използвана равностойността на адвалорните мита.</w:t>
      </w:r>
    </w:p>
    <w:sectPr>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ОВ L 305, 30.11.1994 г., стр. 6—8.</w:t>
      </w:r>
    </w:p>
  </w:footnote>
  <w:footnote w:id="2">
    <w:p>
      <w:pPr>
        <w:pStyle w:val="FootnoteText"/>
      </w:pPr>
      <w:r>
        <w:rPr>
          <w:rStyle w:val="FootnoteReference"/>
        </w:rPr>
        <w:footnoteRef/>
      </w:r>
      <w:r>
        <w:tab/>
        <w:t>ОВ L 305, 30.11.1994 г., стр. 6—8.</w:t>
      </w:r>
    </w:p>
  </w:footnote>
  <w:footnote w:id="3">
    <w:p>
      <w:pPr>
        <w:pStyle w:val="FootnoteText"/>
      </w:pPr>
      <w:r>
        <w:rPr>
          <w:rStyle w:val="FootnoteReference"/>
        </w:rPr>
        <w:footnoteRef/>
      </w:r>
      <w:r>
        <w:tab/>
        <w:t>Годишните суми се основават на методологията, изложена в раздел 5. За целите на настоящия фиш се приема, че мярката ще влезе в сила на 1 януари 2017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34677B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C4EE0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C5A872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B0F05B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AD0250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9CE31E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4DE7DCA"/>
    <w:lvl w:ilvl="0">
      <w:start w:val="1"/>
      <w:numFmt w:val="decimal"/>
      <w:pStyle w:val="ListNumber"/>
      <w:lvlText w:val="%1."/>
      <w:lvlJc w:val="left"/>
      <w:pPr>
        <w:tabs>
          <w:tab w:val="num" w:pos="360"/>
        </w:tabs>
        <w:ind w:left="360" w:hanging="360"/>
      </w:pPr>
    </w:lvl>
  </w:abstractNum>
  <w:abstractNum w:abstractNumId="7">
    <w:nsid w:val="FFFFFF89"/>
    <w:multiLevelType w:val="singleLevel"/>
    <w:tmpl w:val="0806268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7-03-22 11:18:0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41445F5F221142A78B71349AFA8EEFB4"/>
    <w:docVar w:name="LW_CROSSREFERENCE" w:val="&lt;UNUSED&gt;"/>
    <w:docVar w:name="LW_DocType" w:val="COM"/>
    <w:docVar w:name="LW_EMISSION" w:val="29.3.2017"/>
    <w:docVar w:name="LW_EMISSION_ISODATE" w:val="2017-03-29"/>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69"/>
    <w:docVar w:name="LW_REF.II.NEW.CP_YEAR" w:val="2017"/>
    <w:docVar w:name="LW_REF.INST.NEW" w:val="COM"/>
    <w:docVar w:name="LW_REF.INST.NEW_ADOPTED" w:val="final"/>
    <w:docVar w:name="LW_REF.INST.NEW_TEXT" w:val="(2017) 153"/>
    <w:docVar w:name="LW_REF.INTERNE" w:val="&lt;UNUSED&gt;"/>
    <w:docVar w:name="LW_SOUS.TITRE.OBJ.CP" w:val="&lt;UNUSED&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_x000b_\u1074? \u1088?\u1072?\u1084?\u1082?\u1080?\u1090?\u1077? \u1085?\u1072? \u1057?\u1098?\u1074?\u1084?\u1077?\u1089?\u1090?\u1085?\u1080?\u1103? \u1082?\u1086?\u1084?\u1080?\u1090?\u1077?\u1090? \u1085?\u1072? \u1045?\u1048?\u1055? \u1074?\u1098?\u1074? \u1074?\u1088?\u1098?\u1079?\u1082?\u1072? \u1089? \u1080?\u1079?\u1084?\u1077?\u1085?\u1077?\u1085?\u1080?\u1077?\u1090?\u1086? \u1085?\u1072? \u1055?\u1088?\u1086?\u1090?\u1086?\u1082?\u1086?\u1083? 3 \u1082?\u1098?\u1084? \u1057?\u1087?\u1086?\u1088?\u1072?\u1079?\u1091?\u1084?\u1077?\u1085?\u1080?\u1077?\u1090?\u1086? \u1079?\u1072? \u1045?\u1048?\u1055? \u1086?\u1090?\u1085?\u1086?\u1089?\u1085?\u1086? \u1087?\u1088?\u1086?\u1076?\u1091?\u1082?\u1090?\u1080?\u1090?\u1077?, \u1087?\u1086?\u1089?\u1086?\u1095?\u1077?\u1085?\u1080? \u1074? \u1095?\u1083?\u1077?\u1085? 8, \u1087?\u1072?\u1088?\u1072?\u1075?\u1088?\u1072?\u1092? 3, \u1073?\u1091?\u1082?\u1074?\u1072? \u1073?) \u1086?\u1090? \u1057?\u1087?\u1086?\u1088?\u1072?\u1079?\u1091?\u1084?\u1077?\u1085?\u1080?\u1077?\u1090?\u1086?"/>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Strong">
    <w:name w:val="Strong"/>
    <w:uiPriority w:val="22"/>
    <w:qFormat/>
    <w:rPr>
      <w:b/>
      <w:bCs/>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M1">
    <w:name w:val="CM1"/>
    <w:basedOn w:val="Default"/>
    <w:next w:val="Default"/>
    <w:uiPriority w:val="99"/>
    <w:rPr>
      <w:rFonts w:ascii="EUAlbertina" w:eastAsia="Calibri" w:hAnsi="EUAlbertina"/>
      <w:color w:val="auto"/>
    </w:rPr>
  </w:style>
  <w:style w:type="paragraph" w:customStyle="1" w:styleId="CM3">
    <w:name w:val="CM3"/>
    <w:basedOn w:val="Default"/>
    <w:next w:val="Default"/>
    <w:uiPriority w:val="99"/>
    <w:rPr>
      <w:rFonts w:ascii="EUAlbertina" w:eastAsia="Calibri" w:hAnsi="EUAlbertina"/>
      <w:color w:val="auto"/>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Revision">
    <w:name w:val="Revision"/>
    <w:hidden/>
    <w:uiPriority w:val="99"/>
    <w:semiHidden/>
    <w:rPr>
      <w:rFonts w:ascii="Times New Roman" w:hAnsi="Times New Roman"/>
      <w:sz w:val="24"/>
    </w:rPr>
  </w:style>
  <w:style w:type="character" w:customStyle="1" w:styleId="Point0Char">
    <w:name w:val="Point 0 Char"/>
    <w:rPr>
      <w:rFonts w:ascii="Times New Roman" w:hAnsi="Times New Roman"/>
      <w:sz w:val="24"/>
      <w:szCs w:val="22"/>
      <w:lang w:val="bg-BG" w:eastAsia="bg-BG"/>
    </w:rPr>
  </w:style>
  <w:style w:type="paragraph" w:styleId="ListParagraph">
    <w:name w:val="List Paragraph"/>
    <w:basedOn w:val="Normal"/>
    <w:uiPriority w:val="34"/>
    <w:qFormat/>
    <w:pPr>
      <w:spacing w:before="0" w:after="200" w:line="276" w:lineRule="auto"/>
      <w:ind w:left="720"/>
      <w:contextualSpacing/>
      <w:jc w:val="left"/>
    </w:pPr>
    <w:rPr>
      <w:sz w:val="20"/>
      <w:szCs w:val="20"/>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3144">
      <w:bodyDiv w:val="1"/>
      <w:marLeft w:val="0"/>
      <w:marRight w:val="0"/>
      <w:marTop w:val="0"/>
      <w:marBottom w:val="0"/>
      <w:divBdr>
        <w:top w:val="none" w:sz="0" w:space="0" w:color="auto"/>
        <w:left w:val="none" w:sz="0" w:space="0" w:color="auto"/>
        <w:bottom w:val="none" w:sz="0" w:space="0" w:color="auto"/>
        <w:right w:val="none" w:sz="0" w:space="0" w:color="auto"/>
      </w:divBdr>
    </w:div>
    <w:div w:id="2352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FE4CE-99FF-438B-A36C-79C16407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Pages>
  <Words>1454</Words>
  <Characters>8161</Characters>
  <Application>Microsoft Office Word</Application>
  <DocSecurity>0</DocSecurity>
  <Lines>194</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18</cp:revision>
  <dcterms:created xsi:type="dcterms:W3CDTF">2017-03-09T13:09:00Z</dcterms:created>
  <dcterms:modified xsi:type="dcterms:W3CDTF">2017-03-22T10:18:00Z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20141001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