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CFB8BBE3B347F3A17AE5A76182A75E"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MOTIVERING</w:t>
      </w:r>
    </w:p>
    <w:p>
      <w:pPr>
        <w:pStyle w:val="ManualHeading1"/>
        <w:rPr>
          <w:noProof/>
        </w:rPr>
      </w:pPr>
      <w:r>
        <w:rPr>
          <w:noProof/>
        </w:rPr>
        <w:t>1.</w:t>
      </w:r>
      <w:r>
        <w:rPr>
          <w:noProof/>
        </w:rPr>
        <w:tab/>
        <w:t>BAKGRUND TILL FÖRSLAGET</w:t>
      </w:r>
    </w:p>
    <w:p>
      <w:pPr>
        <w:pStyle w:val="ManualHeading2"/>
        <w:rPr>
          <w:rFonts w:eastAsia="Arial Unicode MS"/>
          <w:noProof/>
        </w:rPr>
      </w:pPr>
      <w:r>
        <w:rPr>
          <w:noProof/>
          <w:color w:val="000000"/>
          <w:u w:color="000000"/>
          <w:bdr w:val="nil"/>
        </w:rPr>
        <w:t>•</w:t>
      </w:r>
      <w:r>
        <w:rPr>
          <w:noProof/>
        </w:rPr>
        <w:tab/>
        <w:t>Motiv och syfte med förslaget</w:t>
      </w:r>
    </w:p>
    <w:p>
      <w:pPr>
        <w:rPr>
          <w:noProof/>
        </w:rPr>
      </w:pPr>
      <w:r>
        <w:rPr>
          <w:noProof/>
        </w:rPr>
        <w:t>Syftet med utkastet till beslut av gemensamma EES-kommittén (som åtföljer förslaget till rådets beslut) är att ändra protokoll 3 till EES-avtalet, i vilket handelsordningen mellan Europeiska unionen, å ena sidan, och EES-länderna (Norge, Island och Liechtenstein), å andra sidan, fastställs när det gäller vissa kategorier av bearbetade jordbruksprodukter.</w:t>
      </w:r>
    </w:p>
    <w:p>
      <w:pPr>
        <w:rPr>
          <w:noProof/>
          <w:szCs w:val="24"/>
        </w:rPr>
      </w:pPr>
      <w:r>
        <w:rPr>
          <w:noProof/>
        </w:rPr>
        <w:t>Island och Europeiska unionen, företrädd av Europeiska kommissionen, har kommit överens om att avskaffa tullarna för vissa produkter som anges i detta protokoll. Dessa medgivanden kommer att tillämpas endast på produkter med ursprung i Europeiska unionen respektive i Island.</w:t>
      </w:r>
    </w:p>
    <w:p>
      <w:pPr>
        <w:rPr>
          <w:noProof/>
          <w:color w:val="000000"/>
          <w:szCs w:val="24"/>
        </w:rPr>
      </w:pPr>
      <w:r>
        <w:rPr>
          <w:noProof/>
        </w:rPr>
        <w:t>Det bör noteras att det EES-avtalet endast hänvisas till ursprung i EES. För att säkerställa att de nya medgivandena endast kommer att gälla bilateralt mellan EU och Island införs genom denna ändring av protokoll 3 en hänvisning till ursprung i EU respektive i Island i den mening som avses i den regionala konventionen om Europa–Medelhavstäckande regler om förmånsursprung.</w:t>
      </w:r>
    </w:p>
    <w:p>
      <w:pPr>
        <w:pStyle w:val="ManualHeading2"/>
        <w:rPr>
          <w:rFonts w:eastAsia="Arial Unicode MS"/>
          <w:noProof/>
        </w:rPr>
      </w:pPr>
      <w:r>
        <w:rPr>
          <w:noProof/>
          <w:color w:val="000000"/>
          <w:u w:color="000000"/>
          <w:bdr w:val="nil"/>
        </w:rPr>
        <w:t>•</w:t>
      </w:r>
      <w:r>
        <w:rPr>
          <w:noProof/>
        </w:rPr>
        <w:tab/>
        <w:t>Förenlighet med befintliga bestämmelser inom området</w:t>
      </w:r>
    </w:p>
    <w:p>
      <w:pPr>
        <w:pStyle w:val="Text1"/>
        <w:ind w:left="0"/>
        <w:rPr>
          <w:noProof/>
        </w:rPr>
      </w:pPr>
      <w:r>
        <w:rPr>
          <w:noProof/>
        </w:rPr>
        <w:t>Utkastet till beslut bidrar till att ytterligare liberalisera och främja handeln mellan Europeiska unionen och Island. Detta överensstämmer helt och hållet med EU:s mål att förbättra marknadstillträdet för EU-produkter i tredjeländer.</w:t>
      </w:r>
    </w:p>
    <w:p>
      <w:pPr>
        <w:pStyle w:val="Text1"/>
        <w:ind w:left="0"/>
        <w:rPr>
          <w:noProof/>
        </w:rPr>
      </w:pPr>
      <w:r>
        <w:rPr>
          <w:noProof/>
        </w:rPr>
        <w:t>De bilaterala handelsmedgivandena är införlivade i protokoll 2 till det bilaterala frihandelsavtal mellan Europeiska ekonomiska gemenskapen och Republiken Island som undertecknades den 22 juli 1972. För praktiskt taget alla produkter i det gamla bilaterala protokollet med Island beviljas dock redan en mer gynnsam tullbehandling genom protokoll 3 till EES-avtalet, och enligt artikel 120 i EES-avtalet ska EES-avtalet ha företräde framför bestämmelserna i det bilaterala frihandelsavtalet. Vidare överensstämmer utkastet till beslut med det allmänna målet för det bilaterala frihandelsavtalet, nämligen att efter hand och i ökande omfattning undanröja hindren för i stort sett all handel mellan parterna.</w:t>
      </w:r>
    </w:p>
    <w:p>
      <w:pPr>
        <w:pStyle w:val="ManualHeading2"/>
        <w:rPr>
          <w:rFonts w:eastAsia="Arial Unicode MS"/>
          <w:noProof/>
        </w:rPr>
      </w:pPr>
      <w:r>
        <w:rPr>
          <w:noProof/>
          <w:color w:val="000000"/>
          <w:u w:color="000000"/>
          <w:bdr w:val="nil"/>
        </w:rPr>
        <w:t>•</w:t>
      </w:r>
      <w:r>
        <w:rPr>
          <w:noProof/>
        </w:rPr>
        <w:tab/>
        <w:t>Förenlighet med unionens politik inom andra områden</w:t>
      </w:r>
    </w:p>
    <w:p>
      <w:pPr>
        <w:rPr>
          <w:noProof/>
        </w:rPr>
      </w:pPr>
      <w:r>
        <w:rPr>
          <w:noProof/>
        </w:rPr>
        <w:t xml:space="preserve">En gradvis liberalisering av handeln med bearbetade jordbruksprodukter mellan Europeiska unionen, å ena sidan, och EES-länderna (Norge, Island, Liechtenstein), å andra sidan, överensstämmer helt och hållet med målen för EES-avtalet, vilket är att upprätta ett dynamiskt och homogent europeiskt ekonomiskt samarbetsområde, som är grundat på gemensamma regler och lika konkurrensvillkor. </w:t>
      </w:r>
    </w:p>
    <w:p>
      <w:pPr>
        <w:pStyle w:val="ManualHeading1"/>
        <w:rPr>
          <w:noProof/>
        </w:rPr>
      </w:pPr>
      <w:r>
        <w:rPr>
          <w:noProof/>
        </w:rPr>
        <w:t>2.</w:t>
      </w:r>
      <w:r>
        <w:rPr>
          <w:noProof/>
        </w:rPr>
        <w:tab/>
        <w:t>RÄTTSLIG GRUND, SUBSIDIARITETSPRINCIPEN OCH PROPORTIONALITETSPRINCIPEN</w:t>
      </w:r>
    </w:p>
    <w:p>
      <w:pPr>
        <w:pStyle w:val="ManualHeading2"/>
        <w:rPr>
          <w:rFonts w:eastAsia="Arial Unicode MS"/>
          <w:noProof/>
          <w:u w:color="000000"/>
          <w:bdr w:val="nil"/>
        </w:rPr>
      </w:pPr>
      <w:r>
        <w:rPr>
          <w:noProof/>
        </w:rPr>
        <w:t>•</w:t>
      </w:r>
      <w:r>
        <w:rPr>
          <w:noProof/>
        </w:rPr>
        <w:tab/>
        <w:t>Rättslig grund</w:t>
      </w:r>
    </w:p>
    <w:p>
      <w:pPr>
        <w:rPr>
          <w:noProof/>
        </w:rPr>
      </w:pPr>
      <w:r>
        <w:rPr>
          <w:noProof/>
        </w:rPr>
        <w:t>Enligt artikel 2.2 i protokoll 3 till EES-avtalet får gemensamma EES-kommittén anpassa de tullar som anges i bilagorna till tabell I i protokoll 3 till EES-avtalet till ömsesidiga medgivanden.</w:t>
      </w:r>
    </w:p>
    <w:p>
      <w:pPr>
        <w:rPr>
          <w:noProof/>
          <w:szCs w:val="24"/>
        </w:rPr>
      </w:pPr>
      <w:r>
        <w:rPr>
          <w:noProof/>
        </w:rPr>
        <w:t>Enligt artikel 1.3 i rådets förordning (EG) nr 2894/94 om formerna för genomförandet av avtalet om Europeiska ekonomiska samarbetsområdet</w:t>
      </w:r>
      <w:r>
        <w:rPr>
          <w:rStyle w:val="FootnoteReference"/>
          <w:noProof/>
        </w:rPr>
        <w:footnoteReference w:id="1"/>
      </w:r>
      <w:r>
        <w:rPr>
          <w:noProof/>
        </w:rPr>
        <w:t xml:space="preserve"> ska rådet när det gäller denna typ av beslut fastställa unionens ståndpunkt på förslag från kommissionen. </w:t>
      </w:r>
    </w:p>
    <w:p>
      <w:pPr>
        <w:rPr>
          <w:noProof/>
        </w:rPr>
      </w:pPr>
      <w:r>
        <w:rPr>
          <w:noProof/>
        </w:rPr>
        <w:t>Kommissionen överlämnar tillsammans med Europeiska utrikestjänsten utkastet till beslut av gemensamma EES-kommittén till rådet för antagande som unionens ståndpunkt. Kommissionen hoppas så snart som möjligt kunna lägga fram unionens ståndpunkt i gemensamma EES-kommittén.</w:t>
      </w:r>
    </w:p>
    <w:p>
      <w:pPr>
        <w:pStyle w:val="ManualHeading2"/>
        <w:rPr>
          <w:rFonts w:eastAsia="Arial Unicode MS"/>
          <w:noProof/>
          <w:u w:color="000000"/>
          <w:bdr w:val="nil"/>
        </w:rPr>
      </w:pPr>
      <w:r>
        <w:rPr>
          <w:noProof/>
        </w:rPr>
        <w:t>•</w:t>
      </w:r>
      <w:r>
        <w:rPr>
          <w:noProof/>
        </w:rPr>
        <w:tab/>
        <w:t xml:space="preserve">Subsidiaritetsprincipen (för icke-exklusiv befogenhet) </w:t>
      </w:r>
    </w:p>
    <w:p>
      <w:pPr>
        <w:rPr>
          <w:rFonts w:cs="EUAlbertina"/>
          <w:noProof/>
          <w:color w:val="000000"/>
        </w:rPr>
      </w:pPr>
      <w:r>
        <w:rPr>
          <w:noProof/>
        </w:rPr>
        <w:t>Förslaget avser den gemensamma handelspolitiken, där EU enligt artikel 3 i fördraget om Europeiska unionens funktionssätt (EUF-fördraget) har exklusiv befogenhet.</w:t>
      </w:r>
    </w:p>
    <w:p>
      <w:pPr>
        <w:pBdr>
          <w:top w:val="nil"/>
          <w:left w:val="nil"/>
          <w:bottom w:val="nil"/>
          <w:right w:val="nil"/>
          <w:between w:val="nil"/>
          <w:bar w:val="nil"/>
        </w:pBdr>
        <w:spacing w:before="0" w:after="240"/>
        <w:rPr>
          <w:bCs/>
          <w:noProof/>
          <w:szCs w:val="24"/>
        </w:rPr>
      </w:pPr>
      <w:r>
        <w:rPr>
          <w:noProof/>
        </w:rPr>
        <w:t xml:space="preserve">Ändringen av bestämmelser i protokoll 3 till EES-avtalet sker i överensstämmelse med rådets förordning (EG) nr 2894/94 av den 28 november 1994 om formerna för genomförandet av avtalet om Europeiska ekonomiska samarbetsområdet. </w:t>
      </w:r>
    </w:p>
    <w:p>
      <w:pPr>
        <w:pStyle w:val="ManualHeading2"/>
        <w:rPr>
          <w:rFonts w:eastAsia="Arial Unicode MS"/>
          <w:noProof/>
          <w:u w:color="000000"/>
          <w:bdr w:val="nil"/>
        </w:rPr>
      </w:pPr>
      <w:r>
        <w:rPr>
          <w:noProof/>
        </w:rPr>
        <w:t>•</w:t>
      </w:r>
      <w:r>
        <w:rPr>
          <w:noProof/>
        </w:rPr>
        <w:tab/>
        <w:t>Proportionalitetsprincipen</w:t>
      </w:r>
    </w:p>
    <w:p>
      <w:pPr>
        <w:pBdr>
          <w:top w:val="nil"/>
          <w:left w:val="nil"/>
          <w:bottom w:val="nil"/>
          <w:right w:val="nil"/>
          <w:between w:val="nil"/>
          <w:bar w:val="nil"/>
        </w:pBdr>
        <w:spacing w:before="0" w:after="240"/>
        <w:rPr>
          <w:noProof/>
        </w:rPr>
      </w:pPr>
      <w:r>
        <w:rPr>
          <w:noProof/>
        </w:rPr>
        <w:t>I enlighet med proportionalitetsprincipen går förslaget inte utöver vad som är nödvändigt för att uppnå dess mål – att inrätta ett dynamiskt och enhetligt europeiskt ekonomiskt samarbetsområde, som är grundat på gemensamma regler och lika konkurrensvillkor.</w:t>
      </w:r>
    </w:p>
    <w:p>
      <w:pPr>
        <w:pBdr>
          <w:top w:val="nil"/>
          <w:left w:val="nil"/>
          <w:bottom w:val="nil"/>
          <w:right w:val="nil"/>
          <w:between w:val="nil"/>
          <w:bar w:val="nil"/>
        </w:pBdr>
        <w:spacing w:before="0" w:after="240"/>
        <w:rPr>
          <w:rFonts w:eastAsia="Arial Unicode MS"/>
          <w:b/>
          <w:noProof/>
          <w:u w:color="000000"/>
          <w:bdr w:val="nil"/>
        </w:rPr>
      </w:pPr>
      <w:r>
        <w:rPr>
          <w:noProof/>
        </w:rPr>
        <w:t>•</w:t>
      </w:r>
      <w:r>
        <w:rPr>
          <w:noProof/>
        </w:rPr>
        <w:tab/>
      </w:r>
      <w:r>
        <w:rPr>
          <w:b/>
          <w:noProof/>
          <w:u w:color="000000"/>
          <w:bdr w:val="nil"/>
        </w:rPr>
        <w:t>Val av instrument</w:t>
      </w:r>
    </w:p>
    <w:p>
      <w:pPr>
        <w:pBdr>
          <w:top w:val="nil"/>
          <w:left w:val="nil"/>
          <w:bottom w:val="nil"/>
          <w:right w:val="nil"/>
          <w:between w:val="nil"/>
          <w:bar w:val="nil"/>
        </w:pBdr>
        <w:spacing w:before="0" w:after="240"/>
        <w:rPr>
          <w:bCs/>
          <w:noProof/>
          <w:szCs w:val="24"/>
        </w:rPr>
      </w:pPr>
      <w:r>
        <w:rPr>
          <w:noProof/>
        </w:rPr>
        <w:t xml:space="preserve">I överensstämmelse med artikel 98 i EES-avtalet har ett beslut av gemensamma EES-kommittén valts som instrument. Gemensamma EES-kommittén ska säkerställa att EES-avtalet genomförs och fungerar på ett effektivt sätt. I detta syfte ska kommittén fatta beslut i de fall som anges i EES-avtalet. </w:t>
      </w:r>
    </w:p>
    <w:p>
      <w:pPr>
        <w:pStyle w:val="ManualHeading1"/>
        <w:rPr>
          <w:noProof/>
        </w:rPr>
      </w:pPr>
      <w:r>
        <w:rPr>
          <w:noProof/>
        </w:rPr>
        <w:t>3.</w:t>
      </w:r>
      <w:r>
        <w:rPr>
          <w:noProof/>
        </w:rPr>
        <w:tab/>
        <w:t>BUDGETKONSEKVENSER</w:t>
      </w:r>
    </w:p>
    <w:p>
      <w:pPr>
        <w:autoSpaceDE w:val="0"/>
        <w:autoSpaceDN w:val="0"/>
        <w:adjustRightInd w:val="0"/>
        <w:spacing w:before="0" w:after="0"/>
        <w:rPr>
          <w:noProof/>
          <w:szCs w:val="24"/>
        </w:rPr>
      </w:pPr>
      <w:r>
        <w:rPr>
          <w:noProof/>
        </w:rPr>
        <w:t>Genom förslaget kommer tullarna att avskaffas vid import av de flesta bearbetade jordbruksprodukter från Island till EU. Inverkan på EU:s inkomster förväntas uppgå till –0,5 miljoner euro per år.</w:t>
      </w:r>
    </w:p>
    <w:p>
      <w:pPr>
        <w:pStyle w:val="ManualHeading1"/>
        <w:rPr>
          <w:noProof/>
        </w:rPr>
      </w:pPr>
      <w:r>
        <w:rPr>
          <w:noProof/>
        </w:rPr>
        <w:t>4.</w:t>
      </w:r>
      <w:r>
        <w:rPr>
          <w:noProof/>
        </w:rPr>
        <w:tab/>
        <w:t>ÖVRIGA INSLAG</w:t>
      </w:r>
    </w:p>
    <w:p>
      <w:pPr>
        <w:pStyle w:val="ManualHeading2"/>
        <w:ind w:left="0" w:firstLine="0"/>
        <w:rPr>
          <w:b w:val="0"/>
          <w:noProof/>
          <w:szCs w:val="24"/>
        </w:rPr>
      </w:pPr>
      <w:r>
        <w:rPr>
          <w:b w:val="0"/>
          <w:noProof/>
        </w:rPr>
        <w:t xml:space="preserve">Det utkast till beslut av gemensamma EES-kommittén som åtföljer utkastet till rådets beslut träder i kraft så snart alla anmälningar enligt artikel 103.1 i EES-avtalet har gjorts, eller samma dag som avtalet genom skriftväxling mellan Europeiska unionen och Island om ytterligare handelsförmåner för jordbruksprodukter träder i kraft, om denna dag infaller senare. Avtalet genom skriftväxling förhandlades fram av Europeiska kommissionens generaldirektorat för jordbruk på grundval av artikel 19 i EES-avtalet. </w:t>
      </w:r>
    </w:p>
    <w:p>
      <w:pPr>
        <w:rPr>
          <w:noProof/>
        </w:rPr>
      </w:pPr>
      <w:r>
        <w:rPr>
          <w:noProof/>
        </w:rPr>
        <w:br w:type="page"/>
      </w:r>
    </w:p>
    <w:p>
      <w:pPr>
        <w:pStyle w:val="Rfrenceinterinstitutionnelle"/>
        <w:rPr>
          <w:noProof/>
        </w:rPr>
      </w:pPr>
      <w:r>
        <w:rPr>
          <w:noProof/>
        </w:rPr>
        <w:t>2017/0069 (NLE)</w:t>
      </w:r>
    </w:p>
    <w:p>
      <w:pPr>
        <w:pStyle w:val="Statut"/>
        <w:rPr>
          <w:noProof/>
        </w:rPr>
      </w:pPr>
      <w:r>
        <w:rPr>
          <w:noProof/>
        </w:rPr>
        <w:t>Förslag till</w:t>
      </w:r>
    </w:p>
    <w:p>
      <w:pPr>
        <w:pStyle w:val="Typedudocument"/>
        <w:rPr>
          <w:noProof/>
        </w:rPr>
      </w:pPr>
      <w:r>
        <w:rPr>
          <w:noProof/>
        </w:rPr>
        <w:t>RÅDETS BESLUT</w:t>
      </w:r>
    </w:p>
    <w:p>
      <w:pPr>
        <w:pStyle w:val="Titreobjet"/>
        <w:rPr>
          <w:noProof/>
        </w:rPr>
      </w:pPr>
      <w:r>
        <w:rPr>
          <w:noProof/>
        </w:rPr>
        <w:t>om den ståndpunkt som ska intas på Europeiska unionens vägnar</w:t>
      </w:r>
      <w:r>
        <w:rPr>
          <w:noProof/>
        </w:rPr>
        <w:br/>
        <w:t>i gemensamma EES-kommittén beträffande en ändring av protokoll 3 till EES-avtalet, om produkter som avses i artikel 8.3 b i avtalet</w:t>
      </w:r>
    </w:p>
    <w:p>
      <w:pPr>
        <w:pStyle w:val="Institutionquiagit"/>
        <w:rPr>
          <w:noProof/>
        </w:rPr>
      </w:pPr>
      <w:r>
        <w:rPr>
          <w:noProof/>
        </w:rPr>
        <w:t>EUROPEISKA UNIONENS RÅD HAR ANTAGIT DETTA BESLUT</w:t>
      </w:r>
    </w:p>
    <w:p>
      <w:pPr>
        <w:rPr>
          <w:noProof/>
        </w:rPr>
      </w:pPr>
      <w:r>
        <w:rPr>
          <w:noProof/>
        </w:rPr>
        <w:t>med beaktande av fördraget om Europeiska unionens funktionssätt, särskilt artikel 114 jämförd med artikel 218.9,</w:t>
      </w:r>
    </w:p>
    <w:p>
      <w:pPr>
        <w:rPr>
          <w:noProof/>
        </w:rPr>
      </w:pPr>
      <w:r>
        <w:rPr>
          <w:noProof/>
        </w:rPr>
        <w:t>med beaktande av rådets förordning (EG) nr 2894/94 av den 28 november 1994 om formerna för genomförandet av avtalet om Europeiska ekonomiska samarbetsområdet</w:t>
      </w:r>
      <w:r>
        <w:rPr>
          <w:rStyle w:val="FootnoteReference"/>
          <w:noProof/>
        </w:rPr>
        <w:footnoteReference w:id="2"/>
      </w:r>
      <w:r>
        <w:rPr>
          <w:noProof/>
        </w:rPr>
        <w:t>, särskilt artikel 1.3,</w:t>
      </w:r>
    </w:p>
    <w:p>
      <w:pPr>
        <w:rPr>
          <w:noProof/>
        </w:rPr>
      </w:pPr>
      <w:r>
        <w:rPr>
          <w:noProof/>
        </w:rPr>
        <w:t>med beaktande av Europeiska kommissionens förslag, och</w:t>
      </w:r>
    </w:p>
    <w:p>
      <w:pPr>
        <w:rPr>
          <w:noProof/>
        </w:rPr>
      </w:pPr>
      <w:r>
        <w:rPr>
          <w:noProof/>
        </w:rPr>
        <w:t>av följande skäl:</w:t>
      </w:r>
    </w:p>
    <w:p>
      <w:pPr>
        <w:pStyle w:val="ManualConsidrant"/>
        <w:rPr>
          <w:noProof/>
        </w:rPr>
      </w:pPr>
      <w:r>
        <w:t>(1)</w:t>
      </w:r>
      <w:r>
        <w:tab/>
      </w:r>
      <w:r>
        <w:rPr>
          <w:noProof/>
        </w:rPr>
        <w:t xml:space="preserve">Avtalet om Europeiska ekonomiska samarbetsområdet (nedan kallat </w:t>
      </w:r>
      <w:r>
        <w:rPr>
          <w:i/>
          <w:noProof/>
        </w:rPr>
        <w:t>EES-avtalet</w:t>
      </w:r>
      <w:r>
        <w:rPr>
          <w:noProof/>
        </w:rPr>
        <w:t>) trädde i kraft den 1 januari 1994.</w:t>
      </w:r>
    </w:p>
    <w:p>
      <w:pPr>
        <w:pStyle w:val="ManualConsidrant"/>
        <w:rPr>
          <w:noProof/>
        </w:rPr>
      </w:pPr>
      <w:r>
        <w:t>(2)</w:t>
      </w:r>
      <w:r>
        <w:tab/>
      </w:r>
      <w:r>
        <w:rPr>
          <w:noProof/>
        </w:rPr>
        <w:t>Enligt artikel 98 i EES-avtalet får gemensamma EES-kommittén besluta att ändra bland annat protokoll 3 om produkter som avses i artikel 8.3 b i avtalet, i vilket handelsordningen mellan avtalsparterna fastställs när det gäller vissa jordbruksprodukter och bearbetade jordbruksprodukter.</w:t>
      </w:r>
    </w:p>
    <w:p>
      <w:pPr>
        <w:pStyle w:val="ManualConsidrant"/>
        <w:rPr>
          <w:noProof/>
          <w:color w:val="000000"/>
          <w:szCs w:val="24"/>
        </w:rPr>
      </w:pPr>
      <w:r>
        <w:t>(3)</w:t>
      </w:r>
      <w:r>
        <w:tab/>
      </w:r>
      <w:r>
        <w:rPr>
          <w:noProof/>
        </w:rPr>
        <w:t>Enligt artikel 2.2 i protokoll 3 till EES-avtalet får gemensamma EES-kommittén anpassa de tullar som anges i bilagorna till tabell I i protokoll 3 till EES-avtalet till ömsesidiga medgivanden. Island och Europeiska unionen har kommit överens om att avskaffa tullarna på vissa produkter som anges i protokoll 3 till EES-avtalet. Dessa medgivanden kommer att tillämpas endast på produkter med ursprung i Europeiska unionen respektive i Island, i den mening som avses i den regionala konventionen om Europa–Medelhavstäckande regler om förmånsursprung.</w:t>
      </w:r>
    </w:p>
    <w:p>
      <w:pPr>
        <w:pStyle w:val="ManualConsidrant"/>
        <w:rPr>
          <w:noProof/>
        </w:rPr>
      </w:pPr>
      <w:r>
        <w:t>(4)</w:t>
      </w:r>
      <w:r>
        <w:tab/>
      </w:r>
      <w:r>
        <w:rPr>
          <w:noProof/>
        </w:rPr>
        <w:t xml:space="preserve">Protokoll 3 till EES-avtalet bör därför ändras i enlighet med detta. </w:t>
      </w:r>
    </w:p>
    <w:p>
      <w:pPr>
        <w:pStyle w:val="ManualConsidrant"/>
        <w:rPr>
          <w:noProof/>
        </w:rPr>
      </w:pPr>
      <w:r>
        <w:t>(5)</w:t>
      </w:r>
      <w:r>
        <w:tab/>
      </w:r>
      <w:r>
        <w:rPr>
          <w:noProof/>
        </w:rPr>
        <w:t>Unionens ståndpunkt i gemensamma EES-kommittén bör därför grunda sig på det utkast till beslut som åtföljer det här beslutet.</w:t>
      </w:r>
    </w:p>
    <w:p>
      <w:pPr>
        <w:pStyle w:val="Formuledadoption"/>
        <w:rPr>
          <w:noProof/>
        </w:rPr>
      </w:pPr>
      <w:r>
        <w:rPr>
          <w:noProof/>
        </w:rPr>
        <w:t xml:space="preserve">HÄRIGENOM FÖRESKRIVS FÖLJANDE. </w:t>
      </w:r>
    </w:p>
    <w:p>
      <w:pPr>
        <w:pStyle w:val="Titrearticle"/>
        <w:rPr>
          <w:noProof/>
        </w:rPr>
      </w:pPr>
      <w:r>
        <w:rPr>
          <w:noProof/>
        </w:rPr>
        <w:t>Artikel 1</w:t>
      </w:r>
    </w:p>
    <w:p>
      <w:pPr>
        <w:rPr>
          <w:noProof/>
        </w:rPr>
      </w:pPr>
      <w:r>
        <w:rPr>
          <w:noProof/>
        </w:rPr>
        <w:t>Den ståndpunkt som ska intas på unionens vägnar i gemensamma EES-kommittén beträffande den föreslagna ändringen av protokoll 3 till EES-avtalet ska grunda sig på det utkast till beslut av gemensamma EES-kommittén som åtföljer det här beslutet.</w:t>
      </w:r>
    </w:p>
    <w:p>
      <w:pPr>
        <w:pStyle w:val="Titrearticle"/>
        <w:rPr>
          <w:noProof/>
        </w:rPr>
      </w:pPr>
      <w:r>
        <w:rPr>
          <w:noProof/>
        </w:rPr>
        <w:t>Artikel 2</w:t>
      </w:r>
    </w:p>
    <w:p>
      <w:pPr>
        <w:keepLines/>
        <w:rPr>
          <w:noProof/>
        </w:rPr>
      </w:pPr>
      <w:r>
        <w:rPr>
          <w:noProof/>
        </w:rPr>
        <w:t>Detta beslut träder i kraft samma dag som det antas.</w:t>
      </w:r>
    </w:p>
    <w:p>
      <w:pPr>
        <w:pStyle w:val="Fait"/>
        <w:rPr>
          <w:noProof/>
        </w:rPr>
      </w:pPr>
      <w:r>
        <w:rPr>
          <w:noProof/>
        </w:rPr>
        <w:t>Utfärdat i Bryssel den</w:t>
      </w:r>
    </w:p>
    <w:p>
      <w:pPr>
        <w:pStyle w:val="Institutionquisigne"/>
        <w:rPr>
          <w:noProof/>
        </w:rPr>
      </w:pPr>
      <w:r>
        <w:rPr>
          <w:noProof/>
        </w:rPr>
        <w:tab/>
        <w:t>På rådets vägnar</w:t>
      </w:r>
    </w:p>
    <w:p>
      <w:pPr>
        <w:pStyle w:val="Personnequisigne"/>
        <w:rPr>
          <w:noProof/>
        </w:rPr>
      </w:pPr>
      <w:r>
        <w:rPr>
          <w:noProof/>
        </w:rPr>
        <w:tab/>
        <w:t>Ordförande</w:t>
      </w:r>
    </w:p>
    <w:p>
      <w:pPr>
        <w:pStyle w:val="Fichefinanciretitre"/>
        <w:rPr>
          <w:noProof/>
        </w:rPr>
      </w:pPr>
      <w:r>
        <w:rPr>
          <w:noProof/>
        </w:rPr>
        <w:br w:type="page"/>
        <w:t>FINANSIERINGSÖVERSIKT FÖR RÄTTSAKT FÖR FÖRSLAG SOM ENDAST PÅVERKAR BUDGETENS INKOMSTSIDA</w:t>
      </w:r>
    </w:p>
    <w:p>
      <w:pPr>
        <w:pStyle w:val="ManualHeading1"/>
        <w:rPr>
          <w:noProof/>
        </w:rPr>
      </w:pPr>
      <w:r>
        <w:t>1.</w:t>
      </w:r>
      <w:r>
        <w:tab/>
      </w:r>
      <w:r>
        <w:rPr>
          <w:noProof/>
        </w:rPr>
        <w:t>FÖRSLAGETS BETECKNING</w:t>
      </w:r>
    </w:p>
    <w:p>
      <w:pPr>
        <w:ind w:left="720"/>
        <w:rPr>
          <w:noProof/>
        </w:rPr>
      </w:pPr>
      <w:r>
        <w:rPr>
          <w:noProof/>
        </w:rPr>
        <w:t>Gemensamma EES-kommitténs beslut om ändring av protokoll 3 till EES-avtalet, om produkter som avses i artikel 8.3 b i avtalet</w:t>
      </w:r>
    </w:p>
    <w:p>
      <w:pPr>
        <w:ind w:firstLine="357"/>
        <w:rPr>
          <w:noProof/>
        </w:rPr>
      </w:pPr>
    </w:p>
    <w:p>
      <w:pPr>
        <w:pStyle w:val="ManualHeading1"/>
        <w:rPr>
          <w:noProof/>
        </w:rPr>
      </w:pPr>
      <w:r>
        <w:t>2.</w:t>
      </w:r>
      <w:r>
        <w:tab/>
      </w:r>
      <w:r>
        <w:rPr>
          <w:noProof/>
        </w:rPr>
        <w:t>BERÖRDA BUDGETRUBRIKER</w:t>
      </w:r>
    </w:p>
    <w:p>
      <w:pPr>
        <w:rPr>
          <w:noProof/>
          <w:kern w:val="32"/>
        </w:rPr>
      </w:pPr>
    </w:p>
    <w:p>
      <w:pPr>
        <w:ind w:left="720"/>
        <w:rPr>
          <w:noProof/>
        </w:rPr>
      </w:pPr>
      <w:r>
        <w:rPr>
          <w:noProof/>
        </w:rPr>
        <w:t>Kapitel och artikel: 1 2 0 Tullar och andra avgifter i enlighet med artikel 2.1 a i beslut 2007/436/EG, Euratom</w:t>
      </w:r>
    </w:p>
    <w:p>
      <w:pPr>
        <w:ind w:left="720"/>
        <w:rPr>
          <w:noProof/>
        </w:rPr>
      </w:pPr>
      <w:r>
        <w:rPr>
          <w:noProof/>
        </w:rPr>
        <w:t>Belopp som tas upp i kapitel 1 2 0: 20 000,5 miljoner euro (BF 2017)</w:t>
      </w:r>
    </w:p>
    <w:p>
      <w:pPr>
        <w:ind w:left="360"/>
        <w:rPr>
          <w:noProof/>
        </w:rPr>
      </w:pPr>
    </w:p>
    <w:p>
      <w:pPr>
        <w:pStyle w:val="ManualHeading1"/>
        <w:rPr>
          <w:noProof/>
        </w:rPr>
      </w:pPr>
      <w:r>
        <w:t>3.</w:t>
      </w:r>
      <w:r>
        <w:tab/>
      </w:r>
      <w:r>
        <w:rPr>
          <w:noProof/>
        </w:rPr>
        <w:t xml:space="preserve">BUDGETKONSEKVENSER </w:t>
      </w:r>
    </w:p>
    <w:p>
      <w:pPr>
        <w:pStyle w:val="Text2"/>
        <w:rPr>
          <w:noProof/>
        </w:rPr>
      </w:pPr>
      <w:r>
        <w:rPr>
          <w:noProof/>
        </w:rPr>
        <w:sym w:font="Wingdings" w:char="F0FE"/>
      </w:r>
      <w:r>
        <w:rPr>
          <w:noProof/>
        </w:rPr>
        <w:tab/>
        <w:t>Förslaget påverkar inte utgifterna, men påverkar inkomsterna enligt följande</w:t>
      </w:r>
      <w:r>
        <w:rPr>
          <w:rStyle w:val="FootnoteReference"/>
          <w:noProof/>
        </w:rPr>
        <w:footnoteReference w:id="3"/>
      </w:r>
      <w:r>
        <w:rPr>
          <w:noProof/>
        </w:rPr>
        <w:t>:</w:t>
      </w:r>
    </w:p>
    <w:p>
      <w:pPr>
        <w:pStyle w:val="NormalRight"/>
        <w:rPr>
          <w:noProof/>
          <w:sz w:val="18"/>
        </w:rPr>
      </w:pPr>
      <w:r>
        <w:rPr>
          <w:noProof/>
        </w:rPr>
        <w:t>(miljoner euro, avrundat till en decimal)</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cantSplit/>
        </w:trPr>
        <w:tc>
          <w:tcPr>
            <w:tcW w:w="1322" w:type="dxa"/>
          </w:tcPr>
          <w:p>
            <w:pPr>
              <w:rPr>
                <w:noProof/>
              </w:rPr>
            </w:pPr>
            <w:r>
              <w:rPr>
                <w:noProof/>
              </w:rPr>
              <w:t>Budget</w:t>
            </w:r>
            <w:r>
              <w:rPr>
                <w:noProof/>
              </w:rPr>
              <w:softHyphen/>
              <w:t>rubrik</w:t>
            </w:r>
          </w:p>
        </w:tc>
        <w:tc>
          <w:tcPr>
            <w:tcW w:w="2880" w:type="dxa"/>
          </w:tcPr>
          <w:p>
            <w:pPr>
              <w:jc w:val="center"/>
              <w:rPr>
                <w:noProof/>
              </w:rPr>
            </w:pPr>
            <w:r>
              <w:rPr>
                <w:noProof/>
              </w:rPr>
              <w:t>Inkomster</w:t>
            </w:r>
          </w:p>
        </w:tc>
        <w:tc>
          <w:tcPr>
            <w:tcW w:w="2070" w:type="dxa"/>
            <w:shd w:val="clear" w:color="auto" w:fill="auto"/>
          </w:tcPr>
          <w:p>
            <w:pPr>
              <w:jc w:val="center"/>
              <w:rPr>
                <w:noProof/>
              </w:rPr>
            </w:pPr>
            <w:r>
              <w:rPr>
                <w:noProof/>
              </w:rPr>
              <w:t>2017</w:t>
            </w:r>
          </w:p>
        </w:tc>
        <w:tc>
          <w:tcPr>
            <w:tcW w:w="2070" w:type="dxa"/>
            <w:shd w:val="clear" w:color="auto" w:fill="auto"/>
          </w:tcPr>
          <w:p>
            <w:pPr>
              <w:jc w:val="center"/>
              <w:rPr>
                <w:noProof/>
              </w:rPr>
            </w:pPr>
            <w:r>
              <w:rPr>
                <w:noProof/>
              </w:rPr>
              <w:t>2018</w:t>
            </w:r>
          </w:p>
        </w:tc>
      </w:tr>
      <w:tr>
        <w:trPr>
          <w:cantSplit/>
        </w:trPr>
        <w:tc>
          <w:tcPr>
            <w:tcW w:w="1322" w:type="dxa"/>
            <w:shd w:val="clear" w:color="auto" w:fill="auto"/>
          </w:tcPr>
          <w:p>
            <w:pPr>
              <w:rPr>
                <w:noProof/>
              </w:rPr>
            </w:pPr>
            <w:r>
              <w:rPr>
                <w:noProof/>
              </w:rPr>
              <w:t>Artikel 1 2 0</w:t>
            </w:r>
          </w:p>
          <w:p>
            <w:pPr>
              <w:rPr>
                <w:noProof/>
              </w:rPr>
            </w:pPr>
            <w:r>
              <w:rPr>
                <w:noProof/>
              </w:rPr>
              <w:t xml:space="preserve"> </w:t>
            </w:r>
          </w:p>
        </w:tc>
        <w:tc>
          <w:tcPr>
            <w:tcW w:w="2880" w:type="dxa"/>
          </w:tcPr>
          <w:p>
            <w:pPr>
              <w:rPr>
                <w:i/>
                <w:noProof/>
              </w:rPr>
            </w:pPr>
            <w:r>
              <w:rPr>
                <w:i/>
                <w:noProof/>
              </w:rPr>
              <w:t>Påverkan på egna medel</w:t>
            </w:r>
          </w:p>
        </w:tc>
        <w:tc>
          <w:tcPr>
            <w:tcW w:w="2070" w:type="dxa"/>
            <w:shd w:val="clear" w:color="auto" w:fill="auto"/>
          </w:tcPr>
          <w:p>
            <w:pPr>
              <w:rPr>
                <w:noProof/>
              </w:rPr>
            </w:pPr>
            <w:r>
              <w:rPr>
                <w:noProof/>
              </w:rPr>
              <w:t>–0.5</w:t>
            </w:r>
          </w:p>
        </w:tc>
        <w:tc>
          <w:tcPr>
            <w:tcW w:w="2070" w:type="dxa"/>
            <w:shd w:val="clear" w:color="auto" w:fill="auto"/>
          </w:tcPr>
          <w:p>
            <w:pPr>
              <w:rPr>
                <w:noProof/>
              </w:rPr>
            </w:pPr>
            <w:r>
              <w:rPr>
                <w:noProof/>
              </w:rPr>
              <w:t>–0.5</w:t>
            </w:r>
          </w:p>
        </w:tc>
      </w:tr>
    </w:tbl>
    <w:p>
      <w:pPr>
        <w:pStyle w:val="Text2"/>
        <w:rPr>
          <w:b/>
          <w:i/>
          <w:noProof/>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1440"/>
        <w:gridCol w:w="1440"/>
        <w:gridCol w:w="1260"/>
        <w:gridCol w:w="1440"/>
        <w:gridCol w:w="1440"/>
      </w:tblGrid>
      <w:tr>
        <w:trPr>
          <w:cantSplit/>
        </w:trPr>
        <w:tc>
          <w:tcPr>
            <w:tcW w:w="8342" w:type="dxa"/>
            <w:gridSpan w:val="6"/>
          </w:tcPr>
          <w:p>
            <w:pPr>
              <w:jc w:val="center"/>
              <w:rPr>
                <w:noProof/>
                <w:sz w:val="18"/>
              </w:rPr>
            </w:pPr>
            <w:r>
              <w:rPr>
                <w:noProof/>
                <w:sz w:val="18"/>
              </w:rPr>
              <w:t>Situation efter åtgärden</w:t>
            </w:r>
          </w:p>
        </w:tc>
      </w:tr>
      <w:tr>
        <w:trPr>
          <w:cantSplit/>
        </w:trPr>
        <w:tc>
          <w:tcPr>
            <w:tcW w:w="1322" w:type="dxa"/>
          </w:tcPr>
          <w:p>
            <w:pPr>
              <w:jc w:val="center"/>
              <w:rPr>
                <w:noProof/>
                <w:sz w:val="18"/>
              </w:rPr>
            </w:pPr>
          </w:p>
        </w:tc>
        <w:tc>
          <w:tcPr>
            <w:tcW w:w="1440" w:type="dxa"/>
          </w:tcPr>
          <w:p>
            <w:pPr>
              <w:jc w:val="center"/>
              <w:rPr>
                <w:noProof/>
                <w:sz w:val="18"/>
              </w:rPr>
            </w:pPr>
            <w:r>
              <w:rPr>
                <w:noProof/>
              </w:rPr>
              <w:t>2019</w:t>
            </w:r>
          </w:p>
        </w:tc>
        <w:tc>
          <w:tcPr>
            <w:tcW w:w="1440" w:type="dxa"/>
          </w:tcPr>
          <w:p>
            <w:pPr>
              <w:jc w:val="center"/>
              <w:rPr>
                <w:noProof/>
                <w:sz w:val="18"/>
              </w:rPr>
            </w:pPr>
            <w:r>
              <w:rPr>
                <w:noProof/>
              </w:rPr>
              <w:t>2020</w:t>
            </w:r>
          </w:p>
        </w:tc>
        <w:tc>
          <w:tcPr>
            <w:tcW w:w="1260" w:type="dxa"/>
          </w:tcPr>
          <w:p>
            <w:pPr>
              <w:jc w:val="center"/>
              <w:rPr>
                <w:noProof/>
                <w:sz w:val="18"/>
              </w:rPr>
            </w:pPr>
            <w:r>
              <w:rPr>
                <w:noProof/>
              </w:rPr>
              <w:t>2021</w:t>
            </w:r>
          </w:p>
        </w:tc>
        <w:tc>
          <w:tcPr>
            <w:tcW w:w="1440" w:type="dxa"/>
          </w:tcPr>
          <w:p>
            <w:pPr>
              <w:jc w:val="center"/>
              <w:rPr>
                <w:noProof/>
                <w:sz w:val="18"/>
              </w:rPr>
            </w:pPr>
            <w:r>
              <w:rPr>
                <w:noProof/>
              </w:rPr>
              <w:t>2022</w:t>
            </w:r>
          </w:p>
        </w:tc>
        <w:tc>
          <w:tcPr>
            <w:tcW w:w="1440" w:type="dxa"/>
          </w:tcPr>
          <w:p>
            <w:pPr>
              <w:jc w:val="center"/>
              <w:rPr>
                <w:noProof/>
                <w:sz w:val="18"/>
              </w:rPr>
            </w:pPr>
            <w:r>
              <w:rPr>
                <w:noProof/>
              </w:rPr>
              <w:t>2023</w:t>
            </w:r>
          </w:p>
        </w:tc>
      </w:tr>
      <w:tr>
        <w:trPr>
          <w:cantSplit/>
        </w:trPr>
        <w:tc>
          <w:tcPr>
            <w:tcW w:w="1322" w:type="dxa"/>
          </w:tcPr>
          <w:p>
            <w:pPr>
              <w:rPr>
                <w:noProof/>
              </w:rPr>
            </w:pPr>
            <w:r>
              <w:rPr>
                <w:noProof/>
              </w:rPr>
              <w:t xml:space="preserve">Artikel 1 2 0 </w:t>
            </w:r>
          </w:p>
          <w:p>
            <w:pPr>
              <w:rPr>
                <w:noProof/>
              </w:rPr>
            </w:pPr>
            <w:r>
              <w:rPr>
                <w:noProof/>
              </w:rPr>
              <w:t xml:space="preserve">  </w:t>
            </w:r>
          </w:p>
        </w:tc>
        <w:tc>
          <w:tcPr>
            <w:tcW w:w="1440" w:type="dxa"/>
          </w:tcPr>
          <w:p>
            <w:pPr>
              <w:rPr>
                <w:noProof/>
              </w:rPr>
            </w:pPr>
            <w:r>
              <w:rPr>
                <w:noProof/>
              </w:rPr>
              <w:t>–0.5</w:t>
            </w:r>
          </w:p>
        </w:tc>
        <w:tc>
          <w:tcPr>
            <w:tcW w:w="1440" w:type="dxa"/>
          </w:tcPr>
          <w:p>
            <w:pPr>
              <w:rPr>
                <w:noProof/>
              </w:rPr>
            </w:pPr>
            <w:r>
              <w:rPr>
                <w:noProof/>
              </w:rPr>
              <w:t>–0.5</w:t>
            </w:r>
          </w:p>
        </w:tc>
        <w:tc>
          <w:tcPr>
            <w:tcW w:w="1260" w:type="dxa"/>
          </w:tcPr>
          <w:p>
            <w:pPr>
              <w:rPr>
                <w:noProof/>
              </w:rPr>
            </w:pPr>
            <w:r>
              <w:rPr>
                <w:noProof/>
              </w:rPr>
              <w:t>–0.5</w:t>
            </w:r>
          </w:p>
        </w:tc>
        <w:tc>
          <w:tcPr>
            <w:tcW w:w="1440" w:type="dxa"/>
          </w:tcPr>
          <w:p>
            <w:pPr>
              <w:rPr>
                <w:noProof/>
              </w:rPr>
            </w:pPr>
            <w:r>
              <w:rPr>
                <w:noProof/>
              </w:rPr>
              <w:t>–0.5</w:t>
            </w:r>
          </w:p>
        </w:tc>
        <w:tc>
          <w:tcPr>
            <w:tcW w:w="1440" w:type="dxa"/>
          </w:tcPr>
          <w:p>
            <w:pPr>
              <w:rPr>
                <w:noProof/>
              </w:rPr>
            </w:pPr>
            <w:r>
              <w:rPr>
                <w:noProof/>
              </w:rPr>
              <w:t>–0.5</w:t>
            </w:r>
          </w:p>
        </w:tc>
      </w:tr>
    </w:tbl>
    <w:p>
      <w:pPr>
        <w:rPr>
          <w:noProof/>
        </w:rPr>
      </w:pPr>
      <w:r>
        <w:rPr>
          <w:b/>
          <w:i/>
          <w:noProof/>
        </w:rPr>
        <w:t xml:space="preserve"> </w:t>
      </w:r>
    </w:p>
    <w:p>
      <w:pPr>
        <w:pStyle w:val="ManualHeading1"/>
        <w:rPr>
          <w:noProof/>
        </w:rPr>
      </w:pPr>
      <w:r>
        <w:t>4.</w:t>
      </w:r>
      <w:r>
        <w:tab/>
      </w:r>
      <w:r>
        <w:rPr>
          <w:noProof/>
        </w:rPr>
        <w:t>BESTÄMMELSER OM BEDRÄGERIBEKÄMPNING</w:t>
      </w:r>
    </w:p>
    <w:p>
      <w:pPr>
        <w:ind w:left="720"/>
        <w:rPr>
          <w:noProof/>
        </w:rPr>
      </w:pPr>
      <w:r>
        <w:rPr>
          <w:noProof/>
        </w:rPr>
        <w:t>Bestämmelserna om importtullar innefattar nödvändiga åtgärder för att förhindra bedrägeri och oriktigheter (tillämpning av kontrollerna enligt tullkodexen och dess tillämpningsföreskrifter).</w:t>
      </w:r>
    </w:p>
    <w:p>
      <w:pPr>
        <w:pStyle w:val="ManualHeading1"/>
        <w:rPr>
          <w:noProof/>
        </w:rPr>
      </w:pPr>
      <w:r>
        <w:t>5.</w:t>
      </w:r>
      <w:r>
        <w:tab/>
      </w:r>
      <w:r>
        <w:rPr>
          <w:noProof/>
        </w:rPr>
        <w:t xml:space="preserve">ÖVRIGA ANMÄRKNINGAR </w:t>
      </w:r>
    </w:p>
    <w:p>
      <w:pPr>
        <w:ind w:left="720"/>
        <w:rPr>
          <w:noProof/>
        </w:rPr>
      </w:pPr>
      <w:r>
        <w:rPr>
          <w:noProof/>
        </w:rPr>
        <w:t>Konsekvenserna i avsnitt 3 motsvarar en uppskattning av beloppet av de tullar som faktiskt tagits ut under perioden 2013–2015, efter ett avdrag på 20 % för uppbördskostnader. Uppskattningen av tullarna bygger på handelsdata från Comext om import inom ramen för befintliga ordningar för behandling som mest gynnad nation och förmånsbehandling och på de tullar som var tillämpliga i respektive fall under 2016. I fråga om komplexa värde-och vikttullar har värdetullsekvivalenter använts.</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SV</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e-DE"/>
        </w:rPr>
      </w:pPr>
      <w:r>
        <w:rPr>
          <w:rStyle w:val="FootnoteReference"/>
        </w:rPr>
        <w:footnoteRef/>
      </w:r>
      <w:r>
        <w:rPr>
          <w:lang w:val="de-DE"/>
        </w:rPr>
        <w:tab/>
        <w:t>EGT L 305, 30.11.1994, s. 6.</w:t>
      </w:r>
    </w:p>
  </w:footnote>
  <w:footnote w:id="2">
    <w:p>
      <w:pPr>
        <w:pStyle w:val="FootnoteText"/>
        <w:rPr>
          <w:lang w:val="de-DE"/>
        </w:rPr>
      </w:pPr>
      <w:r>
        <w:rPr>
          <w:rStyle w:val="FootnoteReference"/>
        </w:rPr>
        <w:footnoteRef/>
      </w:r>
      <w:r>
        <w:rPr>
          <w:lang w:val="de-DE"/>
        </w:rPr>
        <w:tab/>
        <w:t>EGT L 305, 30.11.1994, s. 6.</w:t>
      </w:r>
    </w:p>
  </w:footnote>
  <w:footnote w:id="3">
    <w:p>
      <w:pPr>
        <w:pStyle w:val="FootnoteText"/>
      </w:pPr>
      <w:r>
        <w:rPr>
          <w:rStyle w:val="FootnoteReference"/>
        </w:rPr>
        <w:footnoteRef/>
      </w:r>
      <w:r>
        <w:tab/>
        <w:t>Beloppet per år grundar sig på den metod som beskrivs i avsnitt 5. Denna finansieringsöversikt utgår från antagandet att åtgärden träder i kraft den 1 januari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467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4EE0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A872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F05B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D025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E31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DE7D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80626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3-10 14:48: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24CFB8BBE3B347F3A17AE5A76182A75E"/>
    <w:docVar w:name="LW_CROSSREFERENCE" w:val="&lt;UNUSED&gt;"/>
    <w:docVar w:name="LW_DocType" w:val="COM"/>
    <w:docVar w:name="LW_EMISSION" w:val="29.3.2017"/>
    <w:docVar w:name="LW_EMISSION_ISODATE" w:val="2017-03-29"/>
    <w:docVar w:name="LW_EMISSION_LOCATION" w:val="BRX"/>
    <w:docVar w:name="LW_EMISSION_PREFIX" w:val="Bryssel den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SV"/>
    <w:docVar w:name="LW_MARKING" w:val="&lt;UNUSED&gt;"/>
    <w:docVar w:name="LW_NOM.INST" w:val="EUROPEISKA KOMMISSIONEN"/>
    <w:docVar w:name="LW_NOM.INST_JOINTDOC" w:val="&lt;EMPTY&gt;"/>
    <w:docVar w:name="LW_PART_NBR" w:val="1"/>
    <w:docVar w:name="LW_PART_NBR_TOTAL" w:val="1"/>
    <w:docVar w:name="LW_REF.II.NEW.CP" w:val="NLE"/>
    <w:docVar w:name="LW_REF.II.NEW.CP_NUMBER" w:val="0069"/>
    <w:docVar w:name="LW_REF.II.NEW.CP_YEAR" w:val="2017"/>
    <w:docVar w:name="LW_REF.INST.NEW" w:val="COM"/>
    <w:docVar w:name="LW_REF.INST.NEW_ADOPTED" w:val="final"/>
    <w:docVar w:name="LW_REF.INST.NEW_TEXT" w:val="(2017) 153"/>
    <w:docVar w:name="LW_REF.INTERNE" w:val="&lt;UNUSED&gt;"/>
    <w:docVar w:name="LW_SOUS.TITRE.OBJ.CP" w:val="&lt;UNUSED&gt;"/>
    <w:docVar w:name="LW_STATUT.CP" w:val="Förslag till"/>
    <w:docVar w:name="LW_SUPERTITRE" w:val="&lt;UNUSED&gt;"/>
    <w:docVar w:name="LW_TITRE.OBJ.CP" w:val="om den ståndpunkt som ska intas på Europeiska unionens vägnar_x000b_i gemensamma EES-kommittén beträffande en ändring av protokoll 3 till EES-avtalet, om produkter som avses i artikel 8.3 b i avtalet"/>
    <w:docVar w:name="LW_TYPE.DOC.CP" w:val="RÅDETS BESLU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character" w:customStyle="1" w:styleId="Point0Char">
    <w:name w:val="Point 0 Char"/>
    <w:rPr>
      <w:rFonts w:ascii="Times New Roman" w:hAnsi="Times New Roman"/>
      <w:sz w:val="24"/>
      <w:szCs w:val="22"/>
      <w:lang w:val="sv-SE" w:eastAsia="sv-SE"/>
    </w:rPr>
  </w:style>
  <w:style w:type="paragraph" w:styleId="ListParagraph">
    <w:name w:val="List Paragraph"/>
    <w:basedOn w:val="Normal"/>
    <w:uiPriority w:val="34"/>
    <w:qFormat/>
    <w:pPr>
      <w:spacing w:before="0" w:after="200" w:line="276" w:lineRule="auto"/>
      <w:ind w:left="720"/>
      <w:contextualSpacing/>
      <w:jc w:val="left"/>
    </w:pPr>
    <w:rPr>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3144">
      <w:bodyDiv w:val="1"/>
      <w:marLeft w:val="0"/>
      <w:marRight w:val="0"/>
      <w:marTop w:val="0"/>
      <w:marBottom w:val="0"/>
      <w:divBdr>
        <w:top w:val="none" w:sz="0" w:space="0" w:color="auto"/>
        <w:left w:val="none" w:sz="0" w:space="0" w:color="auto"/>
        <w:bottom w:val="none" w:sz="0" w:space="0" w:color="auto"/>
        <w:right w:val="none" w:sz="0" w:space="0" w:color="auto"/>
      </w:divBdr>
    </w:div>
    <w:div w:id="235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1898-9E0C-49C3-83DC-9CAD7C90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1246</Words>
  <Characters>7614</Characters>
  <Application>Microsoft Office Word</Application>
  <DocSecurity>0</DocSecurity>
  <Lines>177</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dcterms:created xsi:type="dcterms:W3CDTF">2017-03-10T13:48:00Z</dcterms:created>
  <dcterms:modified xsi:type="dcterms:W3CDTF">2017-03-22T10:17:00Z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