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D8F" w:rsidRDefault="00214EE0" w:rsidP="00214EE0">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1B36C8DD77A9428E9EF41A9F484D5FC8" style="width:450pt;height:352.5pt">
            <v:imagedata r:id="rId12" o:title=""/>
          </v:shape>
        </w:pict>
      </w:r>
    </w:p>
    <w:p w:rsidR="00731D8F" w:rsidRDefault="00731D8F">
      <w:pPr>
        <w:rPr>
          <w:noProof/>
        </w:rPr>
        <w:sectPr w:rsidR="00731D8F" w:rsidSect="00214EE0">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1"/>
          <w:cols w:space="720"/>
          <w:docGrid w:linePitch="360"/>
        </w:sectPr>
      </w:pPr>
    </w:p>
    <w:p w:rsidR="00731D8F" w:rsidRDefault="00214EE0">
      <w:pPr>
        <w:pStyle w:val="Exposdesmotifstitre"/>
        <w:rPr>
          <w:noProof/>
        </w:rPr>
      </w:pPr>
      <w:bookmarkStart w:id="0" w:name="_GoBack"/>
      <w:bookmarkEnd w:id="0"/>
      <w:r>
        <w:rPr>
          <w:noProof/>
        </w:rPr>
        <w:lastRenderedPageBreak/>
        <w:t>UZASADNIENIE</w:t>
      </w:r>
    </w:p>
    <w:p w:rsidR="00731D8F" w:rsidRDefault="00214EE0">
      <w:pPr>
        <w:pStyle w:val="ManualHeading1"/>
        <w:rPr>
          <w:noProof/>
        </w:rPr>
      </w:pPr>
      <w:r>
        <w:rPr>
          <w:noProof/>
        </w:rPr>
        <w:t>1.</w:t>
      </w:r>
      <w:r>
        <w:rPr>
          <w:noProof/>
        </w:rPr>
        <w:tab/>
        <w:t>KONTEKST WNIOSKU</w:t>
      </w:r>
    </w:p>
    <w:p w:rsidR="00731D8F" w:rsidRDefault="00214EE0">
      <w:pPr>
        <w:pStyle w:val="ManualHeading2"/>
        <w:rPr>
          <w:rFonts w:eastAsia="Arial Unicode MS"/>
          <w:noProof/>
        </w:rPr>
      </w:pPr>
      <w:r>
        <w:rPr>
          <w:noProof/>
          <w:color w:val="000000"/>
          <w:u w:color="000000"/>
          <w:bdr w:val="nil"/>
        </w:rPr>
        <w:t>•</w:t>
      </w:r>
      <w:r>
        <w:rPr>
          <w:noProof/>
        </w:rPr>
        <w:tab/>
        <w:t>Przyczyny i cele wniosku</w:t>
      </w:r>
    </w:p>
    <w:p w:rsidR="00731D8F" w:rsidRDefault="00214EE0">
      <w:pPr>
        <w:spacing w:before="0" w:after="240"/>
        <w:rPr>
          <w:rFonts w:eastAsia="Arial Unicode MS"/>
          <w:noProof/>
        </w:rPr>
      </w:pPr>
      <w:r>
        <w:rPr>
          <w:noProof/>
        </w:rPr>
        <w:t>W swoich pracach prowadzonych na przestrzeni ostatnich dwóch lat Unia Europejska mierzyła się jednocześnie z odrębnymi wyzwaniami w obszarach zarządzania migracjami, zintegrowanego zarządzania granicami zewnętrznymi UE oraz zwalczania terroryzmu i przestęp</w:t>
      </w:r>
      <w:r>
        <w:rPr>
          <w:noProof/>
        </w:rPr>
        <w:t>czości transgranicznej. Zdecydowana odpowiedź na wyżej wymienione wyzwania oraz budowanie rzeczywistej i skutecznej unii bezpieczeństwa wymagają skutecznej wymiany informacji między państwami członkowskimi, a także między państwami członkowskimi a odpowied</w:t>
      </w:r>
      <w:r>
        <w:rPr>
          <w:noProof/>
        </w:rPr>
        <w:t xml:space="preserve">nimi agencjami UE. </w:t>
      </w:r>
    </w:p>
    <w:p w:rsidR="00731D8F" w:rsidRDefault="00214EE0">
      <w:pPr>
        <w:spacing w:before="0" w:after="240"/>
        <w:rPr>
          <w:rFonts w:eastAsia="Arial Unicode MS"/>
          <w:noProof/>
        </w:rPr>
      </w:pPr>
      <w:r>
        <w:rPr>
          <w:noProof/>
        </w:rPr>
        <w:t>System Informacyjny Schengen (SIS) to najskuteczniejsze narzędzie zapewniające efektywną współpracę między organami imigracyjnymi, policją, organami celnymi i organami sądowymi w UE i państwach stowarzyszonych w ramach Schengen. Właściw</w:t>
      </w:r>
      <w:r>
        <w:rPr>
          <w:noProof/>
        </w:rPr>
        <w:t>e organy w państwach członkowskich, takie jak policja, straż graniczna i funkcjonariusze celni, powinny mieć dostęp do wysokiej jakości informacji na temat sprawdzanych przez siebie osób lub przedmiotów, a także do wyraźnych instrukcji dotyczących działań,</w:t>
      </w:r>
      <w:r>
        <w:rPr>
          <w:noProof/>
        </w:rPr>
        <w:t xml:space="preserve"> które należy podjąć w każdym przypadku. Ten wielkoskalowy system informacyjny jest najważniejszym elementem współpracy Schengen i ma kluczowe znaczenie dla ułatwienia swobodnego przepływu osób w strefie Schengen. Umożliwia on właściwym organom wprowadzani</w:t>
      </w:r>
      <w:r>
        <w:rPr>
          <w:noProof/>
        </w:rPr>
        <w:t>e i przeglądanie danych dotyczących osób poszukiwanych, osób, które mogą nie mieć prawa do wjazdu lub pobytu na terytorium UE, osób zaginionych – w szczególności dzieci – oraz przedmiotów, które mogły zostać skradzione, sprzeniewierzone lub zgubione. Opróc</w:t>
      </w:r>
      <w:r>
        <w:rPr>
          <w:noProof/>
        </w:rPr>
        <w:t>z informacji na temat konkretnej osoby lub konkretnego przedmiotu SIS zawiera także wyraźne instrukcje określające sposób postępowania właściwych organów po odnalezieniu danej osoby lub danego przedmiotu.</w:t>
      </w:r>
    </w:p>
    <w:p w:rsidR="00731D8F" w:rsidRDefault="00214EE0">
      <w:pPr>
        <w:pBdr>
          <w:top w:val="nil"/>
          <w:left w:val="nil"/>
          <w:bottom w:val="nil"/>
          <w:right w:val="nil"/>
          <w:between w:val="nil"/>
          <w:bar w:val="nil"/>
        </w:pBdr>
        <w:spacing w:before="0" w:after="240"/>
        <w:rPr>
          <w:noProof/>
        </w:rPr>
      </w:pPr>
      <w:r>
        <w:rPr>
          <w:noProof/>
        </w:rPr>
        <w:t>Komisja przeprowadziła kompleksową ocenę</w:t>
      </w:r>
      <w:r>
        <w:rPr>
          <w:rStyle w:val="FootnoteReference"/>
          <w:noProof/>
        </w:rPr>
        <w:footnoteReference w:id="2"/>
      </w:r>
      <w:r>
        <w:rPr>
          <w:noProof/>
        </w:rPr>
        <w:t xml:space="preserve"> SIS w 201</w:t>
      </w:r>
      <w:r>
        <w:rPr>
          <w:noProof/>
        </w:rPr>
        <w:t xml:space="preserve">6 r., czyli trzy lata po uruchomieniu drugiej generacji systemu. W wyniku oceny wykazano, że pod względem operacyjnym SIS okazał się prawdziwym sukcesem. W 2015 r. właściwe organy krajowe sprawdzały dane osób i przedmiotów zgromadzone w SIS niemal 2,9 mld </w:t>
      </w:r>
      <w:r>
        <w:rPr>
          <w:noProof/>
        </w:rPr>
        <w:t xml:space="preserve">razy i dokonały wymiany ponad 1,8 mln informacji uzupełniających. Jak ogłoszono w programie prac Komisji na 2017 r., niezbędne jest jednak dalsze zwiększanie skuteczności i wydajności tego systemu w oparciu o te pozytywne doświadczenia. W tym celu Komisja </w:t>
      </w:r>
      <w:r>
        <w:rPr>
          <w:noProof/>
        </w:rPr>
        <w:t>przedstawia pierwszy zestaw składający się z trzech wniosków dotyczących poprawy i rozszerzenia stosowania SIS w wyniku oceny, kontynuując jednocześnie prowadzone prace nad zwiększeniem interoperacyjności istniejących i przyszłych systemów ścigania przestę</w:t>
      </w:r>
      <w:r>
        <w:rPr>
          <w:noProof/>
        </w:rPr>
        <w:t xml:space="preserve">pstw i zarządzania granicami, polegające na prowadzeniu działań następczych w związku z bieżącymi pracami grupy ekspertów wysokiego szczebla ds. systemów informacyjnych i interoperacyjności. </w:t>
      </w:r>
    </w:p>
    <w:p w:rsidR="00731D8F" w:rsidRDefault="00214EE0">
      <w:pPr>
        <w:pBdr>
          <w:top w:val="nil"/>
          <w:left w:val="nil"/>
          <w:bottom w:val="nil"/>
          <w:right w:val="nil"/>
          <w:between w:val="nil"/>
          <w:bar w:val="nil"/>
        </w:pBdr>
        <w:spacing w:before="0" w:after="240"/>
        <w:rPr>
          <w:rFonts w:eastAsia="Arial Unicode MS"/>
          <w:noProof/>
          <w:szCs w:val="24"/>
        </w:rPr>
      </w:pPr>
      <w:r>
        <w:rPr>
          <w:noProof/>
        </w:rPr>
        <w:t>Wnioski te dotyczą stosowania systemu na potrzeby: a) zarządzani</w:t>
      </w:r>
      <w:r>
        <w:rPr>
          <w:noProof/>
        </w:rPr>
        <w:t>a granicami, b) współpracy policyjnej i współpracy wymiarów sprawiedliwości w sprawach karnych oraz c) powrotu nielegalnie przebywających obywateli państw trzecich. Dwa pierwsze wnioski łącznie tworzą podstawę prawną utworzenia, funkcjonowania i użytkowani</w:t>
      </w:r>
      <w:r>
        <w:rPr>
          <w:noProof/>
        </w:rPr>
        <w:t xml:space="preserve">a SIS. Wniosek dotyczący </w:t>
      </w:r>
      <w:r>
        <w:rPr>
          <w:noProof/>
        </w:rPr>
        <w:lastRenderedPageBreak/>
        <w:t>użytkowania SIS do celów powrotu nielegalnie przebywających obywateli państw trzecich uzupełnia wniosek dotyczący zarządzania granicami i stanowi dopełnienie zawartych w nim przepisów. Wniosek zawiera nową kategorię wpisów i stanow</w:t>
      </w:r>
      <w:r>
        <w:rPr>
          <w:noProof/>
        </w:rPr>
        <w:t>i wkład w wykonanie i monitorowanie dyrektywy 2008/115/WE</w:t>
      </w:r>
      <w:r>
        <w:rPr>
          <w:rStyle w:val="FootnoteReference"/>
          <w:noProof/>
        </w:rPr>
        <w:footnoteReference w:id="3"/>
      </w:r>
      <w:r>
        <w:rPr>
          <w:noProof/>
        </w:rPr>
        <w:t xml:space="preserve">. </w:t>
      </w:r>
    </w:p>
    <w:p w:rsidR="00731D8F" w:rsidRDefault="00214EE0">
      <w:pPr>
        <w:pBdr>
          <w:top w:val="nil"/>
          <w:left w:val="nil"/>
          <w:bottom w:val="nil"/>
          <w:right w:val="nil"/>
          <w:between w:val="nil"/>
          <w:bar w:val="nil"/>
        </w:pBdr>
        <w:spacing w:before="0" w:after="240"/>
        <w:rPr>
          <w:rFonts w:eastAsia="Arial Unicode MS"/>
          <w:noProof/>
        </w:rPr>
      </w:pPr>
      <w:r>
        <w:rPr>
          <w:noProof/>
        </w:rPr>
        <w:t>W związku ze zmienną geometrią uczestnictwa państw członkowskich w polityce UE w obszarze wolności, bezpieczeństwa i sprawiedliwości należy przyjąć trzy odrębne instrumenty prawne, które będą jed</w:t>
      </w:r>
      <w:r>
        <w:rPr>
          <w:noProof/>
        </w:rPr>
        <w:t xml:space="preserve">nak sprawnie się uzupełniać w celu umożliwienia kompleksowego funkcjonowania i użytkowania systemu. </w:t>
      </w:r>
    </w:p>
    <w:p w:rsidR="00731D8F" w:rsidRDefault="00214EE0">
      <w:pPr>
        <w:pBdr>
          <w:top w:val="nil"/>
          <w:left w:val="nil"/>
          <w:bottom w:val="nil"/>
          <w:right w:val="nil"/>
          <w:between w:val="nil"/>
          <w:bar w:val="nil"/>
        </w:pBdr>
        <w:spacing w:before="0" w:after="240"/>
        <w:rPr>
          <w:noProof/>
        </w:rPr>
      </w:pPr>
      <w:r>
        <w:rPr>
          <w:noProof/>
        </w:rPr>
        <w:t>Równolegle w celu usprawnienia i poprawy zarządzania informacjami na szczeblu UE w kwietniu 2016 r. Komisja zainicjowała proces refleksji „Sprawniejsze i b</w:t>
      </w:r>
      <w:r>
        <w:rPr>
          <w:noProof/>
        </w:rPr>
        <w:t>ardziej inteligentne systemy informacyjne do celów zarządzania granicami i zapewnienia bezpieczeństwa”</w:t>
      </w:r>
      <w:r>
        <w:rPr>
          <w:rStyle w:val="FootnoteReference"/>
          <w:noProof/>
        </w:rPr>
        <w:footnoteReference w:id="4"/>
      </w:r>
      <w:r>
        <w:rPr>
          <w:noProof/>
        </w:rPr>
        <w:t>. Nadrzędnym celem jest zapewnienie, aby właściwe organy dysponowały stałym dostępem do niezbędnych informacji pochodzących z różnych systemów informacyj</w:t>
      </w:r>
      <w:r>
        <w:rPr>
          <w:noProof/>
        </w:rPr>
        <w:t>nych. Aby urzeczywistnić ten cel, Komisja prowadzi przeglądy istniejącej struktury informacyjnej w celu identyfikacji luk informacyjnych i słabych punktów wynikających z braków w funkcjach istniejących systemów oraz z fragmentacji ogólnej struktury zarządz</w:t>
      </w:r>
      <w:r>
        <w:rPr>
          <w:noProof/>
        </w:rPr>
        <w:t>ania danymi w UE. Do celów wsparcia tych prac Komisja utworzyła grupę ekspertów wysokiego szczebla ds. systemów informacyjnych i interoperacyjności, której wstępne ustalenia dotyczące kwestii związanych z jakością danych wykorzystano przy sporządzaniu prze</w:t>
      </w:r>
      <w:r>
        <w:rPr>
          <w:noProof/>
        </w:rPr>
        <w:t>dmiotowego pierwszego zestawu wniosków</w:t>
      </w:r>
      <w:r>
        <w:rPr>
          <w:rStyle w:val="FootnoteReference"/>
          <w:noProof/>
        </w:rPr>
        <w:footnoteReference w:id="5"/>
      </w:r>
      <w:r>
        <w:rPr>
          <w:noProof/>
        </w:rPr>
        <w:t>. W swoim orędziu o stanie Unii z września 2016 r. przewodniczący Komisji Jean-Claude Juncker mówił między innymi o tym, jak ważne jest wyeliminowanie istniejących obecnie braków w zarządzaniu informacjami oraz popraw</w:t>
      </w:r>
      <w:r>
        <w:rPr>
          <w:noProof/>
        </w:rPr>
        <w:t>a interoperacyjności i wzajemnego połączenia istniejących systemów informacyjnych.</w:t>
      </w:r>
    </w:p>
    <w:p w:rsidR="00731D8F" w:rsidRDefault="00214EE0">
      <w:pPr>
        <w:spacing w:before="0" w:after="240"/>
        <w:rPr>
          <w:rFonts w:eastAsia="Arial Unicode MS"/>
          <w:noProof/>
        </w:rPr>
      </w:pPr>
      <w:r>
        <w:rPr>
          <w:noProof/>
        </w:rPr>
        <w:t xml:space="preserve">W odpowiedzi na ustalenia grupy ekspertów wysokiego szczebla ds. systemów informacyjnych i interoperacyjności, które zostaną przedstawione w pierwszej połowie 2017 r., w </w:t>
      </w:r>
      <w:r>
        <w:rPr>
          <w:noProof/>
        </w:rPr>
        <w:t>połowie 2017 r. Komisja rozważy przedstawienie drugiego zestawu wniosków w celu dalszej poprawy interoperacyjności między SIS a pozostałymi systemami informatycznymi. Równie istotnym elementem prowadzonych prac jest przegląd rozporządzenia (UE) nr 1077/201</w:t>
      </w:r>
      <w:r>
        <w:rPr>
          <w:noProof/>
        </w:rPr>
        <w:t>1</w:t>
      </w:r>
      <w:r>
        <w:rPr>
          <w:rStyle w:val="FootnoteReference"/>
          <w:noProof/>
        </w:rPr>
        <w:footnoteReference w:id="6"/>
      </w:r>
      <w:r>
        <w:rPr>
          <w:noProof/>
        </w:rPr>
        <w:t xml:space="preserve"> dotyczącego Europejskiej Agencji ds. Zarządzania Operacyjnego Wielkoskalowymi Systemami Informatycznymi w Przestrzeni Wolności, Bezpieczeństwa i Sprawiedliwości (eu-LISA), który może stać się przedmiotem oddzielnych wniosków Komisji również w 2017 r. Wa</w:t>
      </w:r>
      <w:r>
        <w:rPr>
          <w:noProof/>
        </w:rPr>
        <w:t>żnym elementem eliminacji aktualnych zagrożeń bezpieczeństwa jest inwestowanie w wysokiej jakości, sprawny i skuteczny proces wymiany informacji i zarządzania nimi oraz zapewnienie interoperacyjności baz danych i systemów informacyjnych UE.</w:t>
      </w:r>
    </w:p>
    <w:p w:rsidR="00731D8F" w:rsidRDefault="00214EE0">
      <w:pPr>
        <w:spacing w:before="0" w:after="240"/>
        <w:rPr>
          <w:rFonts w:eastAsia="Arial Unicode MS"/>
          <w:noProof/>
        </w:rPr>
      </w:pPr>
      <w:r>
        <w:rPr>
          <w:noProof/>
        </w:rPr>
        <w:t>W związku z pow</w:t>
      </w:r>
      <w:r>
        <w:rPr>
          <w:noProof/>
        </w:rPr>
        <w:t xml:space="preserve">yższym celem niniejszego wniosku jest poprawa i rozszerzenie stosowania SIS poprzez nałożenie na organy państw członkowskich obowiązku wpisywania do SIS wszystkich decyzji nakazujących powrót wydanych zgodnie z przepisami zgodnymi z </w:t>
      </w:r>
      <w:r>
        <w:rPr>
          <w:noProof/>
        </w:rPr>
        <w:lastRenderedPageBreak/>
        <w:t xml:space="preserve">dyrektywą 2008/115/WE, </w:t>
      </w:r>
      <w:r>
        <w:rPr>
          <w:noProof/>
        </w:rPr>
        <w:t xml:space="preserve">tak aby były one widoczne w całej Unii, a tym samym lepiej wykonywane. Wniosek rozszerza zakres stosowania SIS w obecnym kształcie poprzez wprowadzenie nowej kategorii wpisów dotyczących decyzji nakazujących powrót. </w:t>
      </w:r>
    </w:p>
    <w:p w:rsidR="00731D8F" w:rsidRDefault="00214EE0">
      <w:pPr>
        <w:spacing w:before="0" w:after="240"/>
        <w:rPr>
          <w:rFonts w:eastAsia="Arial Unicode MS"/>
          <w:noProof/>
        </w:rPr>
      </w:pPr>
      <w:r>
        <w:rPr>
          <w:noProof/>
        </w:rPr>
        <w:t>Wniosek dotyczący zarządzania granicami</w:t>
      </w:r>
      <w:r>
        <w:rPr>
          <w:noProof/>
        </w:rPr>
        <w:t xml:space="preserve"> zawiera już przepisy dotyczące wprowadzania do SIS i przetwarzania w tym systemie wpisów na podstawie zakazów wjazdu wydanych zgodnie z przepisami zgodnymi z dyrektywą 2008/115/WE. Środki te mają na celu rozwój dorobku Schengen, ponieważ wpierają kontrole</w:t>
      </w:r>
      <w:r>
        <w:rPr>
          <w:noProof/>
        </w:rPr>
        <w:t xml:space="preserve"> na granicach zewnętrznych UE. Wprowadzanie do SIS i przetwarzanie w tym systemie wpisów dotyczących decyzji nakazujących powrót wydanych zgodnie z przepisami zgodnymi z dyrektywą 2008/115/WE wspiera wspólną politykę imigracyjną UE i w związku z tym jest u</w:t>
      </w:r>
      <w:r>
        <w:rPr>
          <w:noProof/>
        </w:rPr>
        <w:t>regulowane w odrębnym akcie prawnym. Wniosek w sprawie powrotów opiera się na ogólnych przepisach dotyczących utworzenia, funkcjonowania i użytkowania SIS, zawartych we wniosku w sprawie zarządzania granicami. Ze względu na bliskie powiązania niniejszy wni</w:t>
      </w:r>
      <w:r>
        <w:rPr>
          <w:noProof/>
        </w:rPr>
        <w:t xml:space="preserve">osek powinien zostać przyjęty, wejść w życie i obowiązywać w tym samym czasie, co akt prawny dotyczący zarządzania granicami. </w:t>
      </w:r>
    </w:p>
    <w:p w:rsidR="00731D8F" w:rsidRDefault="00214EE0">
      <w:pPr>
        <w:spacing w:before="0" w:after="240"/>
        <w:rPr>
          <w:noProof/>
          <w:szCs w:val="24"/>
        </w:rPr>
      </w:pPr>
      <w:r>
        <w:rPr>
          <w:noProof/>
        </w:rPr>
        <w:t>Wniosek o rozszerzenie stosowania SIS w celu podjęcia działań następczych w odniesieniu do powrotów nielegalnie przebywających ob</w:t>
      </w:r>
      <w:r>
        <w:rPr>
          <w:noProof/>
        </w:rPr>
        <w:t>ywateli państw trzecich będzie wspierać i wzmacniać działania Unii Europejskiej na rzecz zintegrowanej, zrównoważonej i wszechstronnej polityki migracyjnej UE. Powroty nielegalnych migrantów nieposiadających prawa pobytu w UE do krajów pochodzenia, przy pe</w:t>
      </w:r>
      <w:r>
        <w:rPr>
          <w:noProof/>
        </w:rPr>
        <w:t xml:space="preserve">łnym poszanowaniu zasady </w:t>
      </w:r>
      <w:r>
        <w:rPr>
          <w:i/>
          <w:noProof/>
        </w:rPr>
        <w:t>non-refoulement</w:t>
      </w:r>
      <w:r>
        <w:rPr>
          <w:noProof/>
        </w:rPr>
        <w:t xml:space="preserve">, stanowią istotną część naszej polityki migracyjnej, co podkreślono w </w:t>
      </w:r>
      <w:r>
        <w:rPr>
          <w:i/>
          <w:noProof/>
        </w:rPr>
        <w:t>Europejskim programie w zakresie migracji</w:t>
      </w:r>
      <w:r>
        <w:rPr>
          <w:rStyle w:val="FootnoteReference"/>
          <w:noProof/>
        </w:rPr>
        <w:footnoteReference w:id="7"/>
      </w:r>
      <w:r>
        <w:rPr>
          <w:noProof/>
        </w:rPr>
        <w:t>. Jednak unijny system powrotów jest niedoskonały i niewystarczająco skuteczny. Dane statystyczne udost</w:t>
      </w:r>
      <w:r>
        <w:rPr>
          <w:noProof/>
        </w:rPr>
        <w:t>ępniane przez Eurostat wskazują, że w ostatnich latach z UE ostatecznie wyjechało jedynie około 40 % nielegalnych migrantów, od których zażądano jej opuszczenia; w 2015 r. nakazano wyjazd 553 395 obywatelom państw trzecich, chociaż jedynie 226 800 z nich f</w:t>
      </w:r>
      <w:r>
        <w:rPr>
          <w:noProof/>
        </w:rPr>
        <w:t>aktycznie powróciło do swoich krajów.</w:t>
      </w:r>
    </w:p>
    <w:p w:rsidR="00731D8F" w:rsidRDefault="00214EE0">
      <w:pPr>
        <w:pBdr>
          <w:top w:val="nil"/>
          <w:left w:val="nil"/>
          <w:bottom w:val="nil"/>
          <w:right w:val="nil"/>
          <w:between w:val="nil"/>
          <w:bar w:val="nil"/>
        </w:pBdr>
        <w:spacing w:before="0" w:after="240"/>
        <w:rPr>
          <w:noProof/>
          <w:szCs w:val="24"/>
        </w:rPr>
      </w:pPr>
      <w:r>
        <w:rPr>
          <w:noProof/>
        </w:rPr>
        <w:t>Ze względu na eskalację kryzysu migracyjnego i uchodźczego w 2015 r. wyraźnie wzrosła konieczność podjęcia skutecznych kroków w celu rozwiązania problemu nielegalnej migracji oraz zwiększenia odsetka powrotów nielegaln</w:t>
      </w:r>
      <w:r>
        <w:rPr>
          <w:noProof/>
        </w:rPr>
        <w:t>ych migrantów Dlatego też Komisja wdraża wszystkie środki zapowiedziane w Planie działania UE w zakresie powrotów</w:t>
      </w:r>
      <w:r>
        <w:rPr>
          <w:rStyle w:val="FootnoteReference"/>
          <w:noProof/>
        </w:rPr>
        <w:footnoteReference w:id="8"/>
      </w:r>
      <w:r>
        <w:rPr>
          <w:noProof/>
        </w:rPr>
        <w:t xml:space="preserve">. Środki te są konieczne do zapewnienia zaufania publicznego w odniesieniu do unijnej polityki w dziedzinie migracji i azylu oraz udzielenia </w:t>
      </w:r>
      <w:r>
        <w:rPr>
          <w:noProof/>
        </w:rPr>
        <w:t>odpowiedniego wsparcia osobom potrzebującym ochrony. Skuteczniejszy europejski system powrotów nielegalnych migrantów do ich krajów pochodzenia w istocie łączy się ze wznowieniem wysiłków na rzecz udzielenia ochrony osobom, które jej potrzebują.</w:t>
      </w:r>
    </w:p>
    <w:p w:rsidR="00731D8F" w:rsidRDefault="00214EE0">
      <w:pPr>
        <w:pBdr>
          <w:top w:val="nil"/>
          <w:left w:val="nil"/>
          <w:bottom w:val="nil"/>
          <w:right w:val="nil"/>
          <w:between w:val="nil"/>
          <w:bar w:val="nil"/>
        </w:pBdr>
        <w:spacing w:before="0" w:after="240"/>
        <w:rPr>
          <w:noProof/>
          <w:szCs w:val="24"/>
        </w:rPr>
      </w:pPr>
      <w:r>
        <w:rPr>
          <w:noProof/>
        </w:rPr>
        <w:t>Aby popraw</w:t>
      </w:r>
      <w:r>
        <w:rPr>
          <w:noProof/>
        </w:rPr>
        <w:t>ić skuteczność unijnej polityki powrotów, nieodzowna jest współpraca z krajami pochodzenia. Dlatego też w czerwcu 2016 r. Rada Europejska uznała, że UE powinna wprowadzić i sprawnie wdrożyć ramy partnerstwa w zakresie współpracy z poszczególnymi krajami po</w:t>
      </w:r>
      <w:r>
        <w:rPr>
          <w:noProof/>
        </w:rPr>
        <w:t>chodzenia lub tranzytu oparte na skutecznych zachętach i odpowiednio określonych warunkach. Komisja aktywnie uczestniczy w rozwijaniu tych partnerstw. Jednak to, czy UE będzie zdolna do zorganizowania powrotów nielegalnych migrantów, nie jest związane jedy</w:t>
      </w:r>
      <w:r>
        <w:rPr>
          <w:noProof/>
        </w:rPr>
        <w:t xml:space="preserve">nie ze współpracą z krajami pochodzenia lub tranzytu. Wyzwania związane z </w:t>
      </w:r>
      <w:r>
        <w:rPr>
          <w:noProof/>
        </w:rPr>
        <w:lastRenderedPageBreak/>
        <w:t>powrotem nielegalnych migrantów wynikają także z wewnętrznych przeszkód w ramach krajowych systemów powrotów, a w szczególności napotykanych przez państwa członkowskie trudności doty</w:t>
      </w:r>
      <w:r>
        <w:rPr>
          <w:noProof/>
        </w:rPr>
        <w:t>czących wykonywania decyzji nakazujących powrót.</w:t>
      </w:r>
    </w:p>
    <w:p w:rsidR="00731D8F" w:rsidRDefault="00214EE0">
      <w:pPr>
        <w:pBdr>
          <w:top w:val="nil"/>
          <w:left w:val="nil"/>
          <w:bottom w:val="nil"/>
          <w:right w:val="nil"/>
          <w:between w:val="nil"/>
          <w:bar w:val="nil"/>
        </w:pBdr>
        <w:spacing w:before="0" w:after="240"/>
        <w:rPr>
          <w:noProof/>
          <w:szCs w:val="24"/>
        </w:rPr>
      </w:pPr>
      <w:r>
        <w:rPr>
          <w:noProof/>
        </w:rPr>
        <w:t>W Planie działania UE w zakresie powrotów oraz komunikacie „Sprawniejsze i bardziej inteligentne systemy informacyjne do celów zarządzania granicami i zapewnienia bezpieczeństwa”</w:t>
      </w:r>
      <w:r>
        <w:rPr>
          <w:rStyle w:val="FootnoteReference"/>
          <w:noProof/>
        </w:rPr>
        <w:footnoteReference w:id="9"/>
      </w:r>
      <w:r>
        <w:rPr>
          <w:noProof/>
        </w:rPr>
        <w:t xml:space="preserve"> Komisja wskazała na potrzeb</w:t>
      </w:r>
      <w:r>
        <w:rPr>
          <w:noProof/>
        </w:rPr>
        <w:t>ę lepszego wykorzystywania wielkoskalowych systemów informatycznych na potrzeby zbudowania bardziej skutecznego systemu powrotów. W swoich konkluzjach z posiedzenia w dniach 25–26 czerwca 2015 r. Rada Europejska wezwała do włączenia decyzji nakazujących po</w:t>
      </w:r>
      <w:r>
        <w:rPr>
          <w:noProof/>
        </w:rPr>
        <w:t>wrót do SIS w celu zwiększenia ich skuteczności</w:t>
      </w:r>
      <w:r>
        <w:rPr>
          <w:rStyle w:val="FootnoteReference"/>
          <w:noProof/>
        </w:rPr>
        <w:footnoteReference w:id="10"/>
      </w:r>
      <w:r>
        <w:rPr>
          <w:noProof/>
        </w:rPr>
        <w:t>. Rada ds. Wymiaru Sprawiedliwości i Spraw Wewnętrznych potwierdziła ten postulat w konkluzjach z posiedzenia w dniach 8–9 października 2015 r.</w:t>
      </w:r>
      <w:r>
        <w:rPr>
          <w:rStyle w:val="FootnoteReference"/>
          <w:noProof/>
        </w:rPr>
        <w:footnoteReference w:id="11"/>
      </w:r>
      <w:r>
        <w:rPr>
          <w:noProof/>
        </w:rPr>
        <w:t>.</w:t>
      </w:r>
    </w:p>
    <w:p w:rsidR="00731D8F" w:rsidRDefault="00214EE0">
      <w:pPr>
        <w:pBdr>
          <w:top w:val="nil"/>
          <w:left w:val="nil"/>
          <w:bottom w:val="nil"/>
          <w:right w:val="nil"/>
          <w:between w:val="nil"/>
          <w:bar w:val="nil"/>
        </w:pBdr>
        <w:spacing w:before="0" w:after="240"/>
        <w:rPr>
          <w:noProof/>
          <w:szCs w:val="24"/>
        </w:rPr>
      </w:pPr>
      <w:r>
        <w:rPr>
          <w:noProof/>
        </w:rPr>
        <w:t>Obecnie nie istnieje ogólnounijny system przekazywania informa</w:t>
      </w:r>
      <w:r>
        <w:rPr>
          <w:noProof/>
        </w:rPr>
        <w:t>cji na temat decyzji nakazujących powrót wydanych przez państwa członkowskie zgodnie z przepisami zgodnymi z dyrektywą 2008/115/WE oraz monitorowania, czy obywatele państw trzecich, których te decyzje dotyczą, faktycznie opuścili terytorium państw członkow</w:t>
      </w:r>
      <w:r>
        <w:rPr>
          <w:noProof/>
        </w:rPr>
        <w:t xml:space="preserve">skich. Taka sytuacja ułatwia nielegalnym migrantom uniknięcie wykonania istniejącej decyzji lub zapobieżenie jej wykonaniu poprzez zwykłe przeniesienie się do innego państwa członkowskiego. W takich przypadkach władze publiczne państw członkowskich, które </w:t>
      </w:r>
      <w:r>
        <w:rPr>
          <w:noProof/>
        </w:rPr>
        <w:t>dokonały zatrzymania nielegalnego migranta, nie są świadome tego, że w odniesieniu do tej osoby inne państwo członkowskie wydało już decyzję nakazującą powrót zgodnie z przepisami zgodnymi z dyrektywą 2008/115/WE. Państwo członkowskie, które dokonało zatrz</w:t>
      </w:r>
      <w:r>
        <w:rPr>
          <w:noProof/>
        </w:rPr>
        <w:t>ymania, będzie w związku z tym musiało od początku wszcząć postępowanie w sprawie powrotu, co spowoduje dalsze przedłużenie nielegalnego pobytu i opóźni powrót nielegalnego migranta.</w:t>
      </w:r>
    </w:p>
    <w:p w:rsidR="00731D8F" w:rsidRDefault="00214EE0">
      <w:pPr>
        <w:pBdr>
          <w:top w:val="nil"/>
          <w:left w:val="nil"/>
          <w:bottom w:val="nil"/>
          <w:right w:val="nil"/>
          <w:between w:val="nil"/>
          <w:bar w:val="nil"/>
        </w:pBdr>
        <w:spacing w:before="0" w:after="240"/>
        <w:rPr>
          <w:noProof/>
          <w:szCs w:val="24"/>
        </w:rPr>
      </w:pPr>
      <w:r>
        <w:rPr>
          <w:noProof/>
        </w:rPr>
        <w:t>Widoczność decyzji nakazujących powrót wydanych przez inne państwa członk</w:t>
      </w:r>
      <w:r>
        <w:rPr>
          <w:noProof/>
        </w:rPr>
        <w:t>owskie poprzez wpis w SIS, połączona z możliwością wymiany informacji uzupełniających za pośrednictwem krajowych pojedynczych punktów kontaktowych, takich jak biura SIRENE, może przyczynić się do zlikwidowania tej luki informacyjnej. Posiadanie lepszych in</w:t>
      </w:r>
      <w:r>
        <w:rPr>
          <w:noProof/>
        </w:rPr>
        <w:t>formacji na temat indywidualnej sytuacji danej osoby umożliwia władzom państwa członkowskiego szybkie i terminowe podjęcie najbardziej stosownych działań. Informacje o wszystkich okolicznościach dotyczących konkretnego nielegalnego migranta mogą na przykła</w:t>
      </w:r>
      <w:r>
        <w:rPr>
          <w:noProof/>
        </w:rPr>
        <w:t>d uzasadniać decyzję o nieprzyznaniu terminu dobrowolnego wyjazdu lub wykorzystanie środków mających zapobiec ryzyku ucieczki. Ponadto świadomość istnienia decyzji nakazującej powrót wydanej przez inne państwo członkowskie zgodnie z przepisami zgodnymi z d</w:t>
      </w:r>
      <w:r>
        <w:rPr>
          <w:noProof/>
        </w:rPr>
        <w:t>yrektywą 2008/115/WE ułatwi wzajemne uznawanie tych decyzji przez organy ds. migracji zgodnie z dorobkiem prawnym UE</w:t>
      </w:r>
      <w:r>
        <w:rPr>
          <w:rStyle w:val="FootnoteReference"/>
          <w:noProof/>
        </w:rPr>
        <w:footnoteReference w:id="12"/>
      </w:r>
      <w:r>
        <w:rPr>
          <w:noProof/>
        </w:rPr>
        <w:t>; obecnie opcja ta jest rzadko wykorzystywana ze względu na brak informacji.</w:t>
      </w:r>
    </w:p>
    <w:p w:rsidR="00731D8F" w:rsidRDefault="00214EE0">
      <w:pPr>
        <w:pBdr>
          <w:top w:val="nil"/>
          <w:left w:val="nil"/>
          <w:bottom w:val="nil"/>
          <w:right w:val="nil"/>
          <w:between w:val="nil"/>
          <w:bar w:val="nil"/>
        </w:pBdr>
        <w:spacing w:before="0" w:after="240"/>
        <w:rPr>
          <w:noProof/>
          <w:szCs w:val="24"/>
        </w:rPr>
      </w:pPr>
      <w:r>
        <w:rPr>
          <w:noProof/>
        </w:rPr>
        <w:t xml:space="preserve">Oprócz tego państwa członkowskie są często nieświadome liczby </w:t>
      </w:r>
      <w:r>
        <w:rPr>
          <w:noProof/>
        </w:rPr>
        <w:t xml:space="preserve">nielegalnych migrantów, którzy zastosowali się do decyzji nakazujących powrót. Dotyczy to w szczególności tych </w:t>
      </w:r>
      <w:r>
        <w:rPr>
          <w:noProof/>
        </w:rPr>
        <w:lastRenderedPageBreak/>
        <w:t>nieregularnych migrantów, którzy opuszczają UE dobrowolnie, na przykład nie korzystając z pomocy w dobrowolnym powrocie lub nie podlegając przymu</w:t>
      </w:r>
      <w:r>
        <w:rPr>
          <w:noProof/>
        </w:rPr>
        <w:t>sowemu wydaleniu. Poprzez systematyczne wpisywanie decyzji nakazujących powrót wydanych zgodnie z przepisami zgodnymi z dyrektywą 2008/115/WE do SIS oraz podejmowanie odpowiednich działań w następstwie uzyskania trafienia dotyczącego powrotu SIS może ułatw</w:t>
      </w:r>
      <w:r>
        <w:rPr>
          <w:noProof/>
        </w:rPr>
        <w:t xml:space="preserve">ić weryfikację wykonania decyzji nakazujących powrót oraz lepsze informowanie o działaniach podejmowanych przez właściwe organy. Podczas kontroli obywatela państwa trzeciego, którego dotyczy decyzja nakazująca powrót wydana zgodnie z przepisami zgodnymi z </w:t>
      </w:r>
      <w:r>
        <w:rPr>
          <w:noProof/>
        </w:rPr>
        <w:t>dyrektywą 2008/115/WE, dokonywanej w przypadku opuszczania przez niego terytorium państw członkowskich, właściwe organy krajowe będą mogły zgłosić wyjazd i potwierdzić dobrowolne lub wymuszone wykonanie zobowiązania do powrotu.</w:t>
      </w:r>
    </w:p>
    <w:p w:rsidR="00731D8F" w:rsidRDefault="00214EE0">
      <w:pPr>
        <w:pBdr>
          <w:top w:val="nil"/>
          <w:left w:val="nil"/>
          <w:bottom w:val="nil"/>
          <w:right w:val="nil"/>
          <w:between w:val="nil"/>
          <w:bar w:val="nil"/>
        </w:pBdr>
        <w:spacing w:before="0" w:after="240"/>
        <w:rPr>
          <w:noProof/>
          <w:szCs w:val="24"/>
        </w:rPr>
      </w:pPr>
      <w:r>
        <w:rPr>
          <w:rStyle w:val="CommentReference"/>
          <w:noProof/>
        </w:rPr>
        <w:t xml:space="preserve"> </w:t>
      </w:r>
      <w:r>
        <w:rPr>
          <w:noProof/>
        </w:rPr>
        <w:t>Potwierdzenie powrotu z kol</w:t>
      </w:r>
      <w:r>
        <w:rPr>
          <w:noProof/>
        </w:rPr>
        <w:t>ei ograniczy konieczność inwestowania zasobów organów publicznych w śledzenie nielegalnych migrantów, którzy w rzeczywistości już opuścili UE. W przypadku obywatela państwa trzeciego, którego wyjazd nie został potwierdzony, w odniesieniu którego uzyskano p</w:t>
      </w:r>
      <w:r>
        <w:rPr>
          <w:noProof/>
        </w:rPr>
        <w:t>owiadomienie z SIS o upływie terminu dobrowolnego wyjazdu, organy publiczne będą również świadome tego, że należy podjąć dalsze działania w celu śledzenia takiej osoby w celu zapewnienia jej wydalenia oraz wydania zakazu wjazdu zgodnie z art. 11 ust. 1 dyr</w:t>
      </w:r>
      <w:r>
        <w:rPr>
          <w:noProof/>
        </w:rPr>
        <w:t>ektywy 2008/115/WE. System ten zapewni dodatkowe narzędzie, z którego państwa członkowskie będą mogły skorzystać w celu wypełnienia obowiązku podjęcia wszystkich niezbędnych kroków, aby zapewnić wykonanie decyzji nakazujących powrót w skuteczny i proporcjo</w:t>
      </w:r>
      <w:r>
        <w:rPr>
          <w:noProof/>
        </w:rPr>
        <w:t>nalny sposób zgodnie z art. 8 ust. 1 dyrektywy 2008/115/WE. Bardziej skuteczne monitorowanie przestrzegania decyzji nakazujących powrót wydanych zgodnie z przepisami zgodnymi z dyrektywą 2008/115/WE przyczyniłoby się do wykrycia szeregu przypadków niewykon</w:t>
      </w:r>
      <w:r>
        <w:rPr>
          <w:noProof/>
        </w:rPr>
        <w:t>ania decyzji, co, zgodnie z oczekiwaniami, może prowadzić do zwiększenia liczby powrotów oraz zakazów wjazdu.</w:t>
      </w:r>
    </w:p>
    <w:p w:rsidR="00731D8F" w:rsidRDefault="00214EE0">
      <w:pPr>
        <w:pBdr>
          <w:top w:val="nil"/>
          <w:left w:val="nil"/>
          <w:bottom w:val="nil"/>
          <w:right w:val="nil"/>
          <w:between w:val="nil"/>
          <w:bar w:val="nil"/>
        </w:pBdr>
        <w:spacing w:before="0" w:after="240"/>
        <w:rPr>
          <w:noProof/>
          <w:szCs w:val="24"/>
        </w:rPr>
      </w:pPr>
      <w:r>
        <w:rPr>
          <w:noProof/>
        </w:rPr>
        <w:t xml:space="preserve">W związku z tym SIS ułatwi przekazywanie bardziej wiarygodnych danych i statystyk dotyczących liczby decyzji nakazujących powrót wydanych zgodnie </w:t>
      </w:r>
      <w:r>
        <w:rPr>
          <w:noProof/>
        </w:rPr>
        <w:t>z przepisami dyrektywy 2008/115/WE oraz poziomu ich przestrzegania.</w:t>
      </w:r>
    </w:p>
    <w:p w:rsidR="00731D8F" w:rsidRDefault="00214EE0">
      <w:pPr>
        <w:pBdr>
          <w:top w:val="nil"/>
          <w:left w:val="nil"/>
          <w:bottom w:val="nil"/>
          <w:right w:val="nil"/>
          <w:between w:val="nil"/>
          <w:bar w:val="nil"/>
        </w:pBdr>
        <w:spacing w:before="0" w:after="240"/>
        <w:rPr>
          <w:noProof/>
          <w:szCs w:val="24"/>
        </w:rPr>
      </w:pPr>
      <w:r>
        <w:rPr>
          <w:noProof/>
        </w:rPr>
        <w:t>Trudności w identyfikowaniu nielegalnych migrantów oraz brak ważnych dokumentów podróży wydanych przez docelowe państwo trzecie osób powracających to główne przeszkody utrudniające skutecz</w:t>
      </w:r>
      <w:r>
        <w:rPr>
          <w:noProof/>
        </w:rPr>
        <w:t>ny powrót. Nielegalnie przebywający obywatele państw trzecich mogą w momencie zatrzymania posiadać dokumenty identyfikacyjne lub dokumenty podróży i podlegać procedurom powrotu w danym państwie członkowskim, ale na późniejszym etapie mogą pozbyć się takich</w:t>
      </w:r>
      <w:r>
        <w:rPr>
          <w:noProof/>
        </w:rPr>
        <w:t xml:space="preserve"> dokumentów w celu powstrzymania powrotu lub nielegalnie przemieścić się do innego państwa członkowskiego. W takich przypadkach informacje dotyczące dokumentów identyfikacyjnych lub dokumentów podróży, którymi dysponuje państwo członkowskie, które pierwsze</w:t>
      </w:r>
      <w:r>
        <w:rPr>
          <w:noProof/>
        </w:rPr>
        <w:t xml:space="preserve"> zatrzymało nielegalnie przebywającego obywatela państwa trzeciego, mogą ułatwić identyfikację oraz wydanie migrantom, którzy zbiegli do innego państwa członkowskiego, ważnego dokumentu podróży przez docelowe państwo trzecie. W tym celu konieczne jest umoż</w:t>
      </w:r>
      <w:r>
        <w:rPr>
          <w:noProof/>
        </w:rPr>
        <w:t>liwienie przekazywania odpowiednich danych dostępnych w SIS właściwym organom państw trzecich na ściśle określonych warunkach. Takie przekazywanie musi ograniczać się do informacji, które są ściśle niezbędne na potrzeby zapewnienia identyfikacji migranta o</w:t>
      </w:r>
      <w:r>
        <w:rPr>
          <w:noProof/>
        </w:rPr>
        <w:t xml:space="preserve">raz ponownego wydania mu dokumentów, oraz musi być zgodne z przepisami rozporządzenia (UE) 2016/679 w sprawie ochrony osób fizycznych w związku z przetwarzaniem danych osobowych i w sprawie swobodnego </w:t>
      </w:r>
      <w:r>
        <w:rPr>
          <w:noProof/>
        </w:rPr>
        <w:lastRenderedPageBreak/>
        <w:t>przepływu takich danych</w:t>
      </w:r>
      <w:r>
        <w:rPr>
          <w:rStyle w:val="FootnoteReference"/>
          <w:noProof/>
        </w:rPr>
        <w:footnoteReference w:id="13"/>
      </w:r>
      <w:r>
        <w:rPr>
          <w:noProof/>
        </w:rPr>
        <w:t>, w szczególności jego rozdział</w:t>
      </w:r>
      <w:r>
        <w:rPr>
          <w:noProof/>
        </w:rPr>
        <w:t>u V, w którym określono szczegółowe zasady i warunki przekazywania danych osobowych do państw trzecich lub organizacji międzynarodowych. Gdy takiego przekazania dokonuje państwo członkowskie, które nie wprowadziło informacji na temat dokumentu do wpisu w S</w:t>
      </w:r>
      <w:r>
        <w:rPr>
          <w:noProof/>
        </w:rPr>
        <w:t>IS i nie jest właścicielem tych danych, wymagana jest wcześniejsza zgoda państwa członkowskiego, które wprowadziło informacje do SIS.</w:t>
      </w:r>
    </w:p>
    <w:p w:rsidR="00731D8F" w:rsidRDefault="00214EE0">
      <w:pPr>
        <w:pBdr>
          <w:top w:val="nil"/>
          <w:left w:val="nil"/>
          <w:bottom w:val="nil"/>
          <w:right w:val="nil"/>
          <w:between w:val="nil"/>
          <w:bar w:val="nil"/>
        </w:pBdr>
        <w:spacing w:before="0" w:after="240"/>
        <w:rPr>
          <w:noProof/>
          <w:szCs w:val="24"/>
        </w:rPr>
      </w:pPr>
      <w:r>
        <w:rPr>
          <w:noProof/>
        </w:rPr>
        <w:t>Wniosek ten wzmocni również zasady dotyczące procesu konsultacji, których państwa członkowskie muszą przestrzegać w przypa</w:t>
      </w:r>
      <w:r>
        <w:rPr>
          <w:noProof/>
        </w:rPr>
        <w:t>dku natrafienia na wpisy dotyczące powrotów lub zamiaru dokonania takich wpisów, jeżeli dochodzi do kolizji z decyzjami wydanymi przez inne państwa członkowskie, takimi jak na przykład ważne dokumenty pobytowe. Takie zasady powinny zapobiegać wystąpieniu s</w:t>
      </w:r>
      <w:r>
        <w:rPr>
          <w:noProof/>
        </w:rPr>
        <w:t>przecznych instrukcji, które mogą wynikać z takich sytuacji, i rozstrzygać takie kwestie, jednocześnie oferując użytkownikom końcowym jasne wytyczne co do działań, które należy podjąć, a także wskazując organom państw członkowskich, czy należy w takim przy</w:t>
      </w:r>
      <w:r>
        <w:rPr>
          <w:noProof/>
        </w:rPr>
        <w:t>padku usunąć wpis.</w:t>
      </w:r>
    </w:p>
    <w:p w:rsidR="00731D8F" w:rsidRDefault="00214EE0">
      <w:pPr>
        <w:pStyle w:val="Default"/>
        <w:spacing w:before="120" w:after="120"/>
        <w:jc w:val="both"/>
        <w:rPr>
          <w:noProof/>
        </w:rPr>
      </w:pPr>
      <w:r>
        <w:rPr>
          <w:noProof/>
        </w:rPr>
        <w:t>Aby tak opracowany system mógł działać poprawnie, konieczne jest przeprowadzenie kontroli przy wyjeździe na granicach zewnętrznych, tak aby zapewnić, że zgłoszone zostaną wszystkie przypadki opuszczenia terytorium przez określonych obywa</w:t>
      </w:r>
      <w:r>
        <w:rPr>
          <w:noProof/>
        </w:rPr>
        <w:t>teli państw trzecich. Wniosek</w:t>
      </w:r>
      <w:r>
        <w:rPr>
          <w:rStyle w:val="FootnoteReference"/>
          <w:noProof/>
        </w:rPr>
        <w:footnoteReference w:id="14"/>
      </w:r>
      <w:r>
        <w:rPr>
          <w:noProof/>
        </w:rPr>
        <w:t xml:space="preserve"> zmieniający rozporządzenie (UE) 2016/399 (kodeks graniczny Schengen)</w:t>
      </w:r>
      <w:r>
        <w:rPr>
          <w:rStyle w:val="FootnoteReference"/>
          <w:noProof/>
        </w:rPr>
        <w:footnoteReference w:id="15"/>
      </w:r>
      <w:r>
        <w:rPr>
          <w:noProof/>
        </w:rPr>
        <w:t xml:space="preserve"> ma na celu dostosowanie obowiązku systematycznego sprawdzania obywateli państw trzecich w bazach danych przy ich wjeździe i wyjeździe.</w:t>
      </w:r>
      <w:r>
        <w:rPr>
          <w:rStyle w:val="CommentReference"/>
          <w:noProof/>
        </w:rPr>
        <w:t xml:space="preserve"> </w:t>
      </w:r>
    </w:p>
    <w:p w:rsidR="00731D8F" w:rsidRDefault="00214EE0">
      <w:pPr>
        <w:pBdr>
          <w:top w:val="nil"/>
          <w:left w:val="nil"/>
          <w:bottom w:val="nil"/>
          <w:right w:val="nil"/>
          <w:between w:val="nil"/>
          <w:bar w:val="nil"/>
        </w:pBdr>
        <w:spacing w:before="0" w:after="240"/>
        <w:rPr>
          <w:noProof/>
          <w:szCs w:val="24"/>
        </w:rPr>
      </w:pPr>
      <w:r>
        <w:rPr>
          <w:noProof/>
        </w:rPr>
        <w:t>Biorąc pod uwagę po</w:t>
      </w:r>
      <w:r>
        <w:rPr>
          <w:noProof/>
        </w:rPr>
        <w:t>nadnarodowy charakter oraz wyzwania związane z zapewnieniem skutecznej transgranicznej wymiany informacji, zalecenia zawarte w europejskich ramach interoperacyjności są szczególnie istotne w kontekście tych wniosków i powinny być przestrzegane podczas opra</w:t>
      </w:r>
      <w:r>
        <w:rPr>
          <w:noProof/>
        </w:rPr>
        <w:t>cowywania lub świadczenia cyfrowych usług publicznych. Europejskie ramy interoperacyjności są obecnie poddawane przeglądowi, a ich nowa wersja zostanie niebawem przyjęta.</w:t>
      </w:r>
    </w:p>
    <w:p w:rsidR="00731D8F" w:rsidRDefault="00214EE0">
      <w:pPr>
        <w:pStyle w:val="ManualHeading2"/>
        <w:rPr>
          <w:noProof/>
          <w:color w:val="000000"/>
          <w:u w:color="000000"/>
          <w:bdr w:val="nil"/>
        </w:rPr>
      </w:pPr>
      <w:r>
        <w:rPr>
          <w:noProof/>
          <w:color w:val="000000"/>
          <w:u w:color="000000"/>
          <w:bdr w:val="nil"/>
        </w:rPr>
        <w:t>•</w:t>
      </w:r>
      <w:r>
        <w:rPr>
          <w:noProof/>
        </w:rPr>
        <w:tab/>
        <w:t>Spójność z przepisami obowiązującymi w tej dziedzinie polityki</w:t>
      </w:r>
    </w:p>
    <w:p w:rsidR="00731D8F" w:rsidRDefault="00214EE0">
      <w:pPr>
        <w:pBdr>
          <w:top w:val="nil"/>
          <w:left w:val="nil"/>
          <w:bottom w:val="nil"/>
          <w:right w:val="nil"/>
          <w:between w:val="nil"/>
          <w:bar w:val="nil"/>
        </w:pBdr>
        <w:spacing w:before="0" w:after="240"/>
        <w:rPr>
          <w:rFonts w:eastAsia="Arial Unicode MS"/>
          <w:noProof/>
        </w:rPr>
      </w:pPr>
      <w:r>
        <w:rPr>
          <w:noProof/>
        </w:rPr>
        <w:t>Niniejszy wniosek te</w:t>
      </w:r>
      <w:r>
        <w:rPr>
          <w:noProof/>
        </w:rPr>
        <w:t>n jest zgodny z przepisami dyrektywy 2008/115/WE, która ustanawia wspólne standardy i procedury dotyczące powrotów nielegalnie przebywających obywateli państw trzecich, oraz opiera się na tych przepisach. Ma on na celu zwiększenie stopnia przestrzegania or</w:t>
      </w:r>
      <w:r>
        <w:rPr>
          <w:noProof/>
        </w:rPr>
        <w:t>az widoczności decyzji nakazujących powrót wydanych przez właściwy organ zgodnie z przepisami zgodnymi z dyrektywą 2008/115/WE. Poprzez nałożenie obowiązku wpisywania takich decyzji do SIS niniejszy wniosek będzie sprzyjał ich egzekwowaniu.</w:t>
      </w:r>
    </w:p>
    <w:p w:rsidR="00731D8F" w:rsidRDefault="00214EE0">
      <w:pPr>
        <w:pStyle w:val="ManualHeading2"/>
        <w:rPr>
          <w:rFonts w:eastAsia="Arial Unicode MS"/>
          <w:noProof/>
        </w:rPr>
      </w:pPr>
      <w:r>
        <w:rPr>
          <w:noProof/>
          <w:color w:val="000000"/>
          <w:u w:color="000000"/>
          <w:bdr w:val="nil"/>
        </w:rPr>
        <w:t>•</w:t>
      </w:r>
      <w:r>
        <w:rPr>
          <w:noProof/>
        </w:rPr>
        <w:tab/>
        <w:t>Spójność z in</w:t>
      </w:r>
      <w:r>
        <w:rPr>
          <w:noProof/>
        </w:rPr>
        <w:t>nymi politykami Unii</w:t>
      </w:r>
    </w:p>
    <w:p w:rsidR="00731D8F" w:rsidRDefault="00214EE0">
      <w:pPr>
        <w:pBdr>
          <w:top w:val="nil"/>
          <w:left w:val="nil"/>
          <w:bottom w:val="nil"/>
          <w:right w:val="nil"/>
          <w:between w:val="nil"/>
          <w:bar w:val="nil"/>
        </w:pBdr>
        <w:spacing w:before="0" w:after="240"/>
        <w:rPr>
          <w:rFonts w:eastAsia="Arial Unicode MS"/>
          <w:noProof/>
          <w:szCs w:val="24"/>
        </w:rPr>
      </w:pPr>
      <w:r>
        <w:rPr>
          <w:noProof/>
        </w:rPr>
        <w:t>Niniejszy wniosek jest ściśle powiązany z innymi wskazanymi poniżej obszarami polityki Unii oraz wnioskami ustawodawczymi Komisji.</w:t>
      </w:r>
    </w:p>
    <w:p w:rsidR="00731D8F" w:rsidRDefault="00214EE0">
      <w:pPr>
        <w:pStyle w:val="Point0"/>
        <w:rPr>
          <w:noProof/>
          <w:szCs w:val="24"/>
        </w:rPr>
      </w:pPr>
      <w:r>
        <w:rPr>
          <w:noProof/>
        </w:rPr>
        <w:lastRenderedPageBreak/>
        <w:t>a)</w:t>
      </w:r>
      <w:r>
        <w:rPr>
          <w:noProof/>
        </w:rPr>
        <w:tab/>
        <w:t xml:space="preserve">Skuteczna </w:t>
      </w:r>
      <w:r>
        <w:rPr>
          <w:b/>
          <w:noProof/>
        </w:rPr>
        <w:t>polityka powrotowa UE</w:t>
      </w:r>
      <w:r>
        <w:rPr>
          <w:noProof/>
        </w:rPr>
        <w:t>, w celu przyczynienia się do wzmocnienia unijnego systemu na potrzeby</w:t>
      </w:r>
      <w:r>
        <w:rPr>
          <w:noProof/>
        </w:rPr>
        <w:t xml:space="preserve"> powrotów obywateli państw trzecich, którzy nie mają prawa pobytu na terytorium państw członkowskich. Niniejszy wniosek przyczyni się to do ograniczenia zachęt do nielegalnej migracji, co jest jednym z głównych celów Europejskiego programu w zakresie migra</w:t>
      </w:r>
      <w:r>
        <w:rPr>
          <w:noProof/>
        </w:rPr>
        <w:t>cji</w:t>
      </w:r>
      <w:r>
        <w:rPr>
          <w:rStyle w:val="FootnoteReference"/>
          <w:noProof/>
        </w:rPr>
        <w:footnoteReference w:id="16"/>
      </w:r>
      <w:r>
        <w:rPr>
          <w:noProof/>
        </w:rPr>
        <w:t>.</w:t>
      </w:r>
    </w:p>
    <w:p w:rsidR="00731D8F" w:rsidRDefault="00214EE0">
      <w:pPr>
        <w:pStyle w:val="Point0"/>
        <w:rPr>
          <w:noProof/>
          <w:szCs w:val="24"/>
        </w:rPr>
      </w:pPr>
      <w:r>
        <w:rPr>
          <w:noProof/>
        </w:rPr>
        <w:t>b)</w:t>
      </w:r>
      <w:r>
        <w:rPr>
          <w:noProof/>
        </w:rPr>
        <w:tab/>
      </w:r>
      <w:r>
        <w:rPr>
          <w:b/>
          <w:noProof/>
        </w:rPr>
        <w:t>EURODAC oraz system dubliński</w:t>
      </w:r>
      <w:r>
        <w:rPr>
          <w:noProof/>
        </w:rPr>
        <w:t xml:space="preserve"> – wprowadzanie decyzji nakazujących powrót do SIS ułatwi państwom członkowskim śledzenie, czy osoby ubiegające się o azyl, których wnioski zostały odrzucone, opuściły terytorium państw członkowskich i powróciły do pań</w:t>
      </w:r>
      <w:r>
        <w:rPr>
          <w:noProof/>
        </w:rPr>
        <w:t>stwa trzeciego zgodnie z decyzją nakazującą powrót. Będzie on również stanowił uzupełnienie wniosku Komisji</w:t>
      </w:r>
      <w:r>
        <w:rPr>
          <w:rStyle w:val="FootnoteReference"/>
          <w:noProof/>
        </w:rPr>
        <w:footnoteReference w:id="17"/>
      </w:r>
      <w:r>
        <w:rPr>
          <w:noProof/>
        </w:rPr>
        <w:t xml:space="preserve"> o rozszerzenie wykorzystania Eurodac na potrzeby identyfikowania nielegalnie przebywających obywateli państw trzecich, którzy nie ubiegają się o azyl i którzy mogą poruszać się w sposób niezauważony w obrębie UE. </w:t>
      </w:r>
    </w:p>
    <w:p w:rsidR="00731D8F" w:rsidRDefault="00214EE0">
      <w:pPr>
        <w:pStyle w:val="Point0"/>
        <w:rPr>
          <w:noProof/>
          <w:szCs w:val="24"/>
        </w:rPr>
      </w:pPr>
      <w:r>
        <w:rPr>
          <w:noProof/>
        </w:rPr>
        <w:t>c)</w:t>
      </w:r>
      <w:r>
        <w:rPr>
          <w:noProof/>
        </w:rPr>
        <w:tab/>
      </w:r>
      <w:r>
        <w:rPr>
          <w:b/>
          <w:noProof/>
        </w:rPr>
        <w:t>System wjazdu/wyjazdu</w:t>
      </w:r>
      <w:r>
        <w:rPr>
          <w:noProof/>
        </w:rPr>
        <w:t xml:space="preserve"> – niniejszy wnio</w:t>
      </w:r>
      <w:r>
        <w:rPr>
          <w:noProof/>
        </w:rPr>
        <w:t>sek będzie stanowić uzupełnienie wniosku Komisji</w:t>
      </w:r>
      <w:r>
        <w:rPr>
          <w:rStyle w:val="FootnoteReference"/>
          <w:noProof/>
        </w:rPr>
        <w:footnoteReference w:id="18"/>
      </w:r>
      <w:r>
        <w:rPr>
          <w:noProof/>
        </w:rPr>
        <w:t xml:space="preserve"> w sprawie systemu wjazdu/wyjazdu oraz jego wykorzystania do identyfikowania i wykrywania osób nadmiernie przedłużających pobyt (także wewnątrz terytorium państw członkowskich).</w:t>
      </w:r>
    </w:p>
    <w:p w:rsidR="00731D8F" w:rsidRDefault="00214EE0">
      <w:pPr>
        <w:pStyle w:val="Point0"/>
        <w:rPr>
          <w:noProof/>
        </w:rPr>
      </w:pPr>
      <w:r>
        <w:rPr>
          <w:noProof/>
        </w:rPr>
        <w:t>d)</w:t>
      </w:r>
      <w:r>
        <w:rPr>
          <w:noProof/>
        </w:rPr>
        <w:tab/>
      </w:r>
      <w:r>
        <w:rPr>
          <w:b/>
          <w:noProof/>
        </w:rPr>
        <w:t>ETIAS</w:t>
      </w:r>
      <w:r>
        <w:rPr>
          <w:rStyle w:val="FootnoteReference"/>
          <w:b/>
          <w:noProof/>
        </w:rPr>
        <w:footnoteReference w:id="19"/>
      </w:r>
      <w:r>
        <w:rPr>
          <w:noProof/>
        </w:rPr>
        <w:t>, w ramach którego z</w:t>
      </w:r>
      <w:r>
        <w:rPr>
          <w:noProof/>
        </w:rPr>
        <w:t>aproponowano przeprowadzanie gruntownej oceny bezpieczeństwa, obejmującej sprawdzenie w SIS, w odniesieniu do zwolnionych z obowiązku wizowego obywateli państw trzecich, którzy zamierzają odbyć podróż do UE.</w:t>
      </w:r>
    </w:p>
    <w:p w:rsidR="00731D8F" w:rsidRDefault="00214EE0">
      <w:pPr>
        <w:pStyle w:val="Point0"/>
        <w:rPr>
          <w:noProof/>
          <w:szCs w:val="24"/>
        </w:rPr>
      </w:pPr>
      <w:r>
        <w:rPr>
          <w:noProof/>
        </w:rPr>
        <w:t>e)</w:t>
      </w:r>
      <w:r>
        <w:rPr>
          <w:noProof/>
        </w:rPr>
        <w:tab/>
      </w:r>
      <w:r>
        <w:rPr>
          <w:b/>
          <w:noProof/>
        </w:rPr>
        <w:t>Kodeks graniczny Schengen</w:t>
      </w:r>
      <w:r>
        <w:rPr>
          <w:noProof/>
        </w:rPr>
        <w:t xml:space="preserve"> – niniejszy wniosek</w:t>
      </w:r>
      <w:r>
        <w:rPr>
          <w:noProof/>
        </w:rPr>
        <w:t xml:space="preserve"> będzie stanowić uzupełnienie nowelizacji kodeksu granicznego Schengen związanej z obowiązkiem systematycznego sprawdzania obywateli państw trzecich w odpowiednich bazach danych w przypadku wyjazdu.</w:t>
      </w:r>
    </w:p>
    <w:p w:rsidR="00731D8F" w:rsidRDefault="00214EE0">
      <w:pPr>
        <w:pStyle w:val="Point0"/>
        <w:rPr>
          <w:noProof/>
          <w:szCs w:val="24"/>
        </w:rPr>
      </w:pPr>
      <w:r>
        <w:rPr>
          <w:noProof/>
        </w:rPr>
        <w:t>f)</w:t>
      </w:r>
      <w:r>
        <w:rPr>
          <w:noProof/>
        </w:rPr>
        <w:tab/>
        <w:t>Wniosek Komisji w sprawie utworzenia, funkcjonowania i</w:t>
      </w:r>
      <w:r>
        <w:rPr>
          <w:noProof/>
        </w:rPr>
        <w:t xml:space="preserve"> użytkowania Systemu Informacyjnego Schengen (SIS) w dziedzinie </w:t>
      </w:r>
      <w:r>
        <w:rPr>
          <w:b/>
          <w:noProof/>
        </w:rPr>
        <w:t>odpraw granicznych</w:t>
      </w:r>
      <w:r>
        <w:rPr>
          <w:noProof/>
        </w:rPr>
        <w:t xml:space="preserve"> oraz uchylenia rozporządzenia (WE) nr 1987/2006 – niniejszy wniosek będzie stanowić uzupełnienie przepisów związanych z wprowadzaniem zakazów wjazdu do SIS w następstwie pow</w:t>
      </w:r>
      <w:r>
        <w:rPr>
          <w:noProof/>
        </w:rPr>
        <w:t>rotu danego obywatela państwa trzeciego.</w:t>
      </w:r>
    </w:p>
    <w:p w:rsidR="00731D8F" w:rsidRDefault="00214EE0">
      <w:pPr>
        <w:pStyle w:val="ManualHeading1"/>
        <w:rPr>
          <w:noProof/>
        </w:rPr>
      </w:pPr>
      <w:r>
        <w:rPr>
          <w:noProof/>
        </w:rPr>
        <w:lastRenderedPageBreak/>
        <w:t>2.</w:t>
      </w:r>
      <w:r>
        <w:rPr>
          <w:noProof/>
        </w:rPr>
        <w:tab/>
        <w:t>PODSTAWA PRAWNA, POMOCNICZOŚĆ I PROPORCJONALNOŚĆ</w:t>
      </w:r>
    </w:p>
    <w:p w:rsidR="00731D8F" w:rsidRDefault="00214EE0">
      <w:pPr>
        <w:pStyle w:val="ManualHeading2"/>
        <w:rPr>
          <w:rFonts w:eastAsia="Arial Unicode MS"/>
          <w:noProof/>
          <w:u w:color="000000"/>
          <w:bdr w:val="nil"/>
        </w:rPr>
      </w:pPr>
      <w:r>
        <w:rPr>
          <w:noProof/>
        </w:rPr>
        <w:t>•</w:t>
      </w:r>
      <w:r>
        <w:rPr>
          <w:noProof/>
        </w:rPr>
        <w:tab/>
        <w:t>Podstawa prawna</w:t>
      </w:r>
    </w:p>
    <w:p w:rsidR="00731D8F" w:rsidRDefault="00214EE0">
      <w:pPr>
        <w:pStyle w:val="ManualHeading2"/>
        <w:tabs>
          <w:tab w:val="left" w:pos="0"/>
        </w:tabs>
        <w:ind w:left="0" w:firstLine="0"/>
        <w:rPr>
          <w:noProof/>
          <w:szCs w:val="24"/>
        </w:rPr>
      </w:pPr>
      <w:r>
        <w:rPr>
          <w:b w:val="0"/>
          <w:noProof/>
          <w:u w:color="000000"/>
          <w:bdr w:val="nil"/>
        </w:rPr>
        <w:t>Artykuł 79 ust. 2 lit. c) Traktatu o funkcjonowaniu Unii Europejskiej upoważnia Parlament Europejski i Radę, działające zgodnie ze zwykłą procedu</w:t>
      </w:r>
      <w:r>
        <w:rPr>
          <w:b w:val="0"/>
          <w:noProof/>
          <w:u w:color="000000"/>
          <w:bdr w:val="nil"/>
        </w:rPr>
        <w:t xml:space="preserve">rą ustawodawczą, do przyjmowania środków w obszarze nielegalnej imigracji i nielegalnego pobytu, w tym wydalania i repatriacji osób przebywających nielegalnie. W związku z tym artykuł ten stanowi właściwą podstawę prawną do wykorzystania SIS na potrzeby </w:t>
      </w:r>
      <w:r>
        <w:rPr>
          <w:b w:val="0"/>
          <w:noProof/>
        </w:rPr>
        <w:t>po</w:t>
      </w:r>
      <w:r>
        <w:rPr>
          <w:b w:val="0"/>
          <w:noProof/>
        </w:rPr>
        <w:t>wrotów nielegalnie przebywających obywateli państw trzecich.</w:t>
      </w:r>
    </w:p>
    <w:p w:rsidR="00731D8F" w:rsidRDefault="00214EE0">
      <w:pPr>
        <w:pStyle w:val="ManualHeading2"/>
        <w:rPr>
          <w:rFonts w:eastAsia="Arial Unicode MS"/>
          <w:noProof/>
          <w:szCs w:val="24"/>
          <w:u w:color="000000"/>
          <w:bdr w:val="nil"/>
        </w:rPr>
      </w:pPr>
      <w:r>
        <w:rPr>
          <w:noProof/>
        </w:rPr>
        <w:t>•</w:t>
      </w:r>
      <w:r>
        <w:rPr>
          <w:noProof/>
        </w:rPr>
        <w:tab/>
        <w:t>Zmienna geometria</w:t>
      </w:r>
    </w:p>
    <w:p w:rsidR="00731D8F" w:rsidRDefault="00214EE0">
      <w:pPr>
        <w:pBdr>
          <w:top w:val="nil"/>
          <w:left w:val="nil"/>
          <w:bottom w:val="nil"/>
          <w:right w:val="nil"/>
          <w:between w:val="nil"/>
          <w:bar w:val="nil"/>
        </w:pBdr>
        <w:spacing w:before="0" w:after="240"/>
        <w:rPr>
          <w:rFonts w:eastAsia="Arial Unicode MS"/>
          <w:noProof/>
          <w:szCs w:val="24"/>
        </w:rPr>
      </w:pPr>
      <w:r>
        <w:rPr>
          <w:noProof/>
        </w:rPr>
        <w:t xml:space="preserve">W odniesieniu do zmiennej geometrii w niniejszym wniosku przyjęto podejście porównywalne do podejścia stosowanego w dyrektywie 2008/115/WE. </w:t>
      </w:r>
    </w:p>
    <w:p w:rsidR="00731D8F" w:rsidRDefault="00214EE0">
      <w:pPr>
        <w:pBdr>
          <w:top w:val="nil"/>
          <w:left w:val="nil"/>
          <w:bottom w:val="nil"/>
          <w:right w:val="nil"/>
          <w:between w:val="nil"/>
          <w:bar w:val="nil"/>
        </w:pBdr>
        <w:spacing w:before="0" w:after="240"/>
        <w:rPr>
          <w:rFonts w:eastAsia="Arial Unicode MS"/>
          <w:noProof/>
          <w:szCs w:val="24"/>
        </w:rPr>
      </w:pPr>
      <w:r>
        <w:rPr>
          <w:noProof/>
        </w:rPr>
        <w:t>Zgodnie z art. 4 Protokołu nr 22 w</w:t>
      </w:r>
      <w:r>
        <w:rPr>
          <w:noProof/>
        </w:rPr>
        <w:t xml:space="preserve"> sprawie stanowiska Danii, załączonego do Traktatów, Dania podejmie decyzję, w terminie sześciu miesięcy po przyjęciu przez Radę decyzji w sprawie niniejszego rozporządzenia, czy dokona transpozycji niniejszego wniosku, stanowiącego rozwinięcie dorobku Sch</w:t>
      </w:r>
      <w:r>
        <w:rPr>
          <w:noProof/>
        </w:rPr>
        <w:t xml:space="preserve">engen, do swojego prawa krajowego. </w:t>
      </w:r>
    </w:p>
    <w:p w:rsidR="00731D8F" w:rsidRDefault="00214EE0">
      <w:pPr>
        <w:pBdr>
          <w:top w:val="nil"/>
          <w:left w:val="nil"/>
          <w:bottom w:val="nil"/>
          <w:right w:val="nil"/>
          <w:between w:val="nil"/>
          <w:bar w:val="nil"/>
        </w:pBdr>
        <w:spacing w:before="0" w:after="240"/>
        <w:rPr>
          <w:rFonts w:eastAsia="Arial Unicode MS"/>
          <w:noProof/>
          <w:szCs w:val="24"/>
        </w:rPr>
      </w:pPr>
      <w:r>
        <w:rPr>
          <w:noProof/>
        </w:rPr>
        <w:t xml:space="preserve">W odniesieniu do Zjednoczonego Królestwa i Irlandii dyrektywa powrotowa prezentuje charakter mieszany, co odzwierciedlają motywy 26 i 27. Wynika z tego, że do niniejszego wniosku zastosowanie ma zarówno Protokół nr 19 w </w:t>
      </w:r>
      <w:r>
        <w:rPr>
          <w:noProof/>
        </w:rPr>
        <w:t>sprawie dorobku Schengen włączonego w ramy Unii Europejskiej, jak i Protokół nr 21 w sprawie stanowiska Zjednoczonego Królestwa i Irlandii w odniesieniu do przestrzeni wolności, bezpieczeństwa i sprawiedliwości; protokoły te są załączone do Traktatów. Zgod</w:t>
      </w:r>
      <w:r>
        <w:rPr>
          <w:noProof/>
        </w:rPr>
        <w:t>nie z tym drugim protokołem (niedotyczącym Schengen) Zjednoczone Królestwo i Irlandia nie uczestniczą w przyjęciu niniejszego rozporządzenia, nie są nim związane ani nie podlegają jego stosowaniu; mogą jednak zgłosić Radzie, że chcą uczestniczyć w niniejsz</w:t>
      </w:r>
      <w:r>
        <w:rPr>
          <w:noProof/>
        </w:rPr>
        <w:t xml:space="preserve">ym instrumencie. </w:t>
      </w:r>
    </w:p>
    <w:p w:rsidR="00731D8F" w:rsidRDefault="00214EE0">
      <w:pPr>
        <w:pBdr>
          <w:top w:val="nil"/>
          <w:left w:val="nil"/>
          <w:bottom w:val="nil"/>
          <w:right w:val="nil"/>
          <w:between w:val="nil"/>
          <w:bar w:val="nil"/>
        </w:pBdr>
        <w:spacing w:before="0" w:after="240"/>
        <w:rPr>
          <w:rFonts w:eastAsia="Arial Unicode MS"/>
          <w:noProof/>
        </w:rPr>
      </w:pPr>
      <w:r>
        <w:rPr>
          <w:noProof/>
        </w:rPr>
        <w:t>Na podstawie odpowiednich umów dotyczących włączenia tych państw we wprowadzanie w życie, stosowanie i rozwój dorobku Schengen Islandia, Norwegia i Liechtenstein mają być związane proponowanym rozporządzeniem.</w:t>
      </w:r>
    </w:p>
    <w:p w:rsidR="00731D8F" w:rsidRDefault="00214EE0">
      <w:pPr>
        <w:pStyle w:val="ManualHeading2"/>
        <w:rPr>
          <w:rFonts w:eastAsia="Arial Unicode MS"/>
          <w:noProof/>
          <w:u w:color="000000"/>
          <w:bdr w:val="nil"/>
        </w:rPr>
      </w:pPr>
      <w:r>
        <w:rPr>
          <w:noProof/>
        </w:rPr>
        <w:t>•</w:t>
      </w:r>
      <w:r>
        <w:rPr>
          <w:noProof/>
        </w:rPr>
        <w:tab/>
        <w:t xml:space="preserve">Pomocniczość (w przypadku </w:t>
      </w:r>
      <w:r>
        <w:rPr>
          <w:noProof/>
        </w:rPr>
        <w:t xml:space="preserve">kompetencji niewyłącznych) </w:t>
      </w:r>
    </w:p>
    <w:p w:rsidR="00731D8F" w:rsidRDefault="00214EE0">
      <w:pPr>
        <w:pBdr>
          <w:top w:val="nil"/>
          <w:left w:val="nil"/>
          <w:bottom w:val="nil"/>
          <w:right w:val="nil"/>
          <w:between w:val="nil"/>
          <w:bar w:val="nil"/>
        </w:pBdr>
        <w:spacing w:before="0" w:after="240"/>
        <w:rPr>
          <w:rFonts w:eastAsia="Arial Unicode MS"/>
          <w:noProof/>
          <w:szCs w:val="24"/>
        </w:rPr>
      </w:pPr>
      <w:r>
        <w:rPr>
          <w:noProof/>
        </w:rPr>
        <w:t>Celem wniosku jest utworzenie systemu wymiany informacji na temat decyzji nakazujących powrót wydanych zgodnie z przepisami zgodnymi z dyrektywą 2008/115/WE między państwami członkowskimi w celu ułatwienia ich wykonywania oraz n</w:t>
      </w:r>
      <w:r>
        <w:rPr>
          <w:noProof/>
        </w:rPr>
        <w:t>a potrzeby monitorowania przestrzegania przez nielegalnie przebywających obywateli państw trzecich obowiązku powrotu. Cel ten nie może być w wystarczający sposób osiągnięty przez państwa członkowskie działające samodzielnie. Obecnie nie istnieje system umo</w:t>
      </w:r>
      <w:r>
        <w:rPr>
          <w:noProof/>
        </w:rPr>
        <w:t>żliwiający systematyczną wymianę informacji w sprawie decyzji nakazujących powrót wydanych przez państwa członkowskie zgodnie z przepisami zgodnymi z dyrektywą 2008/115/WE. W związku z tym organy krajowe nie mogą wiedzieć, czy w odniesieniu do obywateli pa</w:t>
      </w:r>
      <w:r>
        <w:rPr>
          <w:noProof/>
        </w:rPr>
        <w:t>ństw trzecich inne państwa członkowskie wydały decyzje nakazujące powrót, także w przypadku zatrzymania nielegalnych migrantów w czasie nielegalnego przemieszczania się w ramach UE oraz przejazdu na terytoria innych państw członkowskich. Cel niniejszego wn</w:t>
      </w:r>
      <w:r>
        <w:rPr>
          <w:noProof/>
        </w:rPr>
        <w:t>iosku może zatem zostać lepiej osiągnięty przez Unię Europejską.</w:t>
      </w:r>
    </w:p>
    <w:p w:rsidR="00731D8F" w:rsidRDefault="00214EE0">
      <w:pPr>
        <w:pStyle w:val="ManualHeading2"/>
        <w:rPr>
          <w:rFonts w:eastAsia="Arial Unicode MS"/>
          <w:noProof/>
          <w:u w:color="000000"/>
          <w:bdr w:val="nil"/>
        </w:rPr>
      </w:pPr>
      <w:r>
        <w:rPr>
          <w:noProof/>
        </w:rPr>
        <w:t>•</w:t>
      </w:r>
      <w:r>
        <w:rPr>
          <w:noProof/>
        </w:rPr>
        <w:tab/>
        <w:t>Proporcjonalność</w:t>
      </w:r>
    </w:p>
    <w:p w:rsidR="00731D8F" w:rsidRDefault="00214EE0">
      <w:pPr>
        <w:rPr>
          <w:noProof/>
          <w:szCs w:val="24"/>
          <w:u w:color="000000"/>
          <w:bdr w:val="nil"/>
        </w:rPr>
      </w:pPr>
      <w:r>
        <w:rPr>
          <w:noProof/>
        </w:rPr>
        <w:t xml:space="preserve">Artykuł 5 Traktatu o Unii Europejskiej stanowi, że działanie Unii nie wykracza poza to, co jest konieczne do osiągnięcia celów Traktatu. Forma wybrana dla tego działania UE musi </w:t>
      </w:r>
      <w:r>
        <w:rPr>
          <w:noProof/>
        </w:rPr>
        <w:lastRenderedPageBreak/>
        <w:t>zatem umożliwić osiągnięcie celów wniosku i jego wprowadzenie w życie w jak na</w:t>
      </w:r>
      <w:r>
        <w:rPr>
          <w:noProof/>
        </w:rPr>
        <w:t xml:space="preserve">jskuteczniejszy sposób. </w:t>
      </w:r>
    </w:p>
    <w:p w:rsidR="00731D8F" w:rsidRDefault="00214EE0">
      <w:pPr>
        <w:rPr>
          <w:noProof/>
          <w:szCs w:val="24"/>
        </w:rPr>
      </w:pPr>
      <w:r>
        <w:rPr>
          <w:noProof/>
        </w:rPr>
        <w:t>Proponowane rozporządzenie ma na celu ułatwienie wykonywania i monitorowania decyzji nakazujących powrót wydanych zgodnie z przepisami zgodnymi z dyrektywą 2008/115/WE w odniesieniu do nielegalnie przebywających obywateli państw tr</w:t>
      </w:r>
      <w:r>
        <w:rPr>
          <w:noProof/>
        </w:rPr>
        <w:t xml:space="preserve">zecich, z myślą o zapewnieniu bardziej efektywnej i skutecznej polityki powrotowej. W związku z tym zapewnia ono dodatkowe narzędzie, z którego państwa członkowskie będą mogły skorzystać w celu wypełnienia obowiązku podjęcia wszystkich niezbędnych kroków, </w:t>
      </w:r>
      <w:r>
        <w:rPr>
          <w:noProof/>
        </w:rPr>
        <w:t xml:space="preserve">aby zapewnić wykonanie decyzji nakazujących powrót w skuteczny i proporcjonalny sposób, zgodnie z art. 8 ust. 1 dyrektywy powrotowej. </w:t>
      </w:r>
    </w:p>
    <w:p w:rsidR="00731D8F" w:rsidRDefault="00214EE0">
      <w:pPr>
        <w:rPr>
          <w:noProof/>
          <w:szCs w:val="24"/>
          <w:u w:color="000000"/>
          <w:bdr w:val="nil"/>
        </w:rPr>
      </w:pPr>
      <w:r>
        <w:rPr>
          <w:noProof/>
        </w:rPr>
        <w:t>Aby osiągnąć te cele, zgodnie z zasadą proporcjonalności, określoną w art. 5 Traktatu o Unii Europejskiej, niniejsze rozp</w:t>
      </w:r>
      <w:r>
        <w:rPr>
          <w:noProof/>
        </w:rPr>
        <w:t>orządzenie nie wykracza poza to, co jest konieczne do ich osiągnięcia.</w:t>
      </w:r>
    </w:p>
    <w:p w:rsidR="00731D8F" w:rsidRDefault="00214EE0">
      <w:pPr>
        <w:pStyle w:val="ManualHeading2"/>
        <w:rPr>
          <w:rFonts w:eastAsia="Arial Unicode MS"/>
          <w:noProof/>
          <w:u w:color="000000"/>
          <w:bdr w:val="nil"/>
        </w:rPr>
      </w:pPr>
      <w:r>
        <w:rPr>
          <w:noProof/>
        </w:rPr>
        <w:t>•</w:t>
      </w:r>
      <w:r>
        <w:rPr>
          <w:noProof/>
        </w:rPr>
        <w:tab/>
        <w:t>Wybór instrumentu</w:t>
      </w:r>
    </w:p>
    <w:p w:rsidR="00731D8F" w:rsidRDefault="00214EE0">
      <w:pPr>
        <w:rPr>
          <w:noProof/>
          <w:szCs w:val="24"/>
        </w:rPr>
      </w:pPr>
      <w:r>
        <w:rPr>
          <w:noProof/>
        </w:rPr>
        <w:t xml:space="preserve">Aby ustanowić jednolite i zharmonizowane procedury, które są bezpośrednio stosowane, należy przyjąć niniejszy akt w formie rozporządzenia. Oprócz tego niniejszy </w:t>
      </w:r>
      <w:r>
        <w:rPr>
          <w:noProof/>
        </w:rPr>
        <w:t>wniosek dotyczy wykorzystania scentralizowanego europejskiego systemu informacyjnego. W związku z tym zasady dotyczące jego wykorzystania muszą być określone w rozporządzeniu.</w:t>
      </w:r>
    </w:p>
    <w:p w:rsidR="00731D8F" w:rsidRDefault="00214EE0">
      <w:pPr>
        <w:pStyle w:val="ManualHeading1"/>
        <w:rPr>
          <w:noProof/>
        </w:rPr>
      </w:pPr>
      <w:r>
        <w:rPr>
          <w:noProof/>
        </w:rPr>
        <w:t>3.</w:t>
      </w:r>
      <w:r>
        <w:rPr>
          <w:noProof/>
        </w:rPr>
        <w:tab/>
        <w:t xml:space="preserve">WYNIKI OCEN </w:t>
      </w:r>
      <w:r>
        <w:rPr>
          <w:i/>
          <w:noProof/>
        </w:rPr>
        <w:t>EX POST</w:t>
      </w:r>
      <w:r>
        <w:rPr>
          <w:noProof/>
        </w:rPr>
        <w:t>, KONSULTACJI Z ZAINTERESOWANYMI STRONAMI I OCEN SKUTKÓW</w:t>
      </w:r>
    </w:p>
    <w:p w:rsidR="00731D8F" w:rsidRDefault="00214EE0">
      <w:pPr>
        <w:pStyle w:val="ManualHeading2"/>
        <w:rPr>
          <w:rFonts w:eastAsia="Arial Unicode MS"/>
          <w:noProof/>
          <w:u w:color="000000"/>
          <w:bdr w:val="nil"/>
        </w:rPr>
      </w:pPr>
      <w:r>
        <w:rPr>
          <w:noProof/>
        </w:rPr>
        <w:t>•</w:t>
      </w:r>
      <w:r>
        <w:rPr>
          <w:noProof/>
        </w:rPr>
        <w:tab/>
        <w:t xml:space="preserve">Oceny </w:t>
      </w:r>
      <w:r>
        <w:rPr>
          <w:i/>
          <w:noProof/>
        </w:rPr>
        <w:t>ex post</w:t>
      </w:r>
      <w:r>
        <w:rPr>
          <w:noProof/>
        </w:rPr>
        <w:t xml:space="preserve"> / kontrole sprawności obowiązującego prawodawstwa</w:t>
      </w:r>
    </w:p>
    <w:p w:rsidR="00731D8F" w:rsidRDefault="00214EE0">
      <w:pPr>
        <w:rPr>
          <w:noProof/>
          <w:szCs w:val="24"/>
        </w:rPr>
      </w:pPr>
      <w:r>
        <w:rPr>
          <w:noProof/>
        </w:rPr>
        <w:t>Zgodnie z rozporządzeniem SIS II</w:t>
      </w:r>
      <w:r>
        <w:rPr>
          <w:rStyle w:val="FootnoteReference"/>
          <w:noProof/>
        </w:rPr>
        <w:footnoteReference w:id="20"/>
      </w:r>
      <w:r>
        <w:rPr>
          <w:noProof/>
        </w:rPr>
        <w:t xml:space="preserve"> i decyzją Rady 2007/533/WSiSW</w:t>
      </w:r>
      <w:r>
        <w:rPr>
          <w:rStyle w:val="FootnoteReference"/>
          <w:noProof/>
        </w:rPr>
        <w:footnoteReference w:id="21"/>
      </w:r>
      <w:r>
        <w:rPr>
          <w:noProof/>
        </w:rPr>
        <w:t xml:space="preserve"> trzy lata po rozpoczęciu eksploatacji centralnego systemu SIS II Komisja przeprowadziła ogólną ocenę tego systemu oraz dwustro</w:t>
      </w:r>
      <w:r>
        <w:rPr>
          <w:noProof/>
        </w:rPr>
        <w:t>nnej i wielostronnej wymiany informacji uzupełniających pomiędzy państwami członkowskimi. W ocenie tej w szczególny sposób skupiono się na przeglądzie stosowania art. 24 rozporządzenia w sprawie SIS II ustanawiającego warunki dokonywania wpisów na potrzeby</w:t>
      </w:r>
      <w:r>
        <w:rPr>
          <w:noProof/>
        </w:rPr>
        <w:t xml:space="preserve"> odmowy prawa wjazdu i pobytu w odniesieniu do obywateli państw trzecich. Wnioski wynikające z oceny zostały zawarte we wniosku dotyczącym rozporządzenia Parlamentu Europejskiego i Rady w sprawie utworzenia, funkcjonowania i użytkowania Systemu Informacyjn</w:t>
      </w:r>
      <w:r>
        <w:rPr>
          <w:noProof/>
        </w:rPr>
        <w:t>ego Schengen (SIS) w dziedzinie odpraw granicznych oraz wniosku dotyczącym rozporządzenia Parlamentu Europejskiego i Rady w sprawie utworzenia, funkcjonowania i użytkowania Systemu Informacyjnego Schengen (SIS) w dziedzinie współpracy policyjnej i współpra</w:t>
      </w:r>
      <w:r>
        <w:rPr>
          <w:noProof/>
        </w:rPr>
        <w:t>cy wymiarów sprawiedliwości w sprawach karnych.</w:t>
      </w:r>
    </w:p>
    <w:p w:rsidR="00731D8F" w:rsidRDefault="00214EE0">
      <w:pPr>
        <w:pBdr>
          <w:top w:val="nil"/>
          <w:left w:val="nil"/>
          <w:bottom w:val="nil"/>
          <w:right w:val="nil"/>
          <w:between w:val="nil"/>
          <w:bar w:val="nil"/>
        </w:pBdr>
        <w:spacing w:before="0" w:after="240"/>
        <w:rPr>
          <w:rFonts w:eastAsia="Arial Unicode MS"/>
          <w:noProof/>
        </w:rPr>
      </w:pPr>
      <w:r>
        <w:rPr>
          <w:noProof/>
        </w:rPr>
        <w:t>Zgodnie z art. 19 dyrektywy powrotowej 2008/115/WE Komisja opublikowała również w 2014 r. komunikat w sprawie unijnej polityki powrotowej</w:t>
      </w:r>
      <w:r>
        <w:rPr>
          <w:rStyle w:val="FootnoteReference"/>
          <w:noProof/>
        </w:rPr>
        <w:footnoteReference w:id="22"/>
      </w:r>
      <w:r>
        <w:rPr>
          <w:noProof/>
        </w:rPr>
        <w:t>, który zawiera sprawozdanie ze stosowania dyrektywy 2008/115/WE. W ko</w:t>
      </w:r>
      <w:r>
        <w:rPr>
          <w:noProof/>
        </w:rPr>
        <w:t>munikacie tym stwierdzono, że potencjał SIS w dziedzinie polityki powrotowej powinien zostać zwiększony oraz wskazano, że przegląd SIS II stanowi okazję dla poprawy spójności polityki powrotowej i SIS II, a także zasugerowano wprowadzenie obowiązku dokonyw</w:t>
      </w:r>
      <w:r>
        <w:rPr>
          <w:noProof/>
        </w:rPr>
        <w:t xml:space="preserve">ania przez państwa członkowskie wpisów do SIS II dotyczących odmowy wjazdu w odniesieniu do zakazów wjazdu wydanych na podstawie dyrektywy powrotowej. </w:t>
      </w:r>
    </w:p>
    <w:p w:rsidR="00731D8F" w:rsidRDefault="00214EE0">
      <w:pPr>
        <w:pStyle w:val="ManualHeading2"/>
        <w:rPr>
          <w:rFonts w:eastAsia="Arial Unicode MS"/>
          <w:noProof/>
          <w:u w:color="000000"/>
          <w:bdr w:val="nil"/>
        </w:rPr>
      </w:pPr>
      <w:r>
        <w:rPr>
          <w:noProof/>
        </w:rPr>
        <w:t>•</w:t>
      </w:r>
      <w:r>
        <w:rPr>
          <w:noProof/>
        </w:rPr>
        <w:tab/>
        <w:t>Konsultacje z zainteresowanymi stronami</w:t>
      </w:r>
    </w:p>
    <w:p w:rsidR="00731D8F" w:rsidRDefault="00214EE0">
      <w:pPr>
        <w:pBdr>
          <w:top w:val="nil"/>
          <w:left w:val="nil"/>
          <w:bottom w:val="nil"/>
          <w:right w:val="nil"/>
          <w:between w:val="nil"/>
          <w:bar w:val="nil"/>
        </w:pBdr>
        <w:spacing w:before="0" w:after="240"/>
        <w:rPr>
          <w:noProof/>
          <w:szCs w:val="24"/>
          <w:u w:color="000000"/>
          <w:bdr w:val="nil"/>
        </w:rPr>
      </w:pPr>
      <w:r>
        <w:rPr>
          <w:noProof/>
        </w:rPr>
        <w:t>O udzielenie informacji zwrotnych oraz sugestii dotyczących po</w:t>
      </w:r>
      <w:r>
        <w:rPr>
          <w:noProof/>
        </w:rPr>
        <w:t xml:space="preserve">tencjalnego wykorzystania SIS w odniesieniu do powrotów zwrócono się do odpowiednich zainteresowanych podmiotów, w tym delegatów z Komitetu SIS–VIS oraz Grupy Kontaktowej ds. Dyrektywy Powrotowej. Dyskusje na ten temat odbyły się na posiedzeniach Komitetu </w:t>
      </w:r>
      <w:r>
        <w:rPr>
          <w:noProof/>
        </w:rPr>
        <w:t>SIS–VIS (w dniach10 maja 2016 r. oraz 30 czerwca 2016 r.) oraz Grupy Kontaktowej ds. Dyrektywy Powrotowej (w dniach 16 listopada 2015 r., 18 marca i 20 czerwca 2016 r.). Dnia 5 lutego 2016 r. odbyły się wspólne warsztaty z udziałem delegatów z Komitetu SIS</w:t>
      </w:r>
      <w:r>
        <w:rPr>
          <w:noProof/>
        </w:rPr>
        <w:t xml:space="preserve">–VIS oraz Grupy Kontaktowej ds. Dyrektywy Powrotowej. Uczestniczyli w nich także przedstawiciele unijnych agencji, takich jak Agencja Praw Podstawowych Unii Europejskiej. </w:t>
      </w:r>
    </w:p>
    <w:p w:rsidR="00731D8F" w:rsidRDefault="00214EE0">
      <w:pPr>
        <w:pStyle w:val="ManualHeading2"/>
        <w:rPr>
          <w:rFonts w:eastAsia="Arial Unicode MS"/>
          <w:noProof/>
          <w:u w:color="000000"/>
          <w:bdr w:val="nil"/>
        </w:rPr>
      </w:pPr>
      <w:r>
        <w:rPr>
          <w:noProof/>
        </w:rPr>
        <w:t>•</w:t>
      </w:r>
      <w:r>
        <w:rPr>
          <w:noProof/>
        </w:rPr>
        <w:tab/>
        <w:t>Gromadzenie i wykorzystanie wiedzy eksperckiej</w:t>
      </w:r>
    </w:p>
    <w:p w:rsidR="00731D8F" w:rsidRDefault="00214EE0">
      <w:pPr>
        <w:rPr>
          <w:noProof/>
          <w:szCs w:val="24"/>
          <w:u w:color="000000"/>
          <w:bdr w:val="nil"/>
        </w:rPr>
      </w:pPr>
      <w:r>
        <w:rPr>
          <w:noProof/>
        </w:rPr>
        <w:t>W październiku 2015 r. Komisja zlec</w:t>
      </w:r>
      <w:r>
        <w:rPr>
          <w:noProof/>
        </w:rPr>
        <w:t>iła ekspertyzę zewnętrzną</w:t>
      </w:r>
      <w:r>
        <w:rPr>
          <w:rStyle w:val="FootnoteReference"/>
          <w:noProof/>
          <w:u w:color="000000"/>
          <w:bdr w:val="nil"/>
        </w:rPr>
        <w:footnoteReference w:id="23"/>
      </w:r>
      <w:r>
        <w:rPr>
          <w:noProof/>
        </w:rPr>
        <w:t>, mającą na celu przeprowadzenie oceny wykonalności oraz technicznych i operacyjnych skutków ustanowienia ogólnounijnego systemu wymiany danych dotyczących decyzji nakazujących powrót oraz monitorowania przestrzegania decyzji wyda</w:t>
      </w:r>
      <w:r>
        <w:rPr>
          <w:noProof/>
        </w:rPr>
        <w:t xml:space="preserve">nych zgodnie z przepisami zgodnymi z dyrektywą 2008/115/WE. Badanie to zakończono w kwietniu 2016 r. </w:t>
      </w:r>
    </w:p>
    <w:p w:rsidR="00731D8F" w:rsidRDefault="00214EE0">
      <w:pPr>
        <w:pStyle w:val="ManualHeading2"/>
        <w:rPr>
          <w:rFonts w:eastAsia="Arial Unicode MS"/>
          <w:noProof/>
          <w:u w:color="000000"/>
          <w:bdr w:val="nil"/>
        </w:rPr>
      </w:pPr>
      <w:r>
        <w:rPr>
          <w:noProof/>
        </w:rPr>
        <w:t>•</w:t>
      </w:r>
      <w:r>
        <w:rPr>
          <w:noProof/>
        </w:rPr>
        <w:tab/>
        <w:t>Ocena skutków</w:t>
      </w:r>
    </w:p>
    <w:p w:rsidR="00731D8F" w:rsidRDefault="00214EE0">
      <w:pPr>
        <w:rPr>
          <w:noProof/>
          <w:szCs w:val="24"/>
          <w:u w:color="000000"/>
          <w:bdr w:val="nil"/>
        </w:rPr>
      </w:pPr>
      <w:r>
        <w:rPr>
          <w:noProof/>
        </w:rPr>
        <w:t>Nie przeprowadzono oceny skutków. Wniosek opiera się jednak na wynikach studium wykonalności, o którym mowa powyżej.</w:t>
      </w:r>
    </w:p>
    <w:p w:rsidR="00731D8F" w:rsidRDefault="00214EE0">
      <w:pPr>
        <w:rPr>
          <w:noProof/>
          <w:szCs w:val="24"/>
          <w:u w:color="000000"/>
          <w:bdr w:val="nil"/>
        </w:rPr>
      </w:pPr>
      <w:r>
        <w:rPr>
          <w:noProof/>
        </w:rPr>
        <w:t>Wynika z niego, że wp</w:t>
      </w:r>
      <w:r>
        <w:rPr>
          <w:noProof/>
        </w:rPr>
        <w:t>rowadzanie decyzji nakazujących powrót wydanych zgodnie z przepisami zgodnymi z dyrektywą 2008/115/WE jako wpisów w SIS byłoby technicznie wykonalne i przyniosłoby wymierne korzyści, zwłaszcza w odniesieniu do widoczności informacji w państwach członkowski</w:t>
      </w:r>
      <w:r>
        <w:rPr>
          <w:noProof/>
        </w:rPr>
        <w:t xml:space="preserve">ch oraz usprawnienia działań następczych. </w:t>
      </w:r>
    </w:p>
    <w:p w:rsidR="00731D8F" w:rsidRDefault="00214EE0">
      <w:pPr>
        <w:rPr>
          <w:noProof/>
          <w:szCs w:val="24"/>
          <w:u w:color="000000"/>
          <w:bdr w:val="nil"/>
        </w:rPr>
      </w:pPr>
      <w:r>
        <w:rPr>
          <w:noProof/>
        </w:rPr>
        <w:t>Ułatwiłoby to organom:</w:t>
      </w:r>
    </w:p>
    <w:p w:rsidR="00731D8F" w:rsidRDefault="00214EE0">
      <w:pPr>
        <w:pStyle w:val="Tiret0"/>
        <w:numPr>
          <w:ilvl w:val="0"/>
          <w:numId w:val="12"/>
        </w:numPr>
        <w:rPr>
          <w:noProof/>
          <w:u w:color="000000"/>
          <w:bdr w:val="nil"/>
        </w:rPr>
      </w:pPr>
      <w:r>
        <w:rPr>
          <w:noProof/>
        </w:rPr>
        <w:t>wykonywanie decyzji w przypadku niezastosowania się do nich;</w:t>
      </w:r>
    </w:p>
    <w:p w:rsidR="00731D8F" w:rsidRDefault="00214EE0">
      <w:pPr>
        <w:pStyle w:val="Tiret0"/>
        <w:rPr>
          <w:noProof/>
          <w:u w:color="000000"/>
          <w:bdr w:val="nil"/>
        </w:rPr>
      </w:pPr>
      <w:r>
        <w:rPr>
          <w:noProof/>
        </w:rPr>
        <w:t>monitorowanie każdej decyzji pod kątem tego, czy wykonano zobowiązanie do powrotu;</w:t>
      </w:r>
    </w:p>
    <w:p w:rsidR="00731D8F" w:rsidRDefault="00214EE0">
      <w:pPr>
        <w:pStyle w:val="Tiret0"/>
        <w:rPr>
          <w:noProof/>
          <w:u w:color="000000"/>
          <w:bdr w:val="nil"/>
        </w:rPr>
      </w:pPr>
      <w:r>
        <w:rPr>
          <w:noProof/>
        </w:rPr>
        <w:t>zweryfikowanie, czy obywatel państwa trzeciego</w:t>
      </w:r>
      <w:r>
        <w:rPr>
          <w:noProof/>
        </w:rPr>
        <w:t xml:space="preserve"> przebywający nielegalnie na terytorium jednego państwa członkowskiego jest objęty decyzją nakazującą powrót wydaną przez inne państwo członkowskie;</w:t>
      </w:r>
    </w:p>
    <w:p w:rsidR="00731D8F" w:rsidRDefault="00214EE0">
      <w:pPr>
        <w:pStyle w:val="Tiret0"/>
        <w:rPr>
          <w:noProof/>
          <w:u w:color="000000"/>
          <w:bdr w:val="nil"/>
        </w:rPr>
      </w:pPr>
      <w:r>
        <w:rPr>
          <w:noProof/>
        </w:rPr>
        <w:t>wykonywanie decyzji w imieniu innych państw członkowskich;</w:t>
      </w:r>
    </w:p>
    <w:p w:rsidR="00731D8F" w:rsidRDefault="00214EE0">
      <w:pPr>
        <w:pStyle w:val="Tiret0"/>
        <w:rPr>
          <w:noProof/>
          <w:u w:color="000000"/>
          <w:bdr w:val="nil"/>
        </w:rPr>
      </w:pPr>
      <w:r>
        <w:rPr>
          <w:noProof/>
        </w:rPr>
        <w:t xml:space="preserve">identyfikowanie nielegalnie przebywających </w:t>
      </w:r>
      <w:r>
        <w:rPr>
          <w:noProof/>
        </w:rPr>
        <w:t>obywateli państw trzecich w oparciu o informacje na temat decyzji podlegających wykonaniu;</w:t>
      </w:r>
    </w:p>
    <w:p w:rsidR="00731D8F" w:rsidRDefault="00214EE0">
      <w:pPr>
        <w:pStyle w:val="Tiret0"/>
        <w:rPr>
          <w:noProof/>
          <w:u w:color="000000"/>
          <w:bdr w:val="nil"/>
        </w:rPr>
      </w:pPr>
      <w:r>
        <w:rPr>
          <w:noProof/>
        </w:rPr>
        <w:t>gromadzenie statystyk dotyczących zastosowania się i niezastosowania się do decyzji nakazujących powrót.</w:t>
      </w:r>
    </w:p>
    <w:p w:rsidR="00731D8F" w:rsidRDefault="00214EE0">
      <w:pPr>
        <w:rPr>
          <w:noProof/>
          <w:szCs w:val="24"/>
          <w:u w:color="000000"/>
          <w:bdr w:val="nil"/>
        </w:rPr>
      </w:pPr>
      <w:r>
        <w:rPr>
          <w:noProof/>
        </w:rPr>
        <w:t>Z drugiej strony studium wykazało, że szereg niezbędnych zmi</w:t>
      </w:r>
      <w:r>
        <w:rPr>
          <w:noProof/>
        </w:rPr>
        <w:t>an o charakterze technicznym i operacyjnym miałby wpływ na bieżące praktyki, organizację oraz infrastrukturę. Skutki wprowadzania decyzji nakazujących powrót wydanych zgodnie z przepisami zgodnymi z dyrektywą 2008/115/WE do SIS obejmują nowe/zmienione proc</w:t>
      </w:r>
      <w:r>
        <w:rPr>
          <w:noProof/>
        </w:rPr>
        <w:t>edury operacyjne, dodatkowe kategorie danych we wpisach dotyczących powrotu i nowe funkcje SIS (takie jak funkcja powiadamiania państwa dokonującego wpisu o upływie terminu dobrowolnego wyjazdu). Zmiany te wymagałyby stworzenia w państwach członkowskich od</w:t>
      </w:r>
      <w:r>
        <w:rPr>
          <w:noProof/>
        </w:rPr>
        <w:t>powiedniej infrastruktury w celu wprowadzania wpisów dotyczących powrotów do SIS oraz zarządzania nimi, a także dodatkowych zdolności do przechowywania danych w centralnym SIS.</w:t>
      </w:r>
    </w:p>
    <w:p w:rsidR="00731D8F" w:rsidRDefault="00214EE0">
      <w:pPr>
        <w:rPr>
          <w:noProof/>
          <w:szCs w:val="24"/>
          <w:u w:color="000000"/>
          <w:bdr w:val="nil"/>
        </w:rPr>
      </w:pPr>
      <w:r>
        <w:rPr>
          <w:noProof/>
        </w:rPr>
        <w:t xml:space="preserve">Analiza obciążenia pracą wykazała, że wszystkie zainteresowane strony </w:t>
      </w:r>
      <w:r>
        <w:rPr>
          <w:noProof/>
        </w:rPr>
        <w:t xml:space="preserve">(zwłaszcza straż graniczna i policja oraz organy wydające decyzje nakazujące powrót zgodnie z przepisami zgodnymi z dyrektywą 2008/115/WE) musiałby wykonać dodatkową pracę wynikającą z konieczności zarządzania wpisami dotyczącymi powrotu oraz podejmowania </w:t>
      </w:r>
      <w:r>
        <w:rPr>
          <w:noProof/>
        </w:rPr>
        <w:t>działań następczych w odniesieniu do większej liczby trafień. Ze studium wynika wreszcie, że istnieje potrzeba zapewnienia minimalnego poziomu harmonizacji pomiędzy państwami członkowskimi w odniesieniu do działań podejmowanych wobec osób, które są już obj</w:t>
      </w:r>
      <w:r>
        <w:rPr>
          <w:noProof/>
        </w:rPr>
        <w:t>ęte decyzjami wydanymi zgodnie z przepisami zgodnymi z dyrektywą 2008/115/WE przez inne państwo członkowskie.</w:t>
      </w:r>
    </w:p>
    <w:p w:rsidR="00731D8F" w:rsidRDefault="00214EE0">
      <w:pPr>
        <w:pStyle w:val="ManualHeading2"/>
        <w:rPr>
          <w:rFonts w:eastAsia="Arial Unicode MS"/>
          <w:noProof/>
          <w:u w:color="000000"/>
          <w:bdr w:val="nil"/>
        </w:rPr>
      </w:pPr>
      <w:r>
        <w:rPr>
          <w:noProof/>
        </w:rPr>
        <w:t>•</w:t>
      </w:r>
      <w:r>
        <w:rPr>
          <w:noProof/>
        </w:rPr>
        <w:tab/>
        <w:t>Prawa podstawowe</w:t>
      </w:r>
    </w:p>
    <w:p w:rsidR="00731D8F" w:rsidRDefault="00214EE0">
      <w:pPr>
        <w:rPr>
          <w:noProof/>
          <w:szCs w:val="24"/>
        </w:rPr>
      </w:pPr>
      <w:r>
        <w:rPr>
          <w:noProof/>
        </w:rPr>
        <w:t>W niniejszym wniosku rozwija się i usprawnia istniejący system. Rozszerza się w nim zakres stosowania SIS w obecnym kształcie p</w:t>
      </w:r>
      <w:r>
        <w:rPr>
          <w:noProof/>
        </w:rPr>
        <w:t>oprzez wprowadzenie nowej kategorii wpisów dotyczących decyzji nakazujących powrót. W związku z tym jego wpływ na prawa podstawowe jest ograniczony, ponieważ udowodniono już, że system ma istotne znaczenie i funkcjonuje prawidłowo; ustanowiono też już skut</w:t>
      </w:r>
      <w:r>
        <w:rPr>
          <w:noProof/>
        </w:rPr>
        <w:t>eczne gwarancje. Jednak ponieważ wniosek obejmuje przetwarzanie danych osobowych, może on wpływać na prawa podstawowe jednostki. Kwestia ta została wzięta pod uwagę, w związku z czym ustanowiono gwarancje mające na celu poszanowanie zasad określonych w Kar</w:t>
      </w:r>
      <w:r>
        <w:rPr>
          <w:noProof/>
        </w:rPr>
        <w:t>cie praw podstawowych Unii Europejskiej, w szczególności w jej art. 8.</w:t>
      </w:r>
    </w:p>
    <w:p w:rsidR="00731D8F" w:rsidRDefault="00214EE0">
      <w:pPr>
        <w:pBdr>
          <w:top w:val="nil"/>
          <w:left w:val="nil"/>
          <w:bottom w:val="nil"/>
          <w:right w:val="nil"/>
          <w:between w:val="nil"/>
          <w:bar w:val="nil"/>
        </w:pBdr>
        <w:spacing w:before="0" w:after="240"/>
        <w:rPr>
          <w:noProof/>
          <w:szCs w:val="24"/>
        </w:rPr>
      </w:pPr>
      <w:r>
        <w:rPr>
          <w:noProof/>
        </w:rPr>
        <w:t>Niniejszy wniosek stanowi uzupełnienie wniosku dotyczącego zarządzania granicami, wraz z wnioskiem dotyczącym współpracy policyjnej i współpracy wymiarów sprawiedliwości w sprawach karn</w:t>
      </w:r>
      <w:r>
        <w:rPr>
          <w:noProof/>
        </w:rPr>
        <w:t>ych, które stanowią podstawę prawną dla utworzenia, funkcjonowania i użytkowania SIS. W związku z tym gwarancje zawarte we wniosku dotyczącym zarządzania granicami odnoszące się do ochrony praw podstawowych, a w szczególności ochrony danych oraz praw osoby</w:t>
      </w:r>
      <w:r>
        <w:rPr>
          <w:noProof/>
        </w:rPr>
        <w:t>, której dane dotyczą, mają również zastosowanie do niniejszego wniosku.</w:t>
      </w:r>
    </w:p>
    <w:p w:rsidR="00731D8F" w:rsidRDefault="00214EE0">
      <w:pPr>
        <w:rPr>
          <w:noProof/>
          <w:szCs w:val="24"/>
        </w:rPr>
      </w:pPr>
      <w:r>
        <w:rPr>
          <w:noProof/>
        </w:rPr>
        <w:t>Ponadto wprowadzono przepisy mające na celu zapewnienie, że wpisy dotyczące powrotów nie będą prowadziły do podejmowania środków mających na celu wykonanie decyzji nakazujących powrót</w:t>
      </w:r>
      <w:r>
        <w:rPr>
          <w:noProof/>
        </w:rPr>
        <w:t xml:space="preserve"> wydanych zgodnie z przepisami zgodnymi z dyrektywą 2008/115/WE w okresie biegu terminu dobrowolnego wyjazdu lub gdy wykonanie decyzji zostało zawieszone lub gdy termin wydalenia został przesunięty (art. 3 ust. 2 i ust. 3).</w:t>
      </w:r>
    </w:p>
    <w:p w:rsidR="00731D8F" w:rsidRDefault="00214EE0">
      <w:pPr>
        <w:rPr>
          <w:noProof/>
          <w:szCs w:val="24"/>
        </w:rPr>
      </w:pPr>
      <w:r>
        <w:rPr>
          <w:noProof/>
        </w:rPr>
        <w:t>Elementy decyzji nakazującej pow</w:t>
      </w:r>
      <w:r>
        <w:rPr>
          <w:noProof/>
        </w:rPr>
        <w:t>rót wydanej zgodnie z przepisami zgodnymi z dyrektywą 2008/115/WE, które należy wprowadzać do SIS, ograniczają się do tego, co jest ściśle niezbędne w celu umożliwienia właściwym organom zidentyfikowania konkretnego obywatela państwa trzeciego, przeprowadz</w:t>
      </w:r>
      <w:r>
        <w:rPr>
          <w:noProof/>
        </w:rPr>
        <w:t>enia powrotu w razie potrzeby oraz zweryfikowania, że obowiązek powrotu został wypełniony (art. 4).</w:t>
      </w:r>
    </w:p>
    <w:p w:rsidR="00731D8F" w:rsidRDefault="00214EE0">
      <w:pPr>
        <w:rPr>
          <w:noProof/>
          <w:szCs w:val="24"/>
        </w:rPr>
      </w:pPr>
      <w:r>
        <w:rPr>
          <w:noProof/>
        </w:rPr>
        <w:t xml:space="preserve">Dane będą przechowywane w SIS tak długo, jak będzie to potrzebne do osiągnięcia celu związanego z powrotem. W związku z tym państwa członkowskie dokonujące </w:t>
      </w:r>
      <w:r>
        <w:rPr>
          <w:noProof/>
        </w:rPr>
        <w:t>wpisów będą zobowiązane do usuwania danych niezwłocznie po otrzymaniu potwierdzenia powrotu (art. 6), jeżeli decyzja przestała obowiązywać, jeżeli dana osoba uzyskała obywatelstwo UE lub obywatelstwo państwa, którego obywatele korzystają z prawa do swobodn</w:t>
      </w:r>
      <w:r>
        <w:rPr>
          <w:noProof/>
        </w:rPr>
        <w:t>ego przepływu w obrębie Unii, lub jeżeli osoba będąca przedmiotem wpisu może wykazać, że opuściła terytorium państwa członkowskiego zgodnie z decyzją nakazującą powrót wydaną zgodnie z przepisami zgodnymi z dyrektywą 2008/115/WE (art. 7).</w:t>
      </w:r>
    </w:p>
    <w:p w:rsidR="00731D8F" w:rsidRDefault="00214EE0">
      <w:pPr>
        <w:rPr>
          <w:noProof/>
          <w:szCs w:val="24"/>
        </w:rPr>
      </w:pPr>
      <w:r>
        <w:rPr>
          <w:noProof/>
        </w:rPr>
        <w:t>Nowe przepisy dot</w:t>
      </w:r>
      <w:r>
        <w:rPr>
          <w:noProof/>
        </w:rPr>
        <w:t>yczące SIS sprawią, że sytuacje, w których obywatele państw trzecich objęci decyzją nakazującą powrót wydaną przez państwo członkowskie zgodnie z przepisami zgodnymi z dyrektywą 2008/115/WE posiadają jednocześnie zezwolenie na pobyt lub prawo pobytu wydane</w:t>
      </w:r>
      <w:r>
        <w:rPr>
          <w:noProof/>
        </w:rPr>
        <w:t xml:space="preserve"> lub przyznane przez inne państwo członkowskie, będą bardziej widoczne. W takich przypadkach organy mają obowiązek uczestnictwa w procedurze konsultacji. W stosownych przypadkach wpis dotyczący powrotu zostanie również usunięty (art. 8). </w:t>
      </w:r>
    </w:p>
    <w:p w:rsidR="00731D8F" w:rsidRDefault="00214EE0">
      <w:pPr>
        <w:pStyle w:val="ManualHeading1"/>
        <w:rPr>
          <w:noProof/>
        </w:rPr>
      </w:pPr>
      <w:r>
        <w:rPr>
          <w:noProof/>
        </w:rPr>
        <w:t>4.</w:t>
      </w:r>
      <w:r>
        <w:rPr>
          <w:noProof/>
        </w:rPr>
        <w:tab/>
        <w:t>WPŁYW NA BUDŻE</w:t>
      </w:r>
      <w:r>
        <w:rPr>
          <w:noProof/>
        </w:rPr>
        <w:t>T</w:t>
      </w:r>
    </w:p>
    <w:p w:rsidR="00731D8F" w:rsidRDefault="00214EE0">
      <w:pPr>
        <w:pBdr>
          <w:top w:val="nil"/>
          <w:left w:val="nil"/>
          <w:bottom w:val="nil"/>
          <w:right w:val="nil"/>
          <w:between w:val="nil"/>
          <w:bar w:val="nil"/>
        </w:pBdr>
        <w:spacing w:before="0" w:after="240"/>
        <w:rPr>
          <w:noProof/>
        </w:rPr>
      </w:pPr>
      <w:r>
        <w:rPr>
          <w:noProof/>
        </w:rPr>
        <w:t>Niniejszy wniosek rozszerza zakres stosowania obecnego SIS poprzez wprowadzenie nowej kategorii wpisów dotyczących decyzji nakazujących powrót wydanych zgodnie z przepisami zgodnymi z dyrektywą 2008/115/WE oraz funkcji służących do tworzenia, aktualizowa</w:t>
      </w:r>
      <w:r>
        <w:rPr>
          <w:noProof/>
        </w:rPr>
        <w:t>nia i usuwania wpisów dotyczących powrotów. Ponadto wprowadza on nową funkcjonalność polegającą na automatycznym powiadamianiu państw członkowskich dokonujących wpisów o upływie terminu dobrowolnego wyjazdu.</w:t>
      </w:r>
    </w:p>
    <w:p w:rsidR="00731D8F" w:rsidRDefault="00214EE0">
      <w:pPr>
        <w:pBdr>
          <w:top w:val="nil"/>
          <w:left w:val="nil"/>
          <w:bottom w:val="nil"/>
          <w:right w:val="nil"/>
          <w:between w:val="nil"/>
          <w:bar w:val="nil"/>
        </w:pBdr>
        <w:spacing w:before="0" w:after="240"/>
        <w:rPr>
          <w:noProof/>
        </w:rPr>
      </w:pPr>
      <w:r>
        <w:rPr>
          <w:noProof/>
        </w:rPr>
        <w:t>Ze względu na uzupełniający charakter niniejszeg</w:t>
      </w:r>
      <w:r>
        <w:rPr>
          <w:noProof/>
        </w:rPr>
        <w:t>o wniosku związany z nim wpływ na budżet rozpatrzono oddzielnie w niezależnej ocenie skutków finansowych dotyczącej wyłącznie ustanowienia przedmiotowej specjalnej kategorii wpisów.</w:t>
      </w:r>
    </w:p>
    <w:p w:rsidR="00731D8F" w:rsidRDefault="00214EE0">
      <w:pPr>
        <w:pBdr>
          <w:top w:val="nil"/>
          <w:left w:val="nil"/>
          <w:bottom w:val="nil"/>
          <w:right w:val="nil"/>
          <w:between w:val="nil"/>
          <w:bar w:val="nil"/>
        </w:pBdr>
        <w:spacing w:before="0" w:after="240"/>
        <w:rPr>
          <w:noProof/>
        </w:rPr>
      </w:pPr>
      <w:r>
        <w:rPr>
          <w:noProof/>
        </w:rPr>
        <w:t>Ocena skutków finansowych dołączona do niniejszego wniosku odzwierciedla z</w:t>
      </w:r>
      <w:r>
        <w:rPr>
          <w:noProof/>
        </w:rPr>
        <w:t xml:space="preserve">miany wymagane na potrzeby utworzenia tej nowej kategorii wpisów. Kosztorys opiewający na kwotę 3,6 mln EUR obejmuje koszty technicznej modernizacji SIS na potrzeby powrotów. Kosztorysy dotyczące ogólnie pojętego rozwijania centralnego SIS, infrastruktury </w:t>
      </w:r>
      <w:r>
        <w:rPr>
          <w:noProof/>
        </w:rPr>
        <w:t>łączności oraz modernizacji krajowych systemów SIS nie są ujęte w ocenie skutków finansowych regulacji dołączonej do niniejszego wniosku, ale zostały szczegółowo określone w ocenie skutków finansowych regulacji dołączonej do wniosku Komisji dotyczącego roz</w:t>
      </w:r>
      <w:r>
        <w:rPr>
          <w:noProof/>
        </w:rPr>
        <w:t>porządzenia w sprawie utworzenia, funkcjonowania i użytkowania Systemu Informacyjnego Schengen (SIS) w dziedzinie odpraw granicznych oraz wniosku Komisji dotyczącego rozporządzenia w sprawie utworzenia, funkcjonowania i użytkowania Systemu Informacyjnego S</w:t>
      </w:r>
      <w:r>
        <w:rPr>
          <w:noProof/>
        </w:rPr>
        <w:t>chengen (SIS) w dziedzinie współpracy policyjnej i współpracy wymiarów sprawiedliwości w sprawach karnych.</w:t>
      </w:r>
    </w:p>
    <w:p w:rsidR="00731D8F" w:rsidRDefault="00214EE0">
      <w:pPr>
        <w:pBdr>
          <w:top w:val="nil"/>
          <w:left w:val="nil"/>
          <w:bottom w:val="nil"/>
          <w:right w:val="nil"/>
          <w:between w:val="nil"/>
          <w:bar w:val="nil"/>
        </w:pBdr>
        <w:spacing w:before="0" w:after="240"/>
        <w:rPr>
          <w:noProof/>
        </w:rPr>
      </w:pPr>
      <w:r>
        <w:rPr>
          <w:noProof/>
        </w:rPr>
        <w:t>W celu przeprowadzenia modernizacji i wdrożenia funkcji przewidzianych w przedmiotowym wniosku zaplanowano przeprogramowanie pozostałej części puli ś</w:t>
      </w:r>
      <w:r>
        <w:rPr>
          <w:noProof/>
        </w:rPr>
        <w:t>rodków przeznaczonych w ramach Funduszu Bezpieczeństwa Wewnętrznego na inicjatywę na rzecz inteligentnych granic. Rozporządzenie w sprawie Funduszu Bezpieczeństwa Wewnętrznego i wsparcia w zakresie granic</w:t>
      </w:r>
      <w:r>
        <w:rPr>
          <w:rStyle w:val="FootnoteReference"/>
          <w:noProof/>
        </w:rPr>
        <w:footnoteReference w:id="24"/>
      </w:r>
      <w:r>
        <w:rPr>
          <w:noProof/>
        </w:rPr>
        <w:t xml:space="preserve"> jest instrumentem finansowym, w którym uwzględnion</w:t>
      </w:r>
      <w:r>
        <w:rPr>
          <w:noProof/>
        </w:rPr>
        <w:t>o budżet przeznaczony na realizację pakietu dotyczącego inteligentnych granic. W art. 5 rozporządzenia przewidziano, że kwota 791 mln EUR zostanie wdrożona poprzez realizację programu tworzenia systemów informatycznych wspierających zarządzanie przepływami</w:t>
      </w:r>
      <w:r>
        <w:rPr>
          <w:noProof/>
        </w:rPr>
        <w:t xml:space="preserve"> migracyjnymi przez granice zewnętrzne na warunkach określonych w art. 15. Z podanej powyżej kwoty 791 mln EUR kwota 480 mln EUR jest zarezerwowana na rozwój systemu wjazdu/wyjazdu, a kwota 210 mln EUR – na rozwój europejskiego systemu informacji o podróży</w:t>
      </w:r>
      <w:r>
        <w:rPr>
          <w:noProof/>
        </w:rPr>
        <w:t xml:space="preserve"> oraz zezwoleń na podróż (ETIAS). Część pozostałej kwoty zostanie przeznaczona na pokrycie kosztów zmian przewidzianych w przedmiotowym wniosku.</w:t>
      </w:r>
    </w:p>
    <w:p w:rsidR="00731D8F" w:rsidRDefault="00214EE0">
      <w:pPr>
        <w:pStyle w:val="ManualHeading1"/>
        <w:rPr>
          <w:noProof/>
        </w:rPr>
      </w:pPr>
      <w:r>
        <w:rPr>
          <w:noProof/>
        </w:rPr>
        <w:t>5.</w:t>
      </w:r>
      <w:r>
        <w:rPr>
          <w:noProof/>
        </w:rPr>
        <w:tab/>
        <w:t>ELEMENTY FAKULTATYWNE</w:t>
      </w:r>
    </w:p>
    <w:p w:rsidR="00731D8F" w:rsidRDefault="00214EE0">
      <w:pPr>
        <w:pStyle w:val="ManualHeading2"/>
        <w:rPr>
          <w:rFonts w:eastAsia="Arial Unicode MS"/>
          <w:noProof/>
          <w:u w:color="000000"/>
          <w:bdr w:val="nil"/>
        </w:rPr>
      </w:pPr>
      <w:r>
        <w:rPr>
          <w:noProof/>
        </w:rPr>
        <w:t>•</w:t>
      </w:r>
      <w:r>
        <w:rPr>
          <w:noProof/>
        </w:rPr>
        <w:tab/>
        <w:t>Plany wdrożenia i monitorowanie, ocena i sprawozdania</w:t>
      </w:r>
    </w:p>
    <w:p w:rsidR="00731D8F" w:rsidRDefault="00214EE0">
      <w:pPr>
        <w:rPr>
          <w:rFonts w:eastAsia="Arial Unicode MS"/>
          <w:noProof/>
        </w:rPr>
      </w:pPr>
      <w:r>
        <w:rPr>
          <w:noProof/>
        </w:rPr>
        <w:t>Zastosowanie mają przepisy dot</w:t>
      </w:r>
      <w:r>
        <w:rPr>
          <w:noProof/>
        </w:rPr>
        <w:t>yczące przeglądu i monitorowania zawarte w art. 53 ust. 7 i ust. 8 wniosku dotyczącego rozporządzenia Parlamentu Europejskiego i Rady w sprawie utworzenia, funkcjonowania i użytkowania Systemu Informacyjnego Schengen (SIS) w dziedzinie odpraw granicznych.</w:t>
      </w:r>
    </w:p>
    <w:p w:rsidR="00731D8F" w:rsidRDefault="00214EE0">
      <w:pPr>
        <w:pStyle w:val="ManualHeading2"/>
        <w:rPr>
          <w:rFonts w:eastAsia="Arial Unicode MS"/>
          <w:noProof/>
          <w:u w:color="000000"/>
          <w:bdr w:val="nil"/>
        </w:rPr>
      </w:pPr>
      <w:r>
        <w:rPr>
          <w:noProof/>
        </w:rPr>
        <w:t>•</w:t>
      </w:r>
      <w:r>
        <w:rPr>
          <w:noProof/>
        </w:rPr>
        <w:tab/>
        <w:t>Szczegółowe objaśnienia poszczególnych przepisów wniosku</w:t>
      </w:r>
    </w:p>
    <w:p w:rsidR="00731D8F" w:rsidRDefault="00214EE0">
      <w:pPr>
        <w:rPr>
          <w:noProof/>
          <w:szCs w:val="24"/>
        </w:rPr>
      </w:pPr>
      <w:r>
        <w:rPr>
          <w:noProof/>
        </w:rPr>
        <w:t xml:space="preserve">Wniosek ma na celu określenie warunków i procedur wykorzystywania SIS na potrzeby powrotu nielegalnie przebywających obywateli państw trzecich, w stosunku do których właściwe organy krajowe wydały </w:t>
      </w:r>
      <w:r>
        <w:rPr>
          <w:noProof/>
        </w:rPr>
        <w:t xml:space="preserve">decyzję nakazującą powrót zgodnie z przepisami zgodnymi z dyrektywą 2008/115/WE. Wniosek wymaga wprowadzania danych do SIS i przetwarzania ich w tym systemie pod postacią wpisów dotyczących obywateli państw trzecich objętych decyzją nakazującą powrót oraz </w:t>
      </w:r>
      <w:r>
        <w:rPr>
          <w:noProof/>
        </w:rPr>
        <w:t>wymiany informacji uzupełniających dotyczących takich wpisów. Wykorzystywanie SIS na potrzeby powrotów ma na celu wspieranie organów imigracyjnych w prowadzeniu działań następczych oraz egzekwowaniu powrotów obywateli państw trzecich, którym nie przysługuj</w:t>
      </w:r>
      <w:r>
        <w:rPr>
          <w:noProof/>
        </w:rPr>
        <w:t>e prawo pobytu w państwach członkowskich, w celu ułatwienia zapobiegania nielegalnej migracji i zniechęcaniu do niej, a także lepszej wymiany informacji i współpracy pomiędzy organami imigracyjnymi.</w:t>
      </w:r>
    </w:p>
    <w:p w:rsidR="00731D8F" w:rsidRDefault="00214EE0">
      <w:pPr>
        <w:rPr>
          <w:noProof/>
          <w:szCs w:val="24"/>
          <w:u w:val="single"/>
        </w:rPr>
      </w:pPr>
      <w:r>
        <w:rPr>
          <w:noProof/>
          <w:u w:val="single"/>
        </w:rPr>
        <w:t>Zakres (art. 1)</w:t>
      </w:r>
    </w:p>
    <w:p w:rsidR="00731D8F" w:rsidRDefault="00214EE0">
      <w:pPr>
        <w:pBdr>
          <w:top w:val="nil"/>
          <w:left w:val="nil"/>
          <w:bottom w:val="nil"/>
          <w:right w:val="nil"/>
          <w:between w:val="nil"/>
          <w:bar w:val="nil"/>
        </w:pBdr>
        <w:spacing w:before="0" w:after="240"/>
        <w:rPr>
          <w:noProof/>
          <w:szCs w:val="24"/>
        </w:rPr>
      </w:pPr>
      <w:r>
        <w:rPr>
          <w:noProof/>
        </w:rPr>
        <w:t>Dla skutecznego funkcjonowania systemu kl</w:t>
      </w:r>
      <w:r>
        <w:rPr>
          <w:noProof/>
        </w:rPr>
        <w:t>uczowe znaczenie ma wprowadzanie do SIS wszystkich decyzji nakazujących powrót wydanych przez państwa członkowskie zgodnie z przepisami zgodnymi z dyrektywą 2008/115/WE. Oznacza to, że państwa członkowskie powinny dokonywać wpisów dotyczących a) decyzji na</w:t>
      </w:r>
      <w:r>
        <w:rPr>
          <w:noProof/>
        </w:rPr>
        <w:t>kazujących powrót wydanych w wyniku stosowania art. 6 ust. 1 dyrektywy 2008/115 oraz b) decyzji ustanawiających obowiązek powrotu wydanych wobec nielegalnych migrantów, którym odmówiono wjazdu na przejściu granicznym lub których zatrzymano w związku z niel</w:t>
      </w:r>
      <w:r>
        <w:rPr>
          <w:noProof/>
        </w:rPr>
        <w:t>egalnym przekroczeniem granicy zewnętrznej i którzy nie uzyskali zezwolenia na pobyt (art. 2 ust. 2 lit. a) dyrektywy 2008/115/WE), jak również c) decyzji ustanawiających obowiązek powrotu wydanych w charakterze sankcji karnej (art. 2 ust. 2 lit. b) dyrekt</w:t>
      </w:r>
      <w:r>
        <w:rPr>
          <w:noProof/>
        </w:rPr>
        <w:t xml:space="preserve">ywy 2008/115/WE). </w:t>
      </w:r>
    </w:p>
    <w:p w:rsidR="00731D8F" w:rsidRDefault="00214EE0">
      <w:pPr>
        <w:pBdr>
          <w:top w:val="nil"/>
          <w:left w:val="nil"/>
          <w:bottom w:val="nil"/>
          <w:right w:val="nil"/>
          <w:between w:val="nil"/>
          <w:bar w:val="nil"/>
        </w:pBdr>
        <w:spacing w:before="0" w:after="240"/>
        <w:rPr>
          <w:noProof/>
          <w:szCs w:val="24"/>
        </w:rPr>
      </w:pPr>
      <w:r>
        <w:rPr>
          <w:noProof/>
          <w:u w:val="single"/>
        </w:rPr>
        <w:t>Wprowadzanie wpisów dotyczących powrotów (art. 3)</w:t>
      </w:r>
    </w:p>
    <w:p w:rsidR="00731D8F" w:rsidRDefault="00214EE0">
      <w:pPr>
        <w:pBdr>
          <w:top w:val="nil"/>
          <w:left w:val="nil"/>
          <w:bottom w:val="nil"/>
          <w:right w:val="nil"/>
          <w:between w:val="nil"/>
          <w:bar w:val="nil"/>
        </w:pBdr>
        <w:spacing w:before="0" w:after="240"/>
        <w:rPr>
          <w:noProof/>
          <w:szCs w:val="24"/>
        </w:rPr>
      </w:pPr>
      <w:r>
        <w:rPr>
          <w:noProof/>
        </w:rPr>
        <w:t xml:space="preserve">Artykuł 3 określa cel i zasady dokonywania w SIS wpisów dotyczących powrotów w celu umożliwienia właściwym organom zweryfikowania, czy wykonano obowiązek powrotu, oraz ułatwienia wykonania decyzji nakazujących powrót wydanych zgodnie z przepisami zgodnymi </w:t>
      </w:r>
      <w:r>
        <w:rPr>
          <w:noProof/>
        </w:rPr>
        <w:t>z dyrektywą 2008/115/WE. Wpisu należy dokonać niezwłocznie po wydaniu decyzji w odniesieniu do konkretnego nielegalnie przebywającego obywatela państwa trzeciego, aby umożliwić weryfikację, o której mowa powyżej. Wpis powinien wskazywać, czy ciągle biegnie</w:t>
      </w:r>
      <w:r>
        <w:rPr>
          <w:noProof/>
        </w:rPr>
        <w:t xml:space="preserve"> termin dobrowolnego wyjazdu lub czy wykonanie decyzji zostało zawieszone lub czy termin wydalenia został przesunięty. </w:t>
      </w:r>
    </w:p>
    <w:p w:rsidR="00731D8F" w:rsidRDefault="00214EE0">
      <w:pPr>
        <w:pBdr>
          <w:top w:val="nil"/>
          <w:left w:val="nil"/>
          <w:bottom w:val="nil"/>
          <w:right w:val="nil"/>
          <w:between w:val="nil"/>
          <w:bar w:val="nil"/>
        </w:pBdr>
        <w:spacing w:before="0" w:after="240"/>
        <w:rPr>
          <w:noProof/>
          <w:szCs w:val="24"/>
        </w:rPr>
      </w:pPr>
      <w:r>
        <w:rPr>
          <w:noProof/>
        </w:rPr>
        <w:t>W przypadku gdy brak jest podstaw do uznania, że godziłoby to w cel procedury powrotu, powrót dobrowolny należy przedkładać nad powrót przymusowy, a także wyznaczyć termin dobrowolnego wyjazdu zgodnie z art. 7 dyrektywy 2008/115/WE. We wpisie należy wskaza</w:t>
      </w:r>
      <w:r>
        <w:rPr>
          <w:noProof/>
        </w:rPr>
        <w:t xml:space="preserve">ć okres biegu terminu dobrowolnego wyjazdu oraz wszystkie przypadki jego przedłużenia, aby umożliwić organom publicznym zdecydowanie, czy w danym przypadku należy podjąć działania. </w:t>
      </w:r>
    </w:p>
    <w:p w:rsidR="00731D8F" w:rsidRDefault="00214EE0">
      <w:pPr>
        <w:rPr>
          <w:noProof/>
          <w:szCs w:val="24"/>
          <w:u w:val="single"/>
        </w:rPr>
      </w:pPr>
      <w:r>
        <w:rPr>
          <w:noProof/>
          <w:u w:val="single"/>
        </w:rPr>
        <w:t>Kategorie danych (art. 4)</w:t>
      </w:r>
    </w:p>
    <w:p w:rsidR="00731D8F" w:rsidRDefault="00214EE0">
      <w:pPr>
        <w:rPr>
          <w:noProof/>
          <w:szCs w:val="24"/>
        </w:rPr>
      </w:pPr>
      <w:r>
        <w:rPr>
          <w:noProof/>
        </w:rPr>
        <w:t>Artykuł 4 wskazuje elementy danych, które mogą z</w:t>
      </w:r>
      <w:r>
        <w:rPr>
          <w:noProof/>
        </w:rPr>
        <w:t xml:space="preserve">najdować się we wpisie dotyczącym powrotu i które są podobne do tych przewidzianych w art. 20 wniosku dotyczącego zarządzania granicami. </w:t>
      </w:r>
    </w:p>
    <w:p w:rsidR="00731D8F" w:rsidRDefault="00214EE0">
      <w:pPr>
        <w:rPr>
          <w:noProof/>
          <w:szCs w:val="24"/>
        </w:rPr>
      </w:pPr>
      <w:r>
        <w:rPr>
          <w:noProof/>
        </w:rPr>
        <w:t xml:space="preserve">Dane dotyczące terminu dobrowolnego wyjazdu odnoszą się tylko do wpisów dotyczących powrotu, niezależnie od tego, czy </w:t>
      </w:r>
      <w:r>
        <w:rPr>
          <w:noProof/>
        </w:rPr>
        <w:t>wykonanie decyzji nakazującej powrót wydanej zgodnie z przepisami zgodnymi z dyrektywą 2008/115/WE zostało zawieszone lub czy też termin jej wykonania został przesunięty.</w:t>
      </w:r>
    </w:p>
    <w:p w:rsidR="00731D8F" w:rsidRDefault="00214EE0">
      <w:pPr>
        <w:rPr>
          <w:noProof/>
          <w:szCs w:val="24"/>
          <w:u w:val="single"/>
        </w:rPr>
      </w:pPr>
      <w:r>
        <w:rPr>
          <w:noProof/>
          <w:u w:val="single"/>
        </w:rPr>
        <w:t>Skuteczna i terminowa wymiana informacji uzupełniających (art. 5)</w:t>
      </w:r>
    </w:p>
    <w:p w:rsidR="00731D8F" w:rsidRDefault="00214EE0">
      <w:pPr>
        <w:rPr>
          <w:noProof/>
          <w:szCs w:val="24"/>
        </w:rPr>
      </w:pPr>
      <w:r>
        <w:rPr>
          <w:noProof/>
        </w:rPr>
        <w:t>Skuteczna i termino</w:t>
      </w:r>
      <w:r>
        <w:rPr>
          <w:noProof/>
        </w:rPr>
        <w:t>wa współpraca i wymiana informacji uzupełniających pomiędzy państwami członkowskimi wymaga utworzenia pojedynczego punktu kontaktowego. Artykuł 6 stanowi, że każde państwo członkowskie musi wyznaczyć organ odpowiedzialny za wymianę informacji uzupełniający</w:t>
      </w:r>
      <w:r>
        <w:rPr>
          <w:noProof/>
        </w:rPr>
        <w:t>ch na temat wpisów dotyczących obywateli państw trzecich w kontekście powrotu i nielegalnego pobytu. Przepisy podręcznika SIRENE, o których mowa w art. 8 wniosku dotyczącego rozporządzenia w sprawie utworzenia, funkcjonowania i użytkowania SIS w dziedzinie</w:t>
      </w:r>
      <w:r>
        <w:rPr>
          <w:noProof/>
        </w:rPr>
        <w:t xml:space="preserve"> odpraw granicznych, mają zastosowanie do wyznaczonego organu. </w:t>
      </w:r>
    </w:p>
    <w:p w:rsidR="00731D8F" w:rsidRDefault="00214EE0">
      <w:pPr>
        <w:rPr>
          <w:noProof/>
          <w:szCs w:val="24"/>
        </w:rPr>
      </w:pPr>
      <w:r>
        <w:rPr>
          <w:noProof/>
        </w:rPr>
        <w:t>W celu spełnienia wymogów określonych w art. 8 wspominanego wyżej wniosku dotyczącego stałej dostępności i terminowego odpowiadania na zapytania (w ciągu maksymalnie 12 godzin) konieczne jest,</w:t>
      </w:r>
      <w:r>
        <w:rPr>
          <w:noProof/>
        </w:rPr>
        <w:t xml:space="preserve"> aby państwa członkowskie zadbały, by organy właściwe do podejmowania decyzji związanych z pobytem obywateli państw trzecich na ich terytorium aktywnie uczestniczyły w wymianie informacji uzupełniających.</w:t>
      </w:r>
    </w:p>
    <w:p w:rsidR="00731D8F" w:rsidRDefault="00214EE0">
      <w:pPr>
        <w:pStyle w:val="Default"/>
        <w:spacing w:before="120" w:after="120"/>
        <w:jc w:val="both"/>
        <w:rPr>
          <w:noProof/>
          <w:u w:val="single"/>
        </w:rPr>
      </w:pPr>
      <w:r>
        <w:rPr>
          <w:noProof/>
          <w:u w:val="single"/>
        </w:rPr>
        <w:t>Potwierdzenie powrotu (art. 6)</w:t>
      </w:r>
    </w:p>
    <w:p w:rsidR="00731D8F" w:rsidRDefault="00214EE0">
      <w:pPr>
        <w:pStyle w:val="Default"/>
        <w:spacing w:before="120" w:after="120"/>
        <w:jc w:val="both"/>
        <w:rPr>
          <w:noProof/>
        </w:rPr>
      </w:pPr>
      <w:r>
        <w:rPr>
          <w:noProof/>
        </w:rPr>
        <w:t>Artykuł 6 zobowiązuj</w:t>
      </w:r>
      <w:r>
        <w:rPr>
          <w:noProof/>
        </w:rPr>
        <w:t>e państwa członkowskie do przekazania potwierdzania wyjazdu obywatela państwa trzeciego objętego wpisem dotyczącym powrotu państwu członkowskiemu, które dokonało wpisu, lub organowi, który dokonał wpisu; zasada ta ma zastosowanie również wówczas, gdy to sa</w:t>
      </w:r>
      <w:r>
        <w:rPr>
          <w:noProof/>
        </w:rPr>
        <w:t>mo państwo członkowskie odpowiada za dokonanie wpisu i jego egzekwowanie. Przepis ten umożliwia organom wydającym i wykonującym decyzje nakazujące powrót wydane zgodnie z przepisami zgodnymi z dyrektywą 2008/115/WE zweryfikowanie, czy wykonano obowiązek po</w:t>
      </w:r>
      <w:r>
        <w:rPr>
          <w:noProof/>
        </w:rPr>
        <w:t xml:space="preserve">wrotu. </w:t>
      </w:r>
    </w:p>
    <w:p w:rsidR="00731D8F" w:rsidRDefault="00214EE0">
      <w:pPr>
        <w:pStyle w:val="Default"/>
        <w:spacing w:before="120" w:after="120"/>
        <w:jc w:val="both"/>
        <w:rPr>
          <w:noProof/>
        </w:rPr>
      </w:pPr>
      <w:r>
        <w:rPr>
          <w:noProof/>
        </w:rPr>
        <w:t>Przepis ten wymaga prowadzenia systematycznych kontroli przy wyjeździe w celu zapewnienia, że zgłoszone zostaną wszystkie przypadki opuszczenia terytorium przez określonych obywateli państw trzecich. Wniosek zmieniający rozporządzenie nr 562/2006 (</w:t>
      </w:r>
      <w:r>
        <w:rPr>
          <w:noProof/>
        </w:rPr>
        <w:t xml:space="preserve">kodeks graniczny Schengen) ma na celu dostosowanie obowiązku systematycznego sprawdzania obywateli państw trzecich w bazach danych zarówno przy wjeździe, jak i wyjeździe. </w:t>
      </w:r>
    </w:p>
    <w:p w:rsidR="00731D8F" w:rsidRDefault="00214EE0">
      <w:pPr>
        <w:rPr>
          <w:noProof/>
          <w:u w:val="single"/>
        </w:rPr>
      </w:pPr>
      <w:r>
        <w:rPr>
          <w:noProof/>
          <w:u w:val="single"/>
        </w:rPr>
        <w:t>Niewykonanie obowiązku powrotu (art. 7)</w:t>
      </w:r>
    </w:p>
    <w:p w:rsidR="00731D8F" w:rsidRDefault="00214EE0">
      <w:pPr>
        <w:rPr>
          <w:noProof/>
        </w:rPr>
      </w:pPr>
      <w:r>
        <w:rPr>
          <w:noProof/>
        </w:rPr>
        <w:t>Artykuł 7 określa przepisy mające zastosowan</w:t>
      </w:r>
      <w:r>
        <w:rPr>
          <w:noProof/>
        </w:rPr>
        <w:t>ie w przypadku niewykonania obowiązku powrotu. Zawiadomienie, o którym mowa w ust. 1, ułatwi państwom członkowskim wykonywanie obowiązków wynikających z art. 8 ust. 1 dyrektywy 2008/115/WE w odniesieniu do obywateli państw trzecich, którzy nie wykonali obo</w:t>
      </w:r>
      <w:r>
        <w:rPr>
          <w:noProof/>
        </w:rPr>
        <w:t xml:space="preserve">wiązku powrotu. </w:t>
      </w:r>
    </w:p>
    <w:p w:rsidR="00731D8F" w:rsidRDefault="00214EE0">
      <w:pPr>
        <w:rPr>
          <w:noProof/>
        </w:rPr>
      </w:pPr>
      <w:r>
        <w:rPr>
          <w:noProof/>
        </w:rPr>
        <w:t>Ustęp 2 określa procedury mające zastosowanie w sytuacjach, gdy obywatel państwa trzeciego, który jest przedmiotem wpisu, został zidentyfikowany i zatrzymany w innym państwie członkowskim. Należy wówczas przeprowadzić dalsze postępowanie z</w:t>
      </w:r>
      <w:r>
        <w:rPr>
          <w:noProof/>
        </w:rPr>
        <w:t>godnie z unijnym dorobkiem dotyczącym powrotów oraz innymi przepisami prawa krajowego i unijnego mającego zastosowanie do danego przypadku, co obejmuje:</w:t>
      </w:r>
    </w:p>
    <w:p w:rsidR="00731D8F" w:rsidRDefault="00214EE0">
      <w:pPr>
        <w:rPr>
          <w:noProof/>
        </w:rPr>
      </w:pPr>
      <w:r>
        <w:rPr>
          <w:noProof/>
        </w:rPr>
        <w:t>1) wydanie decyzji nakazującej powrót zgodnie z przepisami zgodnymi z dyrektywą 2008/115/WE;</w:t>
      </w:r>
    </w:p>
    <w:p w:rsidR="00731D8F" w:rsidRDefault="00214EE0">
      <w:pPr>
        <w:rPr>
          <w:noProof/>
        </w:rPr>
      </w:pPr>
      <w:r>
        <w:rPr>
          <w:noProof/>
        </w:rPr>
        <w:t>2) przekaz</w:t>
      </w:r>
      <w:r>
        <w:rPr>
          <w:noProof/>
        </w:rPr>
        <w:t>anie obywatela państwa trzeciego z powrotem do państwa członkowskiego dokonującego wpisu na podstawie istniejącej umowy dwustronnej zgodnie z art. 6 ust. 3 dyrektywy 2008/115/WE lub</w:t>
      </w:r>
    </w:p>
    <w:p w:rsidR="00731D8F" w:rsidRDefault="00214EE0">
      <w:pPr>
        <w:rPr>
          <w:noProof/>
        </w:rPr>
      </w:pPr>
      <w:r>
        <w:rPr>
          <w:noProof/>
        </w:rPr>
        <w:t>3) uznanie decyzji nakazującej powrót wydanej przez państwo członkowskie d</w:t>
      </w:r>
      <w:r>
        <w:rPr>
          <w:noProof/>
        </w:rPr>
        <w:t>okonujące wpisu na podstawie dyrektywy 2001/40/WE.</w:t>
      </w:r>
    </w:p>
    <w:p w:rsidR="00731D8F" w:rsidRDefault="00214EE0">
      <w:pPr>
        <w:rPr>
          <w:noProof/>
          <w:u w:val="single"/>
        </w:rPr>
      </w:pPr>
      <w:r>
        <w:rPr>
          <w:noProof/>
          <w:u w:val="single"/>
        </w:rPr>
        <w:t>Procedura konsultacji (art. 8)</w:t>
      </w:r>
    </w:p>
    <w:p w:rsidR="00731D8F" w:rsidRDefault="00214EE0">
      <w:pPr>
        <w:rPr>
          <w:noProof/>
        </w:rPr>
      </w:pPr>
      <w:r>
        <w:rPr>
          <w:noProof/>
        </w:rPr>
        <w:t xml:space="preserve">Artykuł 8 wniosku ustanawia procedury niezbędne dla zapobiegania sytuacjom, w których występują rozbieżności lub sprzeczne decyzje wydane przez różne państwa członkowskie, a </w:t>
      </w:r>
      <w:r>
        <w:rPr>
          <w:noProof/>
        </w:rPr>
        <w:t>także rozwiązywania takich kwestii. Wzajemne konsultacje pomiędzy właściwymi organami krajowymi mogą ułatwić zapobieganie takim konfliktowym sytuacjom i rozstrzyganie tych kwestii, z uwzględnieniem interesów zainteresowanych stron. Aby takie konsultacje by</w:t>
      </w:r>
      <w:r>
        <w:rPr>
          <w:noProof/>
        </w:rPr>
        <w:t xml:space="preserve">ły skuteczne, należy je przeprowadzać szybko. </w:t>
      </w:r>
    </w:p>
    <w:p w:rsidR="00731D8F" w:rsidRDefault="00214EE0">
      <w:pPr>
        <w:rPr>
          <w:noProof/>
          <w:u w:val="single"/>
        </w:rPr>
      </w:pPr>
      <w:r>
        <w:rPr>
          <w:noProof/>
          <w:u w:val="single"/>
        </w:rPr>
        <w:t>Przechowywanie i usuwanie wpisów (art. 6, 8 i 9)</w:t>
      </w:r>
    </w:p>
    <w:p w:rsidR="00731D8F" w:rsidRDefault="00214EE0">
      <w:pPr>
        <w:rPr>
          <w:noProof/>
        </w:rPr>
      </w:pPr>
      <w:r>
        <w:rPr>
          <w:noProof/>
        </w:rPr>
        <w:t>Artykuł 6 ust. 2 przewiduje, że wpisy dotyczące powrotu należy usuwać w następstwie powrotu danego obywatela państwa trzeciego. Ustęp ten stanowi uzupełnienie p</w:t>
      </w:r>
      <w:r>
        <w:rPr>
          <w:noProof/>
        </w:rPr>
        <w:t>rzepisów dotyczących momentu, w którym wpisy dotyczące zakazów wjazdu stają się skuteczne w SIS, określonego w art. 24 ust. 3 wniosku dotyczącego rozporządzenia w sprawie utworzenia, funkcjonowania i użytkowania SIS w dziedzinie odpraw granicznych. Państwa</w:t>
      </w:r>
      <w:r>
        <w:rPr>
          <w:noProof/>
        </w:rPr>
        <w:t xml:space="preserve"> członkowskie powinny podjąć wszelkie niezbędne kroki w celu zapewnienia, by między wyjazdem a aktywowaniem w SIS wpisu dotyczącego zakazu wjazdu nie wystąpiła luka czasowa.</w:t>
      </w:r>
    </w:p>
    <w:p w:rsidR="00731D8F" w:rsidRDefault="00214EE0">
      <w:pPr>
        <w:rPr>
          <w:noProof/>
        </w:rPr>
      </w:pPr>
      <w:r>
        <w:rPr>
          <w:noProof/>
        </w:rPr>
        <w:t>Artykuł 9 zawiera dalsze zasady dotyczące usuwania wpisów. Oprócz sytuacji wchodzą</w:t>
      </w:r>
      <w:r>
        <w:rPr>
          <w:noProof/>
        </w:rPr>
        <w:t>cych w zakres art. 6 i art. 8, na podstawie których usuwanie wpisów następuje w następstwie powrotu danego obywatela państwa trzeciego lub w następstwie przeprowadzenia procedury konsultacyjnej, wpis dotyczący powrotu powinien być również usuwany w przypad</w:t>
      </w:r>
      <w:r>
        <w:rPr>
          <w:noProof/>
        </w:rPr>
        <w:t>ku, gdy decyzja nakazująca powrót wydana zgodnie z przepisami zgodnymi z dyrektywą 2008/115/WE została cofnięta lub unieważniona. Druga część ust. 1 odnosi się do sytuacji, w których konieczne jest usunięcie wpisu ze względu na to, że wyjazd danej osoby ni</w:t>
      </w:r>
      <w:r>
        <w:rPr>
          <w:noProof/>
        </w:rPr>
        <w:t xml:space="preserve">e został należycie zarejestrowany. </w:t>
      </w:r>
    </w:p>
    <w:p w:rsidR="00731D8F" w:rsidRDefault="00214EE0">
      <w:pPr>
        <w:rPr>
          <w:noProof/>
        </w:rPr>
      </w:pPr>
      <w:r>
        <w:rPr>
          <w:noProof/>
        </w:rPr>
        <w:t>W kontekście dalszego udoskonalenia SIS zbadana zostanie możliwość pozostawienia w SIS informacji o decyzjach nakazujących powrót po ich wykonaniu. Informacja ta mogłaby być przydatna w przypadku ponownego wjazdu obywatela państwa trzeciego na terytorium p</w:t>
      </w:r>
      <w:r>
        <w:rPr>
          <w:noProof/>
        </w:rPr>
        <w:t xml:space="preserve">aństw członkowskich i przebywania przez niego nielegalnie w innym państwie członkowskim niż państwo, które wydało pierwszą decyzję nakazującą powrót. </w:t>
      </w:r>
    </w:p>
    <w:p w:rsidR="00731D8F" w:rsidRDefault="00214EE0">
      <w:pPr>
        <w:rPr>
          <w:noProof/>
        </w:rPr>
      </w:pPr>
      <w:r>
        <w:rPr>
          <w:noProof/>
        </w:rPr>
        <w:t>W przypadku gdy powrót nie został potwierdzony lub gdy wpis dotyczący powrotu nie został usunięty z innyc</w:t>
      </w:r>
      <w:r>
        <w:rPr>
          <w:noProof/>
        </w:rPr>
        <w:t>h względów, wpis będzie przechowywany przez pięć lat, co odpowiada okresowi przechowywania wpisów dotyczących odmowy wjazdu (art. 34 wniosku dotyczącego rozporządzenia w sprawie utworzenia, funkcjonowania i użytkowania SIS w dziedzinie odpraw granicznych).</w:t>
      </w:r>
    </w:p>
    <w:p w:rsidR="00731D8F" w:rsidRDefault="00214EE0">
      <w:pPr>
        <w:rPr>
          <w:noProof/>
          <w:u w:val="single"/>
        </w:rPr>
      </w:pPr>
      <w:r>
        <w:rPr>
          <w:noProof/>
          <w:u w:val="single"/>
        </w:rPr>
        <w:t>Przekazywanie danych do państw trzecich (art. 10)</w:t>
      </w:r>
    </w:p>
    <w:p w:rsidR="00731D8F" w:rsidRDefault="00214EE0">
      <w:pPr>
        <w:pBdr>
          <w:top w:val="nil"/>
          <w:left w:val="nil"/>
          <w:bottom w:val="nil"/>
          <w:right w:val="nil"/>
          <w:between w:val="nil"/>
          <w:bar w:val="nil"/>
        </w:pBdr>
        <w:spacing w:before="0" w:after="240"/>
        <w:rPr>
          <w:noProof/>
          <w:szCs w:val="24"/>
        </w:rPr>
      </w:pPr>
      <w:r>
        <w:rPr>
          <w:noProof/>
        </w:rPr>
        <w:t xml:space="preserve">Artykuł 10 zawiera szczegółowe zasady dotyczące przekazywania danych do państw trzecich na ściśle określonych warunkach. </w:t>
      </w:r>
    </w:p>
    <w:p w:rsidR="00731D8F" w:rsidRDefault="00214EE0">
      <w:pPr>
        <w:rPr>
          <w:noProof/>
          <w:szCs w:val="24"/>
          <w:u w:val="single"/>
        </w:rPr>
      </w:pPr>
      <w:r>
        <w:rPr>
          <w:noProof/>
          <w:u w:val="single"/>
        </w:rPr>
        <w:t>Prawa dostępu (art. 12)</w:t>
      </w:r>
    </w:p>
    <w:p w:rsidR="00731D8F" w:rsidRDefault="00214EE0">
      <w:pPr>
        <w:rPr>
          <w:noProof/>
        </w:rPr>
      </w:pPr>
      <w:r>
        <w:rPr>
          <w:noProof/>
        </w:rPr>
        <w:t>W państwach członkowskich organy odpowiedzialne za wydawani</w:t>
      </w:r>
      <w:r>
        <w:rPr>
          <w:noProof/>
        </w:rPr>
        <w:t>e decyzji nakazujących powrót zgodnie z przepisami zgodnymi z dyrektywą 2008/115/WE mogą się znacznie różnić między sobą. W zależności od powodu nielegalnego pobytu (np. odmowa udzielenia azylu, przekroczenie dozwolonego wizą okresu pobytu, wygaśnięcie dok</w:t>
      </w:r>
      <w:r>
        <w:rPr>
          <w:noProof/>
        </w:rPr>
        <w:t>umentu pobytowego) za wydanie takich decyzji mogą odpowiadać różne organy, w tym organy sądowe, w przypadku gdy nałożenie obowiązku powrotu wynika z odwołania od decyzji o odmowie wydania dokumentu pobytowego lub przyznania prawa pobytu lub wydano je w cha</w:t>
      </w:r>
      <w:r>
        <w:rPr>
          <w:noProof/>
        </w:rPr>
        <w:t>rakterze sankcji karnej. Takie organy powinny zatem mieć dostęp do SIS w celu wprowadzania, aktualizowania, usuwania i wyszukiwania danych. Ponadto dostęp do danych w SIS powinny mieć też organy odpowiedzialne za identyfikowanie obywateli państw trzecich p</w:t>
      </w:r>
      <w:r>
        <w:rPr>
          <w:noProof/>
        </w:rPr>
        <w:t>odczas kontroli dokonywanych przez straż graniczną, policję lub inne organy ścigania.</w:t>
      </w:r>
    </w:p>
    <w:p w:rsidR="00731D8F" w:rsidRDefault="00214EE0">
      <w:pPr>
        <w:rPr>
          <w:noProof/>
          <w:szCs w:val="24"/>
        </w:rPr>
      </w:pPr>
      <w:r>
        <w:rPr>
          <w:noProof/>
        </w:rPr>
        <w:t xml:space="preserve">W związku z tym art. 12 stanowi, że odpowiedniego dostępu do wpisów dotyczących powrotu należy udzielić: </w:t>
      </w:r>
    </w:p>
    <w:p w:rsidR="00731D8F" w:rsidRDefault="00214EE0">
      <w:pPr>
        <w:pStyle w:val="Tiret0"/>
        <w:rPr>
          <w:noProof/>
        </w:rPr>
      </w:pPr>
      <w:r>
        <w:rPr>
          <w:noProof/>
        </w:rPr>
        <w:t>organom krajowym odpowiedzialnym za identyfikację obywateli pańs</w:t>
      </w:r>
      <w:r>
        <w:rPr>
          <w:noProof/>
        </w:rPr>
        <w:t>tw członkowskich na terytorium państw członkowskich, o których mowa w art. 29 ust. 1 lit. a), b), c) i d) rozporządzenia (UE) 2018/xxx [odprawy graniczne]. Organy odpowiedzialne za odprawy graniczne muszą mieć dostęp do danych do celów identyfikacji obywat</w:t>
      </w:r>
      <w:r>
        <w:rPr>
          <w:noProof/>
        </w:rPr>
        <w:t>eli państw członkowskich, których dotyczy decyzja nakazująca powrót i którzy opuszczają terytorium państw członkowskich. Policja i inne organy ścigania są, zgodnie z przepisami prawa krajowego, odpowiedzialne za identyfikację i zapewnienie powrotu osób prz</w:t>
      </w:r>
      <w:r>
        <w:rPr>
          <w:noProof/>
        </w:rPr>
        <w:t>ebywających na terytorium danego państwa. Organy imigracyjne są odpowiedzialne za wydawanie decyzji (w tym decyzji nakazujących powrót) w sprawie wjazdu i pobytu obywateli państw trzecich;</w:t>
      </w:r>
    </w:p>
    <w:p w:rsidR="00731D8F" w:rsidRDefault="00214EE0">
      <w:pPr>
        <w:pStyle w:val="Tiret0"/>
        <w:rPr>
          <w:noProof/>
          <w:szCs w:val="24"/>
        </w:rPr>
      </w:pPr>
      <w:r>
        <w:rPr>
          <w:noProof/>
        </w:rPr>
        <w:t>krajowe organy wymiaru sprawiedliwości (art. 29 ust. 2 rozporządzen</w:t>
      </w:r>
      <w:r>
        <w:rPr>
          <w:noProof/>
        </w:rPr>
        <w:t>ia (UE) 2018/xxx [odprawy graniczne]) powinny mieć dostęp do danych zawartych w SIS, jeżeli są one zgodnie z prawem krajowym właściwe do wydawania decyzji w sprawie wjazdu i pobytu obywateli państw trzecich;</w:t>
      </w:r>
    </w:p>
    <w:p w:rsidR="00731D8F" w:rsidRDefault="00214EE0">
      <w:pPr>
        <w:pStyle w:val="Tiret0"/>
        <w:rPr>
          <w:noProof/>
          <w:szCs w:val="24"/>
          <w:u w:val="single"/>
        </w:rPr>
      </w:pPr>
      <w:r>
        <w:rPr>
          <w:noProof/>
        </w:rPr>
        <w:t xml:space="preserve">użytkownikom instytucjonalnym, o których mowa w </w:t>
      </w:r>
      <w:r>
        <w:rPr>
          <w:noProof/>
        </w:rPr>
        <w:t>art. 30–31 rozporządzenia (UE) 2018/xxx [odprawy graniczne] (Europol i Europejska Agencja Straży Granicznej i Przybrzeżnej), w kontekście ich kompetencji w ramach Europejskiego Centrum Zwalczania Przemytu Migrantów (Europol) oraz na potrzeby zadań związany</w:t>
      </w:r>
      <w:r>
        <w:rPr>
          <w:noProof/>
        </w:rPr>
        <w:t>ch z powrotem (Europejska Agencja Straży Granicznej i Przybrzeżnej).</w:t>
      </w:r>
    </w:p>
    <w:p w:rsidR="00731D8F" w:rsidRDefault="00214EE0">
      <w:pPr>
        <w:rPr>
          <w:noProof/>
          <w:szCs w:val="24"/>
          <w:u w:val="single"/>
        </w:rPr>
      </w:pPr>
      <w:r>
        <w:rPr>
          <w:noProof/>
          <w:u w:val="single"/>
        </w:rPr>
        <w:t>Zastosowanie przepisów rozporządzenia SIS w sprawie zarządzania granicami (art. 13)</w:t>
      </w:r>
    </w:p>
    <w:p w:rsidR="00731D8F" w:rsidRDefault="00214EE0">
      <w:pPr>
        <w:rPr>
          <w:noProof/>
          <w:szCs w:val="24"/>
        </w:rPr>
      </w:pPr>
      <w:r>
        <w:rPr>
          <w:noProof/>
        </w:rPr>
        <w:t>Artykuł 13 stanowi wreszcie, że ogólne przepisy dotyczące SIS zawarte we wniosku dotyczącym rozporządze</w:t>
      </w:r>
      <w:r>
        <w:rPr>
          <w:noProof/>
        </w:rPr>
        <w:t>nia w sprawie utworzenia, funkcjonowania i użytkowania SIS w dziedzinie odpraw granicznych mają również zastosowanie do przetwarzania danych wprowadzonych na potrzeby niniejszego wniosku; w szczególności odnosi się to do przepisów dotyczących odpowiedzialn</w:t>
      </w:r>
      <w:r>
        <w:rPr>
          <w:noProof/>
        </w:rPr>
        <w:t xml:space="preserve">ości państw członkowskich i agencji, wprowadzania i przetwarzania wpisów, warunków dostępu do danych i ich przechowywania, przetwarzania danych, ich ochrony, odpowiedzialności oraz monitorowania i statystyk. </w:t>
      </w:r>
    </w:p>
    <w:p w:rsidR="00731D8F" w:rsidRDefault="00731D8F">
      <w:pPr>
        <w:rPr>
          <w:noProof/>
        </w:rPr>
        <w:sectPr w:rsidR="00731D8F" w:rsidSect="00214EE0">
          <w:footerReference w:type="default" r:id="rId19"/>
          <w:footerReference w:type="first" r:id="rId20"/>
          <w:pgSz w:w="11907" w:h="16839"/>
          <w:pgMar w:top="1134" w:right="1417" w:bottom="1134" w:left="1417" w:header="709" w:footer="709" w:gutter="0"/>
          <w:cols w:space="708"/>
          <w:docGrid w:linePitch="360"/>
        </w:sectPr>
      </w:pPr>
    </w:p>
    <w:p w:rsidR="00731D8F" w:rsidRDefault="00214EE0" w:rsidP="00214EE0">
      <w:pPr>
        <w:pStyle w:val="Rfrenceinterinstitutionnelle"/>
        <w:rPr>
          <w:noProof/>
        </w:rPr>
      </w:pPr>
      <w:r w:rsidRPr="00214EE0">
        <w:t>2016/0407 (COD)</w:t>
      </w:r>
    </w:p>
    <w:p w:rsidR="00731D8F" w:rsidRDefault="00214EE0" w:rsidP="00214EE0">
      <w:pPr>
        <w:pStyle w:val="Statut"/>
        <w:rPr>
          <w:noProof/>
        </w:rPr>
      </w:pPr>
      <w:r w:rsidRPr="00214EE0">
        <w:t>Wniosek</w:t>
      </w:r>
    </w:p>
    <w:p w:rsidR="00731D8F" w:rsidRDefault="00214EE0" w:rsidP="00214EE0">
      <w:pPr>
        <w:pStyle w:val="Typedudocument"/>
        <w:rPr>
          <w:noProof/>
        </w:rPr>
      </w:pPr>
      <w:r w:rsidRPr="00214EE0">
        <w:t>ROZPORZĄDZENIE PARLAMENTU EUROPEJSKIEGO I RADY</w:t>
      </w:r>
    </w:p>
    <w:p w:rsidR="00731D8F" w:rsidRDefault="00214EE0" w:rsidP="00214EE0">
      <w:pPr>
        <w:pStyle w:val="Titreobjet"/>
        <w:rPr>
          <w:noProof/>
        </w:rPr>
      </w:pPr>
      <w:proofErr w:type="gramStart"/>
      <w:r w:rsidRPr="00214EE0">
        <w:t>w</w:t>
      </w:r>
      <w:proofErr w:type="gramEnd"/>
      <w:r w:rsidRPr="00214EE0">
        <w:t xml:space="preserve"> sprawie użytkowania Systemu Informacyjnego </w:t>
      </w:r>
      <w:proofErr w:type="spellStart"/>
      <w:r w:rsidRPr="00214EE0">
        <w:t>Schengen</w:t>
      </w:r>
      <w:proofErr w:type="spellEnd"/>
      <w:r w:rsidRPr="00214EE0">
        <w:t xml:space="preserve"> do celów powrotu nielegalnie przebywających obywateli państw trzecich </w:t>
      </w:r>
    </w:p>
    <w:p w:rsidR="00731D8F" w:rsidRDefault="00214EE0">
      <w:pPr>
        <w:pStyle w:val="Institutionquiagit"/>
        <w:rPr>
          <w:noProof/>
          <w:szCs w:val="24"/>
        </w:rPr>
      </w:pPr>
      <w:r>
        <w:rPr>
          <w:noProof/>
        </w:rPr>
        <w:t>PARLAMENT EUROPEJSKI I RADA UNII EUROPEJSKIEJ,</w:t>
      </w:r>
    </w:p>
    <w:p w:rsidR="00731D8F" w:rsidRDefault="00214EE0">
      <w:pPr>
        <w:rPr>
          <w:noProof/>
          <w:szCs w:val="24"/>
        </w:rPr>
      </w:pPr>
      <w:r>
        <w:rPr>
          <w:noProof/>
        </w:rPr>
        <w:t>uwzględniając Traktat o funkcjonowaniu Unii Europejskiej, w szczególności jego art. 79 ust. 2 lit. c),</w:t>
      </w:r>
    </w:p>
    <w:p w:rsidR="00731D8F" w:rsidRDefault="00214EE0">
      <w:pPr>
        <w:rPr>
          <w:noProof/>
          <w:szCs w:val="24"/>
        </w:rPr>
      </w:pPr>
      <w:r>
        <w:rPr>
          <w:noProof/>
        </w:rPr>
        <w:t>uwzględniając wniosek Komisji Europejskiej,</w:t>
      </w:r>
    </w:p>
    <w:p w:rsidR="00731D8F" w:rsidRDefault="00214EE0">
      <w:pPr>
        <w:rPr>
          <w:noProof/>
          <w:szCs w:val="24"/>
        </w:rPr>
      </w:pPr>
      <w:r>
        <w:rPr>
          <w:noProof/>
        </w:rPr>
        <w:t xml:space="preserve">po przekazaniu projektu aktu ustawodawczego </w:t>
      </w:r>
      <w:r>
        <w:rPr>
          <w:noProof/>
        </w:rPr>
        <w:t>parlamentom narodowym,</w:t>
      </w:r>
    </w:p>
    <w:p w:rsidR="00731D8F" w:rsidRDefault="00214EE0">
      <w:pPr>
        <w:rPr>
          <w:noProof/>
          <w:szCs w:val="24"/>
        </w:rPr>
      </w:pPr>
      <w:r>
        <w:rPr>
          <w:noProof/>
        </w:rPr>
        <w:t>stanowiąc zgodnie ze zwykłą procedurą ustawodawczą,</w:t>
      </w:r>
    </w:p>
    <w:p w:rsidR="00731D8F" w:rsidRDefault="00214EE0">
      <w:pPr>
        <w:rPr>
          <w:noProof/>
          <w:szCs w:val="24"/>
        </w:rPr>
      </w:pPr>
      <w:r>
        <w:rPr>
          <w:noProof/>
        </w:rPr>
        <w:t>a także mając na uwadze, co następuje:</w:t>
      </w:r>
    </w:p>
    <w:p w:rsidR="00731D8F" w:rsidRDefault="00214EE0">
      <w:pPr>
        <w:pStyle w:val="ManualConsidrant"/>
        <w:rPr>
          <w:noProof/>
        </w:rPr>
      </w:pPr>
      <w:r>
        <w:rPr>
          <w:noProof/>
        </w:rPr>
        <w:t>(1)</w:t>
      </w:r>
      <w:r>
        <w:rPr>
          <w:noProof/>
        </w:rPr>
        <w:tab/>
        <w:t>Powrót obywateli państw trzecich, którzy nie spełniają warunków wjazdu, pobytu lub zamieszkania w państwach członkowskich lub przestali je</w:t>
      </w:r>
      <w:r>
        <w:rPr>
          <w:noProof/>
        </w:rPr>
        <w:t xml:space="preserve"> spełniać, stanowi istotny aspekt kompleksowych starań zmierzających do rozwiązania problemu nielegalnej migracji i zwiększenia odsetka powrotów nielegalnych migrantów, w pełnym poszanowaniu praw podstawowych, a w szczególności zasady </w:t>
      </w:r>
      <w:r>
        <w:rPr>
          <w:i/>
          <w:noProof/>
        </w:rPr>
        <w:t>non-refoulement</w:t>
      </w:r>
      <w:r>
        <w:rPr>
          <w:noProof/>
        </w:rPr>
        <w:t>, oraz</w:t>
      </w:r>
      <w:r>
        <w:rPr>
          <w:noProof/>
        </w:rPr>
        <w:t xml:space="preserve"> zgodnie z dyrektywą Parlamentu Europejskiego i Rady 2008/115/WE.</w:t>
      </w:r>
    </w:p>
    <w:p w:rsidR="00731D8F" w:rsidRDefault="00214EE0">
      <w:pPr>
        <w:pStyle w:val="ManualConsidrant"/>
        <w:rPr>
          <w:noProof/>
        </w:rPr>
      </w:pPr>
      <w:r>
        <w:rPr>
          <w:noProof/>
        </w:rPr>
        <w:t>(2)</w:t>
      </w:r>
      <w:r>
        <w:rPr>
          <w:noProof/>
        </w:rPr>
        <w:tab/>
        <w:t>Konieczne jest zwiększenie skuteczności europejskiego systemu powrotów nielegalnie przebywających obywateli państw trzecich. Jest to niezbędne w celu utrzymania zaufania publicznego do u</w:t>
      </w:r>
      <w:r>
        <w:rPr>
          <w:noProof/>
        </w:rPr>
        <w:t xml:space="preserve">nijnej polityki w dziedzinie migracji i azylu oraz udzielania wsparcia osobom potrzebującym ochrony międzynarodowej. </w:t>
      </w:r>
    </w:p>
    <w:p w:rsidR="00731D8F" w:rsidRDefault="00214EE0">
      <w:pPr>
        <w:pStyle w:val="ManualConsidrant"/>
        <w:rPr>
          <w:noProof/>
        </w:rPr>
      </w:pPr>
      <w:r>
        <w:rPr>
          <w:noProof/>
        </w:rPr>
        <w:t>(3)</w:t>
      </w:r>
      <w:r>
        <w:rPr>
          <w:noProof/>
        </w:rPr>
        <w:tab/>
        <w:t>Państwa członkowskie powinny podjąć wszelkie niezbędne kroki w celu zagwarantowania powrotu nielegalnie przebywających obywateli państ</w:t>
      </w:r>
      <w:r>
        <w:rPr>
          <w:noProof/>
        </w:rPr>
        <w:t>w trzecich w sposób skuteczny i proporcjonalny, zgodnie z przepisami dyrektywy 2008/115/WE.</w:t>
      </w:r>
    </w:p>
    <w:p w:rsidR="00731D8F" w:rsidRDefault="00214EE0">
      <w:pPr>
        <w:pStyle w:val="ManualConsidrant"/>
        <w:rPr>
          <w:noProof/>
        </w:rPr>
      </w:pPr>
      <w:r>
        <w:rPr>
          <w:noProof/>
        </w:rPr>
        <w:t>(4)</w:t>
      </w:r>
      <w:r>
        <w:rPr>
          <w:noProof/>
        </w:rPr>
        <w:tab/>
        <w:t>Należy ustanowić ogólnounijny system służący do wymiany informacji między państwami członkowskimi na temat decyzji nakazujących powrót wydanych w odniesieniu do</w:t>
      </w:r>
      <w:r>
        <w:rPr>
          <w:noProof/>
        </w:rPr>
        <w:t xml:space="preserve"> obywateli państw trzecich nielegalnie przebywających na terytorium państw członkowskich zgodnie z przepisami zgodnymi z dyrektywą 2008/115/WE oraz do monitorowania, czy obywatele państw trzecich objęci tymi decyzjami opuścili terytorium państw członkowski</w:t>
      </w:r>
      <w:r>
        <w:rPr>
          <w:noProof/>
        </w:rPr>
        <w:t xml:space="preserve">ch. </w:t>
      </w:r>
    </w:p>
    <w:p w:rsidR="00731D8F" w:rsidRDefault="00214EE0">
      <w:pPr>
        <w:pStyle w:val="ManualConsidrant"/>
        <w:rPr>
          <w:noProof/>
        </w:rPr>
      </w:pPr>
      <w:r>
        <w:rPr>
          <w:noProof/>
        </w:rPr>
        <w:t>(5)</w:t>
      </w:r>
      <w:r>
        <w:rPr>
          <w:noProof/>
        </w:rPr>
        <w:tab/>
        <w:t>Rozporządzenie (UE) 2018/xxx [odprawy graniczne]</w:t>
      </w:r>
      <w:r>
        <w:rPr>
          <w:rStyle w:val="FootnoteReference"/>
          <w:noProof/>
        </w:rPr>
        <w:footnoteReference w:id="25"/>
      </w:r>
      <w:r>
        <w:rPr>
          <w:noProof/>
        </w:rPr>
        <w:t xml:space="preserve"> i rozporządzenie (UE) 2018/xxx [współpraca policyjna i sądowa]</w:t>
      </w:r>
      <w:r>
        <w:rPr>
          <w:rStyle w:val="FootnoteReference"/>
          <w:noProof/>
        </w:rPr>
        <w:footnoteReference w:id="26"/>
      </w:r>
      <w:r>
        <w:rPr>
          <w:noProof/>
        </w:rPr>
        <w:t xml:space="preserve"> ustanawiają warunki dotyczące utworzenia, funkcjonowania i użytkowania Systemu Informacyjnego Schengen (SIS). </w:t>
      </w:r>
    </w:p>
    <w:p w:rsidR="00731D8F" w:rsidRDefault="00214EE0">
      <w:pPr>
        <w:pStyle w:val="ManualConsidrant"/>
        <w:rPr>
          <w:noProof/>
        </w:rPr>
      </w:pPr>
      <w:r>
        <w:rPr>
          <w:noProof/>
        </w:rPr>
        <w:t>(6)</w:t>
      </w:r>
      <w:r>
        <w:rPr>
          <w:noProof/>
        </w:rPr>
        <w:tab/>
        <w:t>Wpisy w SIS dotycz</w:t>
      </w:r>
      <w:r>
        <w:rPr>
          <w:noProof/>
        </w:rPr>
        <w:t xml:space="preserve">ące powrotów oraz wymiana informacji uzupełniających dotyczących tych wpisów powinny ułatwić właściwym organom podejmowanie niezbędnych kroków w celu wykonania decyzji nakazujących powrót wydanych zgodnie z przepisami zgodnymi z dyrektywą 2008/115/WE. SIS </w:t>
      </w:r>
      <w:r>
        <w:rPr>
          <w:noProof/>
        </w:rPr>
        <w:t>powinien przyczynić się identyfikowania obywateli państw trzecich, których dotyczy taka decyzja nakazująca powrót i którzy zbiegli oraz zostali zatrzymani w innym państwie członkowskim, a także wymiany informacji na ich temat między państwami członkowskimi</w:t>
      </w:r>
      <w:r>
        <w:rPr>
          <w:noProof/>
        </w:rPr>
        <w:t xml:space="preserve">. Wspomniane środki powinny ułatwić zapobieganie nielegalnej migracji i zniechęcanie do niej oraz wzmacniać współpracę między organami państw członkowskich. </w:t>
      </w:r>
    </w:p>
    <w:p w:rsidR="00731D8F" w:rsidRDefault="00214EE0">
      <w:pPr>
        <w:pStyle w:val="ManualConsidrant"/>
        <w:rPr>
          <w:noProof/>
        </w:rPr>
      </w:pPr>
      <w:r>
        <w:rPr>
          <w:noProof/>
        </w:rPr>
        <w:t>(7)</w:t>
      </w:r>
      <w:r>
        <w:rPr>
          <w:noProof/>
        </w:rPr>
        <w:tab/>
        <w:t>Aby zapewnić skuteczność powrotów i zwiększyć wartość dodaną wpisów dotyczących powrotu, państ</w:t>
      </w:r>
      <w:r>
        <w:rPr>
          <w:noProof/>
        </w:rPr>
        <w:t>wa członkowskie powinny wprowadzać wpisy do SIS w odniesieniu do wszystkich wydawanych przez siebie decyzji nakazujących powrót dotyczących nielegalnie przebywających obywateli państw członkowskich zgodnie z przepisami zgodnymi z dyrektywą 2008/115/WE. W t</w:t>
      </w:r>
      <w:r>
        <w:rPr>
          <w:noProof/>
        </w:rPr>
        <w:t>ym celu państwa członkowskie powinny dokonać wpisu do SIS także w przypadku wydania decyzji nakładających lub stwierdzających obowiązek powrotu w sytuacjach opisanych w art. 2 ust. 2 tej dyrektywy, w szczególności w odniesieniu do obywateli państw trzecich</w:t>
      </w:r>
      <w:r>
        <w:rPr>
          <w:noProof/>
        </w:rPr>
        <w:t xml:space="preserve"> którzy zostali objęci zakazem wjazdu zgodnie z kodeksem granicznym Schengen lub zatrzymani lub ujęci przez właściwe organy w związku z nielegalnym przekroczeniem zewnętrznej granicy lądowej, morskiej lub powietrznej państwa członkowskiego i którzy następn</w:t>
      </w:r>
      <w:r>
        <w:rPr>
          <w:noProof/>
        </w:rPr>
        <w:t xml:space="preserve">ie nie otrzymali karty pobytu lub którym nie przyznano prawa pobytu w tym państwie członkowskim, a także w odniesieniu do obywateli państw trzecich, wobec których orzeczono powrót w charakterze sankcji karnej lub w wyniku orzeczenia sankcji karnej zgodnie </w:t>
      </w:r>
      <w:r>
        <w:rPr>
          <w:noProof/>
        </w:rPr>
        <w:t>z prawem krajowym, lub którzy podlegają procedurom ekstradycji.</w:t>
      </w:r>
    </w:p>
    <w:p w:rsidR="00731D8F" w:rsidRDefault="00214EE0">
      <w:pPr>
        <w:pStyle w:val="ManualConsidrant"/>
        <w:rPr>
          <w:noProof/>
        </w:rPr>
      </w:pPr>
      <w:r>
        <w:rPr>
          <w:noProof/>
        </w:rPr>
        <w:t>(8)</w:t>
      </w:r>
      <w:r>
        <w:rPr>
          <w:noProof/>
        </w:rPr>
        <w:tab/>
        <w:t>W niniejszym rozporządzeniu należy ustanowić wspólne zasady dokonywania w SIS wpisów dotyczących powrotu niezwłocznie po wydaniu decyzji nakazujących powrót będących podstawą tych wpisów z</w:t>
      </w:r>
      <w:r>
        <w:rPr>
          <w:noProof/>
        </w:rPr>
        <w:t>godnie z przepisami zgodnymi z dyrektywą 2008/115/WE. Wpis powinien wskazywać, czy danemu obywatelowi państwa członkowskiego wyznaczono termin dobrowolnego wyjazdu, w tym czy termin ten został przedłużony ze względu na szczególne okoliczności konkretnej sp</w:t>
      </w:r>
      <w:r>
        <w:rPr>
          <w:noProof/>
        </w:rPr>
        <w:t xml:space="preserve">rawy oraz czy wykonanie decyzji zostało zawieszone lub czy termin wydalenia został przesunięty. </w:t>
      </w:r>
    </w:p>
    <w:p w:rsidR="00731D8F" w:rsidRDefault="00214EE0">
      <w:pPr>
        <w:pStyle w:val="ManualConsidrant"/>
        <w:rPr>
          <w:noProof/>
        </w:rPr>
      </w:pPr>
      <w:r>
        <w:rPr>
          <w:noProof/>
        </w:rPr>
        <w:t>(9)</w:t>
      </w:r>
      <w:r>
        <w:rPr>
          <w:noProof/>
        </w:rPr>
        <w:tab/>
        <w:t>Konieczne jest określenie kategorii danych, które mogą być wprowadzane do SIS w odniesieniu do obywateli państw trzecich objętych decyzją nakazującą powrót</w:t>
      </w:r>
      <w:r>
        <w:rPr>
          <w:noProof/>
        </w:rPr>
        <w:t xml:space="preserve"> wydaną zgodnie z przepisami zgodnymi z dyrektywą 2008/115/WE. Wpisy dotyczące powrotów powinny zawierać tylko te dane, które są wymagane w celu zidentyfikowania osób, których dane te dotyczą, aby umożliwić właściwym organom niezwłoczne podejmowanie świado</w:t>
      </w:r>
      <w:r>
        <w:rPr>
          <w:noProof/>
        </w:rPr>
        <w:t>mych decyzji oraz zapewnić, w stosownych przypadkach, ochronę przed osobami, które posiadają broń, stosują przemoc, zbiegły lub też uczestniczą w działalności, o której mowa w art. 1, 2, 3 i 4 decyzji ramowej Rady 2002/475/JHA w sprawie zwalczania terroryz</w:t>
      </w:r>
      <w:r>
        <w:rPr>
          <w:noProof/>
        </w:rPr>
        <w:t>mu</w:t>
      </w:r>
      <w:r>
        <w:rPr>
          <w:rStyle w:val="FootnoteReference"/>
          <w:noProof/>
        </w:rPr>
        <w:footnoteReference w:id="27"/>
      </w:r>
      <w:r>
        <w:rPr>
          <w:noProof/>
        </w:rPr>
        <w:t>. W celu ułatwienia identyfikacji i wykrycia wielorakich tożsamości wpis powinien ponadto zawierać odniesienie do dokumentu tożsamości lub numeru i kopii takiego dokumentu, jeżeli jest dostępny.</w:t>
      </w:r>
    </w:p>
    <w:p w:rsidR="00731D8F" w:rsidRDefault="00214EE0">
      <w:pPr>
        <w:pStyle w:val="ManualConsidrant"/>
        <w:rPr>
          <w:noProof/>
        </w:rPr>
      </w:pPr>
      <w:r>
        <w:rPr>
          <w:noProof/>
        </w:rPr>
        <w:t>(10)</w:t>
      </w:r>
      <w:r>
        <w:rPr>
          <w:noProof/>
        </w:rPr>
        <w:tab/>
        <w:t>Każde państwo członkowskie powinno wyznaczyć organ od</w:t>
      </w:r>
      <w:r>
        <w:rPr>
          <w:noProof/>
        </w:rPr>
        <w:t>powiedzialny za wymianę informacji uzupełniających w związku z wpisami dotyczącymi powrotu w celu zapewnienia skutecznej i sprawnej współpracy pomiędzy państwami członkowskimi.</w:t>
      </w:r>
    </w:p>
    <w:p w:rsidR="00731D8F" w:rsidRDefault="00214EE0">
      <w:pPr>
        <w:pStyle w:val="ManualConsidrant"/>
        <w:rPr>
          <w:noProof/>
        </w:rPr>
      </w:pPr>
      <w:r>
        <w:rPr>
          <w:noProof/>
        </w:rPr>
        <w:t>(11)</w:t>
      </w:r>
      <w:r>
        <w:rPr>
          <w:noProof/>
        </w:rPr>
        <w:tab/>
        <w:t>Należy ustanowić procedury umożliwiające państwom członkowskim zweryfikowa</w:t>
      </w:r>
      <w:r>
        <w:rPr>
          <w:noProof/>
        </w:rPr>
        <w:t>nie, czy obowiązek powrotu został wykonany, oraz przekazanie potwierdzenia wyjazdu danego obywatela państwa trzeciego państwu członkowskiemu, które dokonało wpisu dotyczącego powrotu. Informacje te powinny przyczynić się do bardziej kompleksowego monitorow</w:t>
      </w:r>
      <w:r>
        <w:rPr>
          <w:noProof/>
        </w:rPr>
        <w:t xml:space="preserve">ania wykonywania decyzji nakazujących powrót zgodnie z przepisami zgodnymi z dyrektywą 2008/115/WE. </w:t>
      </w:r>
    </w:p>
    <w:p w:rsidR="00731D8F" w:rsidRDefault="00214EE0">
      <w:pPr>
        <w:pStyle w:val="ManualConsidrant"/>
        <w:rPr>
          <w:noProof/>
        </w:rPr>
      </w:pPr>
      <w:r>
        <w:rPr>
          <w:noProof/>
        </w:rPr>
        <w:t>(12)</w:t>
      </w:r>
      <w:r>
        <w:rPr>
          <w:noProof/>
        </w:rPr>
        <w:tab/>
        <w:t>Wpisy dotyczące powrotu należy usuwać, gdy tylko państwo członkowskie lub właściwy organ, który wydał decyzję nakazującą powrót zgodnie z przepisami z</w:t>
      </w:r>
      <w:r>
        <w:rPr>
          <w:noProof/>
        </w:rPr>
        <w:t>godnymi z dyrektywą 2008/115/WE, zostały poinformowane o powrocie. W przypadku gdy decyzji nakazującej powrót towarzyszy zakaz wjazdu, ten ostatni powinien zostać wprowadzony do SIS zgodnie z art. 24 ust. 3 rozporządzenia (UE) 2018/xxx [odprawy graniczne].</w:t>
      </w:r>
      <w:r>
        <w:rPr>
          <w:noProof/>
        </w:rPr>
        <w:t xml:space="preserve"> W takich przypadkach państwa członkowskie powinny podjąć wszelkie niezbędne środki w celu zapewnienia, by między wyjazdem obywatela państwa trzeciego ze strefy Schengen a aktywowaniem w SIS wpisu dotyczącego zakazu wjazdu nie wystąpiła luka czasowa.</w:t>
      </w:r>
    </w:p>
    <w:p w:rsidR="00731D8F" w:rsidRDefault="00214EE0">
      <w:pPr>
        <w:pStyle w:val="ManualConsidrant"/>
        <w:rPr>
          <w:noProof/>
        </w:rPr>
      </w:pPr>
      <w:r>
        <w:rPr>
          <w:noProof/>
        </w:rPr>
        <w:t>(13)</w:t>
      </w:r>
      <w:r>
        <w:rPr>
          <w:noProof/>
        </w:rPr>
        <w:tab/>
      </w:r>
      <w:r>
        <w:rPr>
          <w:noProof/>
        </w:rPr>
        <w:t>SIS powinien zawierać mechanizm powiadamiania państw członkowskich o niewykonaniu przez obywateli państw trzecich obowiązku powrotu w wyznaczonym terminie dobrowolnego wyjazdu. Mechanizm ten powinien ułatwić państwom członkowskim wykonywanie obowiązków wyn</w:t>
      </w:r>
      <w:r>
        <w:rPr>
          <w:noProof/>
        </w:rPr>
        <w:t>ikających z art. 8 ust. 1 dyrektywy 2008/115/WE w odniesieniu do obywateli państw trzecich, którzy nie wykonali obowiązku powrotu.</w:t>
      </w:r>
    </w:p>
    <w:p w:rsidR="00731D8F" w:rsidRDefault="00214EE0">
      <w:pPr>
        <w:pStyle w:val="ManualConsidrant"/>
        <w:rPr>
          <w:noProof/>
        </w:rPr>
      </w:pPr>
      <w:r>
        <w:rPr>
          <w:noProof/>
        </w:rPr>
        <w:t>(14)</w:t>
      </w:r>
      <w:r>
        <w:rPr>
          <w:noProof/>
        </w:rPr>
        <w:tab/>
        <w:t>Niniejsze rozporządzenie powinno ustanowić obowiązkowe zasady prowadzenia konsultacji między organami krajowymi w celu r</w:t>
      </w:r>
      <w:r>
        <w:rPr>
          <w:noProof/>
        </w:rPr>
        <w:t>ozwiązania problemów wynikających z ewentualnych sprzecznych instrukcji. Konsultacje należy przeprowadzić w przypadku, gdy obywatele państw trzecich, którzy są w posiadaniu ważnego dokumentu pobytowego lub którym państwo członkowskie wydało inne zezwolenie</w:t>
      </w:r>
      <w:r>
        <w:rPr>
          <w:noProof/>
        </w:rPr>
        <w:t xml:space="preserve"> lub przyznało prawo pobytu, są objęci wpisem dotyczącym powrotu wydanym przez inne państwo członkowskie, lub w przypadkach wystąpienia sytuacji konfliktowych przy wjeździe na terytorium państw członkowskich.</w:t>
      </w:r>
    </w:p>
    <w:p w:rsidR="00731D8F" w:rsidRDefault="00214EE0">
      <w:pPr>
        <w:pStyle w:val="ManualConsidrant"/>
        <w:rPr>
          <w:noProof/>
        </w:rPr>
      </w:pPr>
      <w:r>
        <w:rPr>
          <w:noProof/>
        </w:rPr>
        <w:t>(15)</w:t>
      </w:r>
      <w:r>
        <w:rPr>
          <w:noProof/>
        </w:rPr>
        <w:tab/>
        <w:t>Wpisy należy przechowywać w SIS jedynie pr</w:t>
      </w:r>
      <w:r>
        <w:rPr>
          <w:noProof/>
        </w:rPr>
        <w:t xml:space="preserve">zez okres konieczny do osiągnięcia celów, w jakich zostały one do niego wprowadzone. Zgodnie z art. 34 rozporządzenia (UE) 2018/xxx [odprawy graniczne] okres weryfikacji wpisów dotyczących obywateli państw trzecich wynosi pięć lat. </w:t>
      </w:r>
    </w:p>
    <w:p w:rsidR="00731D8F" w:rsidRDefault="00214EE0">
      <w:pPr>
        <w:pStyle w:val="ManualConsidrant"/>
        <w:rPr>
          <w:noProof/>
        </w:rPr>
      </w:pPr>
      <w:r>
        <w:rPr>
          <w:noProof/>
        </w:rPr>
        <w:t>(16)</w:t>
      </w:r>
      <w:r>
        <w:rPr>
          <w:noProof/>
        </w:rPr>
        <w:tab/>
        <w:t xml:space="preserve">Dane przetwarzane </w:t>
      </w:r>
      <w:r>
        <w:rPr>
          <w:noProof/>
        </w:rPr>
        <w:t>w SIS lub przekazane w drodze wymiany informacji uzupełniających mogą zapewnić państwu członkowskiemu wykonującemu decyzję informacje, które są przydatne do szybkiej identyfikacji i ponownego wydania dokumentów nielegalnie przebywającym obywatelom państw t</w:t>
      </w:r>
      <w:r>
        <w:rPr>
          <w:noProof/>
        </w:rPr>
        <w:t>rzecich w celu zapewnienia ich powrotu do państwa trzeciego. W indywidualnych przypadkach powinna istnieć możliwość przekazania w tym celu takich danych państwu trzeciemu. Przekazywanie wszelkich danych osobowych powinno podlegać jasnym warunkom, powinno m</w:t>
      </w:r>
      <w:r>
        <w:rPr>
          <w:noProof/>
        </w:rPr>
        <w:t xml:space="preserve">ieć miejsce zgodnie z przepisami rozporządzenia (UE) 2016/679 i odbywać się za zgodą państwa członkowskiego, które dokonało wpisu. </w:t>
      </w:r>
    </w:p>
    <w:p w:rsidR="00731D8F" w:rsidRDefault="00214EE0">
      <w:pPr>
        <w:pStyle w:val="ManualConsidrant"/>
        <w:rPr>
          <w:noProof/>
        </w:rPr>
      </w:pPr>
      <w:r>
        <w:rPr>
          <w:noProof/>
        </w:rPr>
        <w:t>(17)</w:t>
      </w:r>
      <w:r>
        <w:rPr>
          <w:noProof/>
        </w:rPr>
        <w:tab/>
        <w:t xml:space="preserve">Organy krajowe odpowiedzialne za powrót mogą znacznie się różnić pomiędzy państwami członkowskimi, ale mogą to również </w:t>
      </w:r>
      <w:r>
        <w:rPr>
          <w:noProof/>
        </w:rPr>
        <w:t xml:space="preserve">być różne organy w ramach tego samego państwa członkowskiego, w zależności od przyczyn nielegalnego pobytu. Organy sądowe również mogą wydawać decyzje nakazujące powrót zgodnie z przepisami zgodnymi z dyrektywą 2008/115/WE, na przykład w wyniku odwołań od </w:t>
      </w:r>
      <w:r>
        <w:rPr>
          <w:noProof/>
        </w:rPr>
        <w:t>decyzji o odmowie wydania zezwolenia na pobyt lub przyznania prawa pobytu lub w charakterze sankcji karnej. Wszystkie organy krajowe odpowiedzialne za wydawanie i wykonywanie decyzji nakazujących powrót zgodnie z dyrektywą 2008/115/WE powinny mieć prawo do</w:t>
      </w:r>
      <w:r>
        <w:rPr>
          <w:noProof/>
        </w:rPr>
        <w:t>stępu do SIS w celu wprowadzania, aktualizowania, usuwania i wyszukiwania wpisów dotyczących powrotów.</w:t>
      </w:r>
    </w:p>
    <w:p w:rsidR="00731D8F" w:rsidRDefault="00214EE0">
      <w:pPr>
        <w:pStyle w:val="ManualConsidrant"/>
        <w:rPr>
          <w:noProof/>
        </w:rPr>
      </w:pPr>
      <w:r>
        <w:rPr>
          <w:noProof/>
        </w:rPr>
        <w:t>(18)</w:t>
      </w:r>
      <w:r>
        <w:rPr>
          <w:noProof/>
        </w:rPr>
        <w:tab/>
        <w:t>Dostęp do wpisów dotyczących powrotów należy przyznać organom krajowym, o których mowa w art. 29 ust. 1 lit. a), b) c) i d) oraz art. 29 ust. 2 rozp</w:t>
      </w:r>
      <w:r>
        <w:rPr>
          <w:noProof/>
        </w:rPr>
        <w:t>orządzenia (UE) 2018/xxx [odprawy graniczne] na potrzeby identyfikowania obywateli państw trzecich oraz ich powrotów.</w:t>
      </w:r>
    </w:p>
    <w:p w:rsidR="00731D8F" w:rsidRDefault="00214EE0">
      <w:pPr>
        <w:pStyle w:val="ManualConsidrant"/>
        <w:rPr>
          <w:noProof/>
        </w:rPr>
      </w:pPr>
      <w:r>
        <w:rPr>
          <w:noProof/>
        </w:rPr>
        <w:t>(19)</w:t>
      </w:r>
      <w:r>
        <w:rPr>
          <w:noProof/>
        </w:rPr>
        <w:tab/>
        <w:t xml:space="preserve">Rozporządzenie (UE) 2016/794 w sprawie Agencji Unii Europejskiej ds. Współpracy Organów Ścigania (rozporządzenie w sprawie Europolu) </w:t>
      </w:r>
      <w:r>
        <w:rPr>
          <w:noProof/>
        </w:rPr>
        <w:t>stanowi, że Europol wspiera i wzmacnia działania prowadzone przez właściwe organy państw członkowskich oraz współpracę między tymi organami w zakresie zwalczania terroryzmu i poważnych przestępstw oraz zapewnia analizę i oceny zagrożeń. Aby ułatwić Europol</w:t>
      </w:r>
      <w:r>
        <w:rPr>
          <w:noProof/>
        </w:rPr>
        <w:t xml:space="preserve">owi realizację jego zadań, w szczególności w ramach Europejskiego Centrum Zwalczania Przemytu Migrantów, należy umożliwić tej agencji dostęp do kategorii wpisów zdefiniowanych w niniejszym rozporządzeniu. </w:t>
      </w:r>
    </w:p>
    <w:p w:rsidR="00731D8F" w:rsidRDefault="00214EE0">
      <w:pPr>
        <w:pStyle w:val="ManualConsidrant"/>
        <w:rPr>
          <w:noProof/>
        </w:rPr>
      </w:pPr>
      <w:r>
        <w:rPr>
          <w:noProof/>
        </w:rPr>
        <w:t>(20)</w:t>
      </w:r>
      <w:r>
        <w:rPr>
          <w:noProof/>
        </w:rPr>
        <w:tab/>
        <w:t>Rozporządzenie (UE) 2016/1624 stanowi, że prz</w:t>
      </w:r>
      <w:r>
        <w:rPr>
          <w:noProof/>
        </w:rPr>
        <w:t>yjmujące państwo członkowskie upoważnia członków zespołów Europejskiej Straży Granicznej i Przybrzeżnej lub zespołów składających się z personelu realizującego zadania w dziedzinie powrotów, rozmieszczonych przez Europejską Agencję Straży Granicznej i Przy</w:t>
      </w:r>
      <w:r>
        <w:rPr>
          <w:noProof/>
        </w:rPr>
        <w:t xml:space="preserve">brzeżnej, do korzystania z europejskich baz danych, w przypadku gdy konsultacje te są niezbędne do realizacji celów operacyjnych określonych w planie operacyjnym w odniesieniu do odpraw granicznych, ochrony granic i powrotów. Celem rozmieszczenia zespołów </w:t>
      </w:r>
      <w:r>
        <w:rPr>
          <w:noProof/>
        </w:rPr>
        <w:t>Europejskiej Straży Granicznej i Przybrzeżnej, zespołów składających się z personelu realizującego zadania w dziedzinie powrotów oraz zespołów wspierających zarządzanie migracjami jest zapewnienie wzmocnienia technicznego i operacyjnego wnioskujących państ</w:t>
      </w:r>
      <w:r>
        <w:rPr>
          <w:noProof/>
        </w:rPr>
        <w:t>w członkowskich, zwłaszcza tych zmagających się z nieproporcjonalnymi wyzwaniami migracyjnymi. Realizacja zadań przypisanych zespołom Europejskiej Straży Granicznej i Przybrzeżnej, zespołom składającym się z personelu realizującego zadania w dziedzinie pow</w:t>
      </w:r>
      <w:r>
        <w:rPr>
          <w:noProof/>
        </w:rPr>
        <w:t xml:space="preserve">rotów oraz zespołom wspierającym zarządzanie migracjami wymaga dostępu do wpisów dotyczących powrotów znajdujących się w SIS za pośrednictwem interfejsu technicznego łączącego Europejską Agencję Straży Granicznej i Przybrzeżnej z centralnym SIS. </w:t>
      </w:r>
    </w:p>
    <w:p w:rsidR="00731D8F" w:rsidRDefault="00214EE0">
      <w:pPr>
        <w:pStyle w:val="ManualConsidrant"/>
        <w:rPr>
          <w:noProof/>
        </w:rPr>
      </w:pPr>
      <w:r>
        <w:rPr>
          <w:noProof/>
        </w:rPr>
        <w:t>(21)</w:t>
      </w:r>
      <w:r>
        <w:rPr>
          <w:noProof/>
        </w:rPr>
        <w:tab/>
        <w:t>Prze</w:t>
      </w:r>
      <w:r>
        <w:rPr>
          <w:noProof/>
        </w:rPr>
        <w:t>pisy dotyczące obowiązków państw członkowskich i Europejskiej Agencji do spraw Zarządzania Operacyjnego Wielkoskalowymi Systemami Informatycznymi w Przestrzeni Wolności, Bezpieczeństwa i Sprawiedliwości, wprowadzania i przetwarzania wpisów, warunków dostęp</w:t>
      </w:r>
      <w:r>
        <w:rPr>
          <w:noProof/>
        </w:rPr>
        <w:t>u do wpisów i ich przechowywania, odpowiedzialności i monitorowania oraz statystyk, w brzmieniu uwzględnionym w rozporządzeniu (UE) 2018/xxx [odprawy graniczne] powinny mieć również zastosowanie do danych wprowadzonych do SIS i przetwarzanych w tym systemi</w:t>
      </w:r>
      <w:r>
        <w:rPr>
          <w:noProof/>
        </w:rPr>
        <w:t xml:space="preserve">e zgodnie z niniejszym rozporządzeniem. </w:t>
      </w:r>
    </w:p>
    <w:p w:rsidR="00731D8F" w:rsidRDefault="00214EE0">
      <w:pPr>
        <w:pStyle w:val="ManualConsidrant"/>
        <w:rPr>
          <w:noProof/>
        </w:rPr>
      </w:pPr>
      <w:r>
        <w:rPr>
          <w:noProof/>
        </w:rPr>
        <w:t>(22)</w:t>
      </w:r>
      <w:r>
        <w:rPr>
          <w:noProof/>
        </w:rPr>
        <w:tab/>
        <w:t>Zgodnie z art. 1 i 2 Protokołu nr 22 w sprawie stanowiska Danii, załączonego do Traktatu o Unii Europejskiej i do Traktatu o funkcjonowaniu Unii Europejskiej, Dania nie uczestniczy w przyjęciu niniejszego rozpo</w:t>
      </w:r>
      <w:r>
        <w:rPr>
          <w:noProof/>
        </w:rPr>
        <w:t>rządzenia i nie jest nim związana ani go nie stosuje. Ponieważ niniejsze rozporządzenie – w zakresie, w jakim ma ono zastosowanie do obywateli państw trzecich, którzy nie spełniają warunków wjazdu zgodnie z rozporządzeniem Parlamentu Europejskiego i Rady (</w:t>
      </w:r>
      <w:r>
        <w:rPr>
          <w:noProof/>
        </w:rPr>
        <w:t>UE) 2016/399</w:t>
      </w:r>
      <w:r>
        <w:rPr>
          <w:rStyle w:val="FootnoteReference"/>
          <w:noProof/>
        </w:rPr>
        <w:footnoteReference w:id="28"/>
      </w:r>
      <w:r>
        <w:rPr>
          <w:noProof/>
        </w:rPr>
        <w:t xml:space="preserve"> lub przestali je spełniać – stanowi rozwinięcie przepisów dorobku Schengen, zgodnie z art. 4 tego protokołu Dania podejmuje w terminie sześciu miesięcy po przyjęciu przez Radę niniejszego rozporządzenia decyzję, czy dokona jego transpozycji d</w:t>
      </w:r>
      <w:r>
        <w:rPr>
          <w:noProof/>
        </w:rPr>
        <w:t>o swego prawa krajowego.</w:t>
      </w:r>
    </w:p>
    <w:p w:rsidR="00731D8F" w:rsidRDefault="00214EE0">
      <w:pPr>
        <w:pStyle w:val="ManualConsidrant"/>
        <w:rPr>
          <w:noProof/>
        </w:rPr>
      </w:pPr>
      <w:r>
        <w:rPr>
          <w:noProof/>
        </w:rPr>
        <w:t>(23)</w:t>
      </w:r>
      <w:r>
        <w:rPr>
          <w:noProof/>
        </w:rPr>
        <w:tab/>
        <w:t xml:space="preserve">W zakresie, w jakim ma ono zastosowanie do obywateli państw trzecich, którzy nie spełniają warunków wjazdu zgodnie z rozporządzeniem (UE) 2016/399 lub przestali je spełniać, niniejsze rozporządzenie stanowi rozwinięcie </w:t>
      </w:r>
      <w:r>
        <w:rPr>
          <w:noProof/>
        </w:rPr>
        <w:t>przepisów dorobku Schengen, w którym Zjednoczone Królestwo nie uczestniczy zgodnie z decyzją Rady 2000/365/WE</w:t>
      </w:r>
      <w:r>
        <w:rPr>
          <w:rStyle w:val="FootnoteReference"/>
          <w:noProof/>
        </w:rPr>
        <w:footnoteReference w:id="29"/>
      </w:r>
      <w:r>
        <w:rPr>
          <w:noProof/>
        </w:rPr>
        <w:t>. Zjednoczone Królestwo nie uczestniczy zatem w przyjęciu niniejszego rozporządzenia, nie jest nim związane ani nie podlega jego stosowaniu. Ponad</w:t>
      </w:r>
      <w:r>
        <w:rPr>
          <w:noProof/>
        </w:rPr>
        <w:t>to, zgodnie z art. 1 i 2 Protokołu nr 21 w sprawie stanowiska Zjednoczonego Królestwa i Irlandii w odniesieniu do przestrzeni wolności, bezpieczeństwa i sprawiedliwości, załączonego do Traktatu o Unii Europejskiej i do Traktatu o funkcjonowaniu Unii Europe</w:t>
      </w:r>
      <w:r>
        <w:rPr>
          <w:noProof/>
        </w:rPr>
        <w:t>jskiej, oraz bez uszczerbku dla art. 4 tego protokołu, Zjednoczone Królestwo nie uczestniczy w przyjęciu niniejszego rozporządzenia i nie jest nim związane ani go nie stosuje.</w:t>
      </w:r>
    </w:p>
    <w:p w:rsidR="00731D8F" w:rsidRDefault="00214EE0">
      <w:pPr>
        <w:pStyle w:val="ManualConsidrant"/>
        <w:rPr>
          <w:noProof/>
        </w:rPr>
      </w:pPr>
      <w:r>
        <w:rPr>
          <w:noProof/>
        </w:rPr>
        <w:t>(24)</w:t>
      </w:r>
      <w:r>
        <w:rPr>
          <w:noProof/>
        </w:rPr>
        <w:tab/>
        <w:t>W zakresie, w jakim ma ono zastosowanie do obywateli państw trzecich, którz</w:t>
      </w:r>
      <w:r>
        <w:rPr>
          <w:noProof/>
        </w:rPr>
        <w:t>y nie spełniają warunków wjazdu zgodnie z rozporządzeniem (UE) 2016/399 lub przestali je spełniać, niniejsze rozporządzenie stanowi rozwinięcie przepisów dorobku Schengen, w którym Irlandia nie uczestniczy zgodnie z decyzją Rady 2002/192/WE</w:t>
      </w:r>
      <w:r>
        <w:rPr>
          <w:rStyle w:val="FootnoteReference"/>
          <w:noProof/>
        </w:rPr>
        <w:footnoteReference w:id="30"/>
      </w:r>
      <w:r>
        <w:rPr>
          <w:noProof/>
        </w:rPr>
        <w:t xml:space="preserve">. Irlandia nie </w:t>
      </w:r>
      <w:r>
        <w:rPr>
          <w:noProof/>
        </w:rPr>
        <w:t xml:space="preserve">uczestniczy zatem w przyjęciu niniejszego rozporządzenia, nie jest nim związana ani go nie stosuje. Ponadto, zgodnie z art. 1 i 2 Protokołu nr 21 w sprawie stanowiska Zjednoczonego Królestwa i Irlandii w odniesieniu do przestrzeni wolności, bezpieczeństwa </w:t>
      </w:r>
      <w:r>
        <w:rPr>
          <w:noProof/>
        </w:rPr>
        <w:t>i sprawiedliwości, załączonego do Traktatu o Unii Europejskiej i do Traktatu o funkcjonowaniu Unii Europejskiej, bez uszczerbku dla art. 4 tego protokołu, Irlandia nie uczestniczy w przyjęciu niniejszego rozporządzenia i nie jest nim związana ani go nie st</w:t>
      </w:r>
      <w:r>
        <w:rPr>
          <w:noProof/>
        </w:rPr>
        <w:t>osuje.</w:t>
      </w:r>
    </w:p>
    <w:p w:rsidR="00731D8F" w:rsidRDefault="00214EE0">
      <w:pPr>
        <w:pStyle w:val="ManualConsidrant"/>
        <w:rPr>
          <w:noProof/>
        </w:rPr>
      </w:pPr>
      <w:r>
        <w:rPr>
          <w:noProof/>
        </w:rPr>
        <w:t>(25)</w:t>
      </w:r>
      <w:r>
        <w:rPr>
          <w:noProof/>
        </w:rPr>
        <w:tab/>
        <w:t>W odniesieniu do Islandii i Norwegii niniejsze rozporządzenie – w zakresie, w jakim ma zastosowanie do obywateli państw trzecich, którzy nie spełniają warunków wjazdu zgodnie z rozporządzeniem (UE) 2016/399 lub przestali je spełniać – stanowi r</w:t>
      </w:r>
      <w:r>
        <w:rPr>
          <w:noProof/>
        </w:rPr>
        <w:t>ozwinięcie przepisów dorobku Schengen w rozumieniu Umowy zawartej przez Radę Unii Europejskiej i Republikę Islandii oraz Królestwo Norwegii dotyczącej włączenia tych dwóch państw we wprowadzanie w życie, stosowanie i rozwój dorobku Schengen</w:t>
      </w:r>
      <w:r>
        <w:rPr>
          <w:rStyle w:val="FootnoteReference"/>
          <w:noProof/>
        </w:rPr>
        <w:footnoteReference w:id="31"/>
      </w:r>
      <w:r>
        <w:rPr>
          <w:noProof/>
        </w:rPr>
        <w:t>, które wchodzą</w:t>
      </w:r>
      <w:r>
        <w:rPr>
          <w:noProof/>
        </w:rPr>
        <w:t xml:space="preserve"> w zakres obszaru, o którym mowa w art. 1 lit. C decyzji Rady 1999/437/WE</w:t>
      </w:r>
      <w:r>
        <w:rPr>
          <w:rStyle w:val="FootnoteReference"/>
          <w:noProof/>
        </w:rPr>
        <w:footnoteReference w:id="32"/>
      </w:r>
      <w:r>
        <w:rPr>
          <w:noProof/>
        </w:rPr>
        <w:t>.</w:t>
      </w:r>
    </w:p>
    <w:p w:rsidR="00731D8F" w:rsidRDefault="00214EE0">
      <w:pPr>
        <w:pStyle w:val="ManualConsidrant"/>
        <w:rPr>
          <w:noProof/>
        </w:rPr>
      </w:pPr>
      <w:r>
        <w:rPr>
          <w:noProof/>
        </w:rPr>
        <w:t>(26)</w:t>
      </w:r>
      <w:r>
        <w:rPr>
          <w:noProof/>
        </w:rPr>
        <w:tab/>
        <w:t xml:space="preserve">W odniesieniu do Szwajcarii niniejsze rozporządzenie – w zakresie, w jakim ma zastosowanie do obywateli państw trzecich, którzy nie spełniają warunków wjazdu zgodnie z </w:t>
      </w:r>
      <w:r>
        <w:rPr>
          <w:noProof/>
        </w:rPr>
        <w:t>rozporządzeniem (UE) 2016/399 lub przestali je spełniać – stanowi rozwinięcie przepisów dorobku Schengen w rozumieniu Umowy między Unią Europejską, Wspólnotą Europejską a Konfederacją Szwajcarską w sprawie włączenia Konfederacji Szwajcarskiej we wprowadzan</w:t>
      </w:r>
      <w:r>
        <w:rPr>
          <w:noProof/>
        </w:rPr>
        <w:t>ie w życie, stosowanie i rozwój dorobku Schengen</w:t>
      </w:r>
      <w:r>
        <w:rPr>
          <w:rStyle w:val="FootnoteReference"/>
          <w:noProof/>
        </w:rPr>
        <w:footnoteReference w:id="33"/>
      </w:r>
      <w:r>
        <w:rPr>
          <w:noProof/>
        </w:rPr>
        <w:t>, które wchodzą w zakres obszaru, o którym mowa w art. 1 lit. C decyzji 1999/437/WE w związku z art. 3 decyzji Rady 2008/146/WE</w:t>
      </w:r>
      <w:r>
        <w:rPr>
          <w:rStyle w:val="FootnoteReference"/>
          <w:noProof/>
        </w:rPr>
        <w:footnoteReference w:id="34"/>
      </w:r>
      <w:r>
        <w:rPr>
          <w:noProof/>
        </w:rPr>
        <w:t>.</w:t>
      </w:r>
    </w:p>
    <w:p w:rsidR="00731D8F" w:rsidRDefault="00214EE0">
      <w:pPr>
        <w:pStyle w:val="ManualConsidrant"/>
        <w:rPr>
          <w:noProof/>
        </w:rPr>
      </w:pPr>
      <w:r>
        <w:rPr>
          <w:noProof/>
        </w:rPr>
        <w:t>(27)</w:t>
      </w:r>
      <w:r>
        <w:rPr>
          <w:noProof/>
        </w:rPr>
        <w:tab/>
        <w:t>W odniesieniu do Liechtensteinu niniejsze rozporządzenie – w zakresie, w</w:t>
      </w:r>
      <w:r>
        <w:rPr>
          <w:noProof/>
        </w:rPr>
        <w:t xml:space="preserve"> jakim ma zastosowanie do obywateli państw trzecich, którzy nie spełniają warunków wjazdu zgodnie z rozporządzeniem (UE) 2016/399 lub przestali je spełniać – stanowi rozwinięcie przepisów dorobku Schengen w rozumieniu Protokołu między Unią Europejską, Wspó</w:t>
      </w:r>
      <w:r>
        <w:rPr>
          <w:noProof/>
        </w:rPr>
        <w:t>lnotą Europejską, Konfederacją Szwajcarską i Księstwem Liechtensteinu o przystąpieniu Księstwa Liechtensteinu do Umowy między Unią Europejską, Wspólnotą Europejską i Konfederacją Szwajcarską dotyczącej włączenia Konfederacji Szwajcarskiej we wprowadzanie w</w:t>
      </w:r>
      <w:r>
        <w:rPr>
          <w:noProof/>
        </w:rPr>
        <w:t xml:space="preserve"> życie, stosowanie i rozwój dorobku Schengen</w:t>
      </w:r>
      <w:r>
        <w:rPr>
          <w:rStyle w:val="FootnoteReference"/>
          <w:noProof/>
        </w:rPr>
        <w:footnoteReference w:id="35"/>
      </w:r>
      <w:r>
        <w:rPr>
          <w:noProof/>
        </w:rPr>
        <w:t>, które wchodzą w zakres obszaru, o którym mowa w art. 1 lit. C decyzji 1999/437/WE w związku z art. 3 decyzji Rady 2011/350/UE</w:t>
      </w:r>
      <w:r>
        <w:rPr>
          <w:rStyle w:val="FootnoteReference"/>
          <w:noProof/>
        </w:rPr>
        <w:footnoteReference w:id="36"/>
      </w:r>
      <w:r>
        <w:rPr>
          <w:noProof/>
        </w:rPr>
        <w:t>.</w:t>
      </w:r>
    </w:p>
    <w:p w:rsidR="00731D8F" w:rsidRDefault="00214EE0">
      <w:pPr>
        <w:pStyle w:val="ManualConsidrant"/>
        <w:rPr>
          <w:noProof/>
        </w:rPr>
      </w:pPr>
      <w:r>
        <w:rPr>
          <w:noProof/>
        </w:rPr>
        <w:t>(28)</w:t>
      </w:r>
      <w:r>
        <w:rPr>
          <w:noProof/>
        </w:rPr>
        <w:tab/>
        <w:t xml:space="preserve">Zgodnie z art. 28 ust. 2 rozporządzenia (WE) nr 45/2001 skonsultowano się z </w:t>
      </w:r>
      <w:r>
        <w:rPr>
          <w:noProof/>
        </w:rPr>
        <w:t>Europejskim Inspektorem Ochrony Danych, który wydał opinię w dniu [...] r.,</w:t>
      </w:r>
    </w:p>
    <w:p w:rsidR="00731D8F" w:rsidRDefault="00214EE0">
      <w:pPr>
        <w:pStyle w:val="Formuledadoption"/>
        <w:rPr>
          <w:noProof/>
          <w:szCs w:val="24"/>
        </w:rPr>
      </w:pPr>
      <w:r>
        <w:rPr>
          <w:noProof/>
        </w:rPr>
        <w:t>PRZYJMUJĄ NINIEJSZE ROZPORZĄDZENIE:</w:t>
      </w:r>
    </w:p>
    <w:p w:rsidR="00731D8F" w:rsidRDefault="00214EE0">
      <w:pPr>
        <w:pStyle w:val="Titrearticle"/>
        <w:spacing w:before="120"/>
        <w:rPr>
          <w:noProof/>
          <w:szCs w:val="24"/>
        </w:rPr>
      </w:pPr>
      <w:r>
        <w:rPr>
          <w:noProof/>
        </w:rPr>
        <w:t xml:space="preserve">Artykuł 1 </w:t>
      </w:r>
      <w:r>
        <w:rPr>
          <w:noProof/>
        </w:rPr>
        <w:br/>
        <w:t>Przedmiot i zakres stosowania</w:t>
      </w:r>
    </w:p>
    <w:p w:rsidR="00731D8F" w:rsidRDefault="00214EE0">
      <w:pPr>
        <w:rPr>
          <w:noProof/>
        </w:rPr>
      </w:pPr>
      <w:r>
        <w:rPr>
          <w:noProof/>
        </w:rPr>
        <w:t>Niniejsze rozporządzenie określa warunki i procedury dokonywania i przetwarzania w Systemie Informacyjn</w:t>
      </w:r>
      <w:r>
        <w:rPr>
          <w:noProof/>
        </w:rPr>
        <w:t>ym Schengen (SIS), ustanowionym w rozporządzeniu (UE) 2018/xxx [odprawy graniczne], wpisów dotyczących obywateli państw trzecich objętych decyzjami nakazującymi powrót wydanymi przez państwa członkowskie zgodnie z procedurami zgodnymi z dyrektywą 2008/115/</w:t>
      </w:r>
      <w:r>
        <w:rPr>
          <w:noProof/>
        </w:rPr>
        <w:t xml:space="preserve">WE, jak również wymiany informacji uzupełniających dotyczących tych wpisów. </w:t>
      </w:r>
    </w:p>
    <w:p w:rsidR="00731D8F" w:rsidRDefault="00214EE0">
      <w:pPr>
        <w:pStyle w:val="Titrearticle"/>
        <w:spacing w:before="120"/>
        <w:rPr>
          <w:noProof/>
          <w:szCs w:val="24"/>
        </w:rPr>
      </w:pPr>
      <w:r>
        <w:rPr>
          <w:noProof/>
        </w:rPr>
        <w:t xml:space="preserve">Artykuł 2 </w:t>
      </w:r>
      <w:r>
        <w:rPr>
          <w:noProof/>
        </w:rPr>
        <w:br/>
        <w:t>Definicje</w:t>
      </w:r>
    </w:p>
    <w:p w:rsidR="00731D8F" w:rsidRDefault="00214EE0">
      <w:pPr>
        <w:rPr>
          <w:noProof/>
          <w:szCs w:val="24"/>
        </w:rPr>
      </w:pPr>
      <w:r>
        <w:rPr>
          <w:noProof/>
        </w:rPr>
        <w:t>Do celów niniejszego rozporządzenia stosuje się następujące definicje:</w:t>
      </w:r>
    </w:p>
    <w:p w:rsidR="00731D8F" w:rsidRDefault="00214EE0">
      <w:pPr>
        <w:pStyle w:val="Point1"/>
        <w:rPr>
          <w:noProof/>
          <w:szCs w:val="24"/>
        </w:rPr>
      </w:pPr>
      <w:r>
        <w:rPr>
          <w:noProof/>
        </w:rPr>
        <w:t>a)</w:t>
      </w:r>
      <w:r>
        <w:rPr>
          <w:noProof/>
        </w:rPr>
        <w:tab/>
        <w:t>„powrót” oznacza powrót zdefiniowany w art. 3 pkt 3 dyrektywy 2008/115/WE;</w:t>
      </w:r>
    </w:p>
    <w:p w:rsidR="00731D8F" w:rsidRDefault="00214EE0">
      <w:pPr>
        <w:pStyle w:val="Point1"/>
        <w:rPr>
          <w:noProof/>
          <w:szCs w:val="24"/>
        </w:rPr>
      </w:pPr>
      <w:r>
        <w:rPr>
          <w:noProof/>
        </w:rPr>
        <w:t>b)</w:t>
      </w:r>
      <w:r>
        <w:rPr>
          <w:noProof/>
        </w:rPr>
        <w:tab/>
        <w:t xml:space="preserve"> „obyw</w:t>
      </w:r>
      <w:r>
        <w:rPr>
          <w:noProof/>
        </w:rPr>
        <w:t>atel państwa trzeciego” oznacza obywateli państw trzecich zdefiniowanych w art. 3 pkt 1 dyrektywy 2008/115/WE;</w:t>
      </w:r>
    </w:p>
    <w:p w:rsidR="00731D8F" w:rsidRDefault="00214EE0">
      <w:pPr>
        <w:pStyle w:val="Point1"/>
        <w:rPr>
          <w:noProof/>
        </w:rPr>
      </w:pPr>
      <w:r>
        <w:rPr>
          <w:noProof/>
        </w:rPr>
        <w:t>c)</w:t>
      </w:r>
      <w:r>
        <w:rPr>
          <w:noProof/>
        </w:rPr>
        <w:tab/>
        <w:t xml:space="preserve"> „decyzja nakazująca powrót” oznacza decyzję nakazującą powrót zdefiniowaną w art. 3 pkt 4 dyrektywy 2008/115/WE;</w:t>
      </w:r>
    </w:p>
    <w:p w:rsidR="00731D8F" w:rsidRDefault="00214EE0">
      <w:pPr>
        <w:pStyle w:val="Point1"/>
        <w:rPr>
          <w:noProof/>
          <w:szCs w:val="24"/>
        </w:rPr>
      </w:pPr>
      <w:r>
        <w:rPr>
          <w:noProof/>
        </w:rPr>
        <w:t>d)</w:t>
      </w:r>
      <w:r>
        <w:rPr>
          <w:noProof/>
        </w:rPr>
        <w:tab/>
        <w:t>„decyzja nakazująca powró</w:t>
      </w:r>
      <w:r>
        <w:rPr>
          <w:noProof/>
        </w:rPr>
        <w:t>t wydana zgodnie z przepisami zgodnymi z dyrektywą 2008/115/WE” oznacza decyzję nakazującą powrót w rozumieniu lit. c) oraz decyzję wydaną przez organ administracyjny lub sądowy, określającą lub stwierdzającą, że pobyt obywatela państwa trzeciego jest niel</w:t>
      </w:r>
      <w:r>
        <w:rPr>
          <w:noProof/>
        </w:rPr>
        <w:t>egalny, i nakładającą lub określającą obowiązek powrotu, wydaną na warunkach określonych w art. 2 ust. 2 dyrektywy 2008/115/WE;</w:t>
      </w:r>
    </w:p>
    <w:p w:rsidR="00731D8F" w:rsidRDefault="00214EE0">
      <w:pPr>
        <w:pStyle w:val="Point1"/>
        <w:rPr>
          <w:noProof/>
          <w:szCs w:val="24"/>
        </w:rPr>
      </w:pPr>
      <w:r>
        <w:rPr>
          <w:noProof/>
        </w:rPr>
        <w:t>e)</w:t>
      </w:r>
      <w:r>
        <w:rPr>
          <w:noProof/>
        </w:rPr>
        <w:tab/>
        <w:t>„dobrowolny wyjazd” oznacza dobrowolny wyjazd zdefiniowany w art. 4 pkt 8 dyrektywy 2008/115/WE;</w:t>
      </w:r>
    </w:p>
    <w:p w:rsidR="00731D8F" w:rsidRDefault="00214EE0">
      <w:pPr>
        <w:pStyle w:val="Point1"/>
        <w:rPr>
          <w:noProof/>
          <w:szCs w:val="24"/>
        </w:rPr>
      </w:pPr>
      <w:r>
        <w:rPr>
          <w:noProof/>
        </w:rPr>
        <w:t>f)</w:t>
      </w:r>
      <w:r>
        <w:rPr>
          <w:noProof/>
        </w:rPr>
        <w:tab/>
        <w:t xml:space="preserve">„CS-SIS” oznacza funkcję </w:t>
      </w:r>
      <w:r>
        <w:rPr>
          <w:noProof/>
        </w:rPr>
        <w:t>wsparcia technicznego centralnego SIS, o której mowa w art. 4 ust. 1 lit. a) rozporządzenia (UE) 2018/xxx [odprawy graniczne].</w:t>
      </w:r>
    </w:p>
    <w:p w:rsidR="00731D8F" w:rsidRDefault="00214EE0">
      <w:pPr>
        <w:pStyle w:val="Titrearticle"/>
        <w:spacing w:before="0" w:after="0"/>
        <w:rPr>
          <w:noProof/>
          <w:szCs w:val="24"/>
        </w:rPr>
      </w:pPr>
      <w:r>
        <w:rPr>
          <w:noProof/>
        </w:rPr>
        <w:t>Artykuł 3</w:t>
      </w:r>
      <w:r>
        <w:rPr>
          <w:noProof/>
        </w:rPr>
        <w:br/>
        <w:t>Wprowadzanie danych do SIS</w:t>
      </w:r>
    </w:p>
    <w:p w:rsidR="00731D8F" w:rsidRDefault="00214EE0">
      <w:pPr>
        <w:pStyle w:val="ManualNumPar1"/>
        <w:rPr>
          <w:noProof/>
        </w:rPr>
      </w:pPr>
      <w:r>
        <w:rPr>
          <w:noProof/>
        </w:rPr>
        <w:t>1.</w:t>
      </w:r>
      <w:r>
        <w:rPr>
          <w:noProof/>
        </w:rPr>
        <w:tab/>
        <w:t>Dane dotyczące obywateli państw trzecich objętych decyzją nakazującą powrót wydaną zgodni</w:t>
      </w:r>
      <w:r>
        <w:rPr>
          <w:noProof/>
        </w:rPr>
        <w:t>e z przepisami zgodnymi z dyrektywą 2008/115/WE wprowadza się do SIS na potrzeby zweryfikowania, czy obowiązek powrotu został wykonany oraz w celu ułatwienia wykonania takiej decyzji. Wpis wprowadza się do SIS niezwłocznie po wydaniu decyzji nakazującej po</w:t>
      </w:r>
      <w:r>
        <w:rPr>
          <w:noProof/>
        </w:rPr>
        <w:t xml:space="preserve">wrót wydanej zgodnie z przepisami zgodnymi z dyrektywą 2008/115/WE. </w:t>
      </w:r>
    </w:p>
    <w:p w:rsidR="00731D8F" w:rsidRDefault="00214EE0">
      <w:pPr>
        <w:pStyle w:val="ManualNumPar1"/>
        <w:rPr>
          <w:noProof/>
        </w:rPr>
      </w:pPr>
      <w:r>
        <w:rPr>
          <w:noProof/>
        </w:rPr>
        <w:t>2.</w:t>
      </w:r>
      <w:r>
        <w:rPr>
          <w:noProof/>
        </w:rPr>
        <w:tab/>
        <w:t>We wpisie należy niezwłocznie odnotować termin dobrowolnego wyjazdu wyznaczonego obywatelom państw trzecich objętym decyzją nakazującą powrót wydaną zgodnie z przepisami zgodnymi z dyr</w:t>
      </w:r>
      <w:r>
        <w:rPr>
          <w:noProof/>
        </w:rPr>
        <w:t xml:space="preserve">ektywą 2008/115/WE. </w:t>
      </w:r>
    </w:p>
    <w:p w:rsidR="00731D8F" w:rsidRDefault="00214EE0">
      <w:pPr>
        <w:pStyle w:val="ManualNumPar1"/>
        <w:rPr>
          <w:noProof/>
        </w:rPr>
      </w:pPr>
      <w:r>
        <w:rPr>
          <w:noProof/>
        </w:rPr>
        <w:t>3.</w:t>
      </w:r>
      <w:r>
        <w:rPr>
          <w:noProof/>
        </w:rPr>
        <w:tab/>
        <w:t>We wpisie należy niezwłocznie odnotować zawieszenie wykonania decyzji nakazującej powrót wydanej zgodnie z przepisami zgodnymi z dyrektywą 2008/115/WE oraz przesunięcie terminu jej wykonania.</w:t>
      </w:r>
    </w:p>
    <w:p w:rsidR="00731D8F" w:rsidRDefault="00214EE0">
      <w:pPr>
        <w:pStyle w:val="Titrearticle"/>
        <w:spacing w:before="0" w:after="0"/>
        <w:rPr>
          <w:noProof/>
          <w:szCs w:val="24"/>
        </w:rPr>
      </w:pPr>
      <w:r>
        <w:rPr>
          <w:noProof/>
        </w:rPr>
        <w:t>Artykuł 4</w:t>
      </w:r>
      <w:r>
        <w:rPr>
          <w:noProof/>
        </w:rPr>
        <w:br/>
        <w:t>Kategorie danych</w:t>
      </w:r>
    </w:p>
    <w:p w:rsidR="00731D8F" w:rsidRDefault="00214EE0">
      <w:pPr>
        <w:rPr>
          <w:noProof/>
        </w:rPr>
      </w:pPr>
      <w:r>
        <w:rPr>
          <w:noProof/>
        </w:rPr>
        <w:t>Dane wprowadz</w:t>
      </w:r>
      <w:r>
        <w:rPr>
          <w:noProof/>
        </w:rPr>
        <w:t>one do SIS zgodnie z art. 3 niniejszego rozporządzenia zawierają jedynie następujące informacje:</w:t>
      </w:r>
    </w:p>
    <w:p w:rsidR="00731D8F" w:rsidRDefault="00214EE0">
      <w:pPr>
        <w:pStyle w:val="Point1"/>
        <w:rPr>
          <w:noProof/>
        </w:rPr>
      </w:pPr>
      <w:r>
        <w:rPr>
          <w:noProof/>
        </w:rPr>
        <w:t>a)</w:t>
      </w:r>
      <w:r>
        <w:rPr>
          <w:noProof/>
        </w:rPr>
        <w:tab/>
        <w:t xml:space="preserve">nazwisko (nazwiska); </w:t>
      </w:r>
    </w:p>
    <w:p w:rsidR="00731D8F" w:rsidRDefault="00214EE0">
      <w:pPr>
        <w:pStyle w:val="Point1"/>
        <w:rPr>
          <w:noProof/>
        </w:rPr>
      </w:pPr>
      <w:r>
        <w:rPr>
          <w:noProof/>
        </w:rPr>
        <w:t>b)</w:t>
      </w:r>
      <w:r>
        <w:rPr>
          <w:noProof/>
        </w:rPr>
        <w:tab/>
        <w:t xml:space="preserve">imiona; </w:t>
      </w:r>
    </w:p>
    <w:p w:rsidR="00731D8F" w:rsidRDefault="00214EE0">
      <w:pPr>
        <w:pStyle w:val="Point1"/>
        <w:rPr>
          <w:noProof/>
        </w:rPr>
      </w:pPr>
      <w:r>
        <w:rPr>
          <w:noProof/>
        </w:rPr>
        <w:t>c)</w:t>
      </w:r>
      <w:r>
        <w:rPr>
          <w:noProof/>
        </w:rPr>
        <w:tab/>
        <w:t xml:space="preserve">nazwisko(-a) rodowe; </w:t>
      </w:r>
    </w:p>
    <w:p w:rsidR="00731D8F" w:rsidRDefault="00214EE0">
      <w:pPr>
        <w:pStyle w:val="Point1"/>
        <w:rPr>
          <w:noProof/>
        </w:rPr>
      </w:pPr>
      <w:r>
        <w:rPr>
          <w:noProof/>
        </w:rPr>
        <w:t>d)</w:t>
      </w:r>
      <w:r>
        <w:rPr>
          <w:noProof/>
        </w:rPr>
        <w:tab/>
        <w:t>poprzednio używane imiona i nazwiska oraz wszelkie aliasy;</w:t>
      </w:r>
    </w:p>
    <w:p w:rsidR="00731D8F" w:rsidRDefault="00214EE0">
      <w:pPr>
        <w:pStyle w:val="Point1"/>
        <w:rPr>
          <w:noProof/>
        </w:rPr>
      </w:pPr>
      <w:r>
        <w:rPr>
          <w:noProof/>
        </w:rPr>
        <w:t>e)</w:t>
      </w:r>
      <w:r>
        <w:rPr>
          <w:noProof/>
        </w:rPr>
        <w:tab/>
        <w:t xml:space="preserve">wszelkie szczególne, obiektywne </w:t>
      </w:r>
      <w:r>
        <w:rPr>
          <w:noProof/>
        </w:rPr>
        <w:t>cechy fizyczne niepodlegające zmianom;</w:t>
      </w:r>
    </w:p>
    <w:p w:rsidR="00731D8F" w:rsidRDefault="00214EE0">
      <w:pPr>
        <w:pStyle w:val="Point1"/>
        <w:rPr>
          <w:noProof/>
        </w:rPr>
      </w:pPr>
      <w:r>
        <w:rPr>
          <w:noProof/>
        </w:rPr>
        <w:t>f)</w:t>
      </w:r>
      <w:r>
        <w:rPr>
          <w:noProof/>
        </w:rPr>
        <w:tab/>
        <w:t>miejsce urodzenia;</w:t>
      </w:r>
    </w:p>
    <w:p w:rsidR="00731D8F" w:rsidRDefault="00214EE0">
      <w:pPr>
        <w:pStyle w:val="Point1"/>
        <w:rPr>
          <w:noProof/>
        </w:rPr>
      </w:pPr>
      <w:r>
        <w:rPr>
          <w:noProof/>
        </w:rPr>
        <w:t>g)</w:t>
      </w:r>
      <w:r>
        <w:rPr>
          <w:noProof/>
        </w:rPr>
        <w:tab/>
        <w:t>data urodzenia;</w:t>
      </w:r>
    </w:p>
    <w:p w:rsidR="00731D8F" w:rsidRDefault="00214EE0">
      <w:pPr>
        <w:pStyle w:val="Point1"/>
        <w:rPr>
          <w:noProof/>
        </w:rPr>
      </w:pPr>
      <w:r>
        <w:rPr>
          <w:noProof/>
        </w:rPr>
        <w:t>h)</w:t>
      </w:r>
      <w:r>
        <w:rPr>
          <w:noProof/>
        </w:rPr>
        <w:tab/>
        <w:t>płeć;</w:t>
      </w:r>
    </w:p>
    <w:p w:rsidR="00731D8F" w:rsidRDefault="00214EE0">
      <w:pPr>
        <w:pStyle w:val="Point1"/>
        <w:rPr>
          <w:noProof/>
        </w:rPr>
      </w:pPr>
      <w:r>
        <w:rPr>
          <w:noProof/>
        </w:rPr>
        <w:t>i)</w:t>
      </w:r>
      <w:r>
        <w:rPr>
          <w:noProof/>
        </w:rPr>
        <w:tab/>
        <w:t>obywatelstwo/obywatelstwa;</w:t>
      </w:r>
    </w:p>
    <w:p w:rsidR="00731D8F" w:rsidRDefault="00214EE0">
      <w:pPr>
        <w:pStyle w:val="Point1"/>
        <w:rPr>
          <w:noProof/>
        </w:rPr>
      </w:pPr>
      <w:r>
        <w:rPr>
          <w:noProof/>
        </w:rPr>
        <w:t>j)</w:t>
      </w:r>
      <w:r>
        <w:rPr>
          <w:noProof/>
        </w:rPr>
        <w:tab/>
        <w:t xml:space="preserve">informację, czy dana osoba jest uzbrojona, agresywna, czy jest uciekinierem lub czy uczestniczy w działaniu, o którym mowa w art. 1, </w:t>
      </w:r>
      <w:r>
        <w:rPr>
          <w:noProof/>
        </w:rPr>
        <w:t>2, 3 i 4 decyzji ramowej Rady 2002/475/WSiSW w sprawie zwalczania terroryzmu;</w:t>
      </w:r>
    </w:p>
    <w:p w:rsidR="00731D8F" w:rsidRDefault="00214EE0">
      <w:pPr>
        <w:pStyle w:val="Point1"/>
        <w:rPr>
          <w:noProof/>
        </w:rPr>
      </w:pPr>
      <w:r>
        <w:rPr>
          <w:noProof/>
        </w:rPr>
        <w:t>k)</w:t>
      </w:r>
      <w:r>
        <w:rPr>
          <w:noProof/>
        </w:rPr>
        <w:tab/>
        <w:t>powód wpisu;</w:t>
      </w:r>
    </w:p>
    <w:p w:rsidR="00731D8F" w:rsidRDefault="00214EE0">
      <w:pPr>
        <w:pStyle w:val="Point1"/>
        <w:rPr>
          <w:noProof/>
        </w:rPr>
      </w:pPr>
      <w:r>
        <w:rPr>
          <w:noProof/>
        </w:rPr>
        <w:t>l)</w:t>
      </w:r>
      <w:r>
        <w:rPr>
          <w:noProof/>
        </w:rPr>
        <w:tab/>
        <w:t>organ dokonujący wpisu;</w:t>
      </w:r>
    </w:p>
    <w:p w:rsidR="00731D8F" w:rsidRDefault="00214EE0">
      <w:pPr>
        <w:pStyle w:val="Point1"/>
        <w:rPr>
          <w:noProof/>
        </w:rPr>
      </w:pPr>
      <w:r>
        <w:rPr>
          <w:noProof/>
        </w:rPr>
        <w:t>m)</w:t>
      </w:r>
      <w:r>
        <w:rPr>
          <w:noProof/>
        </w:rPr>
        <w:tab/>
        <w:t>odesłanie do decyzji będącej powodem wpisu;</w:t>
      </w:r>
    </w:p>
    <w:p w:rsidR="00731D8F" w:rsidRDefault="00214EE0">
      <w:pPr>
        <w:pStyle w:val="Point1"/>
        <w:rPr>
          <w:noProof/>
        </w:rPr>
      </w:pPr>
      <w:r>
        <w:rPr>
          <w:noProof/>
        </w:rPr>
        <w:t>n)</w:t>
      </w:r>
      <w:r>
        <w:rPr>
          <w:noProof/>
        </w:rPr>
        <w:tab/>
        <w:t>działania, jakie należy podjąć;</w:t>
      </w:r>
    </w:p>
    <w:p w:rsidR="00731D8F" w:rsidRDefault="00214EE0">
      <w:pPr>
        <w:pStyle w:val="Point1"/>
        <w:rPr>
          <w:noProof/>
        </w:rPr>
      </w:pPr>
      <w:r>
        <w:rPr>
          <w:noProof/>
        </w:rPr>
        <w:t>o)</w:t>
      </w:r>
      <w:r>
        <w:rPr>
          <w:noProof/>
        </w:rPr>
        <w:tab/>
        <w:t>odsyłacz lub odsyłacze do innych wpisów dokonanych</w:t>
      </w:r>
      <w:r>
        <w:rPr>
          <w:noProof/>
        </w:rPr>
        <w:t xml:space="preserve"> w SIS;</w:t>
      </w:r>
    </w:p>
    <w:p w:rsidR="00731D8F" w:rsidRDefault="00214EE0">
      <w:pPr>
        <w:pStyle w:val="Point1"/>
        <w:rPr>
          <w:noProof/>
        </w:rPr>
      </w:pPr>
      <w:r>
        <w:rPr>
          <w:noProof/>
        </w:rPr>
        <w:t>p)</w:t>
      </w:r>
      <w:r>
        <w:rPr>
          <w:noProof/>
        </w:rPr>
        <w:tab/>
        <w:t>kategorię dokumentu identyfikacyjnego danej osoby;</w:t>
      </w:r>
    </w:p>
    <w:p w:rsidR="00731D8F" w:rsidRDefault="00214EE0">
      <w:pPr>
        <w:pStyle w:val="Point1"/>
        <w:rPr>
          <w:noProof/>
        </w:rPr>
      </w:pPr>
      <w:r>
        <w:rPr>
          <w:noProof/>
        </w:rPr>
        <w:t>q)</w:t>
      </w:r>
      <w:r>
        <w:rPr>
          <w:noProof/>
        </w:rPr>
        <w:tab/>
        <w:t>państwo wydania dokumentu identyfikacyjnego danej osoby;</w:t>
      </w:r>
    </w:p>
    <w:p w:rsidR="00731D8F" w:rsidRDefault="00214EE0">
      <w:pPr>
        <w:pStyle w:val="Point1"/>
        <w:rPr>
          <w:noProof/>
        </w:rPr>
      </w:pPr>
      <w:r>
        <w:rPr>
          <w:noProof/>
        </w:rPr>
        <w:t>r)</w:t>
      </w:r>
      <w:r>
        <w:rPr>
          <w:noProof/>
        </w:rPr>
        <w:tab/>
        <w:t>numer lub numery dokumentu identyfikacyjnego danej osoby;</w:t>
      </w:r>
    </w:p>
    <w:p w:rsidR="00731D8F" w:rsidRDefault="00214EE0">
      <w:pPr>
        <w:pStyle w:val="Point1"/>
        <w:rPr>
          <w:noProof/>
        </w:rPr>
      </w:pPr>
      <w:r>
        <w:rPr>
          <w:noProof/>
        </w:rPr>
        <w:t>s)</w:t>
      </w:r>
      <w:r>
        <w:rPr>
          <w:noProof/>
        </w:rPr>
        <w:tab/>
        <w:t>datę wydania dokumentu identyfikacyjnego danej osoby;</w:t>
      </w:r>
    </w:p>
    <w:p w:rsidR="00731D8F" w:rsidRDefault="00214EE0">
      <w:pPr>
        <w:pStyle w:val="Point1"/>
        <w:rPr>
          <w:noProof/>
        </w:rPr>
      </w:pPr>
      <w:r>
        <w:rPr>
          <w:noProof/>
        </w:rPr>
        <w:t>t)</w:t>
      </w:r>
      <w:r>
        <w:rPr>
          <w:noProof/>
        </w:rPr>
        <w:tab/>
        <w:t xml:space="preserve">fotografie i </w:t>
      </w:r>
      <w:r>
        <w:rPr>
          <w:noProof/>
        </w:rPr>
        <w:t>wizerunki twarzy;</w:t>
      </w:r>
    </w:p>
    <w:p w:rsidR="00731D8F" w:rsidRDefault="00214EE0">
      <w:pPr>
        <w:pStyle w:val="Point1"/>
        <w:rPr>
          <w:noProof/>
        </w:rPr>
      </w:pPr>
      <w:r>
        <w:rPr>
          <w:noProof/>
        </w:rPr>
        <w:t>u)</w:t>
      </w:r>
      <w:r>
        <w:rPr>
          <w:noProof/>
        </w:rPr>
        <w:tab/>
        <w:t>dane daktyloskopijne;</w:t>
      </w:r>
    </w:p>
    <w:p w:rsidR="00731D8F" w:rsidRDefault="00214EE0">
      <w:pPr>
        <w:pStyle w:val="Point1"/>
        <w:rPr>
          <w:noProof/>
        </w:rPr>
      </w:pPr>
      <w:r>
        <w:rPr>
          <w:noProof/>
        </w:rPr>
        <w:t>v)</w:t>
      </w:r>
      <w:r>
        <w:rPr>
          <w:noProof/>
        </w:rPr>
        <w:tab/>
        <w:t>kolorową kopię dokumentu identyfikacyjnego;</w:t>
      </w:r>
    </w:p>
    <w:p w:rsidR="00731D8F" w:rsidRDefault="00214EE0">
      <w:pPr>
        <w:pStyle w:val="Point1"/>
        <w:rPr>
          <w:noProof/>
        </w:rPr>
      </w:pPr>
      <w:r>
        <w:rPr>
          <w:noProof/>
        </w:rPr>
        <w:t>w)</w:t>
      </w:r>
      <w:r>
        <w:rPr>
          <w:noProof/>
        </w:rPr>
        <w:tab/>
        <w:t>termin dobrowolnego wyjazdu;</w:t>
      </w:r>
    </w:p>
    <w:p w:rsidR="00731D8F" w:rsidRDefault="00214EE0">
      <w:pPr>
        <w:pStyle w:val="Point1"/>
        <w:rPr>
          <w:noProof/>
          <w:szCs w:val="24"/>
        </w:rPr>
      </w:pPr>
      <w:r>
        <w:rPr>
          <w:noProof/>
        </w:rPr>
        <w:t>x)</w:t>
      </w:r>
      <w:r>
        <w:rPr>
          <w:noProof/>
        </w:rPr>
        <w:tab/>
        <w:t>wskazanie, czy wykonanie decyzji nakazującej powrót wydanej zgodnie z przepisami zgodnymi z dyrektywą 2008/115/WE zostało zawieszon</w:t>
      </w:r>
      <w:r>
        <w:rPr>
          <w:noProof/>
        </w:rPr>
        <w:t>e lub termin jej wykonania został przesunięty.</w:t>
      </w:r>
    </w:p>
    <w:p w:rsidR="00731D8F" w:rsidRDefault="00214EE0">
      <w:pPr>
        <w:rPr>
          <w:noProof/>
        </w:rPr>
      </w:pPr>
      <w:r>
        <w:rPr>
          <w:noProof/>
        </w:rPr>
        <w:t>Wpisu nie wolno dokonywać, jeśli brak jest danych, o których mowa w lit. a), g), k), m), n) i w). Wprowadzane są również wszystkie pozostałe dane, o ile są dostępne.</w:t>
      </w:r>
    </w:p>
    <w:p w:rsidR="00731D8F" w:rsidRDefault="00214EE0">
      <w:pPr>
        <w:pStyle w:val="Titrearticle"/>
        <w:spacing w:before="0" w:after="0"/>
        <w:rPr>
          <w:noProof/>
          <w:szCs w:val="24"/>
        </w:rPr>
      </w:pPr>
      <w:r>
        <w:rPr>
          <w:noProof/>
        </w:rPr>
        <w:t>Artykuł 5</w:t>
      </w:r>
      <w:r>
        <w:rPr>
          <w:noProof/>
        </w:rPr>
        <w:br/>
        <w:t>Organ odpowiedzialny za wymianę i</w:t>
      </w:r>
      <w:r>
        <w:rPr>
          <w:noProof/>
        </w:rPr>
        <w:t>nformacji uzupełniających</w:t>
      </w:r>
    </w:p>
    <w:p w:rsidR="00731D8F" w:rsidRDefault="00214EE0">
      <w:pPr>
        <w:rPr>
          <w:noProof/>
          <w:szCs w:val="24"/>
        </w:rPr>
      </w:pPr>
      <w:r>
        <w:rPr>
          <w:noProof/>
        </w:rPr>
        <w:t xml:space="preserve">Każde państwo członkowskie wyznacza organ odpowiedzialny za wymianę informacji uzupełniających dotyczących obywateli państw trzecich objętych powrotem zgodnie z przepisami podręcznika SIRENE, jak określono w art. 8 rozporządzenia </w:t>
      </w:r>
      <w:r>
        <w:rPr>
          <w:noProof/>
        </w:rPr>
        <w:t xml:space="preserve">(UE) 2018/xxx [odprawy graniczne]. </w:t>
      </w:r>
    </w:p>
    <w:p w:rsidR="00731D8F" w:rsidRDefault="00214EE0">
      <w:pPr>
        <w:pStyle w:val="Titrearticle"/>
        <w:spacing w:before="0" w:after="0"/>
        <w:rPr>
          <w:noProof/>
          <w:szCs w:val="24"/>
        </w:rPr>
      </w:pPr>
      <w:r>
        <w:rPr>
          <w:noProof/>
        </w:rPr>
        <w:t xml:space="preserve">Artykuł 6 </w:t>
      </w:r>
      <w:r>
        <w:rPr>
          <w:noProof/>
        </w:rPr>
        <w:br/>
        <w:t>Potwierdzenie powrotu</w:t>
      </w:r>
    </w:p>
    <w:p w:rsidR="00731D8F" w:rsidRDefault="00214EE0">
      <w:pPr>
        <w:pStyle w:val="ManualNumPar1"/>
        <w:rPr>
          <w:noProof/>
        </w:rPr>
      </w:pPr>
      <w:r>
        <w:rPr>
          <w:noProof/>
        </w:rPr>
        <w:t>1.</w:t>
      </w:r>
      <w:r>
        <w:rPr>
          <w:noProof/>
        </w:rPr>
        <w:tab/>
        <w:t>W przypadku gdy obywatel państwa trzeciego, do którego odnosi się wpis dotyczący powrotu, zostanie zidentyfikowany podczas wyjazdu przez granice zewnętrzne państwa członkowskiego, wówc</w:t>
      </w:r>
      <w:r>
        <w:rPr>
          <w:noProof/>
        </w:rPr>
        <w:t>zas państwo członkowskie, które go zidentyfikowało, niezwłocznie przekazuje wskazane poniżej informacje państwu członkowskiemu dokonującemu wpisu w drodze wymiany informacji uzupełniających:</w:t>
      </w:r>
    </w:p>
    <w:p w:rsidR="00731D8F" w:rsidRDefault="00214EE0">
      <w:pPr>
        <w:pStyle w:val="Point1"/>
        <w:rPr>
          <w:noProof/>
          <w:szCs w:val="24"/>
        </w:rPr>
      </w:pPr>
      <w:r>
        <w:rPr>
          <w:noProof/>
        </w:rPr>
        <w:t>a)</w:t>
      </w:r>
      <w:r>
        <w:rPr>
          <w:noProof/>
        </w:rPr>
        <w:tab/>
        <w:t>fakt zidentyfikowania obywatela państwa trzeciego;</w:t>
      </w:r>
    </w:p>
    <w:p w:rsidR="00731D8F" w:rsidRDefault="00214EE0">
      <w:pPr>
        <w:pStyle w:val="Point1"/>
        <w:rPr>
          <w:noProof/>
          <w:szCs w:val="24"/>
        </w:rPr>
      </w:pPr>
      <w:r>
        <w:rPr>
          <w:noProof/>
        </w:rPr>
        <w:t>b)</w:t>
      </w:r>
      <w:r>
        <w:rPr>
          <w:noProof/>
        </w:rPr>
        <w:tab/>
        <w:t>lokaliza</w:t>
      </w:r>
      <w:r>
        <w:rPr>
          <w:noProof/>
        </w:rPr>
        <w:t>cję oraz czas przeprowadzenia kontroli;</w:t>
      </w:r>
    </w:p>
    <w:p w:rsidR="00731D8F" w:rsidRDefault="00214EE0">
      <w:pPr>
        <w:pStyle w:val="Point1"/>
        <w:rPr>
          <w:noProof/>
          <w:szCs w:val="24"/>
        </w:rPr>
      </w:pPr>
      <w:r>
        <w:rPr>
          <w:noProof/>
        </w:rPr>
        <w:t>c)</w:t>
      </w:r>
      <w:r>
        <w:rPr>
          <w:noProof/>
        </w:rPr>
        <w:tab/>
        <w:t>informację o tym, czy obywatel państwa trzeciego opuścił terytorium państw członkowskich;</w:t>
      </w:r>
    </w:p>
    <w:p w:rsidR="00731D8F" w:rsidRDefault="00214EE0">
      <w:pPr>
        <w:pStyle w:val="Point1"/>
        <w:rPr>
          <w:noProof/>
          <w:szCs w:val="24"/>
        </w:rPr>
      </w:pPr>
      <w:r>
        <w:rPr>
          <w:noProof/>
        </w:rPr>
        <w:t>d)</w:t>
      </w:r>
      <w:r>
        <w:rPr>
          <w:noProof/>
        </w:rPr>
        <w:tab/>
        <w:t>informację o tym, czy powrót wynikał z dobrowolnego wykonania obowiązku powrotu, czy też obowiązek powrotu został zreali</w:t>
      </w:r>
      <w:r>
        <w:rPr>
          <w:noProof/>
        </w:rPr>
        <w:t>zowany pod przymusem;</w:t>
      </w:r>
    </w:p>
    <w:p w:rsidR="00731D8F" w:rsidRDefault="00214EE0">
      <w:pPr>
        <w:pStyle w:val="Point1"/>
        <w:rPr>
          <w:noProof/>
          <w:szCs w:val="24"/>
        </w:rPr>
      </w:pPr>
      <w:r>
        <w:rPr>
          <w:noProof/>
        </w:rPr>
        <w:t>e)</w:t>
      </w:r>
      <w:r>
        <w:rPr>
          <w:noProof/>
        </w:rPr>
        <w:tab/>
        <w:t>wskazanie docelowego państwa trzeciego.</w:t>
      </w:r>
    </w:p>
    <w:p w:rsidR="00731D8F" w:rsidRDefault="00214EE0">
      <w:pPr>
        <w:rPr>
          <w:noProof/>
        </w:rPr>
      </w:pPr>
      <w:r>
        <w:rPr>
          <w:noProof/>
        </w:rPr>
        <w:t>W przypadku gdy obywatel państwa trzeciego, do którego odnosi się wpis dotyczący powrotu, wyjedzie przez granicę zewnętrzną państwa członkowskiego, które dokonało wpisu, wówczas potwierdzenie</w:t>
      </w:r>
      <w:r>
        <w:rPr>
          <w:noProof/>
        </w:rPr>
        <w:t xml:space="preserve"> powrotu przekazuje się właściwemu organowi zgodnie z przepisami prawa krajowego.</w:t>
      </w:r>
    </w:p>
    <w:p w:rsidR="00731D8F" w:rsidRDefault="00214EE0">
      <w:pPr>
        <w:pStyle w:val="ManualNumPar1"/>
        <w:rPr>
          <w:noProof/>
        </w:rPr>
      </w:pPr>
      <w:r>
        <w:rPr>
          <w:noProof/>
        </w:rPr>
        <w:t>2.</w:t>
      </w:r>
      <w:r>
        <w:rPr>
          <w:noProof/>
        </w:rPr>
        <w:tab/>
        <w:t>Państwo członkowskie dokonujące wpisu niezwłocznie usuwa wpis po otrzymaniu potwierdzenia powrotu.</w:t>
      </w:r>
    </w:p>
    <w:p w:rsidR="00731D8F" w:rsidRDefault="00214EE0">
      <w:pPr>
        <w:pStyle w:val="ManualNumPar1"/>
        <w:rPr>
          <w:noProof/>
        </w:rPr>
      </w:pPr>
      <w:r>
        <w:rPr>
          <w:noProof/>
        </w:rPr>
        <w:t>3.</w:t>
      </w:r>
      <w:r>
        <w:rPr>
          <w:noProof/>
        </w:rPr>
        <w:tab/>
        <w:t xml:space="preserve">Państwa członkowskie co miesiąc przekazują Europejskiej Agencji ds. </w:t>
      </w:r>
      <w:r>
        <w:rPr>
          <w:noProof/>
        </w:rPr>
        <w:t>Zarządzania Operacyjnego Wielkoskalowymi Systemami Informatycznymi w Przestrzeni Wolności, Bezpieczeństwa i Sprawiedliwości ustanowionej na mocy rozporządzenia Parlamentu Europejskiego i Rady (UE) nr 1077/2011</w:t>
      </w:r>
      <w:r>
        <w:rPr>
          <w:rStyle w:val="FootnoteReference"/>
          <w:noProof/>
        </w:rPr>
        <w:footnoteReference w:id="37"/>
      </w:r>
      <w:r>
        <w:rPr>
          <w:noProof/>
        </w:rPr>
        <w:t xml:space="preserve"> („Agencja”) statystyki dotyczące liczby potwi</w:t>
      </w:r>
      <w:r>
        <w:rPr>
          <w:noProof/>
        </w:rPr>
        <w:t>erdzonych powrotów, z informacją, czy powrót był wynikiem dobrowolnego wykonania obowiązku powrotu, czy też obowiązek powrotu zrealizowano pod przymusem, a także ze wskazaniem docelowego państwa trzeciego. Statystyki te nie zawierają żadnych danych osobowy</w:t>
      </w:r>
      <w:r>
        <w:rPr>
          <w:noProof/>
        </w:rPr>
        <w:t>ch.</w:t>
      </w:r>
    </w:p>
    <w:p w:rsidR="00731D8F" w:rsidRDefault="00214EE0">
      <w:pPr>
        <w:pStyle w:val="Titrearticle"/>
        <w:spacing w:before="0" w:after="0"/>
        <w:rPr>
          <w:noProof/>
          <w:szCs w:val="24"/>
        </w:rPr>
      </w:pPr>
      <w:r>
        <w:rPr>
          <w:noProof/>
        </w:rPr>
        <w:t xml:space="preserve">Artykuł 7 </w:t>
      </w:r>
      <w:r>
        <w:rPr>
          <w:noProof/>
        </w:rPr>
        <w:br/>
        <w:t>Niewykonanie decyzji nakazujących powrót wydanych zgodnie z przepisami zgodnymi z dyrektywą 2008/115/WE</w:t>
      </w:r>
    </w:p>
    <w:p w:rsidR="00731D8F" w:rsidRDefault="00214EE0">
      <w:pPr>
        <w:pStyle w:val="ManualNumPar1"/>
        <w:rPr>
          <w:noProof/>
        </w:rPr>
      </w:pPr>
      <w:r>
        <w:rPr>
          <w:noProof/>
        </w:rPr>
        <w:t>1.</w:t>
      </w:r>
      <w:r>
        <w:rPr>
          <w:noProof/>
        </w:rPr>
        <w:tab/>
        <w:t>CS-SIS powiadamia państwa członkowskie o dokonanych przez nie wpisach dotyczących powrotu, w odniesieniu do których upłynął termin dob</w:t>
      </w:r>
      <w:r>
        <w:rPr>
          <w:noProof/>
        </w:rPr>
        <w:t xml:space="preserve">rowolnego wyjazdu. </w:t>
      </w:r>
    </w:p>
    <w:p w:rsidR="00731D8F" w:rsidRDefault="00214EE0">
      <w:pPr>
        <w:pStyle w:val="ManualNumPar1"/>
        <w:rPr>
          <w:noProof/>
        </w:rPr>
      </w:pPr>
      <w:r>
        <w:rPr>
          <w:noProof/>
        </w:rPr>
        <w:t>2.</w:t>
      </w:r>
      <w:r>
        <w:rPr>
          <w:noProof/>
        </w:rPr>
        <w:tab/>
        <w:t>W przypadku gdy obywatel państwa trzeciego, do którego odnosi się wpis dotyczący powrotu, zostanie zidentyfikowany przez właściwy organ i ten sam organ stwierdzi, że obywatel ten nie wykonał obowiązku powrotu, wspomniany organ niezwł</w:t>
      </w:r>
      <w:r>
        <w:rPr>
          <w:noProof/>
        </w:rPr>
        <w:t xml:space="preserve">ocznie konsultuje się z państwem członkowskim dokonującym wpisu w drodze wymiany informacji uzupełniających w celu niezwłocznego określenia działań, które należy podjąć. </w:t>
      </w:r>
    </w:p>
    <w:p w:rsidR="00731D8F" w:rsidRDefault="00214EE0">
      <w:pPr>
        <w:pStyle w:val="Titrearticle"/>
        <w:spacing w:before="120"/>
        <w:rPr>
          <w:noProof/>
          <w:szCs w:val="24"/>
        </w:rPr>
      </w:pPr>
      <w:r>
        <w:rPr>
          <w:noProof/>
        </w:rPr>
        <w:t>Artykuł 8</w:t>
      </w:r>
      <w:r>
        <w:rPr>
          <w:noProof/>
        </w:rPr>
        <w:br/>
        <w:t xml:space="preserve">Procedura konsultacji </w:t>
      </w:r>
    </w:p>
    <w:p w:rsidR="00731D8F" w:rsidRDefault="00214EE0">
      <w:pPr>
        <w:pStyle w:val="ManualNumPar1"/>
        <w:rPr>
          <w:noProof/>
        </w:rPr>
      </w:pPr>
      <w:r>
        <w:rPr>
          <w:noProof/>
        </w:rPr>
        <w:t>1.</w:t>
      </w:r>
      <w:r>
        <w:rPr>
          <w:noProof/>
        </w:rPr>
        <w:tab/>
        <w:t>Jeżeli państwo członkowskie rozważa wydanie dokum</w:t>
      </w:r>
      <w:r>
        <w:rPr>
          <w:noProof/>
        </w:rPr>
        <w:t>entu pobytowego lub innego zezwolenia na pobyt obywatelowi państwa trzeciego, do którego odnosi się wpis dotyczący powrotu wprowadzony przez inne państwo członkowskie, pierwsze z tych państw najpierw konsultuje się, w drodze wymiany informacji uzupełniając</w:t>
      </w:r>
      <w:r>
        <w:rPr>
          <w:noProof/>
        </w:rPr>
        <w:t>ych, z państwem członkowskim, które dokonało tego wpisu. Państwo członkowskie, które dokonało wpisu, udziela odpowiedzi w terminie siedmiu dni. Jeżeli państwo członkowskie, które rozważa wydanie dokumentu pobytowego lub innego zezwolenia na pobyt, postanow</w:t>
      </w:r>
      <w:r>
        <w:rPr>
          <w:noProof/>
        </w:rPr>
        <w:t xml:space="preserve">i je wydać, wpis dotyczący powrotu zostaje usunięty. </w:t>
      </w:r>
    </w:p>
    <w:p w:rsidR="00731D8F" w:rsidRDefault="00214EE0">
      <w:pPr>
        <w:pStyle w:val="ManualNumPar1"/>
        <w:rPr>
          <w:noProof/>
        </w:rPr>
      </w:pPr>
      <w:r>
        <w:rPr>
          <w:noProof/>
        </w:rPr>
        <w:t>2.</w:t>
      </w:r>
      <w:r>
        <w:rPr>
          <w:noProof/>
        </w:rPr>
        <w:tab/>
        <w:t>Jeżeli państwo członkowskie rozważa dokonanie wpisu dotyczącego powrotu w odniesieniu do obywatela państwa trzeciego, który posiada ważny dokument pobytowy lub inne zezwolenie na pobyt wydane przez i</w:t>
      </w:r>
      <w:r>
        <w:rPr>
          <w:noProof/>
        </w:rPr>
        <w:t xml:space="preserve">nne państwo członkowskie, informuje ono w drodze wymiany informacji uzupełniających państwo członkowskie, które wydało takie zezwolenie, w celu umożliwienia mu podjęcia decyzji, czy istnieją powody uzasadniające jego wycofanie. Państwo członkowskie, które </w:t>
      </w:r>
      <w:r>
        <w:rPr>
          <w:noProof/>
        </w:rPr>
        <w:t>wydało zezwolenie, udziela ostatecznej odpowiedzi w terminie siedmiu dni.</w:t>
      </w:r>
    </w:p>
    <w:p w:rsidR="00731D8F" w:rsidRDefault="00214EE0">
      <w:pPr>
        <w:pStyle w:val="ManualNumPar1"/>
        <w:rPr>
          <w:noProof/>
        </w:rPr>
      </w:pPr>
      <w:r>
        <w:rPr>
          <w:noProof/>
        </w:rPr>
        <w:t>3.</w:t>
      </w:r>
      <w:r>
        <w:rPr>
          <w:noProof/>
        </w:rPr>
        <w:tab/>
        <w:t>W przypadku trafienia odnoszącego się do wpisu dotyczącego powrotu obywatela państwa trzeciego, który posiada ważny dokument pobytowy lub inne zezwolenie na pobyt, państwo członko</w:t>
      </w:r>
      <w:r>
        <w:rPr>
          <w:noProof/>
        </w:rPr>
        <w:t xml:space="preserve">wskie, które zidentyfikowało danego obywatela państwa trzeciego, niezwłocznie konsultuje się z zainteresowanym państwem członkowskim, w drodze wymiany informacji uzupełniających, w celu określenia działań, które należy podjąć. </w:t>
      </w:r>
    </w:p>
    <w:p w:rsidR="00731D8F" w:rsidRDefault="00214EE0">
      <w:pPr>
        <w:pStyle w:val="ManualNumPar1"/>
        <w:rPr>
          <w:noProof/>
        </w:rPr>
      </w:pPr>
      <w:r>
        <w:rPr>
          <w:noProof/>
        </w:rPr>
        <w:t>4.</w:t>
      </w:r>
      <w:r>
        <w:rPr>
          <w:noProof/>
        </w:rPr>
        <w:tab/>
        <w:t xml:space="preserve">W przypadku gdy obywatel </w:t>
      </w:r>
      <w:r>
        <w:rPr>
          <w:noProof/>
        </w:rPr>
        <w:t>państwa trzeciego, który jest objęty wpisem nakazującym powrót, zostanie zidentyfikowany podczas wjazdu przez granice zewnętrzne, państwo członkowskie, które go zidentyfikowało, niezwłocznie informuje o tym, w drodze wymiany informacji uzupełniających, pań</w:t>
      </w:r>
      <w:r>
        <w:rPr>
          <w:noProof/>
        </w:rPr>
        <w:t xml:space="preserve">stwo członkowskie dokonujące wpisu w celu jego usunięcia. </w:t>
      </w:r>
    </w:p>
    <w:p w:rsidR="00731D8F" w:rsidRDefault="00214EE0">
      <w:pPr>
        <w:pStyle w:val="ManualNumPar1"/>
        <w:rPr>
          <w:noProof/>
        </w:rPr>
      </w:pPr>
      <w:r>
        <w:rPr>
          <w:noProof/>
        </w:rPr>
        <w:t>5.</w:t>
      </w:r>
      <w:r>
        <w:rPr>
          <w:noProof/>
        </w:rPr>
        <w:tab/>
        <w:t>Państwa członkowskie corocznie dostarczają Agencji statystyki dotyczące konsultacji przeprowadzonych zgodnie z ust. 1, 2, 3 i 4.</w:t>
      </w:r>
    </w:p>
    <w:p w:rsidR="00731D8F" w:rsidRDefault="00214EE0">
      <w:pPr>
        <w:pStyle w:val="Titrearticle"/>
        <w:spacing w:before="120"/>
        <w:rPr>
          <w:rFonts w:eastAsia="Times New Roman"/>
          <w:noProof/>
          <w:szCs w:val="24"/>
        </w:rPr>
      </w:pPr>
      <w:r>
        <w:rPr>
          <w:noProof/>
        </w:rPr>
        <w:t>Artykuł 9</w:t>
      </w:r>
      <w:r>
        <w:rPr>
          <w:noProof/>
        </w:rPr>
        <w:br/>
        <w:t>Usuwanie wpisów</w:t>
      </w:r>
    </w:p>
    <w:p w:rsidR="00731D8F" w:rsidRDefault="00214EE0">
      <w:pPr>
        <w:pStyle w:val="ManualNumPar1"/>
        <w:rPr>
          <w:noProof/>
        </w:rPr>
      </w:pPr>
      <w:r>
        <w:rPr>
          <w:noProof/>
        </w:rPr>
        <w:t>1.</w:t>
      </w:r>
      <w:r>
        <w:rPr>
          <w:noProof/>
        </w:rPr>
        <w:tab/>
        <w:t>Z zastrzeżeniem art. 6 i art. 8 wpis</w:t>
      </w:r>
      <w:r>
        <w:rPr>
          <w:noProof/>
        </w:rPr>
        <w:t xml:space="preserve">y dotyczące powrotu usuwa się wówczas, gdy decyzja, na podstawie której dokonano wpisu, została wycofana lub unieważniona przez właściwy organ. Wpisy dotyczące powrotu usuwa się również wówczas, gdy dany obywatel państwa trzeciego może wykazać, że opuścił </w:t>
      </w:r>
      <w:r>
        <w:rPr>
          <w:noProof/>
        </w:rPr>
        <w:t xml:space="preserve">terytorium państwa członkowskiego zgodnie z decyzją nakazującą powrót wydaną zgodnie z przepisami zgodnymi z dyrektywą 2008/115/WE. </w:t>
      </w:r>
    </w:p>
    <w:p w:rsidR="00731D8F" w:rsidRDefault="00214EE0">
      <w:pPr>
        <w:pStyle w:val="ManualNumPar1"/>
        <w:rPr>
          <w:noProof/>
        </w:rPr>
      </w:pPr>
      <w:r>
        <w:rPr>
          <w:noProof/>
        </w:rPr>
        <w:t>2.</w:t>
      </w:r>
      <w:r>
        <w:rPr>
          <w:noProof/>
        </w:rPr>
        <w:tab/>
        <w:t>Wpisy dotyczące powrotu dokonane w odniesieniu do osoby, która uzyskała obywatelstwo państwa członkowskiego lub któregok</w:t>
      </w:r>
      <w:r>
        <w:rPr>
          <w:noProof/>
        </w:rPr>
        <w:t>olwiek z państw, których obywatele mogą korzystać z prawa do swobodnego przepływu w obrębie Unii, są usuwane po stwierdzeniu lub uzyskaniu przez państwo członkowskie dokonujące wpisu informacji zgodnie z art. 39 rozporządzenia (UE) 2018/xxx [odprawy granic</w:t>
      </w:r>
      <w:r>
        <w:rPr>
          <w:noProof/>
        </w:rPr>
        <w:t>zne], że dana osoba uzyskała takie obywatelstwo.</w:t>
      </w:r>
    </w:p>
    <w:p w:rsidR="00731D8F" w:rsidRDefault="00214EE0">
      <w:pPr>
        <w:pStyle w:val="Titrearticle"/>
        <w:rPr>
          <w:noProof/>
        </w:rPr>
      </w:pPr>
      <w:r>
        <w:rPr>
          <w:noProof/>
        </w:rPr>
        <w:t>Artykuł 10</w:t>
      </w:r>
      <w:r>
        <w:rPr>
          <w:noProof/>
        </w:rPr>
        <w:br/>
        <w:t>Przekazywanie danych osobowych do państw trzecich na potrzeby powrotu</w:t>
      </w:r>
    </w:p>
    <w:p w:rsidR="00731D8F" w:rsidRDefault="00214EE0">
      <w:pPr>
        <w:rPr>
          <w:noProof/>
        </w:rPr>
      </w:pPr>
      <w:r>
        <w:rPr>
          <w:noProof/>
        </w:rPr>
        <w:t>Dane przetwarzane w SIS oraz związane z nimi informacje uzupełniające na podstawie niniejszego rozporządzenia mogą być przekaz</w:t>
      </w:r>
      <w:r>
        <w:rPr>
          <w:noProof/>
        </w:rPr>
        <w:t>ywane lub udostępniane państwom trzecim zgodnie z przepisami rozdziału V rozporządzenia (UE) 2016/679 za zgodą państwa członkowskiego dokonującego wpisu jedynie do celów identyfikacji nielegalnie przebywającego obywatela państwa trzeciego oraz wydania mu d</w:t>
      </w:r>
      <w:r>
        <w:rPr>
          <w:noProof/>
        </w:rPr>
        <w:t>okumentów identyfikacyjnych lub dokumentów podróży z myślą o powrocie.</w:t>
      </w:r>
    </w:p>
    <w:p w:rsidR="00731D8F" w:rsidRDefault="00214EE0">
      <w:pPr>
        <w:pStyle w:val="Titrearticle"/>
        <w:spacing w:before="120"/>
        <w:rPr>
          <w:noProof/>
          <w:szCs w:val="24"/>
        </w:rPr>
      </w:pPr>
      <w:r>
        <w:rPr>
          <w:noProof/>
        </w:rPr>
        <w:t>Artykuł 11</w:t>
      </w:r>
      <w:r>
        <w:rPr>
          <w:noProof/>
        </w:rPr>
        <w:br/>
        <w:t>Dane statystyczne</w:t>
      </w:r>
    </w:p>
    <w:p w:rsidR="00731D8F" w:rsidRDefault="00214EE0">
      <w:pPr>
        <w:rPr>
          <w:noProof/>
          <w:szCs w:val="24"/>
        </w:rPr>
      </w:pPr>
      <w:r>
        <w:rPr>
          <w:noProof/>
        </w:rPr>
        <w:t>Z zastrzeżeniem przepisów dotyczących statystyk zawartych w art. 54 rozporządzenia (UE) 2018/xxx [odprawy graniczne] Agencja przedstawia dzienne, miesięczne</w:t>
      </w:r>
      <w:r>
        <w:rPr>
          <w:noProof/>
        </w:rPr>
        <w:t xml:space="preserve"> i roczne statystyki, wyrażone zarówno w ujęciu zbiorczym, jak i w podziale na poszczególne państwa członkowskie, na temat liczby wpisów dotyczących powrotów wprowadzonych do SIS, w tym w odniesieniu do danych, o których mowa w art. 4 lit. x) niniejszego r</w:t>
      </w:r>
      <w:r>
        <w:rPr>
          <w:noProof/>
        </w:rPr>
        <w:t>ozporządzenia, powiadomień, o których mowa w art. 7 ust. 1 niniejszego rozporządzenia, oraz liczby wpisów dotyczących powrotu usuniętych ze względu na wykonanie obowiązku powrotu. Agencja przedstawia miesięczne i roczne statystyki dotyczące danych dostarcz</w:t>
      </w:r>
      <w:r>
        <w:rPr>
          <w:noProof/>
        </w:rPr>
        <w:t>anych przez państwa członkowskie zgodnie z art. 6 ust. 3 i art. 8 ust. 5 niniejszego rozporządzenia. Statystyki te nie zawierają żadnych danych osobowych.</w:t>
      </w:r>
    </w:p>
    <w:p w:rsidR="00731D8F" w:rsidRDefault="00214EE0">
      <w:pPr>
        <w:pStyle w:val="Titrearticle"/>
        <w:rPr>
          <w:noProof/>
          <w:szCs w:val="24"/>
        </w:rPr>
      </w:pPr>
      <w:r>
        <w:rPr>
          <w:noProof/>
        </w:rPr>
        <w:t>Artykuł 12</w:t>
      </w:r>
      <w:r>
        <w:rPr>
          <w:noProof/>
        </w:rPr>
        <w:br/>
        <w:t>Prawo dostępu do danych przechowywanych w SIS</w:t>
      </w:r>
    </w:p>
    <w:p w:rsidR="00731D8F" w:rsidRDefault="00214EE0">
      <w:pPr>
        <w:pStyle w:val="ManualNumPar1"/>
        <w:rPr>
          <w:noProof/>
        </w:rPr>
      </w:pPr>
      <w:r>
        <w:rPr>
          <w:noProof/>
        </w:rPr>
        <w:t>1.</w:t>
      </w:r>
      <w:r>
        <w:rPr>
          <w:noProof/>
        </w:rPr>
        <w:tab/>
        <w:t>Dostęp do danych wprowadzonych do SIS ora</w:t>
      </w:r>
      <w:r>
        <w:rPr>
          <w:noProof/>
        </w:rPr>
        <w:t>z prawo wyszukiwania takich danych są zastrzeżone dla organów krajowych, o których mowa w art. 29 ust. 1 lit. a), b) c) i d) oraz art. 29 ust. 2 rozporządzenia (UE) 2018/xxx [odprawy graniczne] na potrzeby identyfikowania obywateli państw trzecich oraz ich</w:t>
      </w:r>
      <w:r>
        <w:rPr>
          <w:noProof/>
        </w:rPr>
        <w:t xml:space="preserve"> powrotów. </w:t>
      </w:r>
    </w:p>
    <w:p w:rsidR="00731D8F" w:rsidRDefault="00214EE0">
      <w:pPr>
        <w:pStyle w:val="ManualNumPar1"/>
        <w:rPr>
          <w:noProof/>
        </w:rPr>
      </w:pPr>
      <w:r>
        <w:rPr>
          <w:noProof/>
        </w:rPr>
        <w:t>2.</w:t>
      </w:r>
      <w:r>
        <w:rPr>
          <w:noProof/>
        </w:rPr>
        <w:tab/>
        <w:t xml:space="preserve">Mandat Europolu upoważnia go do uzyskiwania dostępu do danych wprowadzonych do SIS i ich wyszukiwania w celu wspierania i wzmacniania działań podejmowanych przez właściwe organy państw członkowskich oraz ich wzajemnej współpracy w </w:t>
      </w:r>
      <w:r>
        <w:rPr>
          <w:noProof/>
        </w:rPr>
        <w:t>odniesieniu do zapobiegania przemytowi migrantów i ułatwianiu nielegalnej migracji oraz zwalczania tych zjawisk, na warunkach określonych w art. 30 rozporządzenia (UE) 2018/xxx [odprawy graniczne].</w:t>
      </w:r>
    </w:p>
    <w:p w:rsidR="00731D8F" w:rsidRDefault="00214EE0">
      <w:pPr>
        <w:pStyle w:val="ManualNumPar1"/>
        <w:rPr>
          <w:noProof/>
        </w:rPr>
      </w:pPr>
      <w:r>
        <w:rPr>
          <w:noProof/>
        </w:rPr>
        <w:t>3.</w:t>
      </w:r>
      <w:r>
        <w:rPr>
          <w:noProof/>
        </w:rPr>
        <w:tab/>
        <w:t>Członkowie europejskich zespołów straży granicznej i pr</w:t>
      </w:r>
      <w:r>
        <w:rPr>
          <w:noProof/>
        </w:rPr>
        <w:t>zybrzeżnej lub zespołów pracowników realizujących zadania w dziedzinie powrotów, jak i członkowie zespołów wsparcia zarządzania migracją mają w ramach swojego mandatu prawo dostępu do danych wprowadzonych do SIS oraz ich wyszukiwania w celu dokonywania odp</w:t>
      </w:r>
      <w:r>
        <w:rPr>
          <w:noProof/>
        </w:rPr>
        <w:t>rawy granicznej, ochrony granicy i działań dotyczących powrotów przez interfejs techniczny utworzony i prowadzony przez Europejską Agencję Straży Granicznej i Przybrzeżnej, o czym mowa w art. 31 i art. 32 ust. 2 rozporządzenia (UE) 2018/xxx [odprawy granic</w:t>
      </w:r>
      <w:r>
        <w:rPr>
          <w:noProof/>
        </w:rPr>
        <w:t>zne] i zgodnie z określonymi tam warunkami.</w:t>
      </w:r>
    </w:p>
    <w:p w:rsidR="00731D8F" w:rsidRDefault="00214EE0">
      <w:pPr>
        <w:pStyle w:val="Titrearticle"/>
        <w:rPr>
          <w:noProof/>
        </w:rPr>
      </w:pPr>
      <w:r>
        <w:rPr>
          <w:noProof/>
        </w:rPr>
        <w:t>Artykuł 13</w:t>
      </w:r>
      <w:r>
        <w:rPr>
          <w:noProof/>
        </w:rPr>
        <w:br/>
        <w:t>Zastosowanie przepisów rozporządzenia (UE) 2018/xxx [odprawy graniczne]</w:t>
      </w:r>
    </w:p>
    <w:p w:rsidR="00731D8F" w:rsidRDefault="00214EE0">
      <w:pPr>
        <w:rPr>
          <w:noProof/>
        </w:rPr>
      </w:pPr>
      <w:r>
        <w:rPr>
          <w:noProof/>
        </w:rPr>
        <w:t>O ile kwestie te nie zostały uregulowane w niniejszym rozporządzeniu, przepisy dotyczące obowiązków państw członkowskich i Agencj</w:t>
      </w:r>
      <w:r>
        <w:rPr>
          <w:noProof/>
        </w:rPr>
        <w:t xml:space="preserve">i, wprowadzania i przetwarzania wpisów, warunków dostępu do wpisów i ich przechowywania, przetwarzania danych, ochrony danych, odpowiedzialności i monitorowania oraz statystyk, określone w art. 6–19, art. 20 ust. 3–4 oraz w art. 21, 22, 28, art. 29 ust. 4 </w:t>
      </w:r>
      <w:r>
        <w:rPr>
          <w:noProof/>
        </w:rPr>
        <w:t xml:space="preserve">i art. 33–54 rozporządzenia (UE) 2018/xxx [odprawy graniczne] mają zastosowanie do danych wprowadzonych do SIS i przetwarzanych w tym systemie zgodnie z niniejszym rozporządzeniem. </w:t>
      </w:r>
    </w:p>
    <w:p w:rsidR="00731D8F" w:rsidRDefault="00214EE0">
      <w:pPr>
        <w:pStyle w:val="Titrearticle"/>
        <w:rPr>
          <w:noProof/>
          <w:szCs w:val="24"/>
        </w:rPr>
      </w:pPr>
      <w:r>
        <w:rPr>
          <w:noProof/>
        </w:rPr>
        <w:t>Artykuł 14</w:t>
      </w:r>
      <w:r>
        <w:rPr>
          <w:noProof/>
        </w:rPr>
        <w:br/>
        <w:t xml:space="preserve">Wejście w życie </w:t>
      </w:r>
    </w:p>
    <w:p w:rsidR="00731D8F" w:rsidRDefault="00214EE0">
      <w:pPr>
        <w:spacing w:before="100" w:beforeAutospacing="1" w:after="100" w:afterAutospacing="1"/>
        <w:rPr>
          <w:rFonts w:eastAsia="Times New Roman"/>
          <w:noProof/>
          <w:szCs w:val="24"/>
        </w:rPr>
      </w:pPr>
      <w:r>
        <w:rPr>
          <w:noProof/>
        </w:rPr>
        <w:t>Niniejsze rozporządzenie wchodzi w życie dwudz</w:t>
      </w:r>
      <w:r>
        <w:rPr>
          <w:noProof/>
        </w:rPr>
        <w:t>iestego dnia po jego opublikowaniu w Dzienniku Urzędowym Unii Europejskiej.</w:t>
      </w:r>
    </w:p>
    <w:p w:rsidR="00731D8F" w:rsidRDefault="00214EE0">
      <w:pPr>
        <w:spacing w:before="100" w:beforeAutospacing="1" w:after="100" w:afterAutospacing="1"/>
        <w:rPr>
          <w:rFonts w:eastAsia="Times New Roman"/>
          <w:noProof/>
          <w:szCs w:val="24"/>
        </w:rPr>
      </w:pPr>
      <w:r>
        <w:rPr>
          <w:noProof/>
        </w:rPr>
        <w:t>Niniejsze rozporządzenie stosuje się od dnia ustalonego przez Komisję zgodnie z art. 58 ust. 2 rozporządzenia (UE) 2018/xxx [odprawy graniczne].</w:t>
      </w:r>
    </w:p>
    <w:p w:rsidR="00731D8F" w:rsidRDefault="00214EE0" w:rsidP="00214EE0">
      <w:pPr>
        <w:pStyle w:val="Fait"/>
        <w:rPr>
          <w:noProof/>
        </w:rPr>
      </w:pPr>
      <w:r w:rsidRPr="00214EE0">
        <w:t xml:space="preserve">Sporządzono w Brukseli dnia </w:t>
      </w:r>
      <w:r w:rsidRPr="00214EE0">
        <w:rPr>
          <w:rStyle w:val="Marker2"/>
        </w:rPr>
        <w:t>[…]</w:t>
      </w:r>
      <w:r w:rsidRPr="00214EE0">
        <w:t xml:space="preserve"> r.</w:t>
      </w:r>
    </w:p>
    <w:p w:rsidR="00731D8F" w:rsidRDefault="00214EE0">
      <w:pPr>
        <w:pStyle w:val="Institutionquisigne"/>
        <w:rPr>
          <w:noProof/>
        </w:rPr>
      </w:pPr>
      <w:r>
        <w:rPr>
          <w:noProof/>
        </w:rPr>
        <w:t xml:space="preserve">W </w:t>
      </w:r>
      <w:r>
        <w:rPr>
          <w:noProof/>
        </w:rPr>
        <w:t>imieniu Parlamentu Europejskiego</w:t>
      </w:r>
      <w:r>
        <w:rPr>
          <w:noProof/>
        </w:rPr>
        <w:tab/>
        <w:t>W imieniu Rady</w:t>
      </w:r>
    </w:p>
    <w:p w:rsidR="00731D8F" w:rsidRDefault="00214EE0">
      <w:pPr>
        <w:pStyle w:val="Personnequisigne"/>
        <w:rPr>
          <w:noProof/>
        </w:rPr>
      </w:pPr>
      <w:r>
        <w:rPr>
          <w:noProof/>
        </w:rPr>
        <w:t>Przewodniczący</w:t>
      </w:r>
      <w:r>
        <w:rPr>
          <w:noProof/>
        </w:rPr>
        <w:tab/>
        <w:t>Przewodniczący</w:t>
      </w:r>
    </w:p>
    <w:p w:rsidR="00731D8F" w:rsidRDefault="00731D8F">
      <w:pPr>
        <w:rPr>
          <w:noProof/>
        </w:rPr>
        <w:sectPr w:rsidR="00731D8F" w:rsidSect="00214EE0">
          <w:pgSz w:w="11907" w:h="16839"/>
          <w:pgMar w:top="1134" w:right="1417" w:bottom="1134" w:left="1417" w:header="709" w:footer="709" w:gutter="0"/>
          <w:cols w:space="708"/>
          <w:docGrid w:linePitch="360"/>
        </w:sectPr>
      </w:pPr>
    </w:p>
    <w:p w:rsidR="00731D8F" w:rsidRDefault="00214EE0">
      <w:pPr>
        <w:pStyle w:val="Fichefinanciretitre"/>
        <w:rPr>
          <w:noProof/>
        </w:rPr>
      </w:pPr>
      <w:r>
        <w:rPr>
          <w:noProof/>
        </w:rPr>
        <w:t>OCENA SKUTKÓW FINANSOWYCH REGULACJI</w:t>
      </w:r>
    </w:p>
    <w:p w:rsidR="00731D8F" w:rsidRDefault="00214EE0">
      <w:pPr>
        <w:pStyle w:val="ManualHeading1"/>
        <w:rPr>
          <w:noProof/>
        </w:rPr>
      </w:pPr>
      <w:r>
        <w:rPr>
          <w:noProof/>
        </w:rPr>
        <w:t>1.</w:t>
      </w:r>
      <w:r>
        <w:rPr>
          <w:noProof/>
        </w:rPr>
        <w:tab/>
        <w:t xml:space="preserve">STRUKTURA WNIOSKU/INICJATYWY </w:t>
      </w:r>
    </w:p>
    <w:p w:rsidR="00731D8F" w:rsidRDefault="00214EE0">
      <w:pPr>
        <w:pStyle w:val="ManualHeading2"/>
        <w:rPr>
          <w:b w:val="0"/>
          <w:noProof/>
        </w:rPr>
      </w:pPr>
      <w:r>
        <w:rPr>
          <w:noProof/>
        </w:rPr>
        <w:tab/>
      </w:r>
      <w:r>
        <w:rPr>
          <w:b w:val="0"/>
          <w:noProof/>
        </w:rPr>
        <w:t>1.1.</w:t>
      </w:r>
      <w:r>
        <w:rPr>
          <w:noProof/>
        </w:rPr>
        <w:tab/>
      </w:r>
      <w:r>
        <w:rPr>
          <w:b w:val="0"/>
          <w:noProof/>
        </w:rPr>
        <w:t xml:space="preserve">Tytuł wniosku/inicjatywy </w:t>
      </w:r>
    </w:p>
    <w:p w:rsidR="00731D8F" w:rsidRDefault="00214EE0">
      <w:pPr>
        <w:pStyle w:val="ManualHeading2"/>
        <w:rPr>
          <w:b w:val="0"/>
          <w:noProof/>
        </w:rPr>
      </w:pPr>
      <w:r>
        <w:rPr>
          <w:noProof/>
        </w:rPr>
        <w:tab/>
      </w:r>
      <w:r>
        <w:rPr>
          <w:b w:val="0"/>
          <w:noProof/>
        </w:rPr>
        <w:t>1.2.</w:t>
      </w:r>
      <w:r>
        <w:rPr>
          <w:noProof/>
        </w:rPr>
        <w:tab/>
      </w:r>
      <w:r>
        <w:rPr>
          <w:b w:val="0"/>
          <w:noProof/>
        </w:rPr>
        <w:t>Dziedziny polityki w strukturze ABM/ABB, których doty</w:t>
      </w:r>
      <w:r>
        <w:rPr>
          <w:b w:val="0"/>
          <w:noProof/>
        </w:rPr>
        <w:t>czy wniosek/inicjatywa</w:t>
      </w:r>
    </w:p>
    <w:p w:rsidR="00731D8F" w:rsidRDefault="00214EE0">
      <w:pPr>
        <w:pStyle w:val="ManualHeading2"/>
        <w:rPr>
          <w:b w:val="0"/>
          <w:noProof/>
        </w:rPr>
      </w:pPr>
      <w:r>
        <w:rPr>
          <w:noProof/>
        </w:rPr>
        <w:tab/>
      </w:r>
      <w:r>
        <w:rPr>
          <w:b w:val="0"/>
          <w:noProof/>
        </w:rPr>
        <w:t>1.3.</w:t>
      </w:r>
      <w:r>
        <w:rPr>
          <w:noProof/>
        </w:rPr>
        <w:tab/>
      </w:r>
      <w:r>
        <w:rPr>
          <w:b w:val="0"/>
          <w:noProof/>
        </w:rPr>
        <w:t xml:space="preserve">Charakter wniosku/inicjatywy </w:t>
      </w:r>
    </w:p>
    <w:p w:rsidR="00731D8F" w:rsidRDefault="00214EE0">
      <w:pPr>
        <w:pStyle w:val="ManualHeading2"/>
        <w:rPr>
          <w:b w:val="0"/>
          <w:noProof/>
        </w:rPr>
      </w:pPr>
      <w:r>
        <w:rPr>
          <w:noProof/>
        </w:rPr>
        <w:tab/>
      </w:r>
      <w:r>
        <w:rPr>
          <w:b w:val="0"/>
          <w:noProof/>
        </w:rPr>
        <w:t>1.4.</w:t>
      </w:r>
      <w:r>
        <w:rPr>
          <w:noProof/>
        </w:rPr>
        <w:tab/>
      </w:r>
      <w:r>
        <w:rPr>
          <w:b w:val="0"/>
          <w:noProof/>
        </w:rPr>
        <w:t xml:space="preserve">Cele </w:t>
      </w:r>
    </w:p>
    <w:p w:rsidR="00731D8F" w:rsidRDefault="00214EE0">
      <w:pPr>
        <w:pStyle w:val="ManualHeading2"/>
        <w:rPr>
          <w:b w:val="0"/>
          <w:noProof/>
        </w:rPr>
      </w:pPr>
      <w:r>
        <w:rPr>
          <w:noProof/>
        </w:rPr>
        <w:tab/>
      </w:r>
      <w:r>
        <w:rPr>
          <w:b w:val="0"/>
          <w:noProof/>
        </w:rPr>
        <w:t>1.5.</w:t>
      </w:r>
      <w:r>
        <w:rPr>
          <w:noProof/>
        </w:rPr>
        <w:tab/>
      </w:r>
      <w:r>
        <w:rPr>
          <w:b w:val="0"/>
          <w:noProof/>
        </w:rPr>
        <w:t xml:space="preserve">Uzasadnienie wniosku/inicjatywy </w:t>
      </w:r>
    </w:p>
    <w:p w:rsidR="00731D8F" w:rsidRDefault="00214EE0">
      <w:pPr>
        <w:pStyle w:val="ManualHeading2"/>
        <w:rPr>
          <w:b w:val="0"/>
          <w:noProof/>
        </w:rPr>
      </w:pPr>
      <w:r>
        <w:rPr>
          <w:noProof/>
        </w:rPr>
        <w:tab/>
      </w:r>
      <w:r>
        <w:rPr>
          <w:b w:val="0"/>
          <w:noProof/>
        </w:rPr>
        <w:t>1.6.</w:t>
      </w:r>
      <w:r>
        <w:rPr>
          <w:noProof/>
        </w:rPr>
        <w:tab/>
      </w:r>
      <w:r>
        <w:rPr>
          <w:b w:val="0"/>
          <w:noProof/>
        </w:rPr>
        <w:t xml:space="preserve">Okres trwania działania i jego wpływ finansowy </w:t>
      </w:r>
    </w:p>
    <w:p w:rsidR="00731D8F" w:rsidRDefault="00214EE0">
      <w:pPr>
        <w:pStyle w:val="ManualHeading2"/>
        <w:rPr>
          <w:b w:val="0"/>
          <w:noProof/>
        </w:rPr>
      </w:pPr>
      <w:r>
        <w:rPr>
          <w:noProof/>
        </w:rPr>
        <w:tab/>
      </w:r>
      <w:r>
        <w:rPr>
          <w:b w:val="0"/>
          <w:noProof/>
        </w:rPr>
        <w:t>1.7.</w:t>
      </w:r>
      <w:r>
        <w:rPr>
          <w:noProof/>
        </w:rPr>
        <w:tab/>
      </w:r>
      <w:r>
        <w:rPr>
          <w:b w:val="0"/>
          <w:noProof/>
        </w:rPr>
        <w:t xml:space="preserve">Przewidywane tryby zarządzania </w:t>
      </w:r>
    </w:p>
    <w:p w:rsidR="00731D8F" w:rsidRDefault="00214EE0">
      <w:pPr>
        <w:pStyle w:val="ManualHeading1"/>
        <w:rPr>
          <w:noProof/>
        </w:rPr>
      </w:pPr>
      <w:r>
        <w:rPr>
          <w:noProof/>
        </w:rPr>
        <w:t>2.</w:t>
      </w:r>
      <w:r>
        <w:rPr>
          <w:noProof/>
        </w:rPr>
        <w:tab/>
        <w:t xml:space="preserve">ŚRODKI ZARZĄDZANIA </w:t>
      </w:r>
    </w:p>
    <w:p w:rsidR="00731D8F" w:rsidRDefault="00214EE0">
      <w:pPr>
        <w:pStyle w:val="ManualHeading2"/>
        <w:rPr>
          <w:b w:val="0"/>
          <w:noProof/>
        </w:rPr>
      </w:pPr>
      <w:r>
        <w:rPr>
          <w:noProof/>
        </w:rPr>
        <w:tab/>
      </w:r>
      <w:r>
        <w:rPr>
          <w:b w:val="0"/>
          <w:noProof/>
        </w:rPr>
        <w:t>2.1.</w:t>
      </w:r>
      <w:r>
        <w:rPr>
          <w:noProof/>
        </w:rPr>
        <w:tab/>
      </w:r>
      <w:r>
        <w:rPr>
          <w:b w:val="0"/>
          <w:noProof/>
        </w:rPr>
        <w:t>Zasady nadzoru i sprawozd</w:t>
      </w:r>
      <w:r>
        <w:rPr>
          <w:b w:val="0"/>
          <w:noProof/>
        </w:rPr>
        <w:t xml:space="preserve">awczości </w:t>
      </w:r>
    </w:p>
    <w:p w:rsidR="00731D8F" w:rsidRDefault="00214EE0">
      <w:pPr>
        <w:pStyle w:val="ManualHeading2"/>
        <w:rPr>
          <w:b w:val="0"/>
          <w:noProof/>
        </w:rPr>
      </w:pPr>
      <w:r>
        <w:rPr>
          <w:noProof/>
        </w:rPr>
        <w:tab/>
      </w:r>
      <w:r>
        <w:rPr>
          <w:b w:val="0"/>
          <w:noProof/>
        </w:rPr>
        <w:t>2.2.</w:t>
      </w:r>
      <w:r>
        <w:rPr>
          <w:noProof/>
        </w:rPr>
        <w:tab/>
      </w:r>
      <w:r>
        <w:rPr>
          <w:b w:val="0"/>
          <w:noProof/>
        </w:rPr>
        <w:t xml:space="preserve">System zarządzania i kontroli </w:t>
      </w:r>
    </w:p>
    <w:p w:rsidR="00731D8F" w:rsidRDefault="00214EE0">
      <w:pPr>
        <w:pStyle w:val="ManualHeading2"/>
        <w:rPr>
          <w:b w:val="0"/>
          <w:noProof/>
        </w:rPr>
      </w:pPr>
      <w:r>
        <w:rPr>
          <w:noProof/>
        </w:rPr>
        <w:tab/>
      </w:r>
      <w:r>
        <w:rPr>
          <w:b w:val="0"/>
          <w:noProof/>
        </w:rPr>
        <w:t>2.3.</w:t>
      </w:r>
      <w:r>
        <w:rPr>
          <w:noProof/>
        </w:rPr>
        <w:tab/>
      </w:r>
      <w:r>
        <w:rPr>
          <w:b w:val="0"/>
          <w:noProof/>
        </w:rPr>
        <w:t xml:space="preserve">Środki zapobiegania nadużyciom finansowym i nieprawidłowościom </w:t>
      </w:r>
    </w:p>
    <w:p w:rsidR="00731D8F" w:rsidRDefault="00214EE0">
      <w:pPr>
        <w:pStyle w:val="ManualHeading1"/>
        <w:rPr>
          <w:noProof/>
        </w:rPr>
      </w:pPr>
      <w:r>
        <w:rPr>
          <w:noProof/>
        </w:rPr>
        <w:t>3.</w:t>
      </w:r>
      <w:r>
        <w:rPr>
          <w:noProof/>
        </w:rPr>
        <w:tab/>
        <w:t xml:space="preserve">SZACUNKOWY WPŁYW FINANSOWY WNIOSKU/INICJATYWY </w:t>
      </w:r>
    </w:p>
    <w:p w:rsidR="00731D8F" w:rsidRDefault="00214EE0">
      <w:pPr>
        <w:pStyle w:val="ManualHeading2"/>
        <w:rPr>
          <w:b w:val="0"/>
          <w:noProof/>
        </w:rPr>
      </w:pPr>
      <w:r>
        <w:rPr>
          <w:noProof/>
        </w:rPr>
        <w:tab/>
      </w:r>
      <w:r>
        <w:rPr>
          <w:b w:val="0"/>
          <w:noProof/>
        </w:rPr>
        <w:t>3.1.</w:t>
      </w:r>
      <w:r>
        <w:rPr>
          <w:noProof/>
        </w:rPr>
        <w:tab/>
      </w:r>
      <w:r>
        <w:rPr>
          <w:b w:val="0"/>
          <w:noProof/>
        </w:rPr>
        <w:t xml:space="preserve">Działy wieloletnich ram finansowych i linie budżetowe po stronie wydatków, na które wniosek/inicjatywa ma wpływ </w:t>
      </w:r>
    </w:p>
    <w:p w:rsidR="00731D8F" w:rsidRDefault="00214EE0">
      <w:pPr>
        <w:pStyle w:val="ManualHeading2"/>
        <w:rPr>
          <w:noProof/>
        </w:rPr>
      </w:pPr>
      <w:r>
        <w:rPr>
          <w:noProof/>
        </w:rPr>
        <w:tab/>
      </w:r>
      <w:r>
        <w:rPr>
          <w:b w:val="0"/>
          <w:noProof/>
        </w:rPr>
        <w:t>3.2.</w:t>
      </w:r>
      <w:r>
        <w:rPr>
          <w:noProof/>
        </w:rPr>
        <w:tab/>
      </w:r>
      <w:r>
        <w:rPr>
          <w:b w:val="0"/>
          <w:noProof/>
        </w:rPr>
        <w:t>Szacunkowy wpływ na wydatki</w:t>
      </w:r>
      <w:r>
        <w:rPr>
          <w:noProof/>
        </w:rPr>
        <w:t xml:space="preserve"> </w:t>
      </w:r>
    </w:p>
    <w:p w:rsidR="00731D8F" w:rsidRDefault="00214EE0">
      <w:pPr>
        <w:pStyle w:val="ManualHeading3"/>
        <w:rPr>
          <w:noProof/>
        </w:rPr>
      </w:pPr>
      <w:r>
        <w:rPr>
          <w:noProof/>
        </w:rPr>
        <w:tab/>
        <w:t>3.2.1.</w:t>
      </w:r>
      <w:r>
        <w:rPr>
          <w:noProof/>
        </w:rPr>
        <w:tab/>
        <w:t xml:space="preserve">Synteza szacunkowego wpływu na wydatki </w:t>
      </w:r>
    </w:p>
    <w:p w:rsidR="00731D8F" w:rsidRDefault="00214EE0">
      <w:pPr>
        <w:pStyle w:val="ManualHeading3"/>
        <w:rPr>
          <w:noProof/>
        </w:rPr>
      </w:pPr>
      <w:r>
        <w:rPr>
          <w:noProof/>
        </w:rPr>
        <w:tab/>
        <w:t>3.2.2.</w:t>
      </w:r>
      <w:r>
        <w:rPr>
          <w:noProof/>
        </w:rPr>
        <w:tab/>
        <w:t xml:space="preserve">Szacunkowy wpływ na środki operacyjne </w:t>
      </w:r>
    </w:p>
    <w:p w:rsidR="00731D8F" w:rsidRDefault="00214EE0">
      <w:pPr>
        <w:pStyle w:val="ManualHeading3"/>
        <w:rPr>
          <w:noProof/>
        </w:rPr>
      </w:pPr>
      <w:r>
        <w:rPr>
          <w:noProof/>
        </w:rPr>
        <w:tab/>
        <w:t>3.2.3.</w:t>
      </w:r>
      <w:r>
        <w:rPr>
          <w:noProof/>
        </w:rPr>
        <w:tab/>
        <w:t>Szacu</w:t>
      </w:r>
      <w:r>
        <w:rPr>
          <w:noProof/>
        </w:rPr>
        <w:t>nkowy wpływ na środki administracyjne</w:t>
      </w:r>
    </w:p>
    <w:p w:rsidR="00731D8F" w:rsidRDefault="00214EE0">
      <w:pPr>
        <w:pStyle w:val="ManualHeading3"/>
        <w:rPr>
          <w:noProof/>
        </w:rPr>
      </w:pPr>
      <w:r>
        <w:rPr>
          <w:noProof/>
        </w:rPr>
        <w:tab/>
        <w:t>3.2.4.</w:t>
      </w:r>
      <w:r>
        <w:rPr>
          <w:noProof/>
        </w:rPr>
        <w:tab/>
        <w:t>Zgodność z obowiązującymi wieloletnimi ramami finansowymi</w:t>
      </w:r>
    </w:p>
    <w:p w:rsidR="00731D8F" w:rsidRDefault="00214EE0">
      <w:pPr>
        <w:pStyle w:val="ManualHeading3"/>
        <w:rPr>
          <w:noProof/>
        </w:rPr>
      </w:pPr>
      <w:r>
        <w:rPr>
          <w:noProof/>
        </w:rPr>
        <w:tab/>
        <w:t>3.2.5.</w:t>
      </w:r>
      <w:r>
        <w:rPr>
          <w:noProof/>
        </w:rPr>
        <w:tab/>
        <w:t xml:space="preserve">Udział osób trzecich w finansowaniu </w:t>
      </w:r>
    </w:p>
    <w:p w:rsidR="00731D8F" w:rsidRDefault="00214EE0">
      <w:pPr>
        <w:pStyle w:val="ManualHeading2"/>
        <w:jc w:val="left"/>
        <w:rPr>
          <w:b w:val="0"/>
          <w:noProof/>
        </w:rPr>
        <w:sectPr w:rsidR="00731D8F" w:rsidSect="00214EE0">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Szacunkowy wpływ na dochody</w:t>
      </w:r>
    </w:p>
    <w:p w:rsidR="00731D8F" w:rsidRDefault="00214EE0">
      <w:pPr>
        <w:jc w:val="center"/>
        <w:rPr>
          <w:noProof/>
        </w:rPr>
      </w:pPr>
      <w:r>
        <w:rPr>
          <w:b/>
          <w:noProof/>
          <w:u w:val="single"/>
        </w:rPr>
        <w:t>OCENA SKUTKÓW FINANSOWYCH REGULACJI</w:t>
      </w:r>
    </w:p>
    <w:p w:rsidR="00731D8F" w:rsidRDefault="00214EE0">
      <w:pPr>
        <w:pStyle w:val="ManualHeading1"/>
        <w:rPr>
          <w:noProof/>
        </w:rPr>
      </w:pPr>
      <w:r>
        <w:rPr>
          <w:noProof/>
        </w:rPr>
        <w:t>1.</w:t>
      </w:r>
      <w:r>
        <w:rPr>
          <w:noProof/>
        </w:rPr>
        <w:tab/>
      </w:r>
      <w:r>
        <w:rPr>
          <w:noProof/>
        </w:rPr>
        <w:t xml:space="preserve">STRUKTURA WNIOSKU/INICJATYWY </w:t>
      </w:r>
    </w:p>
    <w:p w:rsidR="00731D8F" w:rsidRDefault="00214EE0">
      <w:pPr>
        <w:pStyle w:val="ManualHeading2"/>
        <w:rPr>
          <w:noProof/>
        </w:rPr>
      </w:pPr>
      <w:r>
        <w:rPr>
          <w:noProof/>
        </w:rPr>
        <w:t>1.1.</w:t>
      </w:r>
      <w:r>
        <w:rPr>
          <w:noProof/>
        </w:rPr>
        <w:tab/>
        <w:t xml:space="preserve">Tytuł wniosku/inicjatywy </w:t>
      </w:r>
    </w:p>
    <w:p w:rsidR="00731D8F" w:rsidRDefault="00214EE0">
      <w:pPr>
        <w:pStyle w:val="Text1"/>
        <w:pBdr>
          <w:top w:val="single" w:sz="4" w:space="1" w:color="auto"/>
          <w:left w:val="single" w:sz="4" w:space="4" w:color="auto"/>
          <w:bottom w:val="single" w:sz="4" w:space="1" w:color="auto"/>
          <w:right w:val="single" w:sz="4" w:space="4" w:color="auto"/>
        </w:pBdr>
        <w:rPr>
          <w:noProof/>
        </w:rPr>
      </w:pPr>
      <w:r>
        <w:rPr>
          <w:noProof/>
        </w:rPr>
        <w:t xml:space="preserve">Wniosek – rozporządzenie Parlamentu Europejskiego i Rady w sprawie użytkowania Systemu Informacyjnego Schengen do celów powrotu nielegalnie przebywających obywateli państw trzecich </w:t>
      </w:r>
    </w:p>
    <w:p w:rsidR="00731D8F" w:rsidRDefault="00214EE0">
      <w:pPr>
        <w:pStyle w:val="ManualHeading2"/>
        <w:rPr>
          <w:noProof/>
          <w:szCs w:val="24"/>
        </w:rPr>
      </w:pPr>
      <w:r>
        <w:rPr>
          <w:noProof/>
        </w:rPr>
        <w:t>1.2.</w:t>
      </w:r>
      <w:r>
        <w:rPr>
          <w:noProof/>
        </w:rPr>
        <w:tab/>
        <w:t>Dziedzin</w:t>
      </w:r>
      <w:r>
        <w:rPr>
          <w:noProof/>
        </w:rPr>
        <w:t>y polityki w strukturze ABM/ABB, których dotyczy wniosek/inicjatywa</w:t>
      </w:r>
      <w:r>
        <w:rPr>
          <w:rStyle w:val="FootnoteReference"/>
          <w:noProof/>
        </w:rPr>
        <w:footnoteReference w:id="38"/>
      </w:r>
      <w:r>
        <w:rPr>
          <w:i/>
          <w:noProof/>
        </w:rPr>
        <w:t xml:space="preserve"> </w:t>
      </w:r>
    </w:p>
    <w:p w:rsidR="00731D8F" w:rsidRDefault="00214EE0">
      <w:pPr>
        <w:pStyle w:val="Text1"/>
        <w:pBdr>
          <w:top w:val="single" w:sz="4" w:space="1" w:color="auto"/>
          <w:left w:val="single" w:sz="4" w:space="4" w:color="auto"/>
          <w:bottom w:val="single" w:sz="4" w:space="1" w:color="auto"/>
          <w:right w:val="single" w:sz="4" w:space="4" w:color="auto"/>
        </w:pBdr>
        <w:rPr>
          <w:noProof/>
        </w:rPr>
      </w:pPr>
      <w:r>
        <w:rPr>
          <w:noProof/>
        </w:rPr>
        <w:t>Dziedzina polityki: Migracja i sprawy wewnętrzne (tytuł 18)</w:t>
      </w:r>
    </w:p>
    <w:p w:rsidR="00731D8F" w:rsidRDefault="00214EE0">
      <w:pPr>
        <w:pStyle w:val="ManualHeading2"/>
        <w:rPr>
          <w:bCs/>
          <w:noProof/>
          <w:szCs w:val="24"/>
        </w:rPr>
      </w:pPr>
      <w:r>
        <w:rPr>
          <w:noProof/>
        </w:rPr>
        <w:t>1.3.</w:t>
      </w:r>
      <w:r>
        <w:rPr>
          <w:noProof/>
        </w:rPr>
        <w:tab/>
        <w:t xml:space="preserve">Charakter wniosku/inicjatywy </w:t>
      </w:r>
    </w:p>
    <w:p w:rsidR="00731D8F" w:rsidRDefault="00214EE0">
      <w:pPr>
        <w:pStyle w:val="Text1"/>
        <w:rPr>
          <w:b/>
          <w:noProof/>
          <w:sz w:val="22"/>
        </w:rPr>
      </w:pPr>
      <w:r>
        <w:rPr>
          <w:noProof/>
          <w:sz w:val="22"/>
        </w:rPr>
        <w:sym w:font="Wingdings" w:char="F0A8"/>
      </w:r>
      <w:r>
        <w:rPr>
          <w:b/>
          <w:i/>
          <w:noProof/>
          <w:sz w:val="22"/>
        </w:rPr>
        <w:t xml:space="preserve"> </w:t>
      </w:r>
      <w:r>
        <w:rPr>
          <w:noProof/>
        </w:rPr>
        <w:t xml:space="preserve">Wniosek/inicjatywa dotyczy </w:t>
      </w:r>
      <w:r>
        <w:rPr>
          <w:b/>
          <w:noProof/>
        </w:rPr>
        <w:t>nowego działania</w:t>
      </w:r>
      <w:r>
        <w:rPr>
          <w:b/>
          <w:noProof/>
          <w:sz w:val="22"/>
        </w:rPr>
        <w:t xml:space="preserve"> </w:t>
      </w:r>
    </w:p>
    <w:p w:rsidR="00731D8F" w:rsidRDefault="00214EE0">
      <w:pPr>
        <w:pStyle w:val="Text1"/>
        <w:rPr>
          <w:noProof/>
          <w:sz w:val="22"/>
        </w:rPr>
      </w:pPr>
      <w:r>
        <w:rPr>
          <w:noProof/>
          <w:sz w:val="22"/>
        </w:rPr>
        <w:sym w:font="Wingdings" w:char="F0A8"/>
      </w:r>
      <w:r>
        <w:rPr>
          <w:i/>
          <w:noProof/>
          <w:sz w:val="22"/>
        </w:rPr>
        <w:t xml:space="preserve"> </w:t>
      </w:r>
      <w:r>
        <w:rPr>
          <w:noProof/>
        </w:rPr>
        <w:t xml:space="preserve">Wniosek/inicjatywa dotyczy </w:t>
      </w:r>
      <w:r>
        <w:rPr>
          <w:b/>
          <w:noProof/>
        </w:rPr>
        <w:t>nowego działani</w:t>
      </w:r>
      <w:r>
        <w:rPr>
          <w:b/>
          <w:noProof/>
        </w:rPr>
        <w:t>a będącego następstwem projektu pilotażowego/działania przygotowawczego</w:t>
      </w:r>
      <w:r>
        <w:rPr>
          <w:rStyle w:val="FootnoteReference"/>
          <w:b/>
          <w:noProof/>
        </w:rPr>
        <w:footnoteReference w:id="39"/>
      </w:r>
      <w:r>
        <w:rPr>
          <w:noProof/>
          <w:sz w:val="22"/>
        </w:rPr>
        <w:t xml:space="preserve"> </w:t>
      </w:r>
    </w:p>
    <w:p w:rsidR="00731D8F" w:rsidRDefault="00214EE0">
      <w:pPr>
        <w:pStyle w:val="Text1"/>
        <w:rPr>
          <w:noProof/>
          <w:sz w:val="22"/>
        </w:rPr>
      </w:pPr>
      <w:r>
        <w:rPr>
          <w:noProof/>
          <w:sz w:val="22"/>
        </w:rPr>
        <w:sym w:font="Wingdings" w:char="F0FE"/>
      </w:r>
      <w:r>
        <w:rPr>
          <w:i/>
          <w:noProof/>
          <w:sz w:val="22"/>
        </w:rPr>
        <w:t xml:space="preserve"> </w:t>
      </w:r>
      <w:r>
        <w:rPr>
          <w:noProof/>
        </w:rPr>
        <w:t xml:space="preserve">Wniosek/inicjatywa wiąże się z </w:t>
      </w:r>
      <w:r>
        <w:rPr>
          <w:b/>
          <w:noProof/>
        </w:rPr>
        <w:t>przedłużeniem bieżącego działania</w:t>
      </w:r>
      <w:r>
        <w:rPr>
          <w:noProof/>
          <w:sz w:val="22"/>
        </w:rPr>
        <w:t xml:space="preserve"> </w:t>
      </w:r>
    </w:p>
    <w:p w:rsidR="00731D8F" w:rsidRDefault="00214EE0">
      <w:pPr>
        <w:pStyle w:val="Text1"/>
        <w:rPr>
          <w:noProof/>
        </w:rPr>
      </w:pPr>
      <w:r>
        <w:rPr>
          <w:noProof/>
          <w:sz w:val="22"/>
        </w:rPr>
        <w:sym w:font="Wingdings" w:char="F0A8"/>
      </w:r>
      <w:r>
        <w:rPr>
          <w:i/>
          <w:noProof/>
          <w:sz w:val="22"/>
        </w:rPr>
        <w:t xml:space="preserve"> </w:t>
      </w:r>
      <w:r>
        <w:rPr>
          <w:noProof/>
        </w:rPr>
        <w:t xml:space="preserve">Wniosek/inicjatywa dotyczy </w:t>
      </w:r>
      <w:r>
        <w:rPr>
          <w:b/>
          <w:noProof/>
        </w:rPr>
        <w:t>działania, które zostało przekształcone pod kątem nowego działania</w:t>
      </w:r>
      <w:r>
        <w:rPr>
          <w:noProof/>
        </w:rPr>
        <w:t xml:space="preserve"> </w:t>
      </w:r>
    </w:p>
    <w:p w:rsidR="00731D8F" w:rsidRDefault="00214EE0">
      <w:pPr>
        <w:pStyle w:val="ManualHeading2"/>
        <w:rPr>
          <w:bCs/>
          <w:noProof/>
          <w:szCs w:val="24"/>
        </w:rPr>
      </w:pPr>
      <w:r>
        <w:rPr>
          <w:noProof/>
        </w:rPr>
        <w:t>1.4.</w:t>
      </w:r>
      <w:r>
        <w:rPr>
          <w:noProof/>
        </w:rPr>
        <w:tab/>
        <w:t>Cele</w:t>
      </w:r>
    </w:p>
    <w:p w:rsidR="00731D8F" w:rsidRDefault="00214EE0">
      <w:pPr>
        <w:pStyle w:val="ManualHeading3"/>
        <w:rPr>
          <w:noProof/>
        </w:rPr>
      </w:pPr>
      <w:r>
        <w:rPr>
          <w:noProof/>
        </w:rPr>
        <w:t>1.4.1.</w:t>
      </w:r>
      <w:r>
        <w:rPr>
          <w:noProof/>
        </w:rPr>
        <w:tab/>
      </w:r>
      <w:r>
        <w:rPr>
          <w:noProof/>
        </w:rPr>
        <w:t xml:space="preserve">Wieloletnie cele strategiczne Komisji wskazane we wniosku/inicjatywie </w:t>
      </w:r>
    </w:p>
    <w:p w:rsidR="00731D8F" w:rsidRDefault="00214EE0">
      <w:pPr>
        <w:pStyle w:val="Text1"/>
        <w:pBdr>
          <w:top w:val="single" w:sz="4" w:space="1" w:color="auto"/>
          <w:left w:val="single" w:sz="4" w:space="4" w:color="auto"/>
          <w:bottom w:val="single" w:sz="4" w:space="1" w:color="auto"/>
          <w:right w:val="single" w:sz="4" w:space="4" w:color="auto"/>
        </w:pBdr>
        <w:rPr>
          <w:noProof/>
        </w:rPr>
      </w:pPr>
      <w:r>
        <w:rPr>
          <w:noProof/>
        </w:rPr>
        <w:t>Cel – W kierunku nowej polityki w dziedzinie migracji</w:t>
      </w:r>
    </w:p>
    <w:p w:rsidR="00731D8F" w:rsidRDefault="00214EE0">
      <w:pPr>
        <w:pStyle w:val="Text1"/>
        <w:pBdr>
          <w:top w:val="single" w:sz="4" w:space="1" w:color="auto"/>
          <w:left w:val="single" w:sz="4" w:space="4" w:color="auto"/>
          <w:bottom w:val="single" w:sz="4" w:space="1" w:color="auto"/>
          <w:right w:val="single" w:sz="4" w:space="4" w:color="auto"/>
        </w:pBdr>
        <w:rPr>
          <w:noProof/>
        </w:rPr>
      </w:pPr>
      <w:r>
        <w:rPr>
          <w:noProof/>
        </w:rPr>
        <w:t xml:space="preserve">Komisja wielokrotnie podkreślała konieczność dokonania przeglądu podstawy prawnej dla SIS w celu włączenia do tego systemu decyzji </w:t>
      </w:r>
      <w:r>
        <w:rPr>
          <w:noProof/>
        </w:rPr>
        <w:t>nakazujących powrót wydanych zgodnie z dyrektywą 2008/115/WE i rozwiązania trwającego kryzysu migracyjnego i uchodźczego. Na przykład w Planie działania UE w zakresie powrotów</w:t>
      </w:r>
      <w:r>
        <w:rPr>
          <w:rStyle w:val="FootnoteReference"/>
          <w:noProof/>
        </w:rPr>
        <w:footnoteReference w:id="40"/>
      </w:r>
      <w:r>
        <w:rPr>
          <w:noProof/>
        </w:rPr>
        <w:t xml:space="preserve"> oraz komunikacie „Sprawniejsze i bardziej inteligentne systemy informacyjne do </w:t>
      </w:r>
      <w:r>
        <w:rPr>
          <w:noProof/>
        </w:rPr>
        <w:t>celów zarządzania granicami i zapewnienia bezpieczeństwa”</w:t>
      </w:r>
      <w:r>
        <w:rPr>
          <w:rStyle w:val="FootnoteReference"/>
          <w:noProof/>
        </w:rPr>
        <w:footnoteReference w:id="41"/>
      </w:r>
      <w:r>
        <w:rPr>
          <w:noProof/>
        </w:rPr>
        <w:t>, które stanowią środki służące realizacji zobowiązań w ramach Europejskiego programu w zakresie migracji</w:t>
      </w:r>
      <w:r>
        <w:rPr>
          <w:rStyle w:val="FootnoteReference"/>
          <w:noProof/>
        </w:rPr>
        <w:footnoteReference w:id="42"/>
      </w:r>
      <w:r>
        <w:rPr>
          <w:noProof/>
        </w:rPr>
        <w:t>, Komisja wskazała na potrzebę lepszego wykorzystywania wielkoskalowych systemów informatycz</w:t>
      </w:r>
      <w:r>
        <w:rPr>
          <w:noProof/>
        </w:rPr>
        <w:t xml:space="preserve">nych na potrzeby zbudowania bardziej skutecznego systemu powrotów. </w:t>
      </w:r>
    </w:p>
    <w:p w:rsidR="00731D8F" w:rsidRDefault="00214EE0">
      <w:pPr>
        <w:pStyle w:val="Text1"/>
        <w:pBdr>
          <w:top w:val="single" w:sz="4" w:space="1" w:color="auto"/>
          <w:left w:val="single" w:sz="4" w:space="4" w:color="auto"/>
          <w:bottom w:val="single" w:sz="4" w:space="1" w:color="auto"/>
          <w:right w:val="single" w:sz="4" w:space="4" w:color="auto"/>
        </w:pBdr>
        <w:rPr>
          <w:noProof/>
        </w:rPr>
      </w:pPr>
      <w:r>
        <w:rPr>
          <w:noProof/>
        </w:rPr>
        <w:t>Nielegalnych migrantów zachęca do działania między innymi świadomość, że unijny system powrotów nielegalnych migrantów lub osób, których wnioski o azyl zostały odrzucone, jest niedoskonały</w:t>
      </w:r>
      <w:r>
        <w:rPr>
          <w:noProof/>
        </w:rPr>
        <w:t>. W komunikacie w sprawie polityki UE w zakresie powrotów</w:t>
      </w:r>
      <w:r>
        <w:rPr>
          <w:rStyle w:val="FootnoteReference"/>
          <w:noProof/>
        </w:rPr>
        <w:footnoteReference w:id="43"/>
      </w:r>
      <w:r>
        <w:rPr>
          <w:noProof/>
        </w:rPr>
        <w:t xml:space="preserve"> Komisja stwierdziła, że można zwiększyć potencjał SIS w obszarze powrotów. Niniejszy wniosek dotyczący rozporządzenia zmierza do rozwiązania tego problemu oraz poprawy spójności między polityką pow</w:t>
      </w:r>
      <w:r>
        <w:rPr>
          <w:noProof/>
        </w:rPr>
        <w:t>rotową i SIS. Ma on na celu określenie warunków i procedur użytkowania SIS na potrzeby powrotu nielegalnie przebywających obywateli państw trzecich, w stosunku do których właściwe organy krajowe wydały decyzję nakazującą powrót zgodnie z dyrektywą 2008/115</w:t>
      </w:r>
      <w:r>
        <w:rPr>
          <w:noProof/>
        </w:rPr>
        <w:t>/WE.</w:t>
      </w:r>
    </w:p>
    <w:p w:rsidR="00731D8F" w:rsidRDefault="00214EE0">
      <w:pPr>
        <w:pStyle w:val="Text1"/>
        <w:pBdr>
          <w:top w:val="single" w:sz="4" w:space="1" w:color="auto"/>
          <w:left w:val="single" w:sz="4" w:space="4" w:color="auto"/>
          <w:bottom w:val="single" w:sz="4" w:space="1" w:color="auto"/>
          <w:right w:val="single" w:sz="4" w:space="4" w:color="auto"/>
        </w:pBdr>
        <w:rPr>
          <w:noProof/>
        </w:rPr>
      </w:pPr>
      <w:r>
        <w:rPr>
          <w:noProof/>
        </w:rPr>
        <w:t>Niniejszy wniosek ma na celu rozszerzenie wykorzystania SIS i w związku z tym ustanawia w kontekście SIS ogólnounijny system wymiany danych dotyczących decyzji nakazujących powrót oraz monitorowania przestrzegania tych decyzji na podstawie badania prz</w:t>
      </w:r>
      <w:r>
        <w:rPr>
          <w:noProof/>
        </w:rPr>
        <w:t>eprowadzonego w celu przeanalizowania wykonalności oraz technicznych i operacyjnych skutków włączenia decyzji nakazujących powrót wydanych zgodnie z dyrektywą 2008/115/WE w SIS do SIS, przy zachowaniu pełnej zgodności z celami Komisji określonymi w wyżej w</w:t>
      </w:r>
      <w:r>
        <w:rPr>
          <w:noProof/>
        </w:rPr>
        <w:t>spomnianych komunikatach oraz w opracowanym przez DG ds. Migracji i Spraw Wewnętrznych Planie strategicznym na lata 2016–2020</w:t>
      </w:r>
      <w:r>
        <w:rPr>
          <w:rStyle w:val="FootnoteReference"/>
          <w:noProof/>
        </w:rPr>
        <w:footnoteReference w:id="44"/>
      </w:r>
      <w:r>
        <w:rPr>
          <w:noProof/>
        </w:rPr>
        <w:t>; jest to zmiana, która znacząco wzmocni wymianę informacji na temat decyzji wydanych przez państwa członkowskie zgodnie z przepis</w:t>
      </w:r>
      <w:r>
        <w:rPr>
          <w:noProof/>
        </w:rPr>
        <w:t>ami dyrektywy 2008/115/WE</w:t>
      </w:r>
      <w:r>
        <w:rPr>
          <w:rStyle w:val="FootnoteReference"/>
          <w:noProof/>
        </w:rPr>
        <w:footnoteReference w:id="45"/>
      </w:r>
      <w:r>
        <w:rPr>
          <w:noProof/>
        </w:rPr>
        <w:t>.</w:t>
      </w:r>
    </w:p>
    <w:p w:rsidR="00731D8F" w:rsidRDefault="00214EE0">
      <w:pPr>
        <w:pStyle w:val="ManualHeading3"/>
        <w:rPr>
          <w:bCs/>
          <w:noProof/>
          <w:szCs w:val="24"/>
        </w:rPr>
      </w:pPr>
      <w:r>
        <w:rPr>
          <w:noProof/>
        </w:rPr>
        <w:t>1.4.2.</w:t>
      </w:r>
      <w:r>
        <w:rPr>
          <w:noProof/>
        </w:rPr>
        <w:tab/>
        <w:t xml:space="preserve">Cele szczegółowe i działania ABM/ABB, których dotyczy wniosek/inicjatywa </w:t>
      </w:r>
    </w:p>
    <w:p w:rsidR="00731D8F" w:rsidRDefault="00214EE0">
      <w:pPr>
        <w:pStyle w:val="Text1"/>
        <w:pBdr>
          <w:top w:val="single" w:sz="4" w:space="1" w:color="auto"/>
          <w:left w:val="single" w:sz="4" w:space="4" w:color="auto"/>
          <w:bottom w:val="single" w:sz="4" w:space="1" w:color="auto"/>
          <w:right w:val="single" w:sz="4" w:space="4" w:color="auto"/>
        </w:pBdr>
        <w:rPr>
          <w:noProof/>
          <w:u w:val="single"/>
        </w:rPr>
      </w:pPr>
      <w:r>
        <w:rPr>
          <w:noProof/>
          <w:u w:val="single"/>
        </w:rPr>
        <w:t xml:space="preserve">Cel szczegółowy </w:t>
      </w:r>
    </w:p>
    <w:p w:rsidR="00731D8F" w:rsidRDefault="00214EE0">
      <w:pPr>
        <w:pStyle w:val="Text1"/>
        <w:pBdr>
          <w:top w:val="single" w:sz="4" w:space="1" w:color="auto"/>
          <w:left w:val="single" w:sz="4" w:space="4" w:color="auto"/>
          <w:bottom w:val="single" w:sz="4" w:space="1" w:color="auto"/>
          <w:right w:val="single" w:sz="4" w:space="4" w:color="auto"/>
        </w:pBdr>
        <w:rPr>
          <w:noProof/>
        </w:rPr>
      </w:pPr>
      <w:r>
        <w:rPr>
          <w:noProof/>
        </w:rPr>
        <w:t xml:space="preserve">Opracowany przez DG ds. Migracji i Spraw Wewnętrznych Plan strategiczny na lata 2016 – 2017 oraz Plan zarządzania na 2017 r. </w:t>
      </w:r>
    </w:p>
    <w:p w:rsidR="00731D8F" w:rsidRDefault="00214EE0">
      <w:pPr>
        <w:pStyle w:val="Text1"/>
        <w:pBdr>
          <w:top w:val="single" w:sz="4" w:space="1" w:color="auto"/>
          <w:left w:val="single" w:sz="4" w:space="4" w:color="auto"/>
          <w:bottom w:val="single" w:sz="4" w:space="1" w:color="auto"/>
          <w:right w:val="single" w:sz="4" w:space="4" w:color="auto"/>
        </w:pBdr>
        <w:rPr>
          <w:noProof/>
        </w:rPr>
      </w:pPr>
      <w:r>
        <w:rPr>
          <w:noProof/>
        </w:rPr>
        <w:t xml:space="preserve">Cel </w:t>
      </w:r>
      <w:r>
        <w:rPr>
          <w:noProof/>
        </w:rPr>
        <w:t>szczegółowy nr 1.1: Ograniczenie zachęt do nielegalnej migracji (skuteczna polityka powrotowa)</w:t>
      </w:r>
    </w:p>
    <w:p w:rsidR="00731D8F" w:rsidRDefault="00214EE0">
      <w:pPr>
        <w:pStyle w:val="Text1"/>
        <w:pBdr>
          <w:top w:val="single" w:sz="4" w:space="1" w:color="auto"/>
          <w:left w:val="single" w:sz="4" w:space="4" w:color="auto"/>
          <w:bottom w:val="single" w:sz="4" w:space="1" w:color="auto"/>
          <w:right w:val="single" w:sz="4" w:space="4" w:color="auto"/>
        </w:pBdr>
        <w:rPr>
          <w:noProof/>
          <w:u w:val="single"/>
        </w:rPr>
      </w:pPr>
      <w:r>
        <w:rPr>
          <w:noProof/>
          <w:u w:val="single"/>
        </w:rPr>
        <w:t xml:space="preserve">Działania ABM/ABB, których dotyczy wniosek/inicjatywa </w:t>
      </w:r>
    </w:p>
    <w:p w:rsidR="00731D8F" w:rsidRDefault="00214EE0">
      <w:pPr>
        <w:pStyle w:val="Text1"/>
        <w:pBdr>
          <w:top w:val="single" w:sz="4" w:space="1" w:color="auto"/>
          <w:left w:val="single" w:sz="4" w:space="4" w:color="auto"/>
          <w:bottom w:val="single" w:sz="4" w:space="1" w:color="auto"/>
          <w:right w:val="single" w:sz="4" w:space="4" w:color="auto"/>
        </w:pBdr>
        <w:rPr>
          <w:noProof/>
        </w:rPr>
      </w:pPr>
      <w:r>
        <w:rPr>
          <w:noProof/>
        </w:rPr>
        <w:t>Rozdział 18 02 – Bezpieczeństwo wewnętrzne</w:t>
      </w:r>
    </w:p>
    <w:p w:rsidR="00731D8F" w:rsidRDefault="00214EE0">
      <w:pPr>
        <w:pStyle w:val="ManualHeading3"/>
        <w:rPr>
          <w:bCs/>
          <w:noProof/>
          <w:szCs w:val="24"/>
        </w:rPr>
      </w:pPr>
      <w:r>
        <w:rPr>
          <w:noProof/>
        </w:rPr>
        <w:br w:type="page"/>
        <w:t>1.4.3.</w:t>
      </w:r>
      <w:r>
        <w:rPr>
          <w:noProof/>
        </w:rPr>
        <w:tab/>
        <w:t>Oczekiwane wyniki i wpływ</w:t>
      </w:r>
    </w:p>
    <w:p w:rsidR="00731D8F" w:rsidRDefault="00214EE0">
      <w:pPr>
        <w:pStyle w:val="Text1"/>
        <w:rPr>
          <w:i/>
          <w:noProof/>
          <w:sz w:val="20"/>
        </w:rPr>
      </w:pPr>
      <w:r>
        <w:rPr>
          <w:i/>
          <w:noProof/>
          <w:sz w:val="20"/>
        </w:rPr>
        <w:t xml:space="preserve">Należy wskazać, jakie efekty </w:t>
      </w:r>
      <w:r>
        <w:rPr>
          <w:i/>
          <w:noProof/>
          <w:sz w:val="20"/>
        </w:rPr>
        <w:t>przyniesie wniosek/inicjatywa beneficjentom/grupie docelowej.</w:t>
      </w:r>
    </w:p>
    <w:p w:rsidR="00731D8F" w:rsidRDefault="00214EE0">
      <w:pPr>
        <w:pStyle w:val="Text1"/>
        <w:pBdr>
          <w:top w:val="single" w:sz="4" w:space="1" w:color="auto"/>
          <w:left w:val="single" w:sz="4" w:space="4" w:color="auto"/>
          <w:bottom w:val="single" w:sz="4" w:space="1" w:color="auto"/>
          <w:right w:val="single" w:sz="4" w:space="4" w:color="auto"/>
        </w:pBdr>
        <w:rPr>
          <w:noProof/>
        </w:rPr>
      </w:pPr>
      <w:r>
        <w:rPr>
          <w:noProof/>
        </w:rPr>
        <w:t>Wprowadzanie decyzji nakazujących powrót wydanych zgodnie z dyrektywą 2008/115/WE jako wpisów w SIS przyniesie wymierne korzyści, zwłaszcza w odniesieniu do widoczności informacji w państwach cz</w:t>
      </w:r>
      <w:r>
        <w:rPr>
          <w:noProof/>
        </w:rPr>
        <w:t>łonkowskich oraz usprawnienia działań następczych.</w:t>
      </w:r>
    </w:p>
    <w:p w:rsidR="00731D8F" w:rsidRDefault="00214EE0">
      <w:pPr>
        <w:pStyle w:val="Text1"/>
        <w:pBdr>
          <w:top w:val="single" w:sz="4" w:space="1" w:color="auto"/>
          <w:left w:val="single" w:sz="4" w:space="4" w:color="auto"/>
          <w:bottom w:val="single" w:sz="4" w:space="1" w:color="auto"/>
          <w:right w:val="single" w:sz="4" w:space="4" w:color="auto"/>
        </w:pBdr>
        <w:rPr>
          <w:noProof/>
        </w:rPr>
      </w:pPr>
      <w:r>
        <w:rPr>
          <w:noProof/>
        </w:rPr>
        <w:t>Wniosek przewiduje wsparcie dla właściwych organów krajowych w wysiłkach na rzecz:</w:t>
      </w:r>
    </w:p>
    <w:p w:rsidR="00731D8F" w:rsidRDefault="00214EE0">
      <w:pPr>
        <w:pStyle w:val="Text1"/>
        <w:pBdr>
          <w:top w:val="single" w:sz="4" w:space="1" w:color="auto"/>
          <w:left w:val="single" w:sz="4" w:space="4" w:color="auto"/>
          <w:bottom w:val="single" w:sz="4" w:space="1" w:color="auto"/>
          <w:right w:val="single" w:sz="4" w:space="4" w:color="auto"/>
        </w:pBdr>
        <w:rPr>
          <w:noProof/>
        </w:rPr>
      </w:pPr>
      <w:r>
        <w:rPr>
          <w:noProof/>
        </w:rPr>
        <w:t xml:space="preserve">1. monitorowania, czy wykonano zobowiązanie do powrotu w odniesieniu do każdej decyzji nakazującej powrót wydanej zgodnie </w:t>
      </w:r>
      <w:r>
        <w:rPr>
          <w:noProof/>
        </w:rPr>
        <w:t>z dyrektywą 2008/115/WE;</w:t>
      </w:r>
    </w:p>
    <w:p w:rsidR="00731D8F" w:rsidRDefault="00214EE0">
      <w:pPr>
        <w:pStyle w:val="Text1"/>
        <w:pBdr>
          <w:top w:val="single" w:sz="4" w:space="1" w:color="auto"/>
          <w:left w:val="single" w:sz="4" w:space="4" w:color="auto"/>
          <w:bottom w:val="single" w:sz="4" w:space="1" w:color="auto"/>
          <w:right w:val="single" w:sz="4" w:space="4" w:color="auto"/>
        </w:pBdr>
        <w:rPr>
          <w:noProof/>
        </w:rPr>
      </w:pPr>
      <w:r>
        <w:rPr>
          <w:noProof/>
        </w:rPr>
        <w:t>2. wyegzekwowania decyzji w przypadku niewykonania tego zobowiązania;</w:t>
      </w:r>
    </w:p>
    <w:p w:rsidR="00731D8F" w:rsidRDefault="00214EE0">
      <w:pPr>
        <w:pStyle w:val="Text1"/>
        <w:pBdr>
          <w:top w:val="single" w:sz="4" w:space="1" w:color="auto"/>
          <w:left w:val="single" w:sz="4" w:space="4" w:color="auto"/>
          <w:bottom w:val="single" w:sz="4" w:space="1" w:color="auto"/>
          <w:right w:val="single" w:sz="4" w:space="4" w:color="auto"/>
        </w:pBdr>
        <w:rPr>
          <w:noProof/>
        </w:rPr>
      </w:pPr>
      <w:r>
        <w:rPr>
          <w:noProof/>
        </w:rPr>
        <w:t>3. zweryfikowania, czy obywatel państwa trzeciego przebywający nielegalnie na terytorium jednego państwa członkowskiego jest objęty decyzją nakazującą powrót wyd</w:t>
      </w:r>
      <w:r>
        <w:rPr>
          <w:noProof/>
        </w:rPr>
        <w:t>aną przez inne państwo członkowskie;</w:t>
      </w:r>
    </w:p>
    <w:p w:rsidR="00731D8F" w:rsidRDefault="00214EE0">
      <w:pPr>
        <w:pStyle w:val="Text1"/>
        <w:pBdr>
          <w:top w:val="single" w:sz="4" w:space="1" w:color="auto"/>
          <w:left w:val="single" w:sz="4" w:space="4" w:color="auto"/>
          <w:bottom w:val="single" w:sz="4" w:space="1" w:color="auto"/>
          <w:right w:val="single" w:sz="4" w:space="4" w:color="auto"/>
        </w:pBdr>
        <w:rPr>
          <w:noProof/>
        </w:rPr>
      </w:pPr>
      <w:r>
        <w:rPr>
          <w:noProof/>
        </w:rPr>
        <w:t>4. wykonywania decyzji w imieniu innych państw członkowskich;</w:t>
      </w:r>
    </w:p>
    <w:p w:rsidR="00731D8F" w:rsidRDefault="00214EE0">
      <w:pPr>
        <w:pStyle w:val="Text1"/>
        <w:pBdr>
          <w:top w:val="single" w:sz="4" w:space="1" w:color="auto"/>
          <w:left w:val="single" w:sz="4" w:space="4" w:color="auto"/>
          <w:bottom w:val="single" w:sz="4" w:space="1" w:color="auto"/>
          <w:right w:val="single" w:sz="4" w:space="4" w:color="auto"/>
        </w:pBdr>
        <w:rPr>
          <w:noProof/>
        </w:rPr>
      </w:pPr>
      <w:r>
        <w:rPr>
          <w:noProof/>
        </w:rPr>
        <w:t>5. identyfikowania nielegalnie przebywających obywateli państw trzecich w oparciu o informacje na temat decyzji podlegających wykonaniu;</w:t>
      </w:r>
    </w:p>
    <w:p w:rsidR="00731D8F" w:rsidRDefault="00214EE0">
      <w:pPr>
        <w:pStyle w:val="Text1"/>
        <w:pBdr>
          <w:top w:val="single" w:sz="4" w:space="1" w:color="auto"/>
          <w:left w:val="single" w:sz="4" w:space="4" w:color="auto"/>
          <w:bottom w:val="single" w:sz="4" w:space="1" w:color="auto"/>
          <w:right w:val="single" w:sz="4" w:space="4" w:color="auto"/>
        </w:pBdr>
        <w:rPr>
          <w:noProof/>
        </w:rPr>
      </w:pPr>
      <w:r>
        <w:rPr>
          <w:noProof/>
        </w:rPr>
        <w:t>6. gromadzenia staty</w:t>
      </w:r>
      <w:r>
        <w:rPr>
          <w:noProof/>
        </w:rPr>
        <w:t>styk dotyczących przypadków wykonania i niewykonania decyzji nakazujących powrót.</w:t>
      </w:r>
    </w:p>
    <w:p w:rsidR="00731D8F" w:rsidRDefault="00214EE0">
      <w:pPr>
        <w:pStyle w:val="Text1"/>
        <w:pBdr>
          <w:top w:val="single" w:sz="4" w:space="1" w:color="auto"/>
          <w:left w:val="single" w:sz="4" w:space="4" w:color="auto"/>
          <w:bottom w:val="single" w:sz="4" w:space="1" w:color="auto"/>
          <w:right w:val="single" w:sz="4" w:space="4" w:color="auto"/>
        </w:pBdr>
        <w:rPr>
          <w:noProof/>
        </w:rPr>
      </w:pPr>
      <w:r>
        <w:rPr>
          <w:noProof/>
        </w:rPr>
        <w:t>Niniejszy wniosek będzie miał pozytywny wpływ na pracę użytkowników końcowych. Funkcjonariusze w terenie oraz organy dokonujące wpisów będą dysponowały lepszymi informacjami,</w:t>
      </w:r>
      <w:r>
        <w:rPr>
          <w:noProof/>
        </w:rPr>
        <w:t xml:space="preserve"> które umożliwią im podejmowanie najwłaściwszych działań w odpowiednim czasie. Wniosek dotyczący rozporządzenia zasadniczo zapewnia państwom członkowskim dodatkowe narzędzie służące wypełnianiu obowiązku polegającego na podejmowaniu wszelkich niezbędnych ś</w:t>
      </w:r>
      <w:r>
        <w:rPr>
          <w:noProof/>
        </w:rPr>
        <w:t>rodków w celu zapewnienia skutecznego wykonywania decyzji nakazujących powrót wydanych zgodnie z dyrektywą 2008/115/WE.</w:t>
      </w:r>
    </w:p>
    <w:p w:rsidR="00731D8F" w:rsidRDefault="00214EE0">
      <w:pPr>
        <w:pStyle w:val="Text1"/>
        <w:pBdr>
          <w:top w:val="single" w:sz="4" w:space="1" w:color="auto"/>
          <w:left w:val="single" w:sz="4" w:space="4" w:color="auto"/>
          <w:bottom w:val="single" w:sz="4" w:space="1" w:color="auto"/>
          <w:right w:val="single" w:sz="4" w:space="4" w:color="auto"/>
        </w:pBdr>
        <w:rPr>
          <w:noProof/>
        </w:rPr>
      </w:pPr>
      <w:r>
        <w:rPr>
          <w:noProof/>
        </w:rPr>
        <w:t>Szereg zmian technicznych i operacyjnych wpłynie na obecne praktyki, organizację i infrastrukturę. Główne skutki wprowadzania decyzji na</w:t>
      </w:r>
      <w:r>
        <w:rPr>
          <w:noProof/>
        </w:rPr>
        <w:t>kazujących powrót wydanych zgodnie z dyrektywą 2008/115/WE do SIS obejmują nowe/zmienione procedury operacyjne, dodatkowe kategorie danych we wpisach dotyczących powrotu i nowe funkcje SIS (np. funkcję powiadamiania państwa dokonującego wpisu o upływie ter</w:t>
      </w:r>
      <w:r>
        <w:rPr>
          <w:noProof/>
        </w:rPr>
        <w:t xml:space="preserve">minu dobrowolnego wyjazdu). Zmiany te wymagają stworzenia w państwach członkowskich odpowiedniej infrastruktury w celu dokonywania wpisów dotyczących powrotów w SIS oraz zarządzania nimi, a także dodatkowych zdolności do przechowywania danych w centralnym </w:t>
      </w:r>
      <w:r>
        <w:rPr>
          <w:noProof/>
        </w:rPr>
        <w:t>SIS.</w:t>
      </w:r>
    </w:p>
    <w:p w:rsidR="00731D8F" w:rsidRDefault="00214EE0">
      <w:pPr>
        <w:pStyle w:val="Text1"/>
        <w:pBdr>
          <w:top w:val="single" w:sz="4" w:space="1" w:color="auto"/>
          <w:left w:val="single" w:sz="4" w:space="4" w:color="auto"/>
          <w:bottom w:val="single" w:sz="4" w:space="1" w:color="auto"/>
          <w:right w:val="single" w:sz="4" w:space="4" w:color="auto"/>
        </w:pBdr>
        <w:rPr>
          <w:noProof/>
        </w:rPr>
      </w:pPr>
      <w:r>
        <w:rPr>
          <w:noProof/>
        </w:rPr>
        <w:t xml:space="preserve">Analiza obciążenia pracą wykazała, że wszystkie zainteresowane podmioty (a zwłaszcza straż graniczna, policja i organy wydające decyzje nakazujące powrót) będą bardziej obciążone pracą ze względu na konieczność zarządzania wpisami dotyczącymi powrotu </w:t>
      </w:r>
      <w:r>
        <w:rPr>
          <w:noProof/>
        </w:rPr>
        <w:t xml:space="preserve">oraz podejmowania działań następczych w odniesieniu do większej liczby trafień. </w:t>
      </w:r>
    </w:p>
    <w:p w:rsidR="00731D8F" w:rsidRDefault="00214EE0">
      <w:pPr>
        <w:pStyle w:val="Text1"/>
        <w:pBdr>
          <w:top w:val="single" w:sz="4" w:space="1" w:color="auto"/>
          <w:left w:val="single" w:sz="4" w:space="4" w:color="auto"/>
          <w:bottom w:val="single" w:sz="4" w:space="1" w:color="auto"/>
          <w:right w:val="single" w:sz="4" w:space="4" w:color="auto"/>
        </w:pBdr>
        <w:rPr>
          <w:noProof/>
        </w:rPr>
      </w:pPr>
      <w:r>
        <w:rPr>
          <w:noProof/>
        </w:rPr>
        <w:t xml:space="preserve">Istnieje również potrzeba zapewnienia minimalnego poziomu harmonizacji pomiędzy państwami członkowskimi w odniesieniu do działań podejmowanych wobec osób, które są już objęte </w:t>
      </w:r>
      <w:r>
        <w:rPr>
          <w:noProof/>
        </w:rPr>
        <w:t xml:space="preserve">decyzjami wydanymi zgodnie z dyrektywą 2008/115/WE przez inne państwo członkowskie. </w:t>
      </w:r>
    </w:p>
    <w:p w:rsidR="00731D8F" w:rsidRDefault="00214EE0">
      <w:pPr>
        <w:pStyle w:val="Text1"/>
        <w:pBdr>
          <w:top w:val="single" w:sz="4" w:space="1" w:color="auto"/>
          <w:left w:val="single" w:sz="4" w:space="4" w:color="auto"/>
          <w:bottom w:val="single" w:sz="4" w:space="1" w:color="auto"/>
          <w:right w:val="single" w:sz="4" w:space="4" w:color="auto"/>
        </w:pBdr>
        <w:rPr>
          <w:noProof/>
        </w:rPr>
      </w:pPr>
      <w:r>
        <w:rPr>
          <w:noProof/>
        </w:rPr>
        <w:t>Ponieważ wniosek obejmuje przetwarzanie danych osobowych, może on wreszcie wpływać na prawa podstawowe jednostki. Wpływ ten został jednak wzięty pod uwagę podczas opracowy</w:t>
      </w:r>
      <w:r>
        <w:rPr>
          <w:noProof/>
        </w:rPr>
        <w:t>wania wniosku – wprowadzono odpowiednie gwarancje mające na celu przestrzeganie zasad określonych w Karcie praw podstawowych UE, w szczególności w jej art. 8.</w:t>
      </w:r>
    </w:p>
    <w:p w:rsidR="00731D8F" w:rsidRDefault="00214EE0">
      <w:pPr>
        <w:pStyle w:val="ManualHeading3"/>
        <w:rPr>
          <w:bCs/>
          <w:noProof/>
          <w:szCs w:val="24"/>
        </w:rPr>
      </w:pPr>
      <w:r>
        <w:rPr>
          <w:noProof/>
        </w:rPr>
        <w:t>1.4.4.</w:t>
      </w:r>
      <w:r>
        <w:rPr>
          <w:noProof/>
        </w:rPr>
        <w:tab/>
        <w:t xml:space="preserve">Wskaźniki wyników i wpływu </w:t>
      </w:r>
    </w:p>
    <w:p w:rsidR="00731D8F" w:rsidRDefault="00214EE0">
      <w:pPr>
        <w:pStyle w:val="Text1"/>
        <w:rPr>
          <w:i/>
          <w:noProof/>
          <w:sz w:val="20"/>
        </w:rPr>
      </w:pPr>
      <w:r>
        <w:rPr>
          <w:i/>
          <w:noProof/>
          <w:sz w:val="20"/>
        </w:rPr>
        <w:t>Należy określić wskaźniki, które umożliwią monitorowanie reali</w:t>
      </w:r>
      <w:r>
        <w:rPr>
          <w:i/>
          <w:noProof/>
          <w:sz w:val="20"/>
        </w:rPr>
        <w:t>zacji wniosku/inicjatywy.</w:t>
      </w:r>
    </w:p>
    <w:p w:rsidR="00731D8F" w:rsidRDefault="00214EE0">
      <w:pPr>
        <w:pStyle w:val="Text1"/>
        <w:pBdr>
          <w:top w:val="single" w:sz="4" w:space="1" w:color="auto"/>
          <w:left w:val="single" w:sz="4" w:space="4" w:color="auto"/>
          <w:bottom w:val="single" w:sz="4" w:space="1" w:color="auto"/>
          <w:right w:val="single" w:sz="4" w:space="4" w:color="auto"/>
        </w:pBdr>
        <w:rPr>
          <w:noProof/>
        </w:rPr>
      </w:pPr>
      <w:r>
        <w:rPr>
          <w:noProof/>
        </w:rPr>
        <w:t>W trakcie modernizacji systemu:</w:t>
      </w:r>
    </w:p>
    <w:p w:rsidR="00731D8F" w:rsidRDefault="00214EE0">
      <w:pPr>
        <w:pStyle w:val="Text1"/>
        <w:pBdr>
          <w:top w:val="single" w:sz="4" w:space="1" w:color="auto"/>
          <w:left w:val="single" w:sz="4" w:space="4" w:color="auto"/>
          <w:bottom w:val="single" w:sz="4" w:space="1" w:color="auto"/>
          <w:right w:val="single" w:sz="4" w:space="4" w:color="auto"/>
        </w:pBdr>
        <w:rPr>
          <w:noProof/>
        </w:rPr>
      </w:pPr>
      <w:r>
        <w:rPr>
          <w:noProof/>
        </w:rPr>
        <w:t>Po zatwierdzeniu projektu wniosku i przyjęciu specyfikacji technicznych i przepisów wykonawczych SIS zostanie poddany modernizacji w celu wdrożenia proponowanych zmian. Koordynacją zarządzania proje</w:t>
      </w:r>
      <w:r>
        <w:rPr>
          <w:noProof/>
        </w:rPr>
        <w:t>ktem modernizacji systemu zajmie się eu-LISA. Agencja opracuje strukturę zarządzania projektem i przedstawi szczegółowy harmonogram zawierający kluczowe etapy służące wdrożeniu proponowanych zmian, który umożliwi Komisji ścisłe monitorowanie realizacji wni</w:t>
      </w:r>
      <w:r>
        <w:rPr>
          <w:noProof/>
        </w:rPr>
        <w:t>osku.</w:t>
      </w:r>
    </w:p>
    <w:p w:rsidR="00731D8F" w:rsidRDefault="00214EE0">
      <w:pPr>
        <w:pStyle w:val="Text1"/>
        <w:pBdr>
          <w:top w:val="single" w:sz="4" w:space="1" w:color="auto"/>
          <w:left w:val="single" w:sz="4" w:space="4" w:color="auto"/>
          <w:bottom w:val="single" w:sz="4" w:space="1" w:color="auto"/>
          <w:right w:val="single" w:sz="4" w:space="4" w:color="auto"/>
        </w:pBdr>
        <w:rPr>
          <w:noProof/>
        </w:rPr>
      </w:pPr>
      <w:r>
        <w:rPr>
          <w:noProof/>
        </w:rPr>
        <w:t>Cel szczegółowy – Uruchomienie zaktualizowanych funkcji SIS w 2020 r.</w:t>
      </w:r>
    </w:p>
    <w:p w:rsidR="00731D8F" w:rsidRDefault="00214EE0">
      <w:pPr>
        <w:pStyle w:val="Text1"/>
        <w:pBdr>
          <w:top w:val="single" w:sz="4" w:space="1" w:color="auto"/>
          <w:left w:val="single" w:sz="4" w:space="4" w:color="auto"/>
          <w:bottom w:val="single" w:sz="4" w:space="1" w:color="auto"/>
          <w:right w:val="single" w:sz="4" w:space="4" w:color="auto"/>
        </w:pBdr>
        <w:rPr>
          <w:noProof/>
        </w:rPr>
      </w:pPr>
      <w:r>
        <w:rPr>
          <w:noProof/>
        </w:rPr>
        <w:t xml:space="preserve">Wskaźnik – pomyślne ukończenie fazy testowej zmienionego systemu. </w:t>
      </w:r>
    </w:p>
    <w:p w:rsidR="00731D8F" w:rsidRDefault="00214EE0">
      <w:pPr>
        <w:pStyle w:val="Text1"/>
        <w:pBdr>
          <w:top w:val="single" w:sz="4" w:space="1" w:color="auto"/>
          <w:left w:val="single" w:sz="4" w:space="4" w:color="auto"/>
          <w:bottom w:val="single" w:sz="4" w:space="1" w:color="auto"/>
          <w:right w:val="single" w:sz="4" w:space="4" w:color="auto"/>
        </w:pBdr>
        <w:rPr>
          <w:noProof/>
        </w:rPr>
      </w:pPr>
      <w:r>
        <w:rPr>
          <w:noProof/>
        </w:rPr>
        <w:t>Z chwilą rozpoczęcia funkcjonowania systemu:</w:t>
      </w:r>
    </w:p>
    <w:p w:rsidR="00731D8F" w:rsidRDefault="00214EE0">
      <w:pPr>
        <w:pStyle w:val="Text1"/>
        <w:pBdr>
          <w:top w:val="single" w:sz="4" w:space="1" w:color="auto"/>
          <w:left w:val="single" w:sz="4" w:space="4" w:color="auto"/>
          <w:bottom w:val="single" w:sz="4" w:space="1" w:color="auto"/>
          <w:right w:val="single" w:sz="4" w:space="4" w:color="auto"/>
        </w:pBdr>
        <w:rPr>
          <w:noProof/>
        </w:rPr>
      </w:pPr>
      <w:r>
        <w:rPr>
          <w:noProof/>
        </w:rPr>
        <w:t>Z chwilą rozpoczęcia funkcjonowania systemu eu-LISA zapewni, by wpro</w:t>
      </w:r>
      <w:r>
        <w:rPr>
          <w:noProof/>
        </w:rPr>
        <w:t>wadzono procedury pozwalające kontrolować, na ile SIS służy swojemu przeznaczeniu pod kątem wyników, opłacalności, bezpieczeństwa i jakości usług. Dwa lata po rozpoczęciu eksploatacji SIS, a następnie co dwa lata eu-LISA ma obowiązek przedkładać Parlamento</w:t>
      </w:r>
      <w:r>
        <w:rPr>
          <w:noProof/>
        </w:rPr>
        <w:t>wi Europejskiemu i Radzie sprawozdanie dotyczące technicznej sprawności centralnego SIS i infrastruktury łączności, w tym ich bezpieczeństwa, oraz dwustronnej i wielostronnej wymiany informacji uzupełniających pomiędzy państwami członkowskimi. Ponadto eu-L</w:t>
      </w:r>
      <w:r>
        <w:rPr>
          <w:noProof/>
        </w:rPr>
        <w:t>ISA sporządza dziennie, miesięczne i roczne statystyki pokazujące liczbę rekordów przypadających na daną kategorię wpisów, liczbę uzyskanych rocznie w systemie trafień przypadających na daną kategorię wpisów, liczbę wyszukiwań SIS oraz liczbę wejść do syst</w:t>
      </w:r>
      <w:r>
        <w:rPr>
          <w:noProof/>
        </w:rPr>
        <w:t xml:space="preserve">emu w celu wprowadzenia, zaktualizowania lub usunięcia wpisu ogółem oraz w rozbiciu na poszczególne państwa członkowskie. </w:t>
      </w:r>
    </w:p>
    <w:p w:rsidR="00731D8F" w:rsidRDefault="00214EE0">
      <w:pPr>
        <w:pStyle w:val="Text1"/>
        <w:pBdr>
          <w:top w:val="single" w:sz="4" w:space="1" w:color="auto"/>
          <w:left w:val="single" w:sz="4" w:space="4" w:color="auto"/>
          <w:bottom w:val="single" w:sz="4" w:space="1" w:color="auto"/>
          <w:right w:val="single" w:sz="4" w:space="4" w:color="auto"/>
        </w:pBdr>
        <w:rPr>
          <w:noProof/>
        </w:rPr>
      </w:pPr>
      <w:r>
        <w:rPr>
          <w:noProof/>
        </w:rPr>
        <w:t>Trzy lata po rozpoczęciu eksploatacji SIS, a następnie co cztery lata Komisja sporządza ogólną ocenę centralnego SIS oraz dwustronnej</w:t>
      </w:r>
      <w:r>
        <w:rPr>
          <w:noProof/>
        </w:rPr>
        <w:t xml:space="preserve"> i wielostronnej wymiany informacji uzupełniających pomiędzy państwami członkowskimi. W takiej ogólnej ocenie zawiera się analizę osiągniętych wyników w zestawieniu z celami i określa się, na ile wciąż aktualne są pierwotne przesłanki, w jaki sposób niniej</w:t>
      </w:r>
      <w:r>
        <w:rPr>
          <w:noProof/>
        </w:rPr>
        <w:t>sze rozporządzenie stosowane jest do centralnego SIS, na ile bezpieczny jest centralny SIS i jakie będą konsekwencje dla przyszłych operacji. Komisja przekazuje ocenę Parlamentowi Europejskiemu i Radzie.</w:t>
      </w:r>
    </w:p>
    <w:p w:rsidR="00731D8F" w:rsidRDefault="00214EE0">
      <w:pPr>
        <w:pStyle w:val="Text1"/>
        <w:pBdr>
          <w:top w:val="single" w:sz="4" w:space="1" w:color="auto"/>
          <w:left w:val="single" w:sz="4" w:space="4" w:color="auto"/>
          <w:bottom w:val="single" w:sz="4" w:space="1" w:color="auto"/>
          <w:right w:val="single" w:sz="4" w:space="4" w:color="auto"/>
        </w:pBdr>
        <w:rPr>
          <w:noProof/>
        </w:rPr>
      </w:pPr>
      <w:r>
        <w:rPr>
          <w:noProof/>
          <w:u w:val="single"/>
        </w:rPr>
        <w:t>Cel szczegółowy –</w:t>
      </w:r>
      <w:r>
        <w:rPr>
          <w:noProof/>
        </w:rPr>
        <w:t xml:space="preserve"> skuteczne wykorzystanie SIS na potrzeby powrotów nielegalnie przebywających obywateli państw trzecich.</w:t>
      </w:r>
    </w:p>
    <w:p w:rsidR="00731D8F" w:rsidRDefault="00214EE0">
      <w:pPr>
        <w:pStyle w:val="Text1"/>
        <w:pBdr>
          <w:top w:val="single" w:sz="4" w:space="1" w:color="auto"/>
          <w:left w:val="single" w:sz="4" w:space="4" w:color="auto"/>
          <w:bottom w:val="single" w:sz="4" w:space="1" w:color="auto"/>
          <w:right w:val="single" w:sz="4" w:space="4" w:color="auto"/>
        </w:pBdr>
        <w:rPr>
          <w:noProof/>
        </w:rPr>
      </w:pPr>
      <w:r>
        <w:rPr>
          <w:noProof/>
          <w:u w:val="single"/>
        </w:rPr>
        <w:t>Wskaźnik –</w:t>
      </w:r>
      <w:r>
        <w:rPr>
          <w:noProof/>
        </w:rPr>
        <w:t xml:space="preserve"> sprawozdania statystyczne dotyczące liczby wpisów, wydawane przez eu-LISA, oraz liczby trafień, przedstawiane przez państwa członkowskie, umo</w:t>
      </w:r>
      <w:r>
        <w:rPr>
          <w:noProof/>
        </w:rPr>
        <w:t>żliwią Komisji dokonanie oceny wyników i wpływu inicjatywy oraz tego, w jaki sposób jest ona wdrażana przez państwa członkowskie.</w:t>
      </w:r>
    </w:p>
    <w:p w:rsidR="00731D8F" w:rsidRDefault="00214EE0">
      <w:pPr>
        <w:pStyle w:val="ManualHeading2"/>
        <w:rPr>
          <w:bCs/>
          <w:noProof/>
          <w:szCs w:val="24"/>
        </w:rPr>
      </w:pPr>
      <w:r>
        <w:rPr>
          <w:noProof/>
        </w:rPr>
        <w:t>1.5.</w:t>
      </w:r>
      <w:r>
        <w:rPr>
          <w:noProof/>
        </w:rPr>
        <w:tab/>
        <w:t xml:space="preserve">Uzasadnienie wniosku/inicjatywy </w:t>
      </w:r>
    </w:p>
    <w:p w:rsidR="00731D8F" w:rsidRDefault="00214EE0">
      <w:pPr>
        <w:pStyle w:val="ManualHeading3"/>
        <w:rPr>
          <w:noProof/>
        </w:rPr>
      </w:pPr>
      <w:r>
        <w:rPr>
          <w:noProof/>
        </w:rPr>
        <w:t>1.5.1.</w:t>
      </w:r>
      <w:r>
        <w:rPr>
          <w:noProof/>
        </w:rPr>
        <w:tab/>
        <w:t xml:space="preserve">Potrzeby, które należy zaspokoić w perspektywie krótko- lub długoterminowej </w:t>
      </w:r>
    </w:p>
    <w:p w:rsidR="00731D8F" w:rsidRDefault="00214EE0">
      <w:pPr>
        <w:pStyle w:val="Text1"/>
        <w:pBdr>
          <w:top w:val="single" w:sz="4" w:space="1" w:color="auto"/>
          <w:left w:val="single" w:sz="4" w:space="4" w:color="auto"/>
          <w:bottom w:val="single" w:sz="4" w:space="1" w:color="auto"/>
          <w:right w:val="single" w:sz="4" w:space="4" w:color="auto"/>
        </w:pBdr>
        <w:rPr>
          <w:noProof/>
        </w:rPr>
      </w:pPr>
      <w:r>
        <w:rPr>
          <w:noProof/>
        </w:rPr>
        <w:t>1. R</w:t>
      </w:r>
      <w:r>
        <w:rPr>
          <w:noProof/>
        </w:rPr>
        <w:t>ozwiązanie problemu nielegalnej migracji, poprawa funkcjonowania systemu powrotów oraz usprawnienie współpracy między właściwymi organami państw członkowskich.</w:t>
      </w:r>
    </w:p>
    <w:p w:rsidR="00731D8F" w:rsidRDefault="00214EE0">
      <w:pPr>
        <w:pStyle w:val="Text1"/>
        <w:pBdr>
          <w:top w:val="single" w:sz="4" w:space="1" w:color="auto"/>
          <w:left w:val="single" w:sz="4" w:space="4" w:color="auto"/>
          <w:bottom w:val="single" w:sz="4" w:space="1" w:color="auto"/>
          <w:right w:val="single" w:sz="4" w:space="4" w:color="auto"/>
        </w:pBdr>
        <w:rPr>
          <w:noProof/>
        </w:rPr>
      </w:pPr>
      <w:r>
        <w:rPr>
          <w:noProof/>
        </w:rPr>
        <w:t>2. Zapewnienie zaufania publicznego do unijnej polityki w dziedzinie migracji i azylu oraz odpow</w:t>
      </w:r>
      <w:r>
        <w:rPr>
          <w:noProof/>
        </w:rPr>
        <w:t>iedniego wsparcia dla osób potrzebujących ochrony.</w:t>
      </w:r>
    </w:p>
    <w:p w:rsidR="00731D8F" w:rsidRDefault="00214EE0">
      <w:pPr>
        <w:pStyle w:val="Text1"/>
        <w:pBdr>
          <w:top w:val="single" w:sz="4" w:space="1" w:color="auto"/>
          <w:left w:val="single" w:sz="4" w:space="4" w:color="auto"/>
          <w:bottom w:val="single" w:sz="4" w:space="1" w:color="auto"/>
          <w:right w:val="single" w:sz="4" w:space="4" w:color="auto"/>
        </w:pBdr>
        <w:rPr>
          <w:noProof/>
        </w:rPr>
      </w:pPr>
      <w:r>
        <w:rPr>
          <w:noProof/>
        </w:rPr>
        <w:t xml:space="preserve">3. Umożliwienie wzajemnego uznawania i egzekwowania w skali całej UE decyzji nakazujących powrót wydanych zgodnie z dyrektywą 2008/115/WE między organami zajmującymi się migracją, z poszanowaniem unijnego </w:t>
      </w:r>
      <w:r>
        <w:rPr>
          <w:noProof/>
        </w:rPr>
        <w:t>dorobku prawnego.</w:t>
      </w:r>
    </w:p>
    <w:p w:rsidR="00731D8F" w:rsidRDefault="00214EE0">
      <w:pPr>
        <w:pStyle w:val="Text1"/>
        <w:pBdr>
          <w:top w:val="single" w:sz="4" w:space="1" w:color="auto"/>
          <w:left w:val="single" w:sz="4" w:space="4" w:color="auto"/>
          <w:bottom w:val="single" w:sz="4" w:space="1" w:color="auto"/>
          <w:right w:val="single" w:sz="4" w:space="4" w:color="auto"/>
        </w:pBdr>
        <w:rPr>
          <w:noProof/>
        </w:rPr>
      </w:pPr>
      <w:r>
        <w:rPr>
          <w:noProof/>
        </w:rPr>
        <w:t>4. Weryfikowanie przestrzegania decyzji nakazujących powrót oraz lepsze informowanie o działaniach właściwych organów.</w:t>
      </w:r>
    </w:p>
    <w:p w:rsidR="00731D8F" w:rsidRDefault="00214EE0">
      <w:pPr>
        <w:pStyle w:val="Text1"/>
        <w:pBdr>
          <w:top w:val="single" w:sz="4" w:space="1" w:color="auto"/>
          <w:left w:val="single" w:sz="4" w:space="4" w:color="auto"/>
          <w:bottom w:val="single" w:sz="4" w:space="1" w:color="auto"/>
          <w:right w:val="single" w:sz="4" w:space="4" w:color="auto"/>
        </w:pBdr>
        <w:rPr>
          <w:noProof/>
        </w:rPr>
      </w:pPr>
      <w:r>
        <w:rPr>
          <w:noProof/>
        </w:rPr>
        <w:t>5. Zapewnienie bardziej wiarygodnych danych i statystyk dotyczących liczby wydanych decyzji nakazujących powrót oraz st</w:t>
      </w:r>
      <w:r>
        <w:rPr>
          <w:noProof/>
        </w:rPr>
        <w:t>opnia ich przestrzegania.</w:t>
      </w:r>
    </w:p>
    <w:p w:rsidR="00731D8F" w:rsidRDefault="00214EE0">
      <w:pPr>
        <w:pStyle w:val="Text1"/>
        <w:pBdr>
          <w:top w:val="single" w:sz="4" w:space="1" w:color="auto"/>
          <w:left w:val="single" w:sz="4" w:space="4" w:color="auto"/>
          <w:bottom w:val="single" w:sz="4" w:space="1" w:color="auto"/>
          <w:right w:val="single" w:sz="4" w:space="4" w:color="auto"/>
        </w:pBdr>
        <w:rPr>
          <w:noProof/>
        </w:rPr>
      </w:pPr>
      <w:r>
        <w:rPr>
          <w:noProof/>
        </w:rPr>
        <w:t>6. Wprowadzanie do SIS wszystkich decyzji nakazujących powrót wydanych przez organy państw członkowskich zgodnie z dyrektywą 2008/115/WE.</w:t>
      </w:r>
    </w:p>
    <w:p w:rsidR="00731D8F" w:rsidRDefault="00214EE0">
      <w:pPr>
        <w:pStyle w:val="Text1"/>
        <w:pBdr>
          <w:top w:val="single" w:sz="4" w:space="1" w:color="auto"/>
          <w:left w:val="single" w:sz="4" w:space="4" w:color="auto"/>
          <w:bottom w:val="single" w:sz="4" w:space="1" w:color="auto"/>
          <w:right w:val="single" w:sz="4" w:space="4" w:color="auto"/>
        </w:pBdr>
        <w:rPr>
          <w:noProof/>
        </w:rPr>
      </w:pPr>
      <w:r>
        <w:rPr>
          <w:noProof/>
        </w:rPr>
        <w:t>7. Ułatwianie identyfikowania obywateli państw trzecich objętych decyzją nakazującą powrót w</w:t>
      </w:r>
      <w:r>
        <w:rPr>
          <w:noProof/>
        </w:rPr>
        <w:t>ydaną zgodnie z dyrektywą 2008/115/WE i wymiany informacji na ten temat między państwami członkowskimi.</w:t>
      </w:r>
    </w:p>
    <w:p w:rsidR="00731D8F" w:rsidRDefault="00214EE0">
      <w:pPr>
        <w:pStyle w:val="ManualHeading3"/>
        <w:rPr>
          <w:bCs/>
          <w:noProof/>
          <w:szCs w:val="24"/>
        </w:rPr>
      </w:pPr>
      <w:r>
        <w:rPr>
          <w:noProof/>
        </w:rPr>
        <w:t>1.5.2.</w:t>
      </w:r>
      <w:r>
        <w:rPr>
          <w:noProof/>
        </w:rPr>
        <w:tab/>
        <w:t>Wartość dodana z tytułu zaangażowania Unii Europejskiej</w:t>
      </w:r>
    </w:p>
    <w:p w:rsidR="00731D8F" w:rsidRDefault="00214EE0">
      <w:pPr>
        <w:pStyle w:val="Text1"/>
        <w:pBdr>
          <w:top w:val="single" w:sz="4" w:space="1" w:color="auto"/>
          <w:left w:val="single" w:sz="4" w:space="4" w:color="auto"/>
          <w:bottom w:val="single" w:sz="4" w:space="1" w:color="auto"/>
          <w:right w:val="single" w:sz="4" w:space="4" w:color="auto"/>
        </w:pBdr>
        <w:rPr>
          <w:noProof/>
        </w:rPr>
      </w:pPr>
      <w:r>
        <w:rPr>
          <w:noProof/>
        </w:rPr>
        <w:t>Cel wniosku polegający w szczególności na utworzeniu systemu dzielenia się informacjami n</w:t>
      </w:r>
      <w:r>
        <w:rPr>
          <w:noProof/>
        </w:rPr>
        <w:t>a temat decyzji nakazujących powrót wydanych zgodnie z dyrektywą 2008/115/WE oraz monitorowaniu, czy obywatele państw trzecich, których dotyczą takie decyzje wydane zgodnie z dyrektywą 2008/115/WE, opuścili terytorium państw członkowskich, nie może być w w</w:t>
      </w:r>
      <w:r>
        <w:rPr>
          <w:noProof/>
        </w:rPr>
        <w:t>ystarczający sposób osiągnięty przez państwa członkowskie działające samodzielnie. Informacje na temat decyzji nakazujących powrót przechowywane w krajowych systemach imigracyjnych nie są systematycznie udostępniane innym państwom członkowskim. W związku z</w:t>
      </w:r>
      <w:r>
        <w:rPr>
          <w:noProof/>
        </w:rPr>
        <w:t xml:space="preserve"> tym pozostałe państwa członkowskie nie wiedzą o decyzjach nakazujących powrót wydanych w odniesieniu do obywateli państw trzecich nielegalnie przemieszczających się w obrębie UE i przejeżdżających przez inne państwa członkowskie. Należy podkreślić wartość</w:t>
      </w:r>
      <w:r>
        <w:rPr>
          <w:noProof/>
        </w:rPr>
        <w:t xml:space="preserve"> dodaną ogólnounijnego systemu, który będzie w stanie skutecznie zlikwidować istniejące obecnie luki informacyjne dotyczące polityki powrotowej, czego nie można osiągnąć z wykorzystaniem odrębnych systemów krajowych. Wykorzystanie systemów krajowych będzie</w:t>
      </w:r>
      <w:r>
        <w:rPr>
          <w:noProof/>
        </w:rPr>
        <w:t xml:space="preserve"> prowadziło do utrzymywania się problemów dotyczących braku harmonizacji zarządzania decyzjami nakazującymi powrót pomiędzy państwami członkowskimi. Ponadto wpisywanie decyzji nakazujących powrót do SIS umożliwi również innym państwom członkowskim ustaleni</w:t>
      </w:r>
      <w:r>
        <w:rPr>
          <w:noProof/>
        </w:rPr>
        <w:t xml:space="preserve">e, czy w odniesieniu do kontrolowanej osoby wydano jedną decyzję nakazującą powrót lub kilka takich decyzji. W związku z tym wartość dodana zaangażowania UE będzie polegała na zwiększeniu widoczności decyzji nakazujących powrót wydanych przez inne państwa </w:t>
      </w:r>
      <w:r>
        <w:rPr>
          <w:noProof/>
        </w:rPr>
        <w:t xml:space="preserve">członkowskie. </w:t>
      </w:r>
    </w:p>
    <w:p w:rsidR="00731D8F" w:rsidRDefault="00214EE0">
      <w:pPr>
        <w:pStyle w:val="Text1"/>
        <w:pBdr>
          <w:top w:val="single" w:sz="4" w:space="1" w:color="auto"/>
          <w:left w:val="single" w:sz="4" w:space="4" w:color="auto"/>
          <w:bottom w:val="single" w:sz="4" w:space="1" w:color="auto"/>
          <w:right w:val="single" w:sz="4" w:space="4" w:color="auto"/>
        </w:pBdr>
        <w:rPr>
          <w:noProof/>
        </w:rPr>
      </w:pPr>
      <w:r>
        <w:rPr>
          <w:noProof/>
        </w:rPr>
        <w:t>Wprowadzanie do SIS wpisów dotyczących decyzji nakazujących powrót oraz zakazów wjazdu poprawi również jakość informacji oraz umożliwi funkcjonariuszom w terenie uzyskanie wystarczających, terminowych, istotnych i dokładnych informacji dostę</w:t>
      </w:r>
      <w:r>
        <w:rPr>
          <w:noProof/>
        </w:rPr>
        <w:t>pnych w użytecznym formacie. Użytkownicy końcowi będą dysponowali lepszymi informacjami i w związku z tym zaangażowanie UE w znaczący sposób przyczyni się do usprawnienia operacyjnych aspektów ich pracy.</w:t>
      </w:r>
    </w:p>
    <w:p w:rsidR="00731D8F" w:rsidRDefault="00214EE0">
      <w:pPr>
        <w:pStyle w:val="ManualHeading3"/>
        <w:rPr>
          <w:bCs/>
          <w:noProof/>
          <w:szCs w:val="24"/>
        </w:rPr>
      </w:pPr>
      <w:r>
        <w:rPr>
          <w:noProof/>
        </w:rPr>
        <w:t>1.5.3.</w:t>
      </w:r>
      <w:r>
        <w:rPr>
          <w:noProof/>
        </w:rPr>
        <w:tab/>
        <w:t>Główne wnioski wyciągnięte z podobnych działa</w:t>
      </w:r>
      <w:r>
        <w:rPr>
          <w:noProof/>
        </w:rPr>
        <w:t>ń</w:t>
      </w:r>
    </w:p>
    <w:p w:rsidR="00731D8F" w:rsidRDefault="00214EE0">
      <w:pPr>
        <w:pStyle w:val="Text1"/>
        <w:pBdr>
          <w:top w:val="single" w:sz="4" w:space="1" w:color="auto"/>
          <w:left w:val="single" w:sz="4" w:space="4" w:color="auto"/>
          <w:bottom w:val="single" w:sz="4" w:space="1" w:color="auto"/>
          <w:right w:val="single" w:sz="4" w:space="4" w:color="auto"/>
        </w:pBdr>
        <w:rPr>
          <w:noProof/>
        </w:rPr>
      </w:pPr>
      <w:r>
        <w:rPr>
          <w:noProof/>
        </w:rPr>
        <w:t>1. Faza opracowywania powinna rozpocząć się dopiero po pełnym określeniu wszystkich wymagań technicznych i operacyjnych. Aktualizacja SIS nastąpi dopiero po ostatecznym przyjęciu podstawowych instrumentów prawnych wskazujących cel, zakres stosowania, fun</w:t>
      </w:r>
      <w:r>
        <w:rPr>
          <w:noProof/>
        </w:rPr>
        <w:t>kcje i szczegółowe dane techniczne systemu.</w:t>
      </w:r>
    </w:p>
    <w:p w:rsidR="00731D8F" w:rsidRDefault="00214EE0">
      <w:pPr>
        <w:pStyle w:val="Text1"/>
        <w:pBdr>
          <w:top w:val="single" w:sz="4" w:space="1" w:color="auto"/>
          <w:left w:val="single" w:sz="4" w:space="4" w:color="auto"/>
          <w:bottom w:val="single" w:sz="4" w:space="1" w:color="auto"/>
          <w:right w:val="single" w:sz="4" w:space="4" w:color="auto"/>
        </w:pBdr>
        <w:rPr>
          <w:noProof/>
        </w:rPr>
      </w:pPr>
      <w:r>
        <w:rPr>
          <w:noProof/>
        </w:rPr>
        <w:t>2. Komisja prowadziła (i dalej prowadzi) stałe konsultacje z odpowiednimi zainteresowanymi stronami, w tym z delegatami z Komitetu SIS–VIS w ramach procedury komitetowej oraz Grupą Kontaktową ds. Dyrektywy Powrot</w:t>
      </w:r>
      <w:r>
        <w:rPr>
          <w:noProof/>
        </w:rPr>
        <w:t>owej. Dyskusje na ten temat odbyły się na posiedzeniach Komitetu SIS–VIS (w dniach 10 maja 2016 r. oraz 30 czerwca 2016 r.) oraz Grupy Kontaktowej ds. Dyrektywy Powrotowej (w dniach 16 listopada 2015 r., 18 marca i 20 czerwca 2016 r.). Dnia 5 lutego 2016 r</w:t>
      </w:r>
      <w:r>
        <w:rPr>
          <w:noProof/>
        </w:rPr>
        <w:t xml:space="preserve">. odbyły się wspólne warsztaty z udziałem delegatów z Komitetu SIS–VIS oraz Grupy Kontaktowej ds. Dyrektywy Powrotowej. </w:t>
      </w:r>
    </w:p>
    <w:p w:rsidR="00731D8F" w:rsidRDefault="00214EE0">
      <w:pPr>
        <w:pStyle w:val="Text1"/>
        <w:pBdr>
          <w:top w:val="single" w:sz="4" w:space="1" w:color="auto"/>
          <w:left w:val="single" w:sz="4" w:space="4" w:color="auto"/>
          <w:bottom w:val="single" w:sz="4" w:space="1" w:color="auto"/>
          <w:right w:val="single" w:sz="4" w:space="4" w:color="auto"/>
        </w:pBdr>
        <w:rPr>
          <w:noProof/>
        </w:rPr>
      </w:pPr>
      <w:r>
        <w:rPr>
          <w:noProof/>
        </w:rPr>
        <w:t>3. Komisja zasięgnęła również opinii ekspertów zewnętrznych; ich ustalenia zostały włączone do niniejszego wniosku:</w:t>
      </w:r>
    </w:p>
    <w:p w:rsidR="00731D8F" w:rsidRDefault="00214EE0">
      <w:pPr>
        <w:pStyle w:val="Text1"/>
        <w:pBdr>
          <w:top w:val="single" w:sz="4" w:space="1" w:color="auto"/>
          <w:left w:val="single" w:sz="4" w:space="4" w:color="auto"/>
          <w:bottom w:val="single" w:sz="4" w:space="1" w:color="auto"/>
          <w:right w:val="single" w:sz="4" w:space="4" w:color="auto"/>
        </w:pBdr>
        <w:rPr>
          <w:noProof/>
        </w:rPr>
      </w:pPr>
      <w:r>
        <w:rPr>
          <w:noProof/>
        </w:rPr>
        <w:t xml:space="preserve"> W październiku 201</w:t>
      </w:r>
      <w:r>
        <w:rPr>
          <w:noProof/>
        </w:rPr>
        <w:t>5 r. Komisja zleciła ekspertyzę zewnętrzną</w:t>
      </w:r>
      <w:r>
        <w:rPr>
          <w:rStyle w:val="FootnoteReference"/>
          <w:noProof/>
        </w:rPr>
        <w:footnoteReference w:id="46"/>
      </w:r>
      <w:r>
        <w:rPr>
          <w:noProof/>
        </w:rPr>
        <w:t xml:space="preserve"> mającą na celu dokonanie oceny wykonalności oraz technicznych i operacyjnych skutków ustanowienia ogólnounijnego systemu wymiany danych dotyczących decyzji nakazujących powrót oraz monitorowania wykonywania tych decyzji. Badanie zakończono w kwietniu 2016</w:t>
      </w:r>
      <w:r>
        <w:rPr>
          <w:noProof/>
        </w:rPr>
        <w:t xml:space="preserve"> r.</w:t>
      </w:r>
    </w:p>
    <w:p w:rsidR="00731D8F" w:rsidRDefault="00214EE0">
      <w:pPr>
        <w:pStyle w:val="ManualHeading3"/>
        <w:rPr>
          <w:bCs/>
          <w:noProof/>
          <w:szCs w:val="24"/>
        </w:rPr>
      </w:pPr>
      <w:r>
        <w:rPr>
          <w:noProof/>
        </w:rPr>
        <w:t>1.5.4.</w:t>
      </w:r>
      <w:r>
        <w:rPr>
          <w:noProof/>
        </w:rPr>
        <w:tab/>
        <w:t>Spójność z innymi właściwymi instrumentami oraz możliwa synergia</w:t>
      </w:r>
    </w:p>
    <w:p w:rsidR="00731D8F" w:rsidRDefault="00214EE0">
      <w:pPr>
        <w:pStyle w:val="Text1"/>
        <w:pBdr>
          <w:top w:val="single" w:sz="4" w:space="1" w:color="auto"/>
          <w:left w:val="single" w:sz="4" w:space="4" w:color="auto"/>
          <w:bottom w:val="single" w:sz="4" w:space="1" w:color="auto"/>
          <w:right w:val="single" w:sz="4" w:space="4" w:color="auto"/>
        </w:pBdr>
        <w:rPr>
          <w:noProof/>
        </w:rPr>
      </w:pPr>
      <w:r>
        <w:rPr>
          <w:noProof/>
        </w:rPr>
        <w:t>Wniosek ten jest spójny z przepisami dyrektywy 2008/115/WE, która ustanawia wspólne standardy i procedury dotyczące powrotów nielegalnie przebywających obywateli państw trzecich, o</w:t>
      </w:r>
      <w:r>
        <w:rPr>
          <w:noProof/>
        </w:rPr>
        <w:t>raz opiera się na tych przepisach. Jego celem jest zapewnienie widoczności oraz wyższego poziomu przestrzegania decyzji nakazujących powrót wydanych przez właściwe organy zgodnie z procedurami przewidzianymi w dyrektywie 2008/115/WE. Poprzez nałożenie obow</w:t>
      </w:r>
      <w:r>
        <w:rPr>
          <w:noProof/>
        </w:rPr>
        <w:t>iązku wpisywania decyzji nakazujących powrót do SIS niniejszy wniosek będzie sprzyjał wykonywaniu tych decyzji.</w:t>
      </w:r>
    </w:p>
    <w:p w:rsidR="00731D8F" w:rsidRDefault="00214EE0">
      <w:pPr>
        <w:pStyle w:val="Text1"/>
        <w:pBdr>
          <w:top w:val="single" w:sz="4" w:space="1" w:color="auto"/>
          <w:left w:val="single" w:sz="4" w:space="4" w:color="auto"/>
          <w:bottom w:val="single" w:sz="4" w:space="1" w:color="auto"/>
          <w:right w:val="single" w:sz="4" w:space="4" w:color="auto"/>
        </w:pBdr>
        <w:rPr>
          <w:noProof/>
        </w:rPr>
      </w:pPr>
      <w:r>
        <w:rPr>
          <w:noProof/>
        </w:rPr>
        <w:t xml:space="preserve">Niniejszy wniosek jest również spójny z innymi obszarami polityki UE oraz wnioskami ustawodawczymi Komisji, co w szczególności obejmuje aspekty </w:t>
      </w:r>
      <w:r>
        <w:rPr>
          <w:noProof/>
        </w:rPr>
        <w:t>wskazane poniżej.</w:t>
      </w:r>
    </w:p>
    <w:p w:rsidR="00731D8F" w:rsidRDefault="00214EE0">
      <w:pPr>
        <w:pStyle w:val="Text1"/>
        <w:pBdr>
          <w:top w:val="single" w:sz="4" w:space="1" w:color="auto"/>
          <w:left w:val="single" w:sz="4" w:space="4" w:color="auto"/>
          <w:bottom w:val="single" w:sz="4" w:space="1" w:color="auto"/>
          <w:right w:val="single" w:sz="4" w:space="4" w:color="auto"/>
        </w:pBdr>
        <w:rPr>
          <w:noProof/>
        </w:rPr>
      </w:pPr>
      <w:r>
        <w:rPr>
          <w:noProof/>
        </w:rPr>
        <w:t>1. Skuteczna polityka powrotowa UE, w celu przyczynienia się do wzmocnienia unijnego systemu na potrzeby powrotów obywateli państw trzecich, którzy nie mają prawa pobytu na terytorium państw członkowskich. Przyczyni się to do ograniczenia</w:t>
      </w:r>
      <w:r>
        <w:rPr>
          <w:noProof/>
        </w:rPr>
        <w:t xml:space="preserve"> zachęt do nielegalnej migracji, co jest jednym z głównych celów Europejskiego programu w zakresie migracji.</w:t>
      </w:r>
    </w:p>
    <w:p w:rsidR="00731D8F" w:rsidRDefault="00214EE0">
      <w:pPr>
        <w:pStyle w:val="Text1"/>
        <w:pBdr>
          <w:top w:val="single" w:sz="4" w:space="1" w:color="auto"/>
          <w:left w:val="single" w:sz="4" w:space="4" w:color="auto"/>
          <w:bottom w:val="single" w:sz="4" w:space="1" w:color="auto"/>
          <w:right w:val="single" w:sz="4" w:space="4" w:color="auto"/>
        </w:pBdr>
        <w:rPr>
          <w:noProof/>
        </w:rPr>
      </w:pPr>
      <w:r>
        <w:rPr>
          <w:noProof/>
        </w:rPr>
        <w:t>2. EURODAC oraz system dubliński – wprowadzanie decyzji nakazujących powrót do SIS ułatwi państwom członkowskim śledzenie, czy osoby ubiegające się</w:t>
      </w:r>
      <w:r>
        <w:rPr>
          <w:noProof/>
        </w:rPr>
        <w:t xml:space="preserve"> o azyl, których wnioski zostały odrzucone, opuściły terytorium państw członkowskich i powróciły do państwa trzeciego zgodnie z decyzją nakazującą powrót. Będzie on również stanowił uzupełnienie wniosku Komisji o rozszerzenie wykorzystania Eurodac na potrz</w:t>
      </w:r>
      <w:r>
        <w:rPr>
          <w:noProof/>
        </w:rPr>
        <w:t>eby identyfikowania nielegalnie przebywających obywateli państw trzecich, którzy nie ubiegają się o azyl i którzy mogą poruszać się w sposób niezauważony w obrębie UE.</w:t>
      </w:r>
    </w:p>
    <w:p w:rsidR="00731D8F" w:rsidRDefault="00214EE0">
      <w:pPr>
        <w:pStyle w:val="Text1"/>
        <w:pBdr>
          <w:top w:val="single" w:sz="4" w:space="1" w:color="auto"/>
          <w:left w:val="single" w:sz="4" w:space="4" w:color="auto"/>
          <w:bottom w:val="single" w:sz="4" w:space="1" w:color="auto"/>
          <w:right w:val="single" w:sz="4" w:space="4" w:color="auto"/>
        </w:pBdr>
        <w:rPr>
          <w:noProof/>
        </w:rPr>
      </w:pPr>
      <w:r>
        <w:rPr>
          <w:noProof/>
        </w:rPr>
        <w:t>3. System wjazdu/wyjazdu – nowe rozporządzenie będzie stanowić uzupełnienie wniosku Komi</w:t>
      </w:r>
      <w:r>
        <w:rPr>
          <w:noProof/>
        </w:rPr>
        <w:t>sji w sprawie systemu wjazdu/wyjazdu oraz jego wykorzystania do identyfikowania i wykrywania osób nadmiernie przedłużających pobyt (także wewnątrz terytorium UE).</w:t>
      </w:r>
    </w:p>
    <w:p w:rsidR="00731D8F" w:rsidRDefault="00214EE0">
      <w:pPr>
        <w:pStyle w:val="Text1"/>
        <w:pBdr>
          <w:top w:val="single" w:sz="4" w:space="1" w:color="auto"/>
          <w:left w:val="single" w:sz="4" w:space="4" w:color="auto"/>
          <w:bottom w:val="single" w:sz="4" w:space="1" w:color="auto"/>
          <w:right w:val="single" w:sz="4" w:space="4" w:color="auto"/>
        </w:pBdr>
        <w:rPr>
          <w:noProof/>
        </w:rPr>
      </w:pPr>
      <w:r>
        <w:rPr>
          <w:noProof/>
        </w:rPr>
        <w:t xml:space="preserve">4. Kodeks graniczny Schengen – niniejszy wniosek będzie stanowić uzupełnienie nowelizacji </w:t>
      </w:r>
      <w:r>
        <w:rPr>
          <w:noProof/>
        </w:rPr>
        <w:t>kodeksu granicznego Schengen</w:t>
      </w:r>
      <w:r>
        <w:rPr>
          <w:rStyle w:val="FootnoteReference"/>
          <w:noProof/>
        </w:rPr>
        <w:footnoteReference w:id="47"/>
      </w:r>
      <w:r>
        <w:rPr>
          <w:noProof/>
        </w:rPr>
        <w:t xml:space="preserve"> związanej z obowiązkiem systematycznego sprawdzania obywateli państw trzecich w odpowiednich bazach danych w przypadku wyjazdu.</w:t>
      </w:r>
    </w:p>
    <w:p w:rsidR="00731D8F" w:rsidRDefault="00214EE0">
      <w:pPr>
        <w:pStyle w:val="Text1"/>
        <w:pBdr>
          <w:top w:val="single" w:sz="4" w:space="1" w:color="auto"/>
          <w:left w:val="single" w:sz="4" w:space="4" w:color="auto"/>
          <w:bottom w:val="single" w:sz="4" w:space="1" w:color="auto"/>
          <w:right w:val="single" w:sz="4" w:space="4" w:color="auto"/>
        </w:pBdr>
        <w:rPr>
          <w:noProof/>
        </w:rPr>
      </w:pPr>
      <w:r>
        <w:rPr>
          <w:noProof/>
        </w:rPr>
        <w:t>5. Wniosek Komisji w sprawie utworzenia, funkcjonowania i użytkowania Systemu Informacyjnego Schen</w:t>
      </w:r>
      <w:r>
        <w:rPr>
          <w:noProof/>
        </w:rPr>
        <w:t>gen (SIS) w dziedzinie odpraw granicznych oraz uchylenia rozporządzenia (WE) nr 1987/2006 – niniejszy wniosek będzie stanowić uzupełnienie przepisów związanych z wprowadzaniem zakazów wjazdu do SIS w następstwie powrotu danego obywatela państwa trzeciego.</w:t>
      </w:r>
    </w:p>
    <w:p w:rsidR="00731D8F" w:rsidRDefault="00214EE0">
      <w:pPr>
        <w:pStyle w:val="ManualHeading2"/>
        <w:rPr>
          <w:bCs/>
          <w:noProof/>
          <w:szCs w:val="24"/>
        </w:rPr>
      </w:pPr>
      <w:r>
        <w:rPr>
          <w:noProof/>
        </w:rPr>
        <w:br w:type="page"/>
        <w:t>1.6.</w:t>
      </w:r>
      <w:r>
        <w:rPr>
          <w:noProof/>
        </w:rPr>
        <w:tab/>
        <w:t xml:space="preserve">Okres trwania działania i jego wpływ finansowy </w:t>
      </w:r>
    </w:p>
    <w:p w:rsidR="00731D8F" w:rsidRDefault="00214EE0">
      <w:pPr>
        <w:pStyle w:val="Text1"/>
        <w:rPr>
          <w:noProof/>
        </w:rPr>
      </w:pPr>
      <w:r>
        <w:rPr>
          <w:noProof/>
        </w:rPr>
        <w:sym w:font="Wingdings" w:char="F0A8"/>
      </w:r>
      <w:r>
        <w:rPr>
          <w:b/>
          <w:i/>
          <w:noProof/>
        </w:rPr>
        <w:t xml:space="preserve"> </w:t>
      </w:r>
      <w:r>
        <w:rPr>
          <w:noProof/>
        </w:rPr>
        <w:t xml:space="preserve">Wniosek/inicjatywa o </w:t>
      </w:r>
      <w:r>
        <w:rPr>
          <w:b/>
          <w:noProof/>
        </w:rPr>
        <w:t xml:space="preserve">ograniczonym okresie trwania </w:t>
      </w:r>
    </w:p>
    <w:p w:rsidR="00731D8F" w:rsidRDefault="00214EE0">
      <w:pPr>
        <w:pStyle w:val="ListDash2"/>
        <w:rPr>
          <w:noProof/>
        </w:rPr>
      </w:pPr>
      <w:r>
        <w:rPr>
          <w:noProof/>
        </w:rPr>
        <w:sym w:font="Wingdings" w:char="F0A8"/>
      </w:r>
      <w:r>
        <w:rPr>
          <w:noProof/>
        </w:rPr>
        <w:tab/>
        <w:t xml:space="preserve">Okres trwania wniosku/inicjatywy: od [DD/MM]RRRR r. do [DD/MM]RRRR r. </w:t>
      </w:r>
    </w:p>
    <w:p w:rsidR="00731D8F" w:rsidRDefault="00214EE0">
      <w:pPr>
        <w:pStyle w:val="ListDash2"/>
        <w:rPr>
          <w:noProof/>
        </w:rPr>
      </w:pPr>
      <w:r>
        <w:rPr>
          <w:noProof/>
        </w:rPr>
        <w:sym w:font="Wingdings" w:char="F0A8"/>
      </w:r>
      <w:r>
        <w:rPr>
          <w:noProof/>
        </w:rPr>
        <w:tab/>
        <w:t xml:space="preserve">Okres trwania wpływu finansowego: od RRRR r. do RRRR r. </w:t>
      </w:r>
    </w:p>
    <w:p w:rsidR="00731D8F" w:rsidRDefault="00214EE0">
      <w:pPr>
        <w:pStyle w:val="Text1"/>
        <w:rPr>
          <w:noProof/>
        </w:rPr>
      </w:pPr>
      <w:r>
        <w:rPr>
          <w:noProof/>
        </w:rPr>
        <w:sym w:font="Wingdings" w:char="F0FE"/>
      </w:r>
      <w:r>
        <w:rPr>
          <w:b/>
          <w:i/>
          <w:noProof/>
        </w:rPr>
        <w:t xml:space="preserve"> </w:t>
      </w:r>
      <w:r>
        <w:rPr>
          <w:noProof/>
        </w:rPr>
        <w:t>Wniosek/inicjat</w:t>
      </w:r>
      <w:r>
        <w:rPr>
          <w:noProof/>
        </w:rPr>
        <w:t xml:space="preserve">ywa o </w:t>
      </w:r>
      <w:r>
        <w:rPr>
          <w:b/>
          <w:noProof/>
        </w:rPr>
        <w:t>nieograniczonym okresie trwania</w:t>
      </w:r>
    </w:p>
    <w:p w:rsidR="00731D8F" w:rsidRDefault="00214EE0">
      <w:pPr>
        <w:pStyle w:val="ListDash1"/>
        <w:rPr>
          <w:noProof/>
        </w:rPr>
      </w:pPr>
      <w:r>
        <w:rPr>
          <w:noProof/>
        </w:rPr>
        <w:t>Wprowadzenie w życie z okresem rozruchu od 2018 r. do 2020 r.,</w:t>
      </w:r>
    </w:p>
    <w:p w:rsidR="00731D8F" w:rsidRDefault="00214EE0">
      <w:pPr>
        <w:pStyle w:val="ListDash1"/>
        <w:rPr>
          <w:noProof/>
        </w:rPr>
      </w:pPr>
      <w:r>
        <w:rPr>
          <w:noProof/>
        </w:rPr>
        <w:t>po którym następuje faza operacyjna.</w:t>
      </w:r>
    </w:p>
    <w:p w:rsidR="00731D8F" w:rsidRDefault="00214EE0">
      <w:pPr>
        <w:pStyle w:val="ManualHeading2"/>
        <w:rPr>
          <w:bCs/>
          <w:noProof/>
          <w:szCs w:val="24"/>
        </w:rPr>
      </w:pPr>
      <w:r>
        <w:rPr>
          <w:noProof/>
        </w:rPr>
        <w:t>1.7.</w:t>
      </w:r>
      <w:r>
        <w:rPr>
          <w:noProof/>
        </w:rPr>
        <w:tab/>
        <w:t>Przewidywane tryby zarządzania</w:t>
      </w:r>
      <w:r>
        <w:rPr>
          <w:rStyle w:val="FootnoteReference"/>
          <w:noProof/>
        </w:rPr>
        <w:footnoteReference w:id="48"/>
      </w:r>
      <w:r>
        <w:rPr>
          <w:rStyle w:val="FootnoteReference"/>
          <w:noProof/>
        </w:rPr>
        <w:t xml:space="preserve"> </w:t>
      </w:r>
    </w:p>
    <w:p w:rsidR="00731D8F" w:rsidRDefault="00214EE0">
      <w:pPr>
        <w:pStyle w:val="Text1"/>
        <w:rPr>
          <w:noProof/>
        </w:rPr>
      </w:pPr>
      <w:r>
        <w:rPr>
          <w:noProof/>
        </w:rPr>
        <w:sym w:font="Wingdings" w:char="F0FE"/>
      </w:r>
      <w:r>
        <w:rPr>
          <w:i/>
          <w:noProof/>
        </w:rPr>
        <w:t xml:space="preserve"> </w:t>
      </w:r>
      <w:r>
        <w:rPr>
          <w:b/>
          <w:noProof/>
        </w:rPr>
        <w:t>Bezpośrednie zarządzanie</w:t>
      </w:r>
      <w:r>
        <w:rPr>
          <w:noProof/>
        </w:rPr>
        <w:t xml:space="preserve"> przez Komisję</w:t>
      </w:r>
    </w:p>
    <w:p w:rsidR="00731D8F" w:rsidRDefault="00214EE0">
      <w:pPr>
        <w:pStyle w:val="ListDash2"/>
        <w:rPr>
          <w:noProof/>
        </w:rPr>
      </w:pPr>
      <w:r>
        <w:rPr>
          <w:noProof/>
        </w:rPr>
        <w:sym w:font="Wingdings" w:char="F0FE"/>
      </w:r>
      <w:r>
        <w:rPr>
          <w:noProof/>
        </w:rPr>
        <w:t xml:space="preserve"> w ramach jej służb, w tym za pośredni</w:t>
      </w:r>
      <w:r>
        <w:rPr>
          <w:noProof/>
        </w:rPr>
        <w:t xml:space="preserve">ctwem jej pracowników w delegaturach Unii; </w:t>
      </w:r>
    </w:p>
    <w:p w:rsidR="00731D8F" w:rsidRDefault="00214EE0">
      <w:pPr>
        <w:pStyle w:val="ListDash2"/>
        <w:rPr>
          <w:noProof/>
        </w:rPr>
      </w:pPr>
      <w:r>
        <w:rPr>
          <w:noProof/>
        </w:rPr>
        <w:sym w:font="Wingdings" w:char="F0A8"/>
      </w:r>
      <w:r>
        <w:rPr>
          <w:noProof/>
        </w:rPr>
        <w:tab/>
        <w:t xml:space="preserve">przez agencje wykonawcze </w:t>
      </w:r>
    </w:p>
    <w:p w:rsidR="00731D8F" w:rsidRDefault="00214EE0">
      <w:pPr>
        <w:pStyle w:val="Text1"/>
        <w:rPr>
          <w:noProof/>
        </w:rPr>
      </w:pPr>
      <w:r>
        <w:rPr>
          <w:noProof/>
        </w:rPr>
        <w:sym w:font="Wingdings" w:char="F06F"/>
      </w:r>
      <w:r>
        <w:rPr>
          <w:b/>
          <w:i/>
          <w:noProof/>
        </w:rPr>
        <w:t xml:space="preserve"> </w:t>
      </w:r>
      <w:r>
        <w:rPr>
          <w:b/>
          <w:noProof/>
        </w:rPr>
        <w:t>Zarządzanie dzielone</w:t>
      </w:r>
      <w:r>
        <w:rPr>
          <w:noProof/>
        </w:rPr>
        <w:t xml:space="preserve"> z państwami członkowskimi </w:t>
      </w:r>
    </w:p>
    <w:p w:rsidR="00731D8F" w:rsidRDefault="00214EE0">
      <w:pPr>
        <w:pStyle w:val="Text1"/>
        <w:rPr>
          <w:noProof/>
        </w:rPr>
      </w:pPr>
      <w:r>
        <w:rPr>
          <w:noProof/>
        </w:rPr>
        <w:sym w:font="Wingdings" w:char="F0FE"/>
      </w:r>
      <w:r>
        <w:rPr>
          <w:i/>
          <w:noProof/>
        </w:rPr>
        <w:t xml:space="preserve"> </w:t>
      </w:r>
      <w:r>
        <w:rPr>
          <w:b/>
          <w:noProof/>
        </w:rPr>
        <w:t>Zarządzanie pośrednie</w:t>
      </w:r>
      <w:r>
        <w:rPr>
          <w:noProof/>
        </w:rPr>
        <w:t xml:space="preserve"> poprzez przekazanie zadań związanych z wykonaniem budżetu:</w:t>
      </w:r>
    </w:p>
    <w:p w:rsidR="00731D8F" w:rsidRDefault="00214EE0">
      <w:pPr>
        <w:pStyle w:val="ListDash2"/>
        <w:rPr>
          <w:noProof/>
        </w:rPr>
      </w:pPr>
      <w:r>
        <w:rPr>
          <w:noProof/>
        </w:rPr>
        <w:sym w:font="Wingdings" w:char="F0A8"/>
      </w:r>
      <w:r>
        <w:rPr>
          <w:noProof/>
        </w:rPr>
        <w:t xml:space="preserve"> państwom trzecim lub organom przez nie wyznaczony</w:t>
      </w:r>
      <w:r>
        <w:rPr>
          <w:noProof/>
        </w:rPr>
        <w:t>m;</w:t>
      </w:r>
    </w:p>
    <w:p w:rsidR="00731D8F" w:rsidRDefault="00214EE0">
      <w:pPr>
        <w:pStyle w:val="ListDash2"/>
        <w:rPr>
          <w:noProof/>
        </w:rPr>
      </w:pPr>
      <w:r>
        <w:rPr>
          <w:noProof/>
        </w:rPr>
        <w:sym w:font="Wingdings" w:char="F0A8"/>
      </w:r>
      <w:r>
        <w:rPr>
          <w:noProof/>
        </w:rPr>
        <w:t xml:space="preserve"> organizacjom międzynarodowym i ich agencjom (należy wyszczególnić);</w:t>
      </w:r>
    </w:p>
    <w:p w:rsidR="00731D8F" w:rsidRDefault="00214EE0">
      <w:pPr>
        <w:pStyle w:val="ListDash2"/>
        <w:rPr>
          <w:noProof/>
        </w:rPr>
      </w:pPr>
      <w:r>
        <w:rPr>
          <w:noProof/>
        </w:rPr>
        <w:sym w:font="Wingdings" w:char="F0A8"/>
      </w:r>
      <w:r>
        <w:rPr>
          <w:noProof/>
        </w:rPr>
        <w:t xml:space="preserve"> EBI oraz Europejskiemu Funduszowi Inwestycyjnemu;</w:t>
      </w:r>
    </w:p>
    <w:p w:rsidR="00731D8F" w:rsidRDefault="00214EE0">
      <w:pPr>
        <w:pStyle w:val="ListDash2"/>
        <w:rPr>
          <w:noProof/>
        </w:rPr>
      </w:pPr>
      <w:r>
        <w:rPr>
          <w:noProof/>
        </w:rPr>
        <w:sym w:font="Wingdings" w:char="F0FE"/>
      </w:r>
      <w:r>
        <w:rPr>
          <w:noProof/>
        </w:rPr>
        <w:t xml:space="preserve"> organom, o których mowa w art. 208 i 209 rozporządzenia finansowego;</w:t>
      </w:r>
    </w:p>
    <w:p w:rsidR="00731D8F" w:rsidRDefault="00214EE0">
      <w:pPr>
        <w:pStyle w:val="ListDash2"/>
        <w:rPr>
          <w:noProof/>
        </w:rPr>
      </w:pPr>
      <w:r>
        <w:rPr>
          <w:noProof/>
        </w:rPr>
        <w:sym w:font="Wingdings" w:char="F0A8"/>
      </w:r>
      <w:r>
        <w:rPr>
          <w:noProof/>
        </w:rPr>
        <w:t xml:space="preserve"> organom prawa publicznego;</w:t>
      </w:r>
    </w:p>
    <w:p w:rsidR="00731D8F" w:rsidRDefault="00214EE0">
      <w:pPr>
        <w:pStyle w:val="ListDash2"/>
        <w:rPr>
          <w:noProof/>
        </w:rPr>
      </w:pPr>
      <w:r>
        <w:rPr>
          <w:noProof/>
        </w:rPr>
        <w:sym w:font="Wingdings" w:char="F0A8"/>
      </w:r>
      <w:r>
        <w:rPr>
          <w:noProof/>
        </w:rPr>
        <w:t xml:space="preserve"> podmiotom podlegającym prawu prywatnemu, które świadczą usługi użyteczności publicznej, o ile zapewniają one odpowiednie gwarancje finansowe;</w:t>
      </w:r>
    </w:p>
    <w:p w:rsidR="00731D8F" w:rsidRDefault="00214EE0">
      <w:pPr>
        <w:pStyle w:val="ListDash2"/>
        <w:rPr>
          <w:noProof/>
        </w:rPr>
      </w:pPr>
      <w:r>
        <w:rPr>
          <w:noProof/>
        </w:rPr>
        <w:sym w:font="Wingdings" w:char="F0A8"/>
      </w:r>
      <w:r>
        <w:rPr>
          <w:noProof/>
        </w:rPr>
        <w:t xml:space="preserve"> podmiotom podlegającym prawu prywatnemu państwa członkowskiego, którym powierzono realizację partnerstwa public</w:t>
      </w:r>
      <w:r>
        <w:rPr>
          <w:noProof/>
        </w:rPr>
        <w:t>zno-prywatnego oraz które zapewniają odpowiednie gwarancje finansowe;</w:t>
      </w:r>
    </w:p>
    <w:p w:rsidR="00731D8F" w:rsidRDefault="00214EE0">
      <w:pPr>
        <w:pStyle w:val="ListDash2"/>
        <w:rPr>
          <w:noProof/>
        </w:rPr>
      </w:pPr>
      <w:r>
        <w:rPr>
          <w:noProof/>
        </w:rPr>
        <w:sym w:font="Wingdings" w:char="F0A8"/>
      </w:r>
      <w:r>
        <w:rPr>
          <w:noProof/>
        </w:rPr>
        <w:t xml:space="preserve"> osobom odpowiedzialnym za wykonanie określonych działań w dziedzinie wspólnej polityki zagranicznej i bezpieczeństwa na mocy tytułu V Traktatu o Unii Europejskiej oraz określonym we wł</w:t>
      </w:r>
      <w:r>
        <w:rPr>
          <w:noProof/>
        </w:rPr>
        <w:t>aściwym podstawowym akcie prawnym.</w:t>
      </w:r>
    </w:p>
    <w:p w:rsidR="00731D8F" w:rsidRDefault="00214EE0">
      <w:pPr>
        <w:pStyle w:val="ListDash2"/>
        <w:rPr>
          <w:i/>
          <w:noProof/>
          <w:sz w:val="18"/>
          <w:u w:val="single"/>
        </w:rPr>
      </w:pPr>
      <w:r>
        <w:rPr>
          <w:i/>
          <w:noProof/>
          <w:sz w:val="18"/>
        </w:rPr>
        <w:t>W przypadku wskazania więcej niż jednego trybu należy podać dodatkowe informacje w części „Uwagi”.</w:t>
      </w:r>
    </w:p>
    <w:p w:rsidR="00731D8F" w:rsidRDefault="00214EE0">
      <w:pPr>
        <w:rPr>
          <w:noProof/>
        </w:rPr>
      </w:pPr>
      <w:r>
        <w:rPr>
          <w:noProof/>
        </w:rPr>
        <w:t xml:space="preserve">Uwagi </w:t>
      </w:r>
    </w:p>
    <w:p w:rsidR="00731D8F" w:rsidRDefault="00214EE0">
      <w:pPr>
        <w:pBdr>
          <w:top w:val="single" w:sz="4" w:space="1" w:color="auto"/>
          <w:left w:val="single" w:sz="4" w:space="4" w:color="auto"/>
          <w:bottom w:val="single" w:sz="4" w:space="1" w:color="auto"/>
          <w:right w:val="single" w:sz="4" w:space="4" w:color="auto"/>
        </w:pBdr>
        <w:rPr>
          <w:noProof/>
        </w:rPr>
      </w:pPr>
      <w:r>
        <w:rPr>
          <w:noProof/>
        </w:rPr>
        <w:t xml:space="preserve">Komisja będzie odpowiedzialna za ogólne zarządzanie polityką, a eu-LISA będzie odpowiedzialna za opracowanie, </w:t>
      </w:r>
      <w:r>
        <w:rPr>
          <w:noProof/>
        </w:rPr>
        <w:t>działanie i utrzymanie systemu.</w:t>
      </w:r>
    </w:p>
    <w:p w:rsidR="00731D8F" w:rsidRDefault="00214EE0">
      <w:pPr>
        <w:pBdr>
          <w:top w:val="single" w:sz="4" w:space="1" w:color="auto"/>
          <w:left w:val="single" w:sz="4" w:space="4" w:color="auto"/>
          <w:bottom w:val="single" w:sz="4" w:space="1" w:color="auto"/>
          <w:right w:val="single" w:sz="4" w:space="4" w:color="auto"/>
        </w:pBdr>
        <w:rPr>
          <w:noProof/>
        </w:rPr>
      </w:pPr>
      <w:r>
        <w:rPr>
          <w:noProof/>
        </w:rPr>
        <w:t xml:space="preserve">Wydatki dotyczące infrastruktury łączności (środki budżetowe DG HOME) wspomniane w ocenie skutków finansowych regulacji dołączonej do wniosku Komisji dotyczącego rozporządzenia </w:t>
      </w:r>
      <w:r>
        <w:rPr>
          <w:b/>
          <w:noProof/>
        </w:rPr>
        <w:t>w sprawie utworzenia, funkcjonowania i użytkowa</w:t>
      </w:r>
      <w:r>
        <w:rPr>
          <w:b/>
          <w:noProof/>
        </w:rPr>
        <w:t>nia Systemu Informacyjnego Schengen (SIS) w dziedzinie odpraw granicznych</w:t>
      </w:r>
      <w:r>
        <w:rPr>
          <w:rStyle w:val="FootnoteReference"/>
          <w:b/>
          <w:noProof/>
        </w:rPr>
        <w:footnoteReference w:id="49"/>
      </w:r>
      <w:r>
        <w:rPr>
          <w:b/>
          <w:noProof/>
        </w:rPr>
        <w:t xml:space="preserve"> oraz</w:t>
      </w:r>
      <w:r>
        <w:rPr>
          <w:noProof/>
        </w:rPr>
        <w:t xml:space="preserve"> wniosku Komisji dotyczącego rozporządzenia </w:t>
      </w:r>
      <w:r>
        <w:rPr>
          <w:b/>
          <w:noProof/>
        </w:rPr>
        <w:t>w sprawie utworzenia, funkcjonowania i użytkowania Systemu Informacyjnego Schengen (SIS) w dziedzinie współpracy policyjnej i współpr</w:t>
      </w:r>
      <w:r>
        <w:rPr>
          <w:b/>
          <w:noProof/>
        </w:rPr>
        <w:t>acy wymiarów sprawiedliwości w sprawach karnych</w:t>
      </w:r>
      <w:r>
        <w:rPr>
          <w:rStyle w:val="FootnoteReference"/>
          <w:b/>
          <w:noProof/>
        </w:rPr>
        <w:footnoteReference w:id="50"/>
      </w:r>
      <w:r>
        <w:rPr>
          <w:noProof/>
        </w:rPr>
        <w:t xml:space="preserve"> odnoszą się również do niniejszego wniosku. Wydatki, o których mowa w niniejszym wniosku, mają charakter uzupełniający w stosunku do wyżej wymienionych wniosków, ponieważ SIS stanowi jednolity system informa</w:t>
      </w:r>
      <w:r>
        <w:rPr>
          <w:noProof/>
        </w:rPr>
        <w:t>cyjny.</w:t>
      </w:r>
    </w:p>
    <w:p w:rsidR="00731D8F" w:rsidRDefault="00731D8F">
      <w:pPr>
        <w:pBdr>
          <w:top w:val="single" w:sz="4" w:space="1" w:color="auto"/>
          <w:left w:val="single" w:sz="4" w:space="4" w:color="auto"/>
          <w:bottom w:val="single" w:sz="4" w:space="1" w:color="auto"/>
          <w:right w:val="single" w:sz="4" w:space="4" w:color="auto"/>
        </w:pBdr>
        <w:rPr>
          <w:noProof/>
        </w:rPr>
        <w:sectPr w:rsidR="00731D8F" w:rsidSect="00214EE0">
          <w:pgSz w:w="11907" w:h="16840" w:code="9"/>
          <w:pgMar w:top="1134" w:right="1418" w:bottom="1134" w:left="1418" w:header="709" w:footer="709" w:gutter="0"/>
          <w:cols w:space="708"/>
          <w:docGrid w:linePitch="360"/>
        </w:sectPr>
      </w:pPr>
    </w:p>
    <w:p w:rsidR="00731D8F" w:rsidRDefault="00214EE0">
      <w:pPr>
        <w:pStyle w:val="ManualHeading1"/>
        <w:rPr>
          <w:bCs/>
          <w:noProof/>
          <w:szCs w:val="24"/>
        </w:rPr>
      </w:pPr>
      <w:r>
        <w:rPr>
          <w:noProof/>
        </w:rPr>
        <w:t>2.</w:t>
      </w:r>
      <w:r>
        <w:rPr>
          <w:noProof/>
        </w:rPr>
        <w:tab/>
        <w:t xml:space="preserve">ŚRODKI ZARZĄDZANIA </w:t>
      </w:r>
    </w:p>
    <w:p w:rsidR="00731D8F" w:rsidRDefault="00214EE0">
      <w:pPr>
        <w:pStyle w:val="ManualHeading2"/>
        <w:rPr>
          <w:noProof/>
        </w:rPr>
      </w:pPr>
      <w:r>
        <w:rPr>
          <w:noProof/>
        </w:rPr>
        <w:t>2.1.</w:t>
      </w:r>
      <w:r>
        <w:rPr>
          <w:noProof/>
        </w:rPr>
        <w:tab/>
        <w:t xml:space="preserve">Zasady nadzoru i sprawozdawczości </w:t>
      </w:r>
    </w:p>
    <w:p w:rsidR="00731D8F" w:rsidRDefault="00214EE0">
      <w:pPr>
        <w:pStyle w:val="Text1"/>
        <w:rPr>
          <w:i/>
          <w:noProof/>
          <w:sz w:val="20"/>
          <w:u w:val="single"/>
        </w:rPr>
      </w:pPr>
      <w:r>
        <w:rPr>
          <w:i/>
          <w:noProof/>
          <w:sz w:val="20"/>
        </w:rPr>
        <w:t>Należy określić częstotliwość i warunki.</w:t>
      </w:r>
    </w:p>
    <w:p w:rsidR="00731D8F" w:rsidRDefault="00214EE0">
      <w:pPr>
        <w:pStyle w:val="Text1"/>
        <w:pBdr>
          <w:top w:val="single" w:sz="4" w:space="1" w:color="auto"/>
          <w:left w:val="single" w:sz="4" w:space="4" w:color="auto"/>
          <w:bottom w:val="single" w:sz="4" w:space="1" w:color="auto"/>
          <w:right w:val="single" w:sz="4" w:space="4" w:color="auto"/>
        </w:pBdr>
        <w:rPr>
          <w:noProof/>
        </w:rPr>
      </w:pPr>
      <w:r>
        <w:rPr>
          <w:noProof/>
        </w:rPr>
        <w:t>Zastosowanie mają przepisy dotyczące przeglądu i monitorowania zawarte w art. 54 ust. 7 i ust. 8 wniosku dotyczącego rozp</w:t>
      </w:r>
      <w:r>
        <w:rPr>
          <w:noProof/>
        </w:rPr>
        <w:t>orządzenia Parlamentu Europejskiego i Rady w sprawie utworzenia, funkcjonowania i użytkowania Systemu Informacyjnego Schengen (SIS) w dziedzinie odpraw granicznych.</w:t>
      </w:r>
    </w:p>
    <w:p w:rsidR="00731D8F" w:rsidRDefault="00214EE0">
      <w:pPr>
        <w:pStyle w:val="Text1"/>
        <w:pBdr>
          <w:top w:val="single" w:sz="4" w:space="1" w:color="auto"/>
          <w:left w:val="single" w:sz="4" w:space="4" w:color="auto"/>
          <w:bottom w:val="single" w:sz="4" w:space="1" w:color="auto"/>
          <w:right w:val="single" w:sz="4" w:space="4" w:color="auto"/>
        </w:pBdr>
        <w:rPr>
          <w:rFonts w:eastAsia="Calibri"/>
          <w:noProof/>
        </w:rPr>
      </w:pPr>
      <w:r>
        <w:rPr>
          <w:noProof/>
        </w:rPr>
        <w:t xml:space="preserve">Komisja, państwa członkowskie i Agencja będą prowadzić regularne przeglądy i monitorowanie </w:t>
      </w:r>
      <w:r>
        <w:rPr>
          <w:noProof/>
        </w:rPr>
        <w:t>użytkowania SIS, aby zapewnić jego skuteczne i wydajne funkcjonowanie. Komitet będzie pomagał Komisji we wdrażaniu środków technicznych i operacyjnych, jak przewidziano w niniejszym wniosku.</w:t>
      </w:r>
    </w:p>
    <w:p w:rsidR="00731D8F" w:rsidRDefault="00214EE0">
      <w:pPr>
        <w:pStyle w:val="Text1"/>
        <w:pBdr>
          <w:top w:val="single" w:sz="4" w:space="1" w:color="auto"/>
          <w:left w:val="single" w:sz="4" w:space="4" w:color="auto"/>
          <w:bottom w:val="single" w:sz="4" w:space="1" w:color="auto"/>
          <w:right w:val="single" w:sz="4" w:space="4" w:color="auto"/>
        </w:pBdr>
        <w:rPr>
          <w:noProof/>
        </w:rPr>
      </w:pPr>
      <w:r>
        <w:rPr>
          <w:noProof/>
        </w:rPr>
        <w:t>Co dwa lata eu-LISA ma obowiązek przedkładać Parlamentowi Europej</w:t>
      </w:r>
      <w:r>
        <w:rPr>
          <w:noProof/>
        </w:rPr>
        <w:t>skiemu i Radzie sprawozdanie dotyczące technicznej sprawności – w tym bezpieczeństwa – SIS, infrastruktury łączności systemu oraz dwustronnej i wielostronnej wymiany informacji uzupełniających pomiędzy państwami członkowskimi.</w:t>
      </w:r>
    </w:p>
    <w:p w:rsidR="00731D8F" w:rsidRDefault="00214EE0">
      <w:pPr>
        <w:pStyle w:val="Text1"/>
        <w:pBdr>
          <w:top w:val="single" w:sz="4" w:space="1" w:color="auto"/>
          <w:left w:val="single" w:sz="4" w:space="4" w:color="auto"/>
          <w:bottom w:val="single" w:sz="4" w:space="1" w:color="auto"/>
          <w:right w:val="single" w:sz="4" w:space="4" w:color="auto"/>
        </w:pBdr>
        <w:rPr>
          <w:noProof/>
        </w:rPr>
      </w:pPr>
      <w:r>
        <w:rPr>
          <w:noProof/>
        </w:rPr>
        <w:t>Ponadto co cztery lata Komisj</w:t>
      </w:r>
      <w:r>
        <w:rPr>
          <w:noProof/>
        </w:rPr>
        <w:t>a ma obowiązek przeprowadzić i przekazać Parlamentowi i Radzie ogólną ocenę SIS i wymiany informacji między państwami członkowskimi. Umożliwi to:</w:t>
      </w:r>
    </w:p>
    <w:p w:rsidR="00731D8F" w:rsidRDefault="00214EE0">
      <w:pPr>
        <w:pStyle w:val="Text1"/>
        <w:pBdr>
          <w:top w:val="single" w:sz="4" w:space="1" w:color="auto"/>
          <w:left w:val="single" w:sz="4" w:space="4" w:color="auto"/>
          <w:bottom w:val="single" w:sz="4" w:space="1" w:color="auto"/>
          <w:right w:val="single" w:sz="4" w:space="4" w:color="auto"/>
        </w:pBdr>
        <w:rPr>
          <w:noProof/>
        </w:rPr>
      </w:pPr>
      <w:r>
        <w:rPr>
          <w:noProof/>
        </w:rPr>
        <w:t>a) analizę osiągniętych wyników w zestawieniu z celami;</w:t>
      </w:r>
    </w:p>
    <w:p w:rsidR="00731D8F" w:rsidRDefault="00214EE0">
      <w:pPr>
        <w:pStyle w:val="Text1"/>
        <w:pBdr>
          <w:top w:val="single" w:sz="4" w:space="1" w:color="auto"/>
          <w:left w:val="single" w:sz="4" w:space="4" w:color="auto"/>
          <w:bottom w:val="single" w:sz="4" w:space="1" w:color="auto"/>
          <w:right w:val="single" w:sz="4" w:space="4" w:color="auto"/>
        </w:pBdr>
        <w:rPr>
          <w:noProof/>
        </w:rPr>
      </w:pPr>
      <w:r>
        <w:rPr>
          <w:noProof/>
        </w:rPr>
        <w:t>b) określenie, na ile wciąż aktualne są pierwotne prze</w:t>
      </w:r>
      <w:r>
        <w:rPr>
          <w:noProof/>
        </w:rPr>
        <w:t>słanki systemu;</w:t>
      </w:r>
    </w:p>
    <w:p w:rsidR="00731D8F" w:rsidRDefault="00214EE0">
      <w:pPr>
        <w:pStyle w:val="Text1"/>
        <w:pBdr>
          <w:top w:val="single" w:sz="4" w:space="1" w:color="auto"/>
          <w:left w:val="single" w:sz="4" w:space="4" w:color="auto"/>
          <w:bottom w:val="single" w:sz="4" w:space="1" w:color="auto"/>
          <w:right w:val="single" w:sz="4" w:space="4" w:color="auto"/>
        </w:pBdr>
        <w:rPr>
          <w:noProof/>
        </w:rPr>
      </w:pPr>
      <w:r>
        <w:rPr>
          <w:noProof/>
        </w:rPr>
        <w:t>c) analizę sposobu, w jaki niniejsze rozporządzenie stosowane jest do systemu centralnego;</w:t>
      </w:r>
    </w:p>
    <w:p w:rsidR="00731D8F" w:rsidRDefault="00214EE0">
      <w:pPr>
        <w:pStyle w:val="Text1"/>
        <w:pBdr>
          <w:top w:val="single" w:sz="4" w:space="1" w:color="auto"/>
          <w:left w:val="single" w:sz="4" w:space="4" w:color="auto"/>
          <w:bottom w:val="single" w:sz="4" w:space="1" w:color="auto"/>
          <w:right w:val="single" w:sz="4" w:space="4" w:color="auto"/>
        </w:pBdr>
        <w:rPr>
          <w:noProof/>
        </w:rPr>
      </w:pPr>
      <w:r>
        <w:rPr>
          <w:noProof/>
        </w:rPr>
        <w:t>d) ocenę bezpieczeństwa systemu centralnego;</w:t>
      </w:r>
    </w:p>
    <w:p w:rsidR="00731D8F" w:rsidRDefault="00214EE0">
      <w:pPr>
        <w:pStyle w:val="Text1"/>
        <w:pBdr>
          <w:top w:val="single" w:sz="4" w:space="1" w:color="auto"/>
          <w:left w:val="single" w:sz="4" w:space="4" w:color="auto"/>
          <w:bottom w:val="single" w:sz="4" w:space="1" w:color="auto"/>
          <w:right w:val="single" w:sz="4" w:space="4" w:color="auto"/>
        </w:pBdr>
        <w:rPr>
          <w:noProof/>
        </w:rPr>
      </w:pPr>
      <w:r>
        <w:rPr>
          <w:noProof/>
        </w:rPr>
        <w:t>e) ocenę konsekwencji dla przyszłego funkcjonowania systemu.</w:t>
      </w:r>
    </w:p>
    <w:p w:rsidR="00731D8F" w:rsidRDefault="00214EE0">
      <w:pPr>
        <w:pStyle w:val="ManualHeading2"/>
        <w:rPr>
          <w:bCs/>
          <w:noProof/>
          <w:szCs w:val="24"/>
        </w:rPr>
      </w:pPr>
      <w:r>
        <w:rPr>
          <w:noProof/>
        </w:rPr>
        <w:t>2.2.</w:t>
      </w:r>
      <w:r>
        <w:rPr>
          <w:noProof/>
        </w:rPr>
        <w:tab/>
        <w:t xml:space="preserve">Co więcej, obecnie eu-LISA ma również </w:t>
      </w:r>
      <w:r>
        <w:rPr>
          <w:noProof/>
        </w:rPr>
        <w:t xml:space="preserve">obowiązek dostarczania dziennych, miesięcznych i rocznych statystyk na temat użytkowania SIS, co zapewnia stałe monitorowanie systemu i jego funkcjonowania w zestawieniu z celami. System zarządzania i kontroli. </w:t>
      </w:r>
    </w:p>
    <w:p w:rsidR="00731D8F" w:rsidRDefault="00214EE0">
      <w:pPr>
        <w:pStyle w:val="ManualHeading3"/>
        <w:rPr>
          <w:noProof/>
        </w:rPr>
      </w:pPr>
      <w:r>
        <w:rPr>
          <w:noProof/>
        </w:rPr>
        <w:t>2.2.1.</w:t>
      </w:r>
      <w:r>
        <w:rPr>
          <w:noProof/>
        </w:rPr>
        <w:tab/>
        <w:t xml:space="preserve">Zidentyfikowane ryzyko </w:t>
      </w:r>
    </w:p>
    <w:p w:rsidR="00731D8F" w:rsidRDefault="00214EE0">
      <w:pPr>
        <w:pStyle w:val="Text1"/>
        <w:pBdr>
          <w:top w:val="single" w:sz="4" w:space="1" w:color="auto"/>
          <w:left w:val="single" w:sz="4" w:space="4" w:color="auto"/>
          <w:bottom w:val="single" w:sz="4" w:space="1" w:color="auto"/>
          <w:right w:val="single" w:sz="4" w:space="4" w:color="auto"/>
        </w:pBdr>
        <w:rPr>
          <w:noProof/>
        </w:rPr>
      </w:pPr>
      <w:r>
        <w:rPr>
          <w:noProof/>
        </w:rPr>
        <w:t>Zidentyfikowa</w:t>
      </w:r>
      <w:r>
        <w:rPr>
          <w:noProof/>
        </w:rPr>
        <w:t>no następujące zagrożenia.</w:t>
      </w:r>
    </w:p>
    <w:p w:rsidR="00731D8F" w:rsidRDefault="00214EE0">
      <w:pPr>
        <w:pStyle w:val="Text1"/>
        <w:pBdr>
          <w:top w:val="single" w:sz="4" w:space="1" w:color="auto"/>
          <w:left w:val="single" w:sz="4" w:space="4" w:color="auto"/>
          <w:bottom w:val="single" w:sz="4" w:space="1" w:color="auto"/>
          <w:right w:val="single" w:sz="4" w:space="4" w:color="auto"/>
        </w:pBdr>
        <w:rPr>
          <w:noProof/>
        </w:rPr>
      </w:pPr>
      <w:r>
        <w:rPr>
          <w:noProof/>
        </w:rPr>
        <w:t>1. Potencjalne problemy, jakie eu-LISA mogłaby napotkać w zarządzaniu zmianami przedstawionymi w niniejszym wniosku ze względu na inne obecnie wprowadzane zmiany (np. wprowadzenie automatycznego systemu identyfikacji daktyloskopi</w:t>
      </w:r>
      <w:r>
        <w:rPr>
          <w:noProof/>
        </w:rPr>
        <w:t>jnej (AFIS) do SIS) oraz przyszłe zmiany (np. system wjazdu/wyjazdu, ETIAS i aktualizacja Eurodac). Zagrożenie to można ograniczyć poprzez zapewnienie eu-LISA takiej liczby pracowników i takich zasobów, które wystarczą do przeprowadzenia tych zadań, oraz b</w:t>
      </w:r>
      <w:r>
        <w:rPr>
          <w:noProof/>
        </w:rPr>
        <w:t>ieżącego zarządzania systemem przez wykonawcę odpowiedzialnego za utrzymanie dobrego stanu technicznego systemu.</w:t>
      </w:r>
    </w:p>
    <w:p w:rsidR="00731D8F" w:rsidRDefault="00214EE0">
      <w:pPr>
        <w:pStyle w:val="Text1"/>
        <w:pBdr>
          <w:top w:val="single" w:sz="4" w:space="1" w:color="auto"/>
          <w:left w:val="single" w:sz="4" w:space="4" w:color="auto"/>
          <w:bottom w:val="single" w:sz="4" w:space="1" w:color="auto"/>
          <w:right w:val="single" w:sz="4" w:space="4" w:color="auto"/>
        </w:pBdr>
        <w:rPr>
          <w:noProof/>
        </w:rPr>
      </w:pPr>
      <w:r>
        <w:rPr>
          <w:noProof/>
        </w:rPr>
        <w:t xml:space="preserve">2. Trudności, jakie mogą napotkać państwa członkowskie </w:t>
      </w:r>
    </w:p>
    <w:p w:rsidR="00731D8F" w:rsidRDefault="00214EE0">
      <w:pPr>
        <w:pStyle w:val="Text1"/>
        <w:pBdr>
          <w:top w:val="single" w:sz="4" w:space="1" w:color="auto"/>
          <w:left w:val="single" w:sz="4" w:space="4" w:color="auto"/>
          <w:bottom w:val="single" w:sz="4" w:space="1" w:color="auto"/>
          <w:right w:val="single" w:sz="4" w:space="4" w:color="auto"/>
        </w:pBdr>
        <w:rPr>
          <w:noProof/>
        </w:rPr>
      </w:pPr>
      <w:r>
        <w:rPr>
          <w:noProof/>
        </w:rPr>
        <w:t xml:space="preserve">2.1 Trudności natury finansowej, ponieważ wdrożenie wymaga również inwestycji po </w:t>
      </w:r>
      <w:r>
        <w:rPr>
          <w:noProof/>
        </w:rPr>
        <w:t>stronie państw członkowskich. Zagrożenie to można ograniczyć poprzez zapewnienie państwom członkowskim finansowania z UE, np. z Funduszu Bezpieczeństwa Wewnętrznego (element „Granice”).</w:t>
      </w:r>
    </w:p>
    <w:p w:rsidR="00731D8F" w:rsidRDefault="00214EE0">
      <w:pPr>
        <w:pStyle w:val="Text1"/>
        <w:pBdr>
          <w:top w:val="single" w:sz="4" w:space="1" w:color="auto"/>
          <w:left w:val="single" w:sz="4" w:space="4" w:color="auto"/>
          <w:bottom w:val="single" w:sz="4" w:space="1" w:color="auto"/>
          <w:right w:val="single" w:sz="4" w:space="4" w:color="auto"/>
        </w:pBdr>
        <w:rPr>
          <w:noProof/>
        </w:rPr>
      </w:pPr>
      <w:r>
        <w:rPr>
          <w:noProof/>
        </w:rPr>
        <w:t>2.2 Systemy krajowe muszą odpowiadać centralnym wymogom, a dyskusje pr</w:t>
      </w:r>
      <w:r>
        <w:rPr>
          <w:noProof/>
        </w:rPr>
        <w:t xml:space="preserve">owadzone w tym temacie z państwami członkowskimi mogą spowodować opóźnienia w osiągnięciu tego celu. Zagrożenie to można ograniczyć poprzez angażowanie państw członkowskich w tę kwestię już na wczesnym etapie, tak aby zagwarantować, że niezbędne działania </w:t>
      </w:r>
      <w:r>
        <w:rPr>
          <w:noProof/>
        </w:rPr>
        <w:t>zostaną podjęte w odpowiednim czasie.</w:t>
      </w:r>
    </w:p>
    <w:p w:rsidR="00731D8F" w:rsidRDefault="00214EE0">
      <w:pPr>
        <w:pStyle w:val="Text1"/>
        <w:pBdr>
          <w:top w:val="single" w:sz="4" w:space="1" w:color="auto"/>
          <w:left w:val="single" w:sz="4" w:space="4" w:color="auto"/>
          <w:bottom w:val="single" w:sz="4" w:space="1" w:color="auto"/>
          <w:right w:val="single" w:sz="4" w:space="4" w:color="auto"/>
        </w:pBdr>
        <w:rPr>
          <w:noProof/>
        </w:rPr>
      </w:pPr>
      <w:r>
        <w:rPr>
          <w:noProof/>
        </w:rPr>
        <w:t xml:space="preserve">2.3 Zagrożenia związane z procedurami na szczeblu krajowym. </w:t>
      </w:r>
    </w:p>
    <w:p w:rsidR="00731D8F" w:rsidRDefault="00214EE0">
      <w:pPr>
        <w:pStyle w:val="Text1"/>
        <w:pBdr>
          <w:top w:val="single" w:sz="4" w:space="1" w:color="auto"/>
          <w:left w:val="single" w:sz="4" w:space="4" w:color="auto"/>
          <w:bottom w:val="single" w:sz="4" w:space="1" w:color="auto"/>
          <w:right w:val="single" w:sz="4" w:space="4" w:color="auto"/>
        </w:pBdr>
        <w:rPr>
          <w:noProof/>
        </w:rPr>
      </w:pPr>
      <w:r>
        <w:rPr>
          <w:noProof/>
        </w:rPr>
        <w:t>2.3.1 Decyzje nakazujące powrót nie są terminowo wpisywane, aktualizowane lub usuwane:</w:t>
      </w:r>
    </w:p>
    <w:p w:rsidR="00731D8F" w:rsidRDefault="00214EE0">
      <w:pPr>
        <w:pStyle w:val="Text1"/>
        <w:pBdr>
          <w:top w:val="single" w:sz="4" w:space="1" w:color="auto"/>
          <w:left w:val="single" w:sz="4" w:space="4" w:color="auto"/>
          <w:bottom w:val="single" w:sz="4" w:space="1" w:color="auto"/>
          <w:right w:val="single" w:sz="4" w:space="4" w:color="auto"/>
        </w:pBdr>
        <w:rPr>
          <w:noProof/>
        </w:rPr>
      </w:pPr>
      <w:r>
        <w:rPr>
          <w:noProof/>
        </w:rPr>
        <w:t xml:space="preserve">- mechanizm weryfikowania, czy osoba objęta decyzją nakazującą powrót </w:t>
      </w:r>
      <w:r>
        <w:rPr>
          <w:noProof/>
        </w:rPr>
        <w:t>rzeczywiście się do niej zastosowała w terminie dobrowolnego wyjazdu, będzie działał jedynie wówczas, gdy decyzje nakazujące powrót będą wprowadzane jako wpisy do SIS niezwłocznie po ich wydaniu;</w:t>
      </w:r>
    </w:p>
    <w:p w:rsidR="00731D8F" w:rsidRDefault="00214EE0">
      <w:pPr>
        <w:pStyle w:val="Text1"/>
        <w:pBdr>
          <w:top w:val="single" w:sz="4" w:space="1" w:color="auto"/>
          <w:left w:val="single" w:sz="4" w:space="4" w:color="auto"/>
          <w:bottom w:val="single" w:sz="4" w:space="1" w:color="auto"/>
          <w:right w:val="single" w:sz="4" w:space="4" w:color="auto"/>
        </w:pBdr>
        <w:rPr>
          <w:noProof/>
        </w:rPr>
      </w:pPr>
      <w:r>
        <w:rPr>
          <w:noProof/>
        </w:rPr>
        <w:t>- może się okazać, że ze względu na czasową niedostępność SI</w:t>
      </w:r>
      <w:r>
        <w:rPr>
          <w:noProof/>
        </w:rPr>
        <w:t>S na granicach zewnętrznych lub błędy ludzkie wyjazd konkretnej osoby nie zostanie odnotowany, tzn. wpis dotyczący powrotu pozostanie w SIS, a wpis dotyczący zakazu wjazdu nie zostanie wprowadzony do systemu po jej wyjeździe. Zagrożenie to można ograniczyć</w:t>
      </w:r>
      <w:r>
        <w:rPr>
          <w:noProof/>
        </w:rPr>
        <w:t xml:space="preserve"> poprzez udzielenie funkcjonariuszom straży granicznej dostępu do wpisów dotyczących decyzji nakazującej powrót na etapie wjazdu, tak aby mogli oni zobaczyć wpis podczas procedury wjazdowej i skontaktować się z właściwymi organami w celu określenia dalszyc</w:t>
      </w:r>
      <w:r>
        <w:rPr>
          <w:noProof/>
        </w:rPr>
        <w:t>h działań w przypadku uzyskania trafienia.</w:t>
      </w:r>
    </w:p>
    <w:p w:rsidR="00731D8F" w:rsidRDefault="00214EE0">
      <w:pPr>
        <w:pStyle w:val="ManualHeading3"/>
        <w:rPr>
          <w:bCs/>
          <w:noProof/>
          <w:szCs w:val="24"/>
        </w:rPr>
      </w:pPr>
      <w:r>
        <w:rPr>
          <w:noProof/>
        </w:rPr>
        <w:t>2.2.2.</w:t>
      </w:r>
      <w:r>
        <w:rPr>
          <w:noProof/>
        </w:rPr>
        <w:tab/>
        <w:t>Informacje dotyczące struktury wewnętrznego systemu kontroli</w:t>
      </w:r>
    </w:p>
    <w:p w:rsidR="00731D8F" w:rsidRDefault="00214EE0">
      <w:pPr>
        <w:pStyle w:val="Text1"/>
        <w:pBdr>
          <w:top w:val="single" w:sz="4" w:space="1" w:color="auto"/>
          <w:left w:val="single" w:sz="4" w:space="4" w:color="auto"/>
          <w:bottom w:val="single" w:sz="4" w:space="1" w:color="auto"/>
          <w:right w:val="single" w:sz="4" w:space="4" w:color="auto"/>
        </w:pBdr>
        <w:rPr>
          <w:noProof/>
        </w:rPr>
      </w:pPr>
      <w:r>
        <w:rPr>
          <w:noProof/>
        </w:rPr>
        <w:t>Za wypełnienie obowiązków związanych z głównymi elementami SIS odpowiada eu-LISA. Aby umożliwić lepsze monitorowanie wykorzystania SIS do celów a</w:t>
      </w:r>
      <w:r>
        <w:rPr>
          <w:noProof/>
        </w:rPr>
        <w:t>nalizy tendencji związanych z presją migracyjną, zarządzania granicami i przestępstwami, Agencja powinna mieć możliwość rozwijania nowoczesnych zdolności w zakresie prowadzenia sprawozdawczości statystycznej wobec państw członkowskich i Komisji.</w:t>
      </w:r>
    </w:p>
    <w:p w:rsidR="00731D8F" w:rsidRDefault="00214EE0">
      <w:pPr>
        <w:pStyle w:val="Text1"/>
        <w:pBdr>
          <w:top w:val="single" w:sz="4" w:space="1" w:color="auto"/>
          <w:left w:val="single" w:sz="4" w:space="4" w:color="auto"/>
          <w:bottom w:val="single" w:sz="4" w:space="1" w:color="auto"/>
          <w:right w:val="single" w:sz="4" w:space="4" w:color="auto"/>
        </w:pBdr>
        <w:rPr>
          <w:noProof/>
        </w:rPr>
      </w:pPr>
      <w:r>
        <w:rPr>
          <w:noProof/>
        </w:rPr>
        <w:t>Sprawozdan</w:t>
      </w:r>
      <w:r>
        <w:rPr>
          <w:noProof/>
        </w:rPr>
        <w:t>ie finansowe eu-LISA podlega zatwierdzeniu przez Trybunał Obrachunkowy i procedurze udzielania absolutorium. Służba Audytu Wewnętrznego Komisji będzie przeprowadzać audyty we współpracy z audytorem wewnętrznym Agencji.</w:t>
      </w:r>
    </w:p>
    <w:p w:rsidR="00731D8F" w:rsidRDefault="00214EE0">
      <w:pPr>
        <w:pStyle w:val="ManualHeading3"/>
        <w:rPr>
          <w:noProof/>
        </w:rPr>
      </w:pPr>
      <w:r>
        <w:rPr>
          <w:noProof/>
        </w:rPr>
        <w:t>2.2.3.</w:t>
      </w:r>
      <w:r>
        <w:rPr>
          <w:noProof/>
        </w:rPr>
        <w:tab/>
        <w:t>Oszacowanie kosztów i korzyści</w:t>
      </w:r>
      <w:r>
        <w:rPr>
          <w:noProof/>
        </w:rPr>
        <w:t xml:space="preserve"> wynikających z kontroli i ocena prawdopodobnego ryzyka błędu </w:t>
      </w:r>
    </w:p>
    <w:p w:rsidR="00731D8F" w:rsidRDefault="00214EE0">
      <w:pPr>
        <w:pStyle w:val="Text1"/>
        <w:pBdr>
          <w:top w:val="single" w:sz="4" w:space="1" w:color="auto"/>
          <w:left w:val="single" w:sz="4" w:space="4" w:color="auto"/>
          <w:bottom w:val="single" w:sz="4" w:space="1" w:color="auto"/>
          <w:right w:val="single" w:sz="4" w:space="4" w:color="auto"/>
        </w:pBdr>
        <w:rPr>
          <w:noProof/>
        </w:rPr>
      </w:pPr>
      <w:r>
        <w:rPr>
          <w:noProof/>
        </w:rPr>
        <w:t>nie dotyczy</w:t>
      </w:r>
    </w:p>
    <w:p w:rsidR="00731D8F" w:rsidRDefault="00214EE0">
      <w:pPr>
        <w:pStyle w:val="ManualHeading2"/>
        <w:rPr>
          <w:bCs/>
          <w:noProof/>
          <w:szCs w:val="24"/>
        </w:rPr>
      </w:pPr>
      <w:r>
        <w:rPr>
          <w:noProof/>
        </w:rPr>
        <w:t>2.3.</w:t>
      </w:r>
      <w:r>
        <w:rPr>
          <w:noProof/>
        </w:rPr>
        <w:tab/>
        <w:t xml:space="preserve">Środki zapobiegania nadużyciom finansowym i nieprawidłowościom </w:t>
      </w:r>
    </w:p>
    <w:p w:rsidR="00731D8F" w:rsidRDefault="00214EE0">
      <w:pPr>
        <w:pStyle w:val="Text1"/>
        <w:rPr>
          <w:i/>
          <w:noProof/>
          <w:sz w:val="20"/>
        </w:rPr>
      </w:pPr>
      <w:r>
        <w:rPr>
          <w:i/>
          <w:noProof/>
          <w:sz w:val="20"/>
        </w:rPr>
        <w:t>Określić istniejące lub przewidywane środki zapobiegania i ochrony</w:t>
      </w:r>
    </w:p>
    <w:p w:rsidR="00731D8F" w:rsidRDefault="00214EE0">
      <w:pPr>
        <w:pStyle w:val="Text1"/>
        <w:pBdr>
          <w:top w:val="single" w:sz="4" w:space="1" w:color="auto"/>
          <w:left w:val="single" w:sz="4" w:space="4" w:color="auto"/>
          <w:bottom w:val="single" w:sz="4" w:space="1" w:color="auto"/>
          <w:right w:val="single" w:sz="4" w:space="4" w:color="auto"/>
        </w:pBdr>
        <w:rPr>
          <w:noProof/>
        </w:rPr>
      </w:pPr>
      <w:r>
        <w:rPr>
          <w:noProof/>
        </w:rPr>
        <w:t>Środki przewidziane na zwalczanie nadużyć fin</w:t>
      </w:r>
      <w:r>
        <w:rPr>
          <w:noProof/>
        </w:rPr>
        <w:t>ansowych zostały określone w art. 35 rozporządzenia (UE) nr 1077/2011, który stanowi następująco.</w:t>
      </w:r>
    </w:p>
    <w:p w:rsidR="00731D8F" w:rsidRDefault="00214EE0">
      <w:pPr>
        <w:pStyle w:val="Text1"/>
        <w:pBdr>
          <w:top w:val="single" w:sz="4" w:space="1" w:color="auto"/>
          <w:left w:val="single" w:sz="4" w:space="4" w:color="auto"/>
          <w:bottom w:val="single" w:sz="4" w:space="1" w:color="auto"/>
          <w:right w:val="single" w:sz="4" w:space="4" w:color="auto"/>
        </w:pBdr>
        <w:rPr>
          <w:noProof/>
        </w:rPr>
      </w:pPr>
      <w:r>
        <w:rPr>
          <w:noProof/>
        </w:rPr>
        <w:t>1. W celu zwalczania nadużyć finansowych, korupcji i innych bezprawnych działań zastosowanie ma rozporządzenie (WE) nr 1073/1999.</w:t>
      </w:r>
    </w:p>
    <w:p w:rsidR="00731D8F" w:rsidRDefault="00214EE0">
      <w:pPr>
        <w:pStyle w:val="Text1"/>
        <w:pBdr>
          <w:top w:val="single" w:sz="4" w:space="1" w:color="auto"/>
          <w:left w:val="single" w:sz="4" w:space="4" w:color="auto"/>
          <w:bottom w:val="single" w:sz="4" w:space="1" w:color="auto"/>
          <w:right w:val="single" w:sz="4" w:space="4" w:color="auto"/>
        </w:pBdr>
        <w:rPr>
          <w:noProof/>
        </w:rPr>
      </w:pPr>
      <w:r>
        <w:rPr>
          <w:noProof/>
        </w:rPr>
        <w:t>2. Agencja przystępuje do po</w:t>
      </w:r>
      <w:r>
        <w:rPr>
          <w:noProof/>
        </w:rPr>
        <w:t>rozumienia międzyinstytucjonalnego dotyczącego wewnętrznych dochodzeń prowadzonych przez Europejski Urząd ds. Zwalczania Nadużyć Finansowych (OLAF) i niezwłocznie wydaje odpowiednie przepisy, które mają zastosowanie do wszystkich pracowników Agencji.</w:t>
      </w:r>
    </w:p>
    <w:p w:rsidR="00731D8F" w:rsidRDefault="00214EE0">
      <w:pPr>
        <w:pStyle w:val="Text1"/>
        <w:pBdr>
          <w:top w:val="single" w:sz="4" w:space="1" w:color="auto"/>
          <w:left w:val="single" w:sz="4" w:space="4" w:color="auto"/>
          <w:bottom w:val="single" w:sz="4" w:space="1" w:color="auto"/>
          <w:right w:val="single" w:sz="4" w:space="4" w:color="auto"/>
        </w:pBdr>
        <w:rPr>
          <w:noProof/>
        </w:rPr>
      </w:pPr>
      <w:r>
        <w:rPr>
          <w:noProof/>
        </w:rPr>
        <w:t>3. De</w:t>
      </w:r>
      <w:r>
        <w:rPr>
          <w:noProof/>
        </w:rPr>
        <w:t>cyzje dotyczące finansowania oraz umowy i akty wykonawcze do nich powinny wyraźnie zastrzegać, że Trybunał Obrachunkowy i OLAF mogą, w razie konieczności, przeprowadzać kontrole na miejscu wśród odbiorców funduszy Agencji oraz urzędników odpowiedzialnych z</w:t>
      </w:r>
      <w:r>
        <w:rPr>
          <w:noProof/>
        </w:rPr>
        <w:t>a ich przyznawanie.</w:t>
      </w:r>
    </w:p>
    <w:p w:rsidR="00731D8F" w:rsidRDefault="00214EE0">
      <w:pPr>
        <w:pStyle w:val="Text1"/>
        <w:pBdr>
          <w:top w:val="single" w:sz="4" w:space="1" w:color="auto"/>
          <w:left w:val="single" w:sz="4" w:space="4" w:color="auto"/>
          <w:bottom w:val="single" w:sz="4" w:space="1" w:color="auto"/>
          <w:right w:val="single" w:sz="4" w:space="4" w:color="auto"/>
        </w:pBdr>
        <w:rPr>
          <w:noProof/>
        </w:rPr>
      </w:pPr>
      <w:r>
        <w:rPr>
          <w:noProof/>
        </w:rPr>
        <w:t>Zgodnie z tym przepisem w dniu 28 czerwca 2012 r. przyjęto decyzję Zarządu Europejskiej Agencji do spraw Zarządzania Operacyjnego Wielkoskalowymi Systemami Informatycznymi w Przestrzeni Wolności, Bezpieczeństwa i Sprawiedliwości w spraw</w:t>
      </w:r>
      <w:r>
        <w:rPr>
          <w:noProof/>
        </w:rPr>
        <w:t>ie zasad i warunków dochodzeń wewnętrznych w odniesieniu do przeciwdziałania nadużyciom finansowym, korupcji i wszelkim nielegalnym działaniom godzącym w interesy Unii.</w:t>
      </w:r>
    </w:p>
    <w:p w:rsidR="00731D8F" w:rsidRDefault="00214EE0">
      <w:pPr>
        <w:pStyle w:val="Text1"/>
        <w:pBdr>
          <w:top w:val="single" w:sz="4" w:space="1" w:color="auto"/>
          <w:left w:val="single" w:sz="4" w:space="4" w:color="auto"/>
          <w:bottom w:val="single" w:sz="4" w:space="1" w:color="auto"/>
          <w:right w:val="single" w:sz="4" w:space="4" w:color="auto"/>
        </w:pBdr>
        <w:rPr>
          <w:noProof/>
        </w:rPr>
      </w:pPr>
      <w:r>
        <w:rPr>
          <w:noProof/>
        </w:rPr>
        <w:t>Zastosowanie będzie miała strategia Dyrekcji Generalnej do Spraw Wewnętrznych dotycząca</w:t>
      </w:r>
      <w:r>
        <w:rPr>
          <w:noProof/>
        </w:rPr>
        <w:t xml:space="preserve"> zapobiegania nadużyciom finansowym i ich wykrywania.</w:t>
      </w:r>
    </w:p>
    <w:p w:rsidR="00731D8F" w:rsidRDefault="00731D8F">
      <w:pPr>
        <w:rPr>
          <w:noProof/>
        </w:rPr>
        <w:sectPr w:rsidR="00731D8F" w:rsidSect="00214EE0">
          <w:pgSz w:w="11907" w:h="16840" w:code="9"/>
          <w:pgMar w:top="1134" w:right="1418" w:bottom="1134" w:left="1418" w:header="709" w:footer="709" w:gutter="0"/>
          <w:cols w:space="708"/>
          <w:docGrid w:linePitch="360"/>
        </w:sectPr>
      </w:pPr>
    </w:p>
    <w:p w:rsidR="00731D8F" w:rsidRDefault="00214EE0">
      <w:pPr>
        <w:pStyle w:val="ManualHeading1"/>
        <w:rPr>
          <w:bCs/>
          <w:noProof/>
          <w:szCs w:val="24"/>
        </w:rPr>
      </w:pPr>
      <w:r>
        <w:rPr>
          <w:noProof/>
        </w:rPr>
        <w:t>3.</w:t>
      </w:r>
      <w:r>
        <w:rPr>
          <w:noProof/>
        </w:rPr>
        <w:tab/>
        <w:t xml:space="preserve">SZACUNKOWY WPŁYW FINANSOWY WNIOSKU/INICJATYWY </w:t>
      </w:r>
    </w:p>
    <w:p w:rsidR="00731D8F" w:rsidRDefault="00214EE0">
      <w:pPr>
        <w:pStyle w:val="ManualHeading2"/>
        <w:rPr>
          <w:noProof/>
        </w:rPr>
      </w:pPr>
      <w:r>
        <w:rPr>
          <w:noProof/>
        </w:rPr>
        <w:t>3.1.</w:t>
      </w:r>
      <w:r>
        <w:rPr>
          <w:noProof/>
        </w:rPr>
        <w:tab/>
        <w:t xml:space="preserve">Działy wieloletnich ram finansowych i linie budżetowe po stronie wydatków, na które wniosek/inicjatywa ma wpływ </w:t>
      </w:r>
    </w:p>
    <w:p w:rsidR="00731D8F" w:rsidRDefault="00214EE0">
      <w:pPr>
        <w:pStyle w:val="ListBullet1"/>
        <w:rPr>
          <w:noProof/>
        </w:rPr>
      </w:pPr>
      <w:r>
        <w:rPr>
          <w:noProof/>
        </w:rPr>
        <w:t>Istniejące</w:t>
      </w:r>
      <w:r>
        <w:rPr>
          <w:noProof/>
        </w:rPr>
        <w:t xml:space="preserve"> linie budżetowe </w:t>
      </w:r>
    </w:p>
    <w:p w:rsidR="00731D8F" w:rsidRDefault="00214EE0">
      <w:pPr>
        <w:pStyle w:val="Text1"/>
        <w:rPr>
          <w:noProof/>
        </w:rPr>
      </w:pPr>
      <w:r>
        <w:rPr>
          <w:noProof/>
          <w:u w:val="single"/>
        </w:rPr>
        <w:t>Według</w:t>
      </w:r>
      <w:r>
        <w:rPr>
          <w:noProof/>
        </w:rPr>
        <w:t xml:space="preserve"> działów wieloletnich ram finansowych i linii budżetowych.</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731D8F">
        <w:tc>
          <w:tcPr>
            <w:tcW w:w="1080" w:type="dxa"/>
            <w:vMerge w:val="restart"/>
            <w:vAlign w:val="center"/>
          </w:tcPr>
          <w:p w:rsidR="00731D8F" w:rsidRDefault="00214EE0">
            <w:pPr>
              <w:spacing w:before="60" w:after="60"/>
              <w:jc w:val="center"/>
              <w:rPr>
                <w:noProof/>
                <w:sz w:val="22"/>
              </w:rPr>
            </w:pPr>
            <w:r>
              <w:rPr>
                <w:noProof/>
                <w:sz w:val="18"/>
              </w:rPr>
              <w:t>Dział wieloletnich ram finansowych</w:t>
            </w:r>
          </w:p>
        </w:tc>
        <w:tc>
          <w:tcPr>
            <w:tcW w:w="3960" w:type="dxa"/>
            <w:vAlign w:val="center"/>
          </w:tcPr>
          <w:p w:rsidR="00731D8F" w:rsidRDefault="00214EE0">
            <w:pPr>
              <w:spacing w:before="60" w:after="60"/>
              <w:jc w:val="center"/>
              <w:rPr>
                <w:noProof/>
                <w:sz w:val="22"/>
              </w:rPr>
            </w:pPr>
            <w:r>
              <w:rPr>
                <w:noProof/>
                <w:sz w:val="20"/>
              </w:rPr>
              <w:t>Linia budżetowa</w:t>
            </w:r>
          </w:p>
        </w:tc>
        <w:tc>
          <w:tcPr>
            <w:tcW w:w="1080" w:type="dxa"/>
            <w:vAlign w:val="center"/>
          </w:tcPr>
          <w:p w:rsidR="00731D8F" w:rsidRDefault="00214EE0">
            <w:pPr>
              <w:spacing w:before="60" w:after="60"/>
              <w:jc w:val="center"/>
              <w:rPr>
                <w:noProof/>
                <w:sz w:val="22"/>
              </w:rPr>
            </w:pPr>
            <w:r>
              <w:rPr>
                <w:noProof/>
                <w:sz w:val="18"/>
              </w:rPr>
              <w:t>Rodzaj</w:t>
            </w:r>
            <w:r>
              <w:rPr>
                <w:noProof/>
                <w:sz w:val="22"/>
              </w:rPr>
              <w:br/>
            </w:r>
            <w:r>
              <w:rPr>
                <w:noProof/>
                <w:sz w:val="18"/>
              </w:rPr>
              <w:t>środków</w:t>
            </w:r>
          </w:p>
        </w:tc>
        <w:tc>
          <w:tcPr>
            <w:tcW w:w="4440" w:type="dxa"/>
            <w:gridSpan w:val="4"/>
            <w:vAlign w:val="center"/>
          </w:tcPr>
          <w:p w:rsidR="00731D8F" w:rsidRDefault="00214EE0">
            <w:pPr>
              <w:spacing w:before="60" w:after="60"/>
              <w:jc w:val="center"/>
              <w:rPr>
                <w:noProof/>
                <w:sz w:val="22"/>
              </w:rPr>
            </w:pPr>
            <w:r>
              <w:rPr>
                <w:noProof/>
                <w:sz w:val="20"/>
              </w:rPr>
              <w:t xml:space="preserve">Wkład </w:t>
            </w:r>
          </w:p>
        </w:tc>
      </w:tr>
      <w:tr w:rsidR="00731D8F">
        <w:tc>
          <w:tcPr>
            <w:tcW w:w="1080" w:type="dxa"/>
            <w:vMerge/>
            <w:vAlign w:val="center"/>
          </w:tcPr>
          <w:p w:rsidR="00731D8F" w:rsidRDefault="00731D8F">
            <w:pPr>
              <w:jc w:val="center"/>
              <w:rPr>
                <w:noProof/>
                <w:sz w:val="22"/>
              </w:rPr>
            </w:pPr>
          </w:p>
        </w:tc>
        <w:tc>
          <w:tcPr>
            <w:tcW w:w="3960" w:type="dxa"/>
            <w:vAlign w:val="center"/>
          </w:tcPr>
          <w:p w:rsidR="00731D8F" w:rsidRDefault="00214EE0">
            <w:pPr>
              <w:rPr>
                <w:noProof/>
                <w:sz w:val="22"/>
              </w:rPr>
            </w:pPr>
            <w:r>
              <w:rPr>
                <w:noProof/>
                <w:sz w:val="20"/>
              </w:rPr>
              <w:t>Dział 3 – Bezpieczeństwo i obywatelstwo</w:t>
            </w:r>
          </w:p>
        </w:tc>
        <w:tc>
          <w:tcPr>
            <w:tcW w:w="1080" w:type="dxa"/>
            <w:vAlign w:val="center"/>
          </w:tcPr>
          <w:p w:rsidR="00731D8F" w:rsidRDefault="00214EE0">
            <w:pPr>
              <w:jc w:val="center"/>
              <w:rPr>
                <w:noProof/>
                <w:sz w:val="22"/>
              </w:rPr>
            </w:pPr>
            <w:r>
              <w:rPr>
                <w:noProof/>
                <w:sz w:val="18"/>
              </w:rPr>
              <w:t>Zróżnicowane / niezróżnicowane</w:t>
            </w:r>
            <w:r>
              <w:rPr>
                <w:rStyle w:val="FootnoteReference"/>
                <w:noProof/>
                <w:sz w:val="18"/>
              </w:rPr>
              <w:footnoteReference w:id="51"/>
            </w:r>
          </w:p>
        </w:tc>
        <w:tc>
          <w:tcPr>
            <w:tcW w:w="956" w:type="dxa"/>
            <w:vAlign w:val="center"/>
          </w:tcPr>
          <w:p w:rsidR="00731D8F" w:rsidRDefault="00214EE0">
            <w:pPr>
              <w:jc w:val="center"/>
              <w:rPr>
                <w:noProof/>
                <w:sz w:val="22"/>
              </w:rPr>
            </w:pPr>
            <w:r>
              <w:rPr>
                <w:noProof/>
                <w:sz w:val="18"/>
              </w:rPr>
              <w:t>państw EFTA</w:t>
            </w:r>
            <w:r>
              <w:rPr>
                <w:rStyle w:val="FootnoteReference"/>
                <w:noProof/>
                <w:sz w:val="18"/>
              </w:rPr>
              <w:footnoteReference w:id="52"/>
            </w:r>
          </w:p>
          <w:p w:rsidR="00731D8F" w:rsidRDefault="00731D8F">
            <w:pPr>
              <w:spacing w:before="0" w:after="0"/>
              <w:jc w:val="center"/>
              <w:rPr>
                <w:b/>
                <w:noProof/>
                <w:sz w:val="18"/>
              </w:rPr>
            </w:pPr>
          </w:p>
        </w:tc>
        <w:tc>
          <w:tcPr>
            <w:tcW w:w="1080" w:type="dxa"/>
            <w:vAlign w:val="center"/>
          </w:tcPr>
          <w:p w:rsidR="00731D8F" w:rsidRDefault="00214EE0">
            <w:pPr>
              <w:jc w:val="center"/>
              <w:rPr>
                <w:noProof/>
                <w:sz w:val="22"/>
              </w:rPr>
            </w:pPr>
            <w:r>
              <w:rPr>
                <w:noProof/>
                <w:sz w:val="18"/>
              </w:rPr>
              <w:t xml:space="preserve">krajów </w:t>
            </w:r>
            <w:r>
              <w:rPr>
                <w:noProof/>
                <w:sz w:val="18"/>
              </w:rPr>
              <w:t>kandydujących</w:t>
            </w:r>
            <w:r>
              <w:rPr>
                <w:rStyle w:val="FootnoteReference"/>
                <w:noProof/>
                <w:sz w:val="18"/>
              </w:rPr>
              <w:footnoteReference w:id="53"/>
            </w:r>
          </w:p>
          <w:p w:rsidR="00731D8F" w:rsidRDefault="00731D8F">
            <w:pPr>
              <w:spacing w:before="0" w:after="0"/>
              <w:jc w:val="center"/>
              <w:rPr>
                <w:noProof/>
                <w:sz w:val="18"/>
              </w:rPr>
            </w:pPr>
          </w:p>
        </w:tc>
        <w:tc>
          <w:tcPr>
            <w:tcW w:w="956" w:type="dxa"/>
            <w:vAlign w:val="center"/>
          </w:tcPr>
          <w:p w:rsidR="00731D8F" w:rsidRDefault="00214EE0">
            <w:pPr>
              <w:jc w:val="center"/>
              <w:rPr>
                <w:noProof/>
                <w:sz w:val="18"/>
              </w:rPr>
            </w:pPr>
            <w:r>
              <w:rPr>
                <w:noProof/>
                <w:sz w:val="18"/>
              </w:rPr>
              <w:t>państw trzecich</w:t>
            </w:r>
          </w:p>
        </w:tc>
        <w:tc>
          <w:tcPr>
            <w:tcW w:w="1448" w:type="dxa"/>
            <w:vAlign w:val="center"/>
          </w:tcPr>
          <w:p w:rsidR="00731D8F" w:rsidRDefault="00214EE0">
            <w:pPr>
              <w:jc w:val="center"/>
              <w:rPr>
                <w:noProof/>
                <w:sz w:val="22"/>
              </w:rPr>
            </w:pPr>
            <w:r>
              <w:rPr>
                <w:noProof/>
                <w:sz w:val="16"/>
              </w:rPr>
              <w:t xml:space="preserve">w rozumieniu art. 21 ust. 2 lit. b) rozporządzenia finansowego </w:t>
            </w:r>
          </w:p>
        </w:tc>
      </w:tr>
      <w:tr w:rsidR="00731D8F">
        <w:tc>
          <w:tcPr>
            <w:tcW w:w="1080" w:type="dxa"/>
            <w:vAlign w:val="center"/>
          </w:tcPr>
          <w:p w:rsidR="00731D8F" w:rsidRDefault="00731D8F">
            <w:pPr>
              <w:jc w:val="center"/>
              <w:rPr>
                <w:noProof/>
                <w:color w:val="0000FF"/>
                <w:sz w:val="22"/>
              </w:rPr>
            </w:pPr>
          </w:p>
        </w:tc>
        <w:tc>
          <w:tcPr>
            <w:tcW w:w="3960" w:type="dxa"/>
            <w:vAlign w:val="center"/>
          </w:tcPr>
          <w:p w:rsidR="00731D8F" w:rsidRDefault="00214EE0">
            <w:pPr>
              <w:spacing w:before="60"/>
              <w:rPr>
                <w:noProof/>
              </w:rPr>
            </w:pPr>
            <w:r>
              <w:rPr>
                <w:noProof/>
              </w:rPr>
              <w:t xml:space="preserve">18.0207 – Europejska Agencja ds. Zarządzania Operacyjnego Wielkoskalowymi Systemami Informatycznymi w Przestrzeni Wolności, Bezpieczeństwa i Sprawiedliwości </w:t>
            </w:r>
            <w:r>
              <w:rPr>
                <w:noProof/>
              </w:rPr>
              <w:t>(eu-LISA)</w:t>
            </w:r>
          </w:p>
        </w:tc>
        <w:tc>
          <w:tcPr>
            <w:tcW w:w="1080" w:type="dxa"/>
            <w:vAlign w:val="center"/>
          </w:tcPr>
          <w:p w:rsidR="00731D8F" w:rsidRDefault="00214EE0">
            <w:pPr>
              <w:jc w:val="center"/>
              <w:rPr>
                <w:noProof/>
                <w:sz w:val="22"/>
              </w:rPr>
            </w:pPr>
            <w:r>
              <w:rPr>
                <w:noProof/>
                <w:sz w:val="22"/>
              </w:rPr>
              <w:t>Zróżnicowane</w:t>
            </w:r>
          </w:p>
        </w:tc>
        <w:tc>
          <w:tcPr>
            <w:tcW w:w="956" w:type="dxa"/>
            <w:vAlign w:val="center"/>
          </w:tcPr>
          <w:p w:rsidR="00731D8F" w:rsidRDefault="00214EE0">
            <w:pPr>
              <w:jc w:val="center"/>
              <w:rPr>
                <w:noProof/>
                <w:sz w:val="22"/>
              </w:rPr>
            </w:pPr>
            <w:r>
              <w:rPr>
                <w:noProof/>
                <w:sz w:val="22"/>
              </w:rPr>
              <w:t>NIE</w:t>
            </w:r>
          </w:p>
        </w:tc>
        <w:tc>
          <w:tcPr>
            <w:tcW w:w="1080" w:type="dxa"/>
            <w:vAlign w:val="center"/>
          </w:tcPr>
          <w:p w:rsidR="00731D8F" w:rsidRDefault="00214EE0">
            <w:pPr>
              <w:jc w:val="center"/>
              <w:rPr>
                <w:noProof/>
                <w:sz w:val="22"/>
              </w:rPr>
            </w:pPr>
            <w:r>
              <w:rPr>
                <w:noProof/>
                <w:sz w:val="22"/>
              </w:rPr>
              <w:t>NIE</w:t>
            </w:r>
          </w:p>
        </w:tc>
        <w:tc>
          <w:tcPr>
            <w:tcW w:w="956" w:type="dxa"/>
            <w:vAlign w:val="center"/>
          </w:tcPr>
          <w:p w:rsidR="00731D8F" w:rsidRDefault="00214EE0">
            <w:pPr>
              <w:jc w:val="center"/>
              <w:rPr>
                <w:noProof/>
                <w:sz w:val="22"/>
              </w:rPr>
            </w:pPr>
            <w:r>
              <w:rPr>
                <w:noProof/>
                <w:sz w:val="22"/>
              </w:rPr>
              <w:t>TAK</w:t>
            </w:r>
          </w:p>
        </w:tc>
        <w:tc>
          <w:tcPr>
            <w:tcW w:w="1448" w:type="dxa"/>
            <w:vAlign w:val="center"/>
          </w:tcPr>
          <w:p w:rsidR="00731D8F" w:rsidRDefault="00214EE0">
            <w:pPr>
              <w:jc w:val="center"/>
              <w:rPr>
                <w:noProof/>
                <w:sz w:val="22"/>
              </w:rPr>
            </w:pPr>
            <w:r>
              <w:rPr>
                <w:noProof/>
                <w:sz w:val="22"/>
              </w:rPr>
              <w:t>NIE</w:t>
            </w:r>
          </w:p>
        </w:tc>
      </w:tr>
    </w:tbl>
    <w:p w:rsidR="00731D8F" w:rsidRDefault="00731D8F">
      <w:pPr>
        <w:rPr>
          <w:noProof/>
        </w:rPr>
        <w:sectPr w:rsidR="00731D8F" w:rsidSect="00214EE0">
          <w:pgSz w:w="11907" w:h="16840" w:code="1"/>
          <w:pgMar w:top="1134" w:right="1418" w:bottom="1134" w:left="1418" w:header="709" w:footer="709" w:gutter="0"/>
          <w:cols w:space="708"/>
          <w:docGrid w:linePitch="360"/>
        </w:sectPr>
      </w:pPr>
    </w:p>
    <w:p w:rsidR="00731D8F" w:rsidRDefault="00214EE0">
      <w:pPr>
        <w:pStyle w:val="ManualHeading2"/>
        <w:rPr>
          <w:bCs/>
          <w:noProof/>
          <w:szCs w:val="24"/>
        </w:rPr>
      </w:pPr>
      <w:r>
        <w:rPr>
          <w:noProof/>
        </w:rPr>
        <w:t>3.2.</w:t>
      </w:r>
      <w:r>
        <w:rPr>
          <w:noProof/>
        </w:rPr>
        <w:tab/>
        <w:t xml:space="preserve">Szacunkowy wpływ na wydatki </w:t>
      </w:r>
    </w:p>
    <w:p w:rsidR="00731D8F" w:rsidRDefault="00214EE0">
      <w:pPr>
        <w:pStyle w:val="ManualHeading3"/>
        <w:rPr>
          <w:noProof/>
          <w:u w:val="single"/>
        </w:rPr>
      </w:pPr>
      <w:r>
        <w:rPr>
          <w:noProof/>
        </w:rPr>
        <w:t>3.2.1.</w:t>
      </w:r>
      <w:r>
        <w:rPr>
          <w:noProof/>
        </w:rPr>
        <w:tab/>
        <w:t xml:space="preserve">Synteza szacunkowego wpływu na wydatki </w:t>
      </w:r>
    </w:p>
    <w:p w:rsidR="00731D8F" w:rsidRDefault="00214EE0">
      <w:pPr>
        <w:jc w:val="right"/>
        <w:rPr>
          <w:noProof/>
          <w:sz w:val="20"/>
        </w:rPr>
      </w:pPr>
      <w:r>
        <w:rPr>
          <w:noProof/>
          <w:sz w:val="20"/>
        </w:rPr>
        <w:t>w mln EUR (do trzech miejsc po przecinku)</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731D8F">
        <w:trPr>
          <w:jc w:val="center"/>
        </w:trPr>
        <w:tc>
          <w:tcPr>
            <w:tcW w:w="4744" w:type="dxa"/>
            <w:shd w:val="thinDiagStripe" w:color="C0C0C0" w:fill="auto"/>
            <w:vAlign w:val="center"/>
          </w:tcPr>
          <w:p w:rsidR="00731D8F" w:rsidRDefault="00214EE0">
            <w:pPr>
              <w:spacing w:before="60" w:after="60"/>
              <w:jc w:val="center"/>
              <w:rPr>
                <w:b/>
                <w:noProof/>
                <w:sz w:val="22"/>
              </w:rPr>
            </w:pPr>
            <w:r>
              <w:rPr>
                <w:b/>
                <w:noProof/>
                <w:sz w:val="22"/>
              </w:rPr>
              <w:t>Dział wieloletnich ram</w:t>
            </w:r>
            <w:r>
              <w:rPr>
                <w:noProof/>
                <w:sz w:val="22"/>
              </w:rPr>
              <w:br/>
            </w:r>
            <w:r>
              <w:rPr>
                <w:b/>
                <w:noProof/>
                <w:sz w:val="22"/>
              </w:rPr>
              <w:t xml:space="preserve">finansowych </w:t>
            </w:r>
          </w:p>
        </w:tc>
        <w:tc>
          <w:tcPr>
            <w:tcW w:w="1080" w:type="dxa"/>
            <w:vAlign w:val="center"/>
          </w:tcPr>
          <w:p w:rsidR="00731D8F" w:rsidRDefault="00214EE0">
            <w:pPr>
              <w:spacing w:before="60" w:after="60"/>
              <w:jc w:val="center"/>
              <w:rPr>
                <w:noProof/>
                <w:sz w:val="22"/>
              </w:rPr>
            </w:pPr>
            <w:r>
              <w:rPr>
                <w:noProof/>
                <w:sz w:val="22"/>
              </w:rPr>
              <w:t>3</w:t>
            </w:r>
          </w:p>
        </w:tc>
        <w:tc>
          <w:tcPr>
            <w:tcW w:w="7817" w:type="dxa"/>
            <w:vAlign w:val="center"/>
          </w:tcPr>
          <w:p w:rsidR="00731D8F" w:rsidRDefault="00214EE0">
            <w:pPr>
              <w:spacing w:before="60" w:after="60"/>
              <w:rPr>
                <w:noProof/>
                <w:sz w:val="22"/>
              </w:rPr>
            </w:pPr>
            <w:r>
              <w:rPr>
                <w:noProof/>
              </w:rPr>
              <w:t>Bezpieczeństwo i obywatelstwo</w:t>
            </w:r>
          </w:p>
        </w:tc>
      </w:tr>
    </w:tbl>
    <w:p w:rsidR="00731D8F" w:rsidRDefault="00731D8F">
      <w:pPr>
        <w:rPr>
          <w:noProof/>
          <w:sz w:val="16"/>
        </w:rPr>
      </w:pPr>
    </w:p>
    <w:tbl>
      <w:tblPr>
        <w:tblW w:w="96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992"/>
      </w:tblGrid>
      <w:tr w:rsidR="00731D8F">
        <w:tc>
          <w:tcPr>
            <w:tcW w:w="3960" w:type="dxa"/>
            <w:vAlign w:val="center"/>
          </w:tcPr>
          <w:p w:rsidR="00731D8F" w:rsidRDefault="00214EE0">
            <w:pPr>
              <w:jc w:val="center"/>
              <w:rPr>
                <w:noProof/>
                <w:sz w:val="22"/>
              </w:rPr>
            </w:pPr>
            <w:r>
              <w:rPr>
                <w:noProof/>
                <w:sz w:val="22"/>
              </w:rPr>
              <w:t>eu-LISA</w:t>
            </w:r>
          </w:p>
        </w:tc>
        <w:tc>
          <w:tcPr>
            <w:tcW w:w="1560" w:type="dxa"/>
            <w:gridSpan w:val="2"/>
          </w:tcPr>
          <w:p w:rsidR="00731D8F" w:rsidRDefault="00731D8F">
            <w:pPr>
              <w:rPr>
                <w:noProof/>
                <w:sz w:val="20"/>
              </w:rPr>
            </w:pPr>
          </w:p>
        </w:tc>
        <w:tc>
          <w:tcPr>
            <w:tcW w:w="534" w:type="dxa"/>
          </w:tcPr>
          <w:p w:rsidR="00731D8F" w:rsidRDefault="00731D8F">
            <w:pPr>
              <w:jc w:val="center"/>
              <w:rPr>
                <w:noProof/>
                <w:sz w:val="20"/>
              </w:rPr>
            </w:pPr>
          </w:p>
        </w:tc>
        <w:tc>
          <w:tcPr>
            <w:tcW w:w="868" w:type="dxa"/>
            <w:vAlign w:val="center"/>
          </w:tcPr>
          <w:p w:rsidR="00731D8F" w:rsidRDefault="00214EE0">
            <w:pPr>
              <w:jc w:val="center"/>
              <w:rPr>
                <w:noProof/>
                <w:sz w:val="20"/>
              </w:rPr>
            </w:pPr>
            <w:r>
              <w:rPr>
                <w:noProof/>
                <w:sz w:val="20"/>
              </w:rPr>
              <w:t>Rok</w:t>
            </w:r>
            <w:r>
              <w:rPr>
                <w:noProof/>
                <w:sz w:val="22"/>
              </w:rPr>
              <w:br/>
            </w:r>
            <w:r>
              <w:rPr>
                <w:b/>
                <w:noProof/>
                <w:sz w:val="20"/>
              </w:rPr>
              <w:t>2018</w:t>
            </w:r>
          </w:p>
        </w:tc>
        <w:tc>
          <w:tcPr>
            <w:tcW w:w="868" w:type="dxa"/>
            <w:vAlign w:val="center"/>
          </w:tcPr>
          <w:p w:rsidR="00731D8F" w:rsidRDefault="00214EE0">
            <w:pPr>
              <w:jc w:val="center"/>
              <w:rPr>
                <w:noProof/>
                <w:sz w:val="20"/>
              </w:rPr>
            </w:pPr>
            <w:r>
              <w:rPr>
                <w:noProof/>
                <w:sz w:val="20"/>
              </w:rPr>
              <w:t>Rok</w:t>
            </w:r>
            <w:r>
              <w:rPr>
                <w:noProof/>
                <w:sz w:val="22"/>
              </w:rPr>
              <w:br/>
            </w:r>
            <w:r>
              <w:rPr>
                <w:b/>
                <w:noProof/>
                <w:sz w:val="20"/>
              </w:rPr>
              <w:t>2019</w:t>
            </w:r>
          </w:p>
        </w:tc>
        <w:tc>
          <w:tcPr>
            <w:tcW w:w="868" w:type="dxa"/>
            <w:vAlign w:val="center"/>
          </w:tcPr>
          <w:p w:rsidR="00731D8F" w:rsidRDefault="00214EE0">
            <w:pPr>
              <w:jc w:val="center"/>
              <w:rPr>
                <w:noProof/>
                <w:sz w:val="20"/>
              </w:rPr>
            </w:pPr>
            <w:r>
              <w:rPr>
                <w:noProof/>
                <w:sz w:val="20"/>
              </w:rPr>
              <w:t>Rok</w:t>
            </w:r>
            <w:r>
              <w:rPr>
                <w:noProof/>
                <w:sz w:val="22"/>
              </w:rPr>
              <w:br/>
            </w:r>
            <w:r>
              <w:rPr>
                <w:b/>
                <w:noProof/>
                <w:sz w:val="20"/>
              </w:rPr>
              <w:t>2020</w:t>
            </w:r>
          </w:p>
        </w:tc>
        <w:tc>
          <w:tcPr>
            <w:tcW w:w="992" w:type="dxa"/>
            <w:vAlign w:val="center"/>
          </w:tcPr>
          <w:p w:rsidR="00731D8F" w:rsidRDefault="00214EE0">
            <w:pPr>
              <w:jc w:val="center"/>
              <w:rPr>
                <w:b/>
                <w:noProof/>
                <w:sz w:val="20"/>
              </w:rPr>
            </w:pPr>
            <w:r>
              <w:rPr>
                <w:b/>
                <w:noProof/>
                <w:sz w:val="20"/>
              </w:rPr>
              <w:t>OGÓŁEM</w:t>
            </w:r>
          </w:p>
        </w:tc>
      </w:tr>
      <w:tr w:rsidR="00731D8F">
        <w:trPr>
          <w:trHeight w:val="213"/>
        </w:trPr>
        <w:tc>
          <w:tcPr>
            <w:tcW w:w="6054" w:type="dxa"/>
            <w:gridSpan w:val="4"/>
            <w:vAlign w:val="center"/>
          </w:tcPr>
          <w:p w:rsidR="00731D8F" w:rsidRDefault="00214EE0">
            <w:pPr>
              <w:spacing w:before="20" w:after="20"/>
              <w:rPr>
                <w:noProof/>
                <w:sz w:val="21"/>
              </w:rPr>
            </w:pPr>
            <w:r>
              <w:rPr>
                <w:noProof/>
                <w:sz w:val="21"/>
              </w:rPr>
              <w:sym w:font="Wingdings" w:char="F09F"/>
            </w:r>
            <w:r>
              <w:rPr>
                <w:noProof/>
                <w:sz w:val="21"/>
              </w:rPr>
              <w:t xml:space="preserve"> Środki operacyjne</w:t>
            </w:r>
          </w:p>
        </w:tc>
        <w:tc>
          <w:tcPr>
            <w:tcW w:w="868" w:type="dxa"/>
            <w:vAlign w:val="center"/>
          </w:tcPr>
          <w:p w:rsidR="00731D8F" w:rsidRDefault="00731D8F">
            <w:pPr>
              <w:rPr>
                <w:noProof/>
                <w:sz w:val="20"/>
              </w:rPr>
            </w:pPr>
          </w:p>
        </w:tc>
        <w:tc>
          <w:tcPr>
            <w:tcW w:w="868" w:type="dxa"/>
            <w:vAlign w:val="center"/>
          </w:tcPr>
          <w:p w:rsidR="00731D8F" w:rsidRDefault="00731D8F">
            <w:pPr>
              <w:rPr>
                <w:noProof/>
                <w:sz w:val="20"/>
              </w:rPr>
            </w:pPr>
          </w:p>
        </w:tc>
        <w:tc>
          <w:tcPr>
            <w:tcW w:w="868" w:type="dxa"/>
            <w:vAlign w:val="center"/>
          </w:tcPr>
          <w:p w:rsidR="00731D8F" w:rsidRDefault="00731D8F">
            <w:pPr>
              <w:rPr>
                <w:noProof/>
                <w:sz w:val="20"/>
              </w:rPr>
            </w:pPr>
          </w:p>
        </w:tc>
        <w:tc>
          <w:tcPr>
            <w:tcW w:w="992" w:type="dxa"/>
            <w:vAlign w:val="center"/>
          </w:tcPr>
          <w:p w:rsidR="00731D8F" w:rsidRDefault="00731D8F">
            <w:pPr>
              <w:rPr>
                <w:b/>
                <w:noProof/>
                <w:sz w:val="20"/>
              </w:rPr>
            </w:pPr>
          </w:p>
        </w:tc>
      </w:tr>
      <w:tr w:rsidR="00731D8F">
        <w:trPr>
          <w:trHeight w:val="277"/>
        </w:trPr>
        <w:tc>
          <w:tcPr>
            <w:tcW w:w="3960" w:type="dxa"/>
            <w:vMerge w:val="restart"/>
            <w:vAlign w:val="center"/>
          </w:tcPr>
          <w:p w:rsidR="00731D8F" w:rsidRDefault="00214EE0">
            <w:pPr>
              <w:rPr>
                <w:noProof/>
                <w:sz w:val="22"/>
              </w:rPr>
            </w:pPr>
            <w:r>
              <w:rPr>
                <w:noProof/>
                <w:sz w:val="20"/>
              </w:rPr>
              <w:t>Tytuł 1: Wydatki na personel</w:t>
            </w:r>
          </w:p>
        </w:tc>
        <w:tc>
          <w:tcPr>
            <w:tcW w:w="1440" w:type="dxa"/>
            <w:vAlign w:val="center"/>
          </w:tcPr>
          <w:p w:rsidR="00731D8F" w:rsidRDefault="00214EE0">
            <w:pPr>
              <w:spacing w:before="20" w:after="20"/>
              <w:rPr>
                <w:noProof/>
                <w:sz w:val="18"/>
              </w:rPr>
            </w:pPr>
            <w:r>
              <w:rPr>
                <w:noProof/>
                <w:sz w:val="18"/>
              </w:rPr>
              <w:t>Środki na zobowiązania</w:t>
            </w:r>
          </w:p>
        </w:tc>
        <w:tc>
          <w:tcPr>
            <w:tcW w:w="654" w:type="dxa"/>
            <w:gridSpan w:val="2"/>
            <w:vAlign w:val="center"/>
          </w:tcPr>
          <w:p w:rsidR="00731D8F" w:rsidRDefault="00214EE0">
            <w:pPr>
              <w:spacing w:before="20" w:after="20"/>
              <w:jc w:val="center"/>
              <w:rPr>
                <w:noProof/>
                <w:sz w:val="14"/>
              </w:rPr>
            </w:pPr>
            <w:r>
              <w:rPr>
                <w:noProof/>
                <w:sz w:val="14"/>
              </w:rPr>
              <w:t>(1)</w:t>
            </w:r>
          </w:p>
        </w:tc>
        <w:tc>
          <w:tcPr>
            <w:tcW w:w="868" w:type="dxa"/>
            <w:vAlign w:val="center"/>
          </w:tcPr>
          <w:p w:rsidR="00731D8F" w:rsidRDefault="00214EE0">
            <w:pPr>
              <w:spacing w:before="20" w:after="20"/>
              <w:jc w:val="right"/>
              <w:rPr>
                <w:noProof/>
                <w:sz w:val="20"/>
              </w:rPr>
            </w:pPr>
            <w:r>
              <w:rPr>
                <w:noProof/>
                <w:sz w:val="20"/>
              </w:rPr>
              <w:t>0,070</w:t>
            </w:r>
          </w:p>
        </w:tc>
        <w:tc>
          <w:tcPr>
            <w:tcW w:w="868" w:type="dxa"/>
            <w:vAlign w:val="center"/>
          </w:tcPr>
          <w:p w:rsidR="00731D8F" w:rsidRDefault="00214EE0">
            <w:pPr>
              <w:spacing w:before="20" w:after="20"/>
              <w:jc w:val="right"/>
              <w:rPr>
                <w:noProof/>
                <w:sz w:val="20"/>
              </w:rPr>
            </w:pPr>
            <w:r>
              <w:rPr>
                <w:noProof/>
                <w:sz w:val="20"/>
              </w:rPr>
              <w:t>0,070</w:t>
            </w:r>
          </w:p>
        </w:tc>
        <w:tc>
          <w:tcPr>
            <w:tcW w:w="868" w:type="dxa"/>
            <w:vAlign w:val="center"/>
          </w:tcPr>
          <w:p w:rsidR="00731D8F" w:rsidRDefault="00214EE0">
            <w:pPr>
              <w:spacing w:before="20" w:after="20"/>
              <w:jc w:val="right"/>
              <w:rPr>
                <w:noProof/>
                <w:sz w:val="20"/>
              </w:rPr>
            </w:pPr>
            <w:r>
              <w:rPr>
                <w:noProof/>
                <w:sz w:val="20"/>
              </w:rPr>
              <w:t>0,070</w:t>
            </w:r>
          </w:p>
        </w:tc>
        <w:tc>
          <w:tcPr>
            <w:tcW w:w="992" w:type="dxa"/>
            <w:vAlign w:val="center"/>
          </w:tcPr>
          <w:p w:rsidR="00731D8F" w:rsidRDefault="00214EE0">
            <w:pPr>
              <w:spacing w:before="20" w:after="20"/>
              <w:jc w:val="right"/>
              <w:rPr>
                <w:b/>
                <w:noProof/>
                <w:sz w:val="20"/>
              </w:rPr>
            </w:pPr>
            <w:r>
              <w:rPr>
                <w:b/>
                <w:noProof/>
                <w:sz w:val="20"/>
              </w:rPr>
              <w:t>0,210</w:t>
            </w:r>
          </w:p>
        </w:tc>
      </w:tr>
      <w:tr w:rsidR="00731D8F">
        <w:tc>
          <w:tcPr>
            <w:tcW w:w="3960" w:type="dxa"/>
            <w:vMerge/>
          </w:tcPr>
          <w:p w:rsidR="00731D8F" w:rsidRDefault="00731D8F">
            <w:pPr>
              <w:jc w:val="center"/>
              <w:rPr>
                <w:noProof/>
                <w:sz w:val="20"/>
              </w:rPr>
            </w:pPr>
          </w:p>
        </w:tc>
        <w:tc>
          <w:tcPr>
            <w:tcW w:w="1440" w:type="dxa"/>
            <w:vAlign w:val="center"/>
          </w:tcPr>
          <w:p w:rsidR="00731D8F" w:rsidRDefault="00214EE0">
            <w:pPr>
              <w:spacing w:before="20" w:after="20"/>
              <w:rPr>
                <w:noProof/>
                <w:sz w:val="18"/>
              </w:rPr>
            </w:pPr>
            <w:r>
              <w:rPr>
                <w:noProof/>
                <w:sz w:val="18"/>
              </w:rPr>
              <w:t>Środki na płatności</w:t>
            </w:r>
          </w:p>
        </w:tc>
        <w:tc>
          <w:tcPr>
            <w:tcW w:w="654" w:type="dxa"/>
            <w:gridSpan w:val="2"/>
            <w:vAlign w:val="center"/>
          </w:tcPr>
          <w:p w:rsidR="00731D8F" w:rsidRDefault="00214EE0">
            <w:pPr>
              <w:spacing w:before="20" w:after="20"/>
              <w:jc w:val="center"/>
              <w:rPr>
                <w:noProof/>
                <w:sz w:val="14"/>
              </w:rPr>
            </w:pPr>
            <w:r>
              <w:rPr>
                <w:noProof/>
                <w:sz w:val="14"/>
              </w:rPr>
              <w:t>(2)</w:t>
            </w:r>
          </w:p>
        </w:tc>
        <w:tc>
          <w:tcPr>
            <w:tcW w:w="868" w:type="dxa"/>
            <w:vAlign w:val="center"/>
          </w:tcPr>
          <w:p w:rsidR="00731D8F" w:rsidRDefault="00214EE0">
            <w:pPr>
              <w:spacing w:before="20" w:after="20"/>
              <w:jc w:val="right"/>
              <w:rPr>
                <w:noProof/>
                <w:sz w:val="20"/>
              </w:rPr>
            </w:pPr>
            <w:r>
              <w:rPr>
                <w:noProof/>
                <w:sz w:val="20"/>
              </w:rPr>
              <w:t>0,070</w:t>
            </w:r>
          </w:p>
        </w:tc>
        <w:tc>
          <w:tcPr>
            <w:tcW w:w="868" w:type="dxa"/>
            <w:vAlign w:val="center"/>
          </w:tcPr>
          <w:p w:rsidR="00731D8F" w:rsidRDefault="00214EE0">
            <w:pPr>
              <w:spacing w:before="20" w:after="20"/>
              <w:jc w:val="right"/>
              <w:rPr>
                <w:noProof/>
                <w:sz w:val="20"/>
              </w:rPr>
            </w:pPr>
            <w:r>
              <w:rPr>
                <w:noProof/>
                <w:sz w:val="20"/>
              </w:rPr>
              <w:t>0,070</w:t>
            </w:r>
          </w:p>
        </w:tc>
        <w:tc>
          <w:tcPr>
            <w:tcW w:w="868" w:type="dxa"/>
            <w:vAlign w:val="center"/>
          </w:tcPr>
          <w:p w:rsidR="00731D8F" w:rsidRDefault="00214EE0">
            <w:pPr>
              <w:spacing w:before="20" w:after="20"/>
              <w:jc w:val="right"/>
              <w:rPr>
                <w:noProof/>
                <w:sz w:val="20"/>
              </w:rPr>
            </w:pPr>
            <w:r>
              <w:rPr>
                <w:noProof/>
                <w:sz w:val="20"/>
              </w:rPr>
              <w:t>0,070</w:t>
            </w:r>
          </w:p>
        </w:tc>
        <w:tc>
          <w:tcPr>
            <w:tcW w:w="992" w:type="dxa"/>
            <w:vAlign w:val="center"/>
          </w:tcPr>
          <w:p w:rsidR="00731D8F" w:rsidRDefault="00214EE0">
            <w:pPr>
              <w:spacing w:before="20" w:after="20"/>
              <w:jc w:val="right"/>
              <w:rPr>
                <w:b/>
                <w:noProof/>
                <w:sz w:val="20"/>
              </w:rPr>
            </w:pPr>
            <w:r>
              <w:rPr>
                <w:b/>
                <w:noProof/>
                <w:sz w:val="20"/>
              </w:rPr>
              <w:t>0,210</w:t>
            </w:r>
          </w:p>
        </w:tc>
      </w:tr>
      <w:tr w:rsidR="00731D8F">
        <w:tc>
          <w:tcPr>
            <w:tcW w:w="3960" w:type="dxa"/>
            <w:vMerge w:val="restart"/>
            <w:vAlign w:val="center"/>
          </w:tcPr>
          <w:p w:rsidR="00731D8F" w:rsidRDefault="00214EE0">
            <w:pPr>
              <w:rPr>
                <w:noProof/>
                <w:sz w:val="22"/>
              </w:rPr>
            </w:pPr>
            <w:r>
              <w:rPr>
                <w:noProof/>
                <w:sz w:val="20"/>
              </w:rPr>
              <w:t xml:space="preserve">Tytuł 2: Wydatki na infrastrukturę i wydatki </w:t>
            </w:r>
            <w:r>
              <w:rPr>
                <w:noProof/>
                <w:sz w:val="20"/>
              </w:rPr>
              <w:t>administracyjne</w:t>
            </w:r>
          </w:p>
        </w:tc>
        <w:tc>
          <w:tcPr>
            <w:tcW w:w="1440" w:type="dxa"/>
            <w:vAlign w:val="center"/>
          </w:tcPr>
          <w:p w:rsidR="00731D8F" w:rsidRDefault="00214EE0">
            <w:pPr>
              <w:spacing w:before="20" w:after="20"/>
              <w:rPr>
                <w:noProof/>
                <w:sz w:val="18"/>
              </w:rPr>
            </w:pPr>
            <w:r>
              <w:rPr>
                <w:noProof/>
                <w:sz w:val="18"/>
              </w:rPr>
              <w:t>Środki na zobowiązania</w:t>
            </w:r>
          </w:p>
        </w:tc>
        <w:tc>
          <w:tcPr>
            <w:tcW w:w="654" w:type="dxa"/>
            <w:gridSpan w:val="2"/>
            <w:vAlign w:val="center"/>
          </w:tcPr>
          <w:p w:rsidR="00731D8F" w:rsidRDefault="00214EE0">
            <w:pPr>
              <w:spacing w:before="20" w:after="20"/>
              <w:jc w:val="center"/>
              <w:rPr>
                <w:noProof/>
                <w:sz w:val="14"/>
              </w:rPr>
            </w:pPr>
            <w:r>
              <w:rPr>
                <w:noProof/>
                <w:sz w:val="14"/>
              </w:rPr>
              <w:t>(1a)</w:t>
            </w:r>
          </w:p>
        </w:tc>
        <w:tc>
          <w:tcPr>
            <w:tcW w:w="868" w:type="dxa"/>
            <w:vAlign w:val="center"/>
          </w:tcPr>
          <w:p w:rsidR="00731D8F" w:rsidRDefault="00214EE0">
            <w:pPr>
              <w:spacing w:before="20" w:after="20"/>
              <w:jc w:val="right"/>
              <w:rPr>
                <w:noProof/>
                <w:sz w:val="20"/>
              </w:rPr>
            </w:pPr>
            <w:r>
              <w:rPr>
                <w:noProof/>
                <w:sz w:val="20"/>
              </w:rPr>
              <w:t>0</w:t>
            </w:r>
          </w:p>
        </w:tc>
        <w:tc>
          <w:tcPr>
            <w:tcW w:w="868" w:type="dxa"/>
            <w:vAlign w:val="center"/>
          </w:tcPr>
          <w:p w:rsidR="00731D8F" w:rsidRDefault="00214EE0">
            <w:pPr>
              <w:spacing w:before="20" w:after="20"/>
              <w:jc w:val="right"/>
              <w:rPr>
                <w:noProof/>
                <w:sz w:val="20"/>
              </w:rPr>
            </w:pPr>
            <w:r>
              <w:rPr>
                <w:noProof/>
                <w:sz w:val="20"/>
              </w:rPr>
              <w:t>0</w:t>
            </w:r>
          </w:p>
        </w:tc>
        <w:tc>
          <w:tcPr>
            <w:tcW w:w="868" w:type="dxa"/>
            <w:vAlign w:val="center"/>
          </w:tcPr>
          <w:p w:rsidR="00731D8F" w:rsidRDefault="00214EE0">
            <w:pPr>
              <w:spacing w:before="20" w:after="20"/>
              <w:jc w:val="right"/>
              <w:rPr>
                <w:noProof/>
                <w:sz w:val="20"/>
              </w:rPr>
            </w:pPr>
            <w:r>
              <w:rPr>
                <w:noProof/>
                <w:sz w:val="20"/>
              </w:rPr>
              <w:t>0</w:t>
            </w:r>
          </w:p>
        </w:tc>
        <w:tc>
          <w:tcPr>
            <w:tcW w:w="992" w:type="dxa"/>
            <w:vAlign w:val="center"/>
          </w:tcPr>
          <w:p w:rsidR="00731D8F" w:rsidRDefault="00214EE0">
            <w:pPr>
              <w:spacing w:before="20" w:after="20"/>
              <w:jc w:val="right"/>
              <w:rPr>
                <w:b/>
                <w:noProof/>
                <w:sz w:val="20"/>
              </w:rPr>
            </w:pPr>
            <w:r>
              <w:rPr>
                <w:b/>
                <w:noProof/>
                <w:sz w:val="20"/>
              </w:rPr>
              <w:t>0</w:t>
            </w:r>
          </w:p>
        </w:tc>
      </w:tr>
      <w:tr w:rsidR="00731D8F">
        <w:tc>
          <w:tcPr>
            <w:tcW w:w="3960" w:type="dxa"/>
            <w:vMerge/>
          </w:tcPr>
          <w:p w:rsidR="00731D8F" w:rsidRDefault="00731D8F">
            <w:pPr>
              <w:jc w:val="center"/>
              <w:rPr>
                <w:noProof/>
                <w:sz w:val="20"/>
              </w:rPr>
            </w:pPr>
          </w:p>
        </w:tc>
        <w:tc>
          <w:tcPr>
            <w:tcW w:w="1440" w:type="dxa"/>
            <w:vAlign w:val="center"/>
          </w:tcPr>
          <w:p w:rsidR="00731D8F" w:rsidRDefault="00214EE0">
            <w:pPr>
              <w:spacing w:before="20" w:after="20"/>
              <w:rPr>
                <w:noProof/>
                <w:sz w:val="18"/>
              </w:rPr>
            </w:pPr>
            <w:r>
              <w:rPr>
                <w:noProof/>
                <w:sz w:val="18"/>
              </w:rPr>
              <w:t>Środki na płatności</w:t>
            </w:r>
          </w:p>
        </w:tc>
        <w:tc>
          <w:tcPr>
            <w:tcW w:w="654" w:type="dxa"/>
            <w:gridSpan w:val="2"/>
            <w:vAlign w:val="center"/>
          </w:tcPr>
          <w:p w:rsidR="00731D8F" w:rsidRDefault="00214EE0">
            <w:pPr>
              <w:spacing w:before="20" w:after="20"/>
              <w:jc w:val="center"/>
              <w:rPr>
                <w:noProof/>
                <w:sz w:val="14"/>
              </w:rPr>
            </w:pPr>
            <w:r>
              <w:rPr>
                <w:noProof/>
                <w:sz w:val="14"/>
              </w:rPr>
              <w:t>(2a)</w:t>
            </w:r>
          </w:p>
        </w:tc>
        <w:tc>
          <w:tcPr>
            <w:tcW w:w="868" w:type="dxa"/>
            <w:vAlign w:val="center"/>
          </w:tcPr>
          <w:p w:rsidR="00731D8F" w:rsidRDefault="00214EE0">
            <w:pPr>
              <w:spacing w:before="20" w:after="20"/>
              <w:jc w:val="right"/>
              <w:rPr>
                <w:noProof/>
                <w:sz w:val="20"/>
              </w:rPr>
            </w:pPr>
            <w:r>
              <w:rPr>
                <w:noProof/>
                <w:sz w:val="20"/>
              </w:rPr>
              <w:t>0</w:t>
            </w:r>
          </w:p>
        </w:tc>
        <w:tc>
          <w:tcPr>
            <w:tcW w:w="868" w:type="dxa"/>
            <w:vAlign w:val="center"/>
          </w:tcPr>
          <w:p w:rsidR="00731D8F" w:rsidRDefault="00214EE0">
            <w:pPr>
              <w:spacing w:before="20" w:after="20"/>
              <w:jc w:val="right"/>
              <w:rPr>
                <w:noProof/>
                <w:sz w:val="20"/>
              </w:rPr>
            </w:pPr>
            <w:r>
              <w:rPr>
                <w:noProof/>
                <w:sz w:val="20"/>
              </w:rPr>
              <w:t>0</w:t>
            </w:r>
          </w:p>
        </w:tc>
        <w:tc>
          <w:tcPr>
            <w:tcW w:w="868" w:type="dxa"/>
            <w:vAlign w:val="center"/>
          </w:tcPr>
          <w:p w:rsidR="00731D8F" w:rsidRDefault="00214EE0">
            <w:pPr>
              <w:spacing w:before="20" w:after="20"/>
              <w:jc w:val="right"/>
              <w:rPr>
                <w:noProof/>
                <w:sz w:val="20"/>
              </w:rPr>
            </w:pPr>
            <w:r>
              <w:rPr>
                <w:noProof/>
                <w:sz w:val="20"/>
              </w:rPr>
              <w:t>0</w:t>
            </w:r>
          </w:p>
        </w:tc>
        <w:tc>
          <w:tcPr>
            <w:tcW w:w="992" w:type="dxa"/>
            <w:vAlign w:val="center"/>
          </w:tcPr>
          <w:p w:rsidR="00731D8F" w:rsidRDefault="00214EE0">
            <w:pPr>
              <w:spacing w:before="20" w:after="20"/>
              <w:jc w:val="right"/>
              <w:rPr>
                <w:b/>
                <w:noProof/>
                <w:sz w:val="20"/>
              </w:rPr>
            </w:pPr>
            <w:r>
              <w:rPr>
                <w:b/>
                <w:noProof/>
                <w:sz w:val="20"/>
              </w:rPr>
              <w:t>0</w:t>
            </w:r>
          </w:p>
        </w:tc>
      </w:tr>
      <w:tr w:rsidR="00731D8F">
        <w:tc>
          <w:tcPr>
            <w:tcW w:w="3960" w:type="dxa"/>
            <w:vMerge w:val="restart"/>
            <w:vAlign w:val="center"/>
          </w:tcPr>
          <w:p w:rsidR="00731D8F" w:rsidRDefault="00214EE0">
            <w:pPr>
              <w:rPr>
                <w:noProof/>
                <w:sz w:val="22"/>
              </w:rPr>
            </w:pPr>
            <w:r>
              <w:rPr>
                <w:noProof/>
                <w:sz w:val="20"/>
              </w:rPr>
              <w:t>Tytuł 3: Wydatki operacyjne</w:t>
            </w:r>
          </w:p>
        </w:tc>
        <w:tc>
          <w:tcPr>
            <w:tcW w:w="1440" w:type="dxa"/>
            <w:vAlign w:val="center"/>
          </w:tcPr>
          <w:p w:rsidR="00731D8F" w:rsidRDefault="00214EE0">
            <w:pPr>
              <w:spacing w:before="20" w:after="20"/>
              <w:rPr>
                <w:noProof/>
                <w:sz w:val="18"/>
              </w:rPr>
            </w:pPr>
            <w:r>
              <w:rPr>
                <w:noProof/>
                <w:sz w:val="18"/>
              </w:rPr>
              <w:t>Środki na zobowiązania</w:t>
            </w:r>
          </w:p>
        </w:tc>
        <w:tc>
          <w:tcPr>
            <w:tcW w:w="654" w:type="dxa"/>
            <w:gridSpan w:val="2"/>
            <w:vAlign w:val="center"/>
          </w:tcPr>
          <w:p w:rsidR="00731D8F" w:rsidRDefault="00214EE0">
            <w:pPr>
              <w:spacing w:before="20" w:after="20"/>
              <w:jc w:val="center"/>
              <w:rPr>
                <w:noProof/>
                <w:sz w:val="14"/>
              </w:rPr>
            </w:pPr>
            <w:r>
              <w:rPr>
                <w:noProof/>
                <w:sz w:val="14"/>
              </w:rPr>
              <w:t>(1a)</w:t>
            </w:r>
          </w:p>
        </w:tc>
        <w:tc>
          <w:tcPr>
            <w:tcW w:w="868" w:type="dxa"/>
            <w:vAlign w:val="center"/>
          </w:tcPr>
          <w:p w:rsidR="00731D8F" w:rsidRDefault="00214EE0">
            <w:pPr>
              <w:spacing w:before="20" w:after="20"/>
              <w:jc w:val="right"/>
              <w:rPr>
                <w:noProof/>
                <w:sz w:val="20"/>
              </w:rPr>
            </w:pPr>
            <w:r>
              <w:rPr>
                <w:noProof/>
                <w:sz w:val="20"/>
              </w:rPr>
              <w:t>2,520</w:t>
            </w:r>
          </w:p>
        </w:tc>
        <w:tc>
          <w:tcPr>
            <w:tcW w:w="868" w:type="dxa"/>
            <w:vAlign w:val="center"/>
          </w:tcPr>
          <w:p w:rsidR="00731D8F" w:rsidRDefault="00214EE0">
            <w:pPr>
              <w:spacing w:before="20" w:after="20"/>
              <w:jc w:val="right"/>
              <w:rPr>
                <w:noProof/>
                <w:sz w:val="20"/>
              </w:rPr>
            </w:pPr>
            <w:r>
              <w:rPr>
                <w:noProof/>
                <w:sz w:val="20"/>
              </w:rPr>
              <w:t>0,447</w:t>
            </w:r>
          </w:p>
        </w:tc>
        <w:tc>
          <w:tcPr>
            <w:tcW w:w="868" w:type="dxa"/>
            <w:vAlign w:val="center"/>
          </w:tcPr>
          <w:p w:rsidR="00731D8F" w:rsidRDefault="00214EE0">
            <w:pPr>
              <w:spacing w:before="20" w:after="20"/>
              <w:jc w:val="right"/>
              <w:rPr>
                <w:noProof/>
                <w:sz w:val="20"/>
              </w:rPr>
            </w:pPr>
            <w:r>
              <w:rPr>
                <w:noProof/>
                <w:sz w:val="20"/>
              </w:rPr>
              <w:t>0,447</w:t>
            </w:r>
          </w:p>
        </w:tc>
        <w:tc>
          <w:tcPr>
            <w:tcW w:w="992" w:type="dxa"/>
            <w:vAlign w:val="center"/>
          </w:tcPr>
          <w:p w:rsidR="00731D8F" w:rsidRDefault="00214EE0">
            <w:pPr>
              <w:spacing w:before="20" w:after="20"/>
              <w:jc w:val="right"/>
              <w:rPr>
                <w:b/>
                <w:noProof/>
                <w:sz w:val="20"/>
              </w:rPr>
            </w:pPr>
            <w:r>
              <w:rPr>
                <w:b/>
                <w:noProof/>
                <w:sz w:val="20"/>
              </w:rPr>
              <w:t>3,414</w:t>
            </w:r>
          </w:p>
        </w:tc>
      </w:tr>
      <w:tr w:rsidR="00731D8F">
        <w:tc>
          <w:tcPr>
            <w:tcW w:w="3960" w:type="dxa"/>
            <w:vMerge/>
          </w:tcPr>
          <w:p w:rsidR="00731D8F" w:rsidRDefault="00731D8F">
            <w:pPr>
              <w:jc w:val="center"/>
              <w:rPr>
                <w:noProof/>
                <w:sz w:val="20"/>
              </w:rPr>
            </w:pPr>
          </w:p>
        </w:tc>
        <w:tc>
          <w:tcPr>
            <w:tcW w:w="1440" w:type="dxa"/>
            <w:vAlign w:val="center"/>
          </w:tcPr>
          <w:p w:rsidR="00731D8F" w:rsidRDefault="00214EE0">
            <w:pPr>
              <w:spacing w:before="20" w:after="20"/>
              <w:rPr>
                <w:noProof/>
                <w:sz w:val="18"/>
              </w:rPr>
            </w:pPr>
            <w:r>
              <w:rPr>
                <w:noProof/>
                <w:sz w:val="18"/>
              </w:rPr>
              <w:t>Środki na płatności</w:t>
            </w:r>
          </w:p>
        </w:tc>
        <w:tc>
          <w:tcPr>
            <w:tcW w:w="654" w:type="dxa"/>
            <w:gridSpan w:val="2"/>
            <w:vAlign w:val="center"/>
          </w:tcPr>
          <w:p w:rsidR="00731D8F" w:rsidRDefault="00214EE0">
            <w:pPr>
              <w:spacing w:before="20" w:after="20"/>
              <w:jc w:val="center"/>
              <w:rPr>
                <w:noProof/>
                <w:sz w:val="14"/>
              </w:rPr>
            </w:pPr>
            <w:r>
              <w:rPr>
                <w:noProof/>
                <w:sz w:val="14"/>
              </w:rPr>
              <w:t>(2a)</w:t>
            </w:r>
          </w:p>
        </w:tc>
        <w:tc>
          <w:tcPr>
            <w:tcW w:w="868" w:type="dxa"/>
            <w:vAlign w:val="center"/>
          </w:tcPr>
          <w:p w:rsidR="00731D8F" w:rsidRDefault="00214EE0">
            <w:pPr>
              <w:spacing w:before="20" w:after="20"/>
              <w:jc w:val="right"/>
              <w:rPr>
                <w:noProof/>
                <w:sz w:val="20"/>
              </w:rPr>
            </w:pPr>
            <w:r>
              <w:rPr>
                <w:noProof/>
                <w:sz w:val="20"/>
              </w:rPr>
              <w:t>1,008</w:t>
            </w:r>
          </w:p>
        </w:tc>
        <w:tc>
          <w:tcPr>
            <w:tcW w:w="868" w:type="dxa"/>
            <w:vAlign w:val="center"/>
          </w:tcPr>
          <w:p w:rsidR="00731D8F" w:rsidRDefault="00214EE0">
            <w:pPr>
              <w:spacing w:before="20" w:after="20"/>
              <w:jc w:val="right"/>
              <w:rPr>
                <w:noProof/>
                <w:sz w:val="20"/>
              </w:rPr>
            </w:pPr>
            <w:r>
              <w:rPr>
                <w:noProof/>
                <w:sz w:val="20"/>
              </w:rPr>
              <w:t>1,959</w:t>
            </w:r>
          </w:p>
        </w:tc>
        <w:tc>
          <w:tcPr>
            <w:tcW w:w="868" w:type="dxa"/>
            <w:vAlign w:val="center"/>
          </w:tcPr>
          <w:p w:rsidR="00731D8F" w:rsidRDefault="00214EE0">
            <w:pPr>
              <w:spacing w:before="20" w:after="20"/>
              <w:jc w:val="right"/>
              <w:rPr>
                <w:noProof/>
                <w:sz w:val="20"/>
              </w:rPr>
            </w:pPr>
            <w:r>
              <w:rPr>
                <w:noProof/>
                <w:sz w:val="20"/>
              </w:rPr>
              <w:t>0,447</w:t>
            </w:r>
          </w:p>
        </w:tc>
        <w:tc>
          <w:tcPr>
            <w:tcW w:w="992" w:type="dxa"/>
            <w:vAlign w:val="center"/>
          </w:tcPr>
          <w:p w:rsidR="00731D8F" w:rsidRDefault="00214EE0">
            <w:pPr>
              <w:spacing w:before="20" w:after="20"/>
              <w:jc w:val="right"/>
              <w:rPr>
                <w:b/>
                <w:noProof/>
                <w:sz w:val="20"/>
              </w:rPr>
            </w:pPr>
            <w:r>
              <w:rPr>
                <w:b/>
                <w:noProof/>
                <w:sz w:val="20"/>
              </w:rPr>
              <w:t>3,414</w:t>
            </w:r>
          </w:p>
        </w:tc>
      </w:tr>
      <w:tr w:rsidR="00731D8F">
        <w:tc>
          <w:tcPr>
            <w:tcW w:w="3960" w:type="dxa"/>
            <w:vMerge w:val="restart"/>
            <w:vAlign w:val="center"/>
          </w:tcPr>
          <w:p w:rsidR="00731D8F" w:rsidRDefault="00214EE0">
            <w:pPr>
              <w:jc w:val="center"/>
              <w:rPr>
                <w:b/>
                <w:noProof/>
                <w:sz w:val="22"/>
              </w:rPr>
            </w:pPr>
            <w:r>
              <w:rPr>
                <w:b/>
                <w:noProof/>
                <w:sz w:val="22"/>
              </w:rPr>
              <w:t>OGÓŁEM środki</w:t>
            </w:r>
            <w:r>
              <w:rPr>
                <w:noProof/>
                <w:sz w:val="22"/>
              </w:rPr>
              <w:br/>
            </w:r>
            <w:r>
              <w:rPr>
                <w:b/>
                <w:noProof/>
                <w:sz w:val="22"/>
              </w:rPr>
              <w:t>eu-LISA</w:t>
            </w:r>
          </w:p>
        </w:tc>
        <w:tc>
          <w:tcPr>
            <w:tcW w:w="1440" w:type="dxa"/>
            <w:vAlign w:val="center"/>
          </w:tcPr>
          <w:p w:rsidR="00731D8F" w:rsidRDefault="00214EE0">
            <w:pPr>
              <w:rPr>
                <w:noProof/>
                <w:sz w:val="18"/>
              </w:rPr>
            </w:pPr>
            <w:r>
              <w:rPr>
                <w:noProof/>
                <w:sz w:val="18"/>
              </w:rPr>
              <w:t xml:space="preserve">Środki na </w:t>
            </w:r>
            <w:r>
              <w:rPr>
                <w:noProof/>
                <w:sz w:val="18"/>
              </w:rPr>
              <w:t>zobowiązania</w:t>
            </w:r>
          </w:p>
        </w:tc>
        <w:tc>
          <w:tcPr>
            <w:tcW w:w="654" w:type="dxa"/>
            <w:gridSpan w:val="2"/>
            <w:vAlign w:val="center"/>
          </w:tcPr>
          <w:p w:rsidR="00731D8F" w:rsidRDefault="00214EE0">
            <w:pPr>
              <w:jc w:val="center"/>
              <w:rPr>
                <w:noProof/>
                <w:sz w:val="14"/>
              </w:rPr>
            </w:pPr>
            <w:r>
              <w:rPr>
                <w:noProof/>
                <w:sz w:val="14"/>
              </w:rPr>
              <w:t>=1+1a +3</w:t>
            </w:r>
          </w:p>
        </w:tc>
        <w:tc>
          <w:tcPr>
            <w:tcW w:w="868" w:type="dxa"/>
            <w:vAlign w:val="center"/>
          </w:tcPr>
          <w:p w:rsidR="00731D8F" w:rsidRDefault="00214EE0">
            <w:pPr>
              <w:spacing w:before="20" w:after="20"/>
              <w:jc w:val="right"/>
              <w:rPr>
                <w:noProof/>
                <w:sz w:val="20"/>
              </w:rPr>
            </w:pPr>
            <w:r>
              <w:rPr>
                <w:noProof/>
                <w:sz w:val="20"/>
              </w:rPr>
              <w:t>2,590</w:t>
            </w:r>
          </w:p>
        </w:tc>
        <w:tc>
          <w:tcPr>
            <w:tcW w:w="868" w:type="dxa"/>
            <w:vAlign w:val="center"/>
          </w:tcPr>
          <w:p w:rsidR="00731D8F" w:rsidRDefault="00214EE0">
            <w:pPr>
              <w:spacing w:before="20" w:after="20"/>
              <w:jc w:val="right"/>
              <w:rPr>
                <w:noProof/>
                <w:sz w:val="20"/>
              </w:rPr>
            </w:pPr>
            <w:r>
              <w:rPr>
                <w:noProof/>
                <w:sz w:val="20"/>
              </w:rPr>
              <w:t>0,517</w:t>
            </w:r>
          </w:p>
        </w:tc>
        <w:tc>
          <w:tcPr>
            <w:tcW w:w="868" w:type="dxa"/>
            <w:vAlign w:val="center"/>
          </w:tcPr>
          <w:p w:rsidR="00731D8F" w:rsidRDefault="00214EE0">
            <w:pPr>
              <w:spacing w:before="20" w:after="20"/>
              <w:jc w:val="right"/>
              <w:rPr>
                <w:noProof/>
                <w:sz w:val="20"/>
              </w:rPr>
            </w:pPr>
            <w:r>
              <w:rPr>
                <w:noProof/>
                <w:sz w:val="20"/>
              </w:rPr>
              <w:t>0,517</w:t>
            </w:r>
          </w:p>
        </w:tc>
        <w:tc>
          <w:tcPr>
            <w:tcW w:w="992" w:type="dxa"/>
            <w:vAlign w:val="center"/>
          </w:tcPr>
          <w:p w:rsidR="00731D8F" w:rsidRDefault="00214EE0">
            <w:pPr>
              <w:spacing w:before="20" w:after="20"/>
              <w:jc w:val="right"/>
              <w:rPr>
                <w:b/>
                <w:noProof/>
                <w:sz w:val="20"/>
              </w:rPr>
            </w:pPr>
            <w:r>
              <w:rPr>
                <w:b/>
                <w:noProof/>
                <w:sz w:val="20"/>
              </w:rPr>
              <w:t>3,624</w:t>
            </w:r>
          </w:p>
        </w:tc>
      </w:tr>
      <w:tr w:rsidR="00731D8F">
        <w:tc>
          <w:tcPr>
            <w:tcW w:w="3960" w:type="dxa"/>
            <w:vMerge/>
          </w:tcPr>
          <w:p w:rsidR="00731D8F" w:rsidRDefault="00731D8F">
            <w:pPr>
              <w:rPr>
                <w:noProof/>
                <w:sz w:val="20"/>
              </w:rPr>
            </w:pPr>
          </w:p>
        </w:tc>
        <w:tc>
          <w:tcPr>
            <w:tcW w:w="1440" w:type="dxa"/>
            <w:vAlign w:val="center"/>
          </w:tcPr>
          <w:p w:rsidR="00731D8F" w:rsidRDefault="00214EE0">
            <w:pPr>
              <w:rPr>
                <w:noProof/>
                <w:sz w:val="18"/>
              </w:rPr>
            </w:pPr>
            <w:r>
              <w:rPr>
                <w:noProof/>
                <w:sz w:val="18"/>
              </w:rPr>
              <w:t>Środki na płatności</w:t>
            </w:r>
          </w:p>
        </w:tc>
        <w:tc>
          <w:tcPr>
            <w:tcW w:w="654" w:type="dxa"/>
            <w:gridSpan w:val="2"/>
            <w:vAlign w:val="center"/>
          </w:tcPr>
          <w:p w:rsidR="00731D8F" w:rsidRDefault="00214EE0">
            <w:pPr>
              <w:jc w:val="center"/>
              <w:rPr>
                <w:noProof/>
                <w:sz w:val="14"/>
              </w:rPr>
            </w:pPr>
            <w:r>
              <w:rPr>
                <w:noProof/>
                <w:sz w:val="14"/>
              </w:rPr>
              <w:t>=2+2a</w:t>
            </w:r>
          </w:p>
          <w:p w:rsidR="00731D8F" w:rsidRDefault="00214EE0">
            <w:pPr>
              <w:jc w:val="center"/>
              <w:rPr>
                <w:noProof/>
                <w:sz w:val="14"/>
              </w:rPr>
            </w:pPr>
            <w:r>
              <w:rPr>
                <w:noProof/>
                <w:sz w:val="14"/>
              </w:rPr>
              <w:t>+3</w:t>
            </w:r>
          </w:p>
        </w:tc>
        <w:tc>
          <w:tcPr>
            <w:tcW w:w="868" w:type="dxa"/>
            <w:vAlign w:val="center"/>
          </w:tcPr>
          <w:p w:rsidR="00731D8F" w:rsidRDefault="00214EE0">
            <w:pPr>
              <w:spacing w:before="20" w:after="20"/>
              <w:jc w:val="right"/>
              <w:rPr>
                <w:noProof/>
                <w:sz w:val="20"/>
              </w:rPr>
            </w:pPr>
            <w:r>
              <w:rPr>
                <w:noProof/>
                <w:sz w:val="20"/>
              </w:rPr>
              <w:t>1,078</w:t>
            </w:r>
          </w:p>
        </w:tc>
        <w:tc>
          <w:tcPr>
            <w:tcW w:w="868" w:type="dxa"/>
            <w:vAlign w:val="center"/>
          </w:tcPr>
          <w:p w:rsidR="00731D8F" w:rsidRDefault="00214EE0">
            <w:pPr>
              <w:spacing w:before="20" w:after="20"/>
              <w:jc w:val="right"/>
              <w:rPr>
                <w:noProof/>
                <w:sz w:val="20"/>
              </w:rPr>
            </w:pPr>
            <w:r>
              <w:rPr>
                <w:noProof/>
                <w:sz w:val="20"/>
              </w:rPr>
              <w:t>2,029</w:t>
            </w:r>
          </w:p>
        </w:tc>
        <w:tc>
          <w:tcPr>
            <w:tcW w:w="868" w:type="dxa"/>
            <w:vAlign w:val="center"/>
          </w:tcPr>
          <w:p w:rsidR="00731D8F" w:rsidRDefault="00214EE0">
            <w:pPr>
              <w:spacing w:before="20" w:after="20"/>
              <w:jc w:val="right"/>
              <w:rPr>
                <w:noProof/>
                <w:sz w:val="20"/>
              </w:rPr>
            </w:pPr>
            <w:r>
              <w:rPr>
                <w:noProof/>
                <w:sz w:val="20"/>
              </w:rPr>
              <w:t>0,517</w:t>
            </w:r>
          </w:p>
        </w:tc>
        <w:tc>
          <w:tcPr>
            <w:tcW w:w="992" w:type="dxa"/>
            <w:vAlign w:val="center"/>
          </w:tcPr>
          <w:p w:rsidR="00731D8F" w:rsidRDefault="00214EE0">
            <w:pPr>
              <w:spacing w:before="20" w:after="20"/>
              <w:jc w:val="right"/>
              <w:rPr>
                <w:b/>
                <w:noProof/>
                <w:sz w:val="20"/>
              </w:rPr>
            </w:pPr>
            <w:r>
              <w:rPr>
                <w:b/>
                <w:noProof/>
                <w:sz w:val="20"/>
              </w:rPr>
              <w:t>3,624</w:t>
            </w:r>
          </w:p>
        </w:tc>
      </w:tr>
    </w:tbl>
    <w:p w:rsidR="00731D8F" w:rsidRDefault="00214EE0">
      <w:pPr>
        <w:rPr>
          <w:noProof/>
        </w:rPr>
      </w:pPr>
      <w:r>
        <w:rPr>
          <w:noProof/>
        </w:rPr>
        <w:br/>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1040"/>
      </w:tblGrid>
      <w:tr w:rsidR="00731D8F">
        <w:trPr>
          <w:trHeight w:val="277"/>
        </w:trPr>
        <w:tc>
          <w:tcPr>
            <w:tcW w:w="3960" w:type="dxa"/>
            <w:vMerge w:val="restart"/>
            <w:vAlign w:val="center"/>
          </w:tcPr>
          <w:p w:rsidR="00731D8F" w:rsidRDefault="00214EE0">
            <w:pPr>
              <w:spacing w:before="20" w:after="20"/>
              <w:rPr>
                <w:noProof/>
                <w:sz w:val="22"/>
              </w:rPr>
            </w:pPr>
            <w:r>
              <w:rPr>
                <w:noProof/>
              </w:rPr>
              <w:br w:type="page"/>
            </w:r>
            <w:r>
              <w:rPr>
                <w:noProof/>
                <w:sz w:val="21"/>
              </w:rPr>
              <w:sym w:font="Wingdings" w:char="F09F"/>
            </w:r>
            <w:r>
              <w:rPr>
                <w:noProof/>
                <w:sz w:val="21"/>
              </w:rPr>
              <w:t xml:space="preserve"> OGÓŁEM środki operacyjne</w:t>
            </w:r>
          </w:p>
        </w:tc>
        <w:tc>
          <w:tcPr>
            <w:tcW w:w="1440" w:type="dxa"/>
            <w:vAlign w:val="center"/>
          </w:tcPr>
          <w:p w:rsidR="00731D8F" w:rsidRDefault="00214EE0">
            <w:pPr>
              <w:spacing w:beforeLines="20" w:before="48" w:afterLines="20" w:after="48"/>
              <w:rPr>
                <w:noProof/>
                <w:sz w:val="18"/>
              </w:rPr>
            </w:pPr>
            <w:r>
              <w:rPr>
                <w:noProof/>
                <w:sz w:val="18"/>
              </w:rPr>
              <w:t>Środki na zobowiązania</w:t>
            </w:r>
          </w:p>
        </w:tc>
        <w:tc>
          <w:tcPr>
            <w:tcW w:w="654" w:type="dxa"/>
            <w:vAlign w:val="center"/>
          </w:tcPr>
          <w:p w:rsidR="00731D8F" w:rsidRDefault="00214EE0">
            <w:pPr>
              <w:spacing w:beforeLines="20" w:before="48" w:afterLines="20" w:after="48"/>
              <w:jc w:val="center"/>
              <w:rPr>
                <w:noProof/>
                <w:sz w:val="14"/>
              </w:rPr>
            </w:pPr>
            <w:r>
              <w:rPr>
                <w:noProof/>
                <w:sz w:val="14"/>
              </w:rPr>
              <w:t>(4)</w:t>
            </w:r>
          </w:p>
        </w:tc>
        <w:tc>
          <w:tcPr>
            <w:tcW w:w="868" w:type="dxa"/>
            <w:vAlign w:val="center"/>
          </w:tcPr>
          <w:p w:rsidR="00731D8F" w:rsidRDefault="00731D8F">
            <w:pPr>
              <w:spacing w:before="20" w:after="20"/>
              <w:jc w:val="right"/>
              <w:rPr>
                <w:noProof/>
                <w:sz w:val="20"/>
              </w:rPr>
            </w:pPr>
          </w:p>
        </w:tc>
        <w:tc>
          <w:tcPr>
            <w:tcW w:w="868" w:type="dxa"/>
            <w:vAlign w:val="center"/>
          </w:tcPr>
          <w:p w:rsidR="00731D8F" w:rsidRDefault="00731D8F">
            <w:pPr>
              <w:spacing w:before="20" w:after="20"/>
              <w:jc w:val="right"/>
              <w:rPr>
                <w:noProof/>
                <w:sz w:val="20"/>
              </w:rPr>
            </w:pPr>
          </w:p>
        </w:tc>
        <w:tc>
          <w:tcPr>
            <w:tcW w:w="868" w:type="dxa"/>
            <w:vAlign w:val="center"/>
          </w:tcPr>
          <w:p w:rsidR="00731D8F" w:rsidRDefault="00731D8F">
            <w:pPr>
              <w:spacing w:before="20" w:after="20"/>
              <w:jc w:val="right"/>
              <w:rPr>
                <w:noProof/>
                <w:sz w:val="20"/>
              </w:rPr>
            </w:pPr>
          </w:p>
        </w:tc>
        <w:tc>
          <w:tcPr>
            <w:tcW w:w="868" w:type="dxa"/>
            <w:vAlign w:val="center"/>
          </w:tcPr>
          <w:p w:rsidR="00731D8F" w:rsidRDefault="00731D8F">
            <w:pPr>
              <w:spacing w:before="20" w:after="20"/>
              <w:jc w:val="right"/>
              <w:rPr>
                <w:noProof/>
                <w:sz w:val="20"/>
              </w:rPr>
            </w:pPr>
          </w:p>
        </w:tc>
        <w:tc>
          <w:tcPr>
            <w:tcW w:w="1040" w:type="dxa"/>
            <w:vAlign w:val="center"/>
          </w:tcPr>
          <w:p w:rsidR="00731D8F" w:rsidRDefault="00731D8F">
            <w:pPr>
              <w:spacing w:before="20" w:after="20"/>
              <w:jc w:val="right"/>
              <w:rPr>
                <w:noProof/>
                <w:sz w:val="20"/>
              </w:rPr>
            </w:pPr>
          </w:p>
        </w:tc>
      </w:tr>
      <w:tr w:rsidR="00731D8F">
        <w:tc>
          <w:tcPr>
            <w:tcW w:w="3960" w:type="dxa"/>
            <w:vMerge/>
          </w:tcPr>
          <w:p w:rsidR="00731D8F" w:rsidRDefault="00731D8F">
            <w:pPr>
              <w:jc w:val="center"/>
              <w:rPr>
                <w:noProof/>
                <w:sz w:val="20"/>
              </w:rPr>
            </w:pPr>
          </w:p>
        </w:tc>
        <w:tc>
          <w:tcPr>
            <w:tcW w:w="1440" w:type="dxa"/>
            <w:vAlign w:val="center"/>
          </w:tcPr>
          <w:p w:rsidR="00731D8F" w:rsidRDefault="00214EE0">
            <w:pPr>
              <w:spacing w:beforeLines="20" w:before="48" w:afterLines="20" w:after="48"/>
              <w:rPr>
                <w:noProof/>
                <w:sz w:val="18"/>
              </w:rPr>
            </w:pPr>
            <w:r>
              <w:rPr>
                <w:noProof/>
                <w:sz w:val="18"/>
              </w:rPr>
              <w:t>Środki na płatności</w:t>
            </w:r>
          </w:p>
        </w:tc>
        <w:tc>
          <w:tcPr>
            <w:tcW w:w="654" w:type="dxa"/>
            <w:vAlign w:val="center"/>
          </w:tcPr>
          <w:p w:rsidR="00731D8F" w:rsidRDefault="00214EE0">
            <w:pPr>
              <w:spacing w:beforeLines="20" w:before="48" w:afterLines="20" w:after="48"/>
              <w:jc w:val="center"/>
              <w:rPr>
                <w:noProof/>
                <w:sz w:val="14"/>
              </w:rPr>
            </w:pPr>
            <w:r>
              <w:rPr>
                <w:noProof/>
                <w:sz w:val="14"/>
              </w:rPr>
              <w:t>(5)</w:t>
            </w:r>
          </w:p>
        </w:tc>
        <w:tc>
          <w:tcPr>
            <w:tcW w:w="868" w:type="dxa"/>
            <w:vAlign w:val="center"/>
          </w:tcPr>
          <w:p w:rsidR="00731D8F" w:rsidRDefault="00731D8F">
            <w:pPr>
              <w:spacing w:before="20" w:after="20"/>
              <w:jc w:val="right"/>
              <w:rPr>
                <w:noProof/>
                <w:sz w:val="20"/>
              </w:rPr>
            </w:pPr>
          </w:p>
        </w:tc>
        <w:tc>
          <w:tcPr>
            <w:tcW w:w="868" w:type="dxa"/>
            <w:vAlign w:val="center"/>
          </w:tcPr>
          <w:p w:rsidR="00731D8F" w:rsidRDefault="00731D8F">
            <w:pPr>
              <w:spacing w:before="20" w:after="20"/>
              <w:jc w:val="right"/>
              <w:rPr>
                <w:noProof/>
                <w:sz w:val="20"/>
              </w:rPr>
            </w:pPr>
          </w:p>
        </w:tc>
        <w:tc>
          <w:tcPr>
            <w:tcW w:w="868" w:type="dxa"/>
            <w:vAlign w:val="center"/>
          </w:tcPr>
          <w:p w:rsidR="00731D8F" w:rsidRDefault="00731D8F">
            <w:pPr>
              <w:spacing w:before="20" w:after="20"/>
              <w:jc w:val="right"/>
              <w:rPr>
                <w:noProof/>
                <w:sz w:val="20"/>
              </w:rPr>
            </w:pPr>
          </w:p>
        </w:tc>
        <w:tc>
          <w:tcPr>
            <w:tcW w:w="868" w:type="dxa"/>
            <w:vAlign w:val="center"/>
          </w:tcPr>
          <w:p w:rsidR="00731D8F" w:rsidRDefault="00731D8F">
            <w:pPr>
              <w:spacing w:before="20" w:after="20"/>
              <w:jc w:val="right"/>
              <w:rPr>
                <w:noProof/>
                <w:sz w:val="20"/>
              </w:rPr>
            </w:pPr>
          </w:p>
        </w:tc>
        <w:tc>
          <w:tcPr>
            <w:tcW w:w="1040" w:type="dxa"/>
            <w:vAlign w:val="center"/>
          </w:tcPr>
          <w:p w:rsidR="00731D8F" w:rsidRDefault="00731D8F">
            <w:pPr>
              <w:spacing w:before="20" w:after="20"/>
              <w:jc w:val="right"/>
              <w:rPr>
                <w:noProof/>
                <w:sz w:val="20"/>
              </w:rPr>
            </w:pPr>
          </w:p>
        </w:tc>
      </w:tr>
      <w:tr w:rsidR="00731D8F">
        <w:trPr>
          <w:trHeight w:val="533"/>
        </w:trPr>
        <w:tc>
          <w:tcPr>
            <w:tcW w:w="5400" w:type="dxa"/>
            <w:gridSpan w:val="2"/>
            <w:vAlign w:val="center"/>
          </w:tcPr>
          <w:p w:rsidR="00731D8F" w:rsidRDefault="00214EE0">
            <w:pPr>
              <w:spacing w:beforeLines="20" w:before="48" w:afterLines="20" w:after="48"/>
              <w:rPr>
                <w:noProof/>
                <w:sz w:val="22"/>
              </w:rPr>
            </w:pPr>
            <w:r>
              <w:rPr>
                <w:noProof/>
                <w:sz w:val="21"/>
              </w:rPr>
              <w:sym w:font="Wingdings" w:char="F09F"/>
            </w:r>
            <w:r>
              <w:rPr>
                <w:noProof/>
                <w:sz w:val="21"/>
              </w:rPr>
              <w:t xml:space="preserve"> OGÓŁEM środki administracyjne finansowane ze środków przydzielonych na określone programy operacyjne</w:t>
            </w:r>
          </w:p>
        </w:tc>
        <w:tc>
          <w:tcPr>
            <w:tcW w:w="654" w:type="dxa"/>
            <w:vAlign w:val="center"/>
          </w:tcPr>
          <w:p w:rsidR="00731D8F" w:rsidRDefault="00214EE0">
            <w:pPr>
              <w:spacing w:beforeLines="20" w:before="48" w:afterLines="20" w:after="48"/>
              <w:jc w:val="center"/>
              <w:rPr>
                <w:noProof/>
                <w:sz w:val="14"/>
              </w:rPr>
            </w:pPr>
            <w:r>
              <w:rPr>
                <w:noProof/>
                <w:sz w:val="14"/>
              </w:rPr>
              <w:t>(6)</w:t>
            </w:r>
          </w:p>
        </w:tc>
        <w:tc>
          <w:tcPr>
            <w:tcW w:w="868" w:type="dxa"/>
            <w:vAlign w:val="center"/>
          </w:tcPr>
          <w:p w:rsidR="00731D8F" w:rsidRDefault="00731D8F">
            <w:pPr>
              <w:spacing w:before="20" w:after="20"/>
              <w:jc w:val="right"/>
              <w:rPr>
                <w:b/>
                <w:noProof/>
                <w:sz w:val="20"/>
              </w:rPr>
            </w:pPr>
          </w:p>
        </w:tc>
        <w:tc>
          <w:tcPr>
            <w:tcW w:w="868" w:type="dxa"/>
            <w:vAlign w:val="center"/>
          </w:tcPr>
          <w:p w:rsidR="00731D8F" w:rsidRDefault="00731D8F">
            <w:pPr>
              <w:spacing w:before="20" w:after="20"/>
              <w:jc w:val="right"/>
              <w:rPr>
                <w:b/>
                <w:noProof/>
                <w:sz w:val="20"/>
              </w:rPr>
            </w:pPr>
          </w:p>
        </w:tc>
        <w:tc>
          <w:tcPr>
            <w:tcW w:w="868" w:type="dxa"/>
            <w:vAlign w:val="center"/>
          </w:tcPr>
          <w:p w:rsidR="00731D8F" w:rsidRDefault="00731D8F">
            <w:pPr>
              <w:spacing w:before="20" w:after="20"/>
              <w:jc w:val="right"/>
              <w:rPr>
                <w:b/>
                <w:noProof/>
                <w:sz w:val="20"/>
              </w:rPr>
            </w:pPr>
          </w:p>
        </w:tc>
        <w:tc>
          <w:tcPr>
            <w:tcW w:w="868" w:type="dxa"/>
            <w:vAlign w:val="center"/>
          </w:tcPr>
          <w:p w:rsidR="00731D8F" w:rsidRDefault="00731D8F">
            <w:pPr>
              <w:spacing w:before="20" w:after="20"/>
              <w:jc w:val="right"/>
              <w:rPr>
                <w:b/>
                <w:noProof/>
                <w:sz w:val="20"/>
              </w:rPr>
            </w:pPr>
          </w:p>
        </w:tc>
        <w:tc>
          <w:tcPr>
            <w:tcW w:w="1040" w:type="dxa"/>
            <w:vAlign w:val="center"/>
          </w:tcPr>
          <w:p w:rsidR="00731D8F" w:rsidRDefault="00731D8F">
            <w:pPr>
              <w:spacing w:before="20" w:after="20"/>
              <w:jc w:val="right"/>
              <w:rPr>
                <w:b/>
                <w:noProof/>
                <w:sz w:val="20"/>
              </w:rPr>
            </w:pPr>
          </w:p>
        </w:tc>
      </w:tr>
      <w:tr w:rsidR="00731D8F">
        <w:tc>
          <w:tcPr>
            <w:tcW w:w="3960" w:type="dxa"/>
            <w:vMerge w:val="restart"/>
            <w:shd w:val="thinDiagStripe" w:color="C0C0C0" w:fill="auto"/>
            <w:vAlign w:val="center"/>
          </w:tcPr>
          <w:p w:rsidR="00731D8F" w:rsidRDefault="00214EE0">
            <w:pPr>
              <w:jc w:val="center"/>
              <w:rPr>
                <w:b/>
                <w:noProof/>
                <w:sz w:val="22"/>
              </w:rPr>
            </w:pPr>
            <w:r>
              <w:rPr>
                <w:b/>
                <w:noProof/>
                <w:sz w:val="22"/>
              </w:rPr>
              <w:t>OGÓŁEM środki</w:t>
            </w:r>
            <w:r>
              <w:rPr>
                <w:noProof/>
                <w:sz w:val="22"/>
              </w:rPr>
              <w:br/>
            </w:r>
            <w:r>
              <w:rPr>
                <w:b/>
                <w:noProof/>
                <w:sz w:val="22"/>
              </w:rPr>
              <w:t>na DZIAŁ &lt;….&gt;</w:t>
            </w:r>
            <w:r>
              <w:rPr>
                <w:noProof/>
                <w:sz w:val="22"/>
              </w:rPr>
              <w:br/>
              <w:t>wieloletnich ram finansowych</w:t>
            </w:r>
          </w:p>
        </w:tc>
        <w:tc>
          <w:tcPr>
            <w:tcW w:w="1440" w:type="dxa"/>
            <w:vAlign w:val="center"/>
          </w:tcPr>
          <w:p w:rsidR="00731D8F" w:rsidRDefault="00214EE0">
            <w:pPr>
              <w:rPr>
                <w:noProof/>
                <w:sz w:val="18"/>
              </w:rPr>
            </w:pPr>
            <w:r>
              <w:rPr>
                <w:noProof/>
                <w:sz w:val="18"/>
              </w:rPr>
              <w:t>Środki na zobowiązania</w:t>
            </w:r>
          </w:p>
        </w:tc>
        <w:tc>
          <w:tcPr>
            <w:tcW w:w="654" w:type="dxa"/>
            <w:vAlign w:val="center"/>
          </w:tcPr>
          <w:p w:rsidR="00731D8F" w:rsidRDefault="00214EE0">
            <w:pPr>
              <w:jc w:val="center"/>
              <w:rPr>
                <w:noProof/>
                <w:sz w:val="14"/>
              </w:rPr>
            </w:pPr>
            <w:r>
              <w:rPr>
                <w:noProof/>
                <w:sz w:val="14"/>
              </w:rPr>
              <w:t>=4+ 6</w:t>
            </w:r>
          </w:p>
        </w:tc>
        <w:tc>
          <w:tcPr>
            <w:tcW w:w="868" w:type="dxa"/>
            <w:vAlign w:val="center"/>
          </w:tcPr>
          <w:p w:rsidR="00731D8F" w:rsidRDefault="00731D8F">
            <w:pPr>
              <w:spacing w:before="20" w:after="20"/>
              <w:jc w:val="right"/>
              <w:rPr>
                <w:noProof/>
                <w:sz w:val="20"/>
              </w:rPr>
            </w:pPr>
          </w:p>
        </w:tc>
        <w:tc>
          <w:tcPr>
            <w:tcW w:w="868" w:type="dxa"/>
            <w:vAlign w:val="center"/>
          </w:tcPr>
          <w:p w:rsidR="00731D8F" w:rsidRDefault="00731D8F">
            <w:pPr>
              <w:spacing w:before="20" w:after="20"/>
              <w:jc w:val="right"/>
              <w:rPr>
                <w:noProof/>
                <w:sz w:val="20"/>
              </w:rPr>
            </w:pPr>
          </w:p>
        </w:tc>
        <w:tc>
          <w:tcPr>
            <w:tcW w:w="868" w:type="dxa"/>
            <w:vAlign w:val="center"/>
          </w:tcPr>
          <w:p w:rsidR="00731D8F" w:rsidRDefault="00731D8F">
            <w:pPr>
              <w:spacing w:before="20" w:after="20"/>
              <w:jc w:val="right"/>
              <w:rPr>
                <w:noProof/>
                <w:sz w:val="20"/>
              </w:rPr>
            </w:pPr>
          </w:p>
        </w:tc>
        <w:tc>
          <w:tcPr>
            <w:tcW w:w="868" w:type="dxa"/>
            <w:vAlign w:val="center"/>
          </w:tcPr>
          <w:p w:rsidR="00731D8F" w:rsidRDefault="00731D8F">
            <w:pPr>
              <w:spacing w:before="20" w:after="20"/>
              <w:jc w:val="right"/>
              <w:rPr>
                <w:noProof/>
                <w:sz w:val="20"/>
              </w:rPr>
            </w:pPr>
          </w:p>
        </w:tc>
        <w:tc>
          <w:tcPr>
            <w:tcW w:w="1040" w:type="dxa"/>
            <w:vAlign w:val="center"/>
          </w:tcPr>
          <w:p w:rsidR="00731D8F" w:rsidRDefault="00731D8F">
            <w:pPr>
              <w:spacing w:before="20" w:after="20"/>
              <w:jc w:val="right"/>
              <w:rPr>
                <w:noProof/>
                <w:sz w:val="20"/>
              </w:rPr>
            </w:pPr>
          </w:p>
        </w:tc>
      </w:tr>
      <w:tr w:rsidR="00731D8F">
        <w:tc>
          <w:tcPr>
            <w:tcW w:w="3960" w:type="dxa"/>
            <w:vMerge/>
            <w:shd w:val="thinDiagStripe" w:color="C0C0C0" w:fill="auto"/>
          </w:tcPr>
          <w:p w:rsidR="00731D8F" w:rsidRDefault="00731D8F">
            <w:pPr>
              <w:rPr>
                <w:noProof/>
                <w:sz w:val="20"/>
              </w:rPr>
            </w:pPr>
          </w:p>
        </w:tc>
        <w:tc>
          <w:tcPr>
            <w:tcW w:w="1440" w:type="dxa"/>
            <w:vAlign w:val="center"/>
          </w:tcPr>
          <w:p w:rsidR="00731D8F" w:rsidRDefault="00214EE0">
            <w:pPr>
              <w:rPr>
                <w:noProof/>
                <w:sz w:val="18"/>
              </w:rPr>
            </w:pPr>
            <w:r>
              <w:rPr>
                <w:noProof/>
                <w:sz w:val="18"/>
              </w:rPr>
              <w:t>Środki na płatności</w:t>
            </w:r>
          </w:p>
        </w:tc>
        <w:tc>
          <w:tcPr>
            <w:tcW w:w="654" w:type="dxa"/>
            <w:vAlign w:val="center"/>
          </w:tcPr>
          <w:p w:rsidR="00731D8F" w:rsidRDefault="00214EE0">
            <w:pPr>
              <w:jc w:val="center"/>
              <w:rPr>
                <w:noProof/>
                <w:sz w:val="14"/>
              </w:rPr>
            </w:pPr>
            <w:r>
              <w:rPr>
                <w:noProof/>
                <w:sz w:val="14"/>
              </w:rPr>
              <w:t>=5+ 6</w:t>
            </w:r>
          </w:p>
        </w:tc>
        <w:tc>
          <w:tcPr>
            <w:tcW w:w="868" w:type="dxa"/>
            <w:vAlign w:val="center"/>
          </w:tcPr>
          <w:p w:rsidR="00731D8F" w:rsidRDefault="00731D8F">
            <w:pPr>
              <w:spacing w:before="20" w:after="20"/>
              <w:jc w:val="right"/>
              <w:rPr>
                <w:noProof/>
                <w:sz w:val="20"/>
              </w:rPr>
            </w:pPr>
          </w:p>
        </w:tc>
        <w:tc>
          <w:tcPr>
            <w:tcW w:w="868" w:type="dxa"/>
            <w:vAlign w:val="center"/>
          </w:tcPr>
          <w:p w:rsidR="00731D8F" w:rsidRDefault="00731D8F">
            <w:pPr>
              <w:spacing w:before="20" w:after="20"/>
              <w:jc w:val="right"/>
              <w:rPr>
                <w:noProof/>
                <w:sz w:val="20"/>
              </w:rPr>
            </w:pPr>
          </w:p>
        </w:tc>
        <w:tc>
          <w:tcPr>
            <w:tcW w:w="868" w:type="dxa"/>
            <w:vAlign w:val="center"/>
          </w:tcPr>
          <w:p w:rsidR="00731D8F" w:rsidRDefault="00731D8F">
            <w:pPr>
              <w:spacing w:before="20" w:after="20"/>
              <w:jc w:val="right"/>
              <w:rPr>
                <w:noProof/>
                <w:sz w:val="20"/>
              </w:rPr>
            </w:pPr>
          </w:p>
        </w:tc>
        <w:tc>
          <w:tcPr>
            <w:tcW w:w="868" w:type="dxa"/>
            <w:vAlign w:val="center"/>
          </w:tcPr>
          <w:p w:rsidR="00731D8F" w:rsidRDefault="00731D8F">
            <w:pPr>
              <w:spacing w:before="20" w:after="20"/>
              <w:jc w:val="right"/>
              <w:rPr>
                <w:noProof/>
                <w:sz w:val="20"/>
              </w:rPr>
            </w:pPr>
          </w:p>
        </w:tc>
        <w:tc>
          <w:tcPr>
            <w:tcW w:w="1040" w:type="dxa"/>
            <w:vAlign w:val="center"/>
          </w:tcPr>
          <w:p w:rsidR="00731D8F" w:rsidRDefault="00731D8F">
            <w:pPr>
              <w:spacing w:before="20" w:after="20"/>
              <w:jc w:val="right"/>
              <w:rPr>
                <w:noProof/>
                <w:sz w:val="20"/>
              </w:rPr>
            </w:pPr>
          </w:p>
        </w:tc>
      </w:tr>
    </w:tbl>
    <w:p w:rsidR="00731D8F" w:rsidRDefault="00214EE0">
      <w:pPr>
        <w:spacing w:after="40"/>
        <w:rPr>
          <w:b/>
          <w:noProof/>
          <w:sz w:val="22"/>
          <w:u w:val="single"/>
        </w:rPr>
      </w:pPr>
      <w:r>
        <w:rPr>
          <w:b/>
          <w:noProof/>
          <w:sz w:val="22"/>
          <w:u w:val="single"/>
        </w:rPr>
        <w:t xml:space="preserve">Jeżeli wpływ </w:t>
      </w:r>
      <w:r>
        <w:rPr>
          <w:b/>
          <w:noProof/>
          <w:sz w:val="22"/>
          <w:u w:val="single"/>
        </w:rPr>
        <w:t>wniosku/inicjatywy nie ogranicza się do jednego działu:</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1040"/>
      </w:tblGrid>
      <w:tr w:rsidR="00731D8F">
        <w:trPr>
          <w:trHeight w:val="277"/>
        </w:trPr>
        <w:tc>
          <w:tcPr>
            <w:tcW w:w="3960" w:type="dxa"/>
            <w:vMerge w:val="restart"/>
            <w:tcBorders>
              <w:top w:val="single" w:sz="4" w:space="0" w:color="FF0000"/>
              <w:left w:val="single" w:sz="4" w:space="0" w:color="auto"/>
              <w:bottom w:val="single" w:sz="4" w:space="0" w:color="FF0000"/>
            </w:tcBorders>
            <w:vAlign w:val="center"/>
          </w:tcPr>
          <w:p w:rsidR="00731D8F" w:rsidRDefault="00214EE0">
            <w:pPr>
              <w:spacing w:before="20" w:after="20"/>
              <w:rPr>
                <w:noProof/>
                <w:sz w:val="22"/>
              </w:rPr>
            </w:pPr>
            <w:r>
              <w:rPr>
                <w:noProof/>
                <w:sz w:val="21"/>
              </w:rPr>
              <w:sym w:font="Wingdings" w:char="F09F"/>
            </w:r>
            <w:r>
              <w:rPr>
                <w:noProof/>
                <w:sz w:val="21"/>
              </w:rPr>
              <w:t xml:space="preserve"> OGÓŁEM środki operacyjne</w:t>
            </w:r>
          </w:p>
        </w:tc>
        <w:tc>
          <w:tcPr>
            <w:tcW w:w="1440" w:type="dxa"/>
            <w:tcBorders>
              <w:top w:val="single" w:sz="4" w:space="0" w:color="FF0000"/>
            </w:tcBorders>
            <w:vAlign w:val="center"/>
          </w:tcPr>
          <w:p w:rsidR="00731D8F" w:rsidRDefault="00214EE0">
            <w:pPr>
              <w:spacing w:beforeLines="20" w:before="48" w:afterLines="20" w:after="48"/>
              <w:rPr>
                <w:noProof/>
                <w:sz w:val="18"/>
              </w:rPr>
            </w:pPr>
            <w:r>
              <w:rPr>
                <w:noProof/>
                <w:sz w:val="18"/>
              </w:rPr>
              <w:t>Środki na zobowiązania</w:t>
            </w:r>
          </w:p>
        </w:tc>
        <w:tc>
          <w:tcPr>
            <w:tcW w:w="654" w:type="dxa"/>
            <w:tcBorders>
              <w:top w:val="single" w:sz="4" w:space="0" w:color="FF0000"/>
            </w:tcBorders>
            <w:vAlign w:val="center"/>
          </w:tcPr>
          <w:p w:rsidR="00731D8F" w:rsidRDefault="00214EE0">
            <w:pPr>
              <w:spacing w:beforeLines="20" w:before="48" w:afterLines="20" w:after="48"/>
              <w:jc w:val="center"/>
              <w:rPr>
                <w:noProof/>
                <w:sz w:val="14"/>
              </w:rPr>
            </w:pPr>
            <w:r>
              <w:rPr>
                <w:noProof/>
                <w:sz w:val="14"/>
              </w:rPr>
              <w:t>(4)</w:t>
            </w:r>
          </w:p>
        </w:tc>
        <w:tc>
          <w:tcPr>
            <w:tcW w:w="868" w:type="dxa"/>
            <w:tcBorders>
              <w:top w:val="single" w:sz="4" w:space="0" w:color="FF0000"/>
            </w:tcBorders>
            <w:vAlign w:val="center"/>
          </w:tcPr>
          <w:p w:rsidR="00731D8F" w:rsidRDefault="00731D8F">
            <w:pPr>
              <w:spacing w:before="20" w:after="20"/>
              <w:jc w:val="right"/>
              <w:rPr>
                <w:noProof/>
                <w:sz w:val="20"/>
              </w:rPr>
            </w:pPr>
          </w:p>
        </w:tc>
        <w:tc>
          <w:tcPr>
            <w:tcW w:w="868" w:type="dxa"/>
            <w:tcBorders>
              <w:top w:val="single" w:sz="4" w:space="0" w:color="FF0000"/>
            </w:tcBorders>
            <w:vAlign w:val="center"/>
          </w:tcPr>
          <w:p w:rsidR="00731D8F" w:rsidRDefault="00731D8F">
            <w:pPr>
              <w:spacing w:before="20" w:after="20"/>
              <w:jc w:val="right"/>
              <w:rPr>
                <w:noProof/>
                <w:sz w:val="20"/>
              </w:rPr>
            </w:pPr>
          </w:p>
        </w:tc>
        <w:tc>
          <w:tcPr>
            <w:tcW w:w="868" w:type="dxa"/>
            <w:tcBorders>
              <w:top w:val="single" w:sz="4" w:space="0" w:color="FF0000"/>
            </w:tcBorders>
            <w:vAlign w:val="center"/>
          </w:tcPr>
          <w:p w:rsidR="00731D8F" w:rsidRDefault="00731D8F">
            <w:pPr>
              <w:spacing w:before="20" w:after="20"/>
              <w:jc w:val="right"/>
              <w:rPr>
                <w:noProof/>
                <w:sz w:val="20"/>
              </w:rPr>
            </w:pPr>
          </w:p>
        </w:tc>
        <w:tc>
          <w:tcPr>
            <w:tcW w:w="1040" w:type="dxa"/>
            <w:tcBorders>
              <w:top w:val="single" w:sz="4" w:space="0" w:color="FF0000"/>
            </w:tcBorders>
            <w:vAlign w:val="center"/>
          </w:tcPr>
          <w:p w:rsidR="00731D8F" w:rsidRDefault="00731D8F">
            <w:pPr>
              <w:spacing w:before="20" w:after="20"/>
              <w:jc w:val="right"/>
              <w:rPr>
                <w:noProof/>
                <w:sz w:val="20"/>
              </w:rPr>
            </w:pPr>
          </w:p>
        </w:tc>
      </w:tr>
      <w:tr w:rsidR="00731D8F">
        <w:tc>
          <w:tcPr>
            <w:tcW w:w="3960" w:type="dxa"/>
            <w:vMerge/>
            <w:tcBorders>
              <w:top w:val="single" w:sz="4" w:space="0" w:color="FF0000"/>
              <w:left w:val="single" w:sz="4" w:space="0" w:color="auto"/>
              <w:bottom w:val="single" w:sz="4" w:space="0" w:color="FF0000"/>
            </w:tcBorders>
          </w:tcPr>
          <w:p w:rsidR="00731D8F" w:rsidRDefault="00731D8F">
            <w:pPr>
              <w:jc w:val="center"/>
              <w:rPr>
                <w:noProof/>
                <w:sz w:val="20"/>
              </w:rPr>
            </w:pPr>
          </w:p>
        </w:tc>
        <w:tc>
          <w:tcPr>
            <w:tcW w:w="1440" w:type="dxa"/>
            <w:vAlign w:val="center"/>
          </w:tcPr>
          <w:p w:rsidR="00731D8F" w:rsidRDefault="00214EE0">
            <w:pPr>
              <w:spacing w:beforeLines="20" w:before="48" w:afterLines="20" w:after="48"/>
              <w:rPr>
                <w:noProof/>
                <w:sz w:val="18"/>
              </w:rPr>
            </w:pPr>
            <w:r>
              <w:rPr>
                <w:noProof/>
                <w:sz w:val="18"/>
              </w:rPr>
              <w:t>Środki na płatności</w:t>
            </w:r>
          </w:p>
        </w:tc>
        <w:tc>
          <w:tcPr>
            <w:tcW w:w="654" w:type="dxa"/>
            <w:vAlign w:val="center"/>
          </w:tcPr>
          <w:p w:rsidR="00731D8F" w:rsidRDefault="00214EE0">
            <w:pPr>
              <w:spacing w:beforeLines="20" w:before="48" w:afterLines="20" w:after="48"/>
              <w:jc w:val="center"/>
              <w:rPr>
                <w:noProof/>
                <w:sz w:val="14"/>
              </w:rPr>
            </w:pPr>
            <w:r>
              <w:rPr>
                <w:noProof/>
                <w:sz w:val="14"/>
              </w:rPr>
              <w:t>(5)</w:t>
            </w:r>
          </w:p>
        </w:tc>
        <w:tc>
          <w:tcPr>
            <w:tcW w:w="868" w:type="dxa"/>
            <w:vAlign w:val="center"/>
          </w:tcPr>
          <w:p w:rsidR="00731D8F" w:rsidRDefault="00731D8F">
            <w:pPr>
              <w:spacing w:before="20" w:after="20"/>
              <w:jc w:val="right"/>
              <w:rPr>
                <w:noProof/>
                <w:sz w:val="20"/>
              </w:rPr>
            </w:pPr>
          </w:p>
        </w:tc>
        <w:tc>
          <w:tcPr>
            <w:tcW w:w="868" w:type="dxa"/>
            <w:vAlign w:val="center"/>
          </w:tcPr>
          <w:p w:rsidR="00731D8F" w:rsidRDefault="00731D8F">
            <w:pPr>
              <w:spacing w:before="20" w:after="20"/>
              <w:jc w:val="right"/>
              <w:rPr>
                <w:noProof/>
                <w:sz w:val="20"/>
              </w:rPr>
            </w:pPr>
          </w:p>
        </w:tc>
        <w:tc>
          <w:tcPr>
            <w:tcW w:w="868" w:type="dxa"/>
            <w:vAlign w:val="center"/>
          </w:tcPr>
          <w:p w:rsidR="00731D8F" w:rsidRDefault="00731D8F">
            <w:pPr>
              <w:spacing w:before="20" w:after="20"/>
              <w:jc w:val="right"/>
              <w:rPr>
                <w:noProof/>
                <w:sz w:val="20"/>
              </w:rPr>
            </w:pPr>
          </w:p>
        </w:tc>
        <w:tc>
          <w:tcPr>
            <w:tcW w:w="1040" w:type="dxa"/>
            <w:vAlign w:val="center"/>
          </w:tcPr>
          <w:p w:rsidR="00731D8F" w:rsidRDefault="00731D8F">
            <w:pPr>
              <w:spacing w:before="20" w:after="20"/>
              <w:jc w:val="right"/>
              <w:rPr>
                <w:noProof/>
                <w:sz w:val="20"/>
              </w:rPr>
            </w:pPr>
          </w:p>
        </w:tc>
      </w:tr>
      <w:tr w:rsidR="00731D8F">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rsidR="00731D8F" w:rsidRDefault="00214EE0">
            <w:pPr>
              <w:spacing w:beforeLines="20" w:before="48" w:afterLines="20" w:after="48"/>
              <w:rPr>
                <w:noProof/>
                <w:sz w:val="22"/>
              </w:rPr>
            </w:pPr>
            <w:r>
              <w:rPr>
                <w:noProof/>
                <w:sz w:val="21"/>
              </w:rPr>
              <w:sym w:font="Wingdings" w:char="F09F"/>
            </w:r>
            <w:r>
              <w:rPr>
                <w:noProof/>
                <w:sz w:val="21"/>
              </w:rPr>
              <w:t xml:space="preserve"> OGÓŁEM środki administracyjne finansowane ze środków przydzielonych na określone programy operacyjne</w:t>
            </w:r>
          </w:p>
        </w:tc>
        <w:tc>
          <w:tcPr>
            <w:tcW w:w="654" w:type="dxa"/>
            <w:vAlign w:val="center"/>
          </w:tcPr>
          <w:p w:rsidR="00731D8F" w:rsidRDefault="00214EE0">
            <w:pPr>
              <w:spacing w:beforeLines="20" w:before="48" w:afterLines="20" w:after="48"/>
              <w:jc w:val="center"/>
              <w:rPr>
                <w:noProof/>
                <w:sz w:val="14"/>
              </w:rPr>
            </w:pPr>
            <w:r>
              <w:rPr>
                <w:noProof/>
                <w:sz w:val="14"/>
              </w:rPr>
              <w:t>(6)</w:t>
            </w:r>
          </w:p>
        </w:tc>
        <w:tc>
          <w:tcPr>
            <w:tcW w:w="868" w:type="dxa"/>
            <w:vAlign w:val="center"/>
          </w:tcPr>
          <w:p w:rsidR="00731D8F" w:rsidRDefault="00731D8F">
            <w:pPr>
              <w:spacing w:before="20" w:after="20"/>
              <w:jc w:val="right"/>
              <w:rPr>
                <w:b/>
                <w:noProof/>
                <w:sz w:val="20"/>
              </w:rPr>
            </w:pPr>
          </w:p>
        </w:tc>
        <w:tc>
          <w:tcPr>
            <w:tcW w:w="868" w:type="dxa"/>
            <w:vAlign w:val="center"/>
          </w:tcPr>
          <w:p w:rsidR="00731D8F" w:rsidRDefault="00731D8F">
            <w:pPr>
              <w:spacing w:before="20" w:after="20"/>
              <w:jc w:val="right"/>
              <w:rPr>
                <w:b/>
                <w:noProof/>
                <w:sz w:val="20"/>
              </w:rPr>
            </w:pPr>
          </w:p>
        </w:tc>
        <w:tc>
          <w:tcPr>
            <w:tcW w:w="868" w:type="dxa"/>
            <w:vAlign w:val="center"/>
          </w:tcPr>
          <w:p w:rsidR="00731D8F" w:rsidRDefault="00731D8F">
            <w:pPr>
              <w:spacing w:before="20" w:after="20"/>
              <w:jc w:val="right"/>
              <w:rPr>
                <w:b/>
                <w:noProof/>
                <w:sz w:val="20"/>
              </w:rPr>
            </w:pPr>
          </w:p>
        </w:tc>
        <w:tc>
          <w:tcPr>
            <w:tcW w:w="1040" w:type="dxa"/>
            <w:vAlign w:val="center"/>
          </w:tcPr>
          <w:p w:rsidR="00731D8F" w:rsidRDefault="00731D8F">
            <w:pPr>
              <w:spacing w:before="20" w:after="20"/>
              <w:jc w:val="right"/>
              <w:rPr>
                <w:b/>
                <w:noProof/>
                <w:sz w:val="20"/>
              </w:rPr>
            </w:pPr>
          </w:p>
        </w:tc>
      </w:tr>
      <w:tr w:rsidR="00731D8F">
        <w:tc>
          <w:tcPr>
            <w:tcW w:w="3960" w:type="dxa"/>
            <w:vMerge w:val="restart"/>
            <w:tcBorders>
              <w:top w:val="single" w:sz="4" w:space="0" w:color="FF0000"/>
              <w:left w:val="single" w:sz="4" w:space="0" w:color="auto"/>
              <w:bottom w:val="single" w:sz="4" w:space="0" w:color="FF0000"/>
            </w:tcBorders>
            <w:shd w:val="thinDiagStripe" w:color="C0C0C0" w:fill="auto"/>
            <w:vAlign w:val="center"/>
          </w:tcPr>
          <w:p w:rsidR="00731D8F" w:rsidRDefault="00214EE0">
            <w:pPr>
              <w:jc w:val="center"/>
              <w:rPr>
                <w:b/>
                <w:noProof/>
                <w:sz w:val="22"/>
              </w:rPr>
            </w:pPr>
            <w:r>
              <w:rPr>
                <w:b/>
                <w:noProof/>
                <w:sz w:val="22"/>
              </w:rPr>
              <w:t>OGÓŁEM środki</w:t>
            </w:r>
            <w:r>
              <w:rPr>
                <w:noProof/>
                <w:sz w:val="22"/>
              </w:rPr>
              <w:br/>
            </w:r>
            <w:r>
              <w:rPr>
                <w:b/>
                <w:noProof/>
                <w:sz w:val="22"/>
              </w:rPr>
              <w:t>na DZIAŁY 1–4</w:t>
            </w:r>
            <w:r>
              <w:rPr>
                <w:noProof/>
                <w:sz w:val="22"/>
              </w:rPr>
              <w:br/>
              <w:t>wieloletnich ram finansowych</w:t>
            </w:r>
            <w:r>
              <w:rPr>
                <w:noProof/>
                <w:sz w:val="22"/>
              </w:rPr>
              <w:br/>
            </w:r>
            <w:r>
              <w:rPr>
                <w:noProof/>
                <w:sz w:val="20"/>
              </w:rPr>
              <w:t>(kwota referencyjna)</w:t>
            </w:r>
          </w:p>
        </w:tc>
        <w:tc>
          <w:tcPr>
            <w:tcW w:w="1440" w:type="dxa"/>
            <w:vAlign w:val="center"/>
          </w:tcPr>
          <w:p w:rsidR="00731D8F" w:rsidRDefault="00214EE0">
            <w:pPr>
              <w:rPr>
                <w:noProof/>
                <w:sz w:val="18"/>
              </w:rPr>
            </w:pPr>
            <w:r>
              <w:rPr>
                <w:noProof/>
                <w:sz w:val="18"/>
              </w:rPr>
              <w:t>Środki na zobowiązania</w:t>
            </w:r>
          </w:p>
        </w:tc>
        <w:tc>
          <w:tcPr>
            <w:tcW w:w="654" w:type="dxa"/>
            <w:vAlign w:val="center"/>
          </w:tcPr>
          <w:p w:rsidR="00731D8F" w:rsidRDefault="00214EE0">
            <w:pPr>
              <w:jc w:val="center"/>
              <w:rPr>
                <w:noProof/>
                <w:sz w:val="14"/>
              </w:rPr>
            </w:pPr>
            <w:r>
              <w:rPr>
                <w:noProof/>
                <w:sz w:val="14"/>
              </w:rPr>
              <w:t>=4+ 6</w:t>
            </w:r>
          </w:p>
        </w:tc>
        <w:tc>
          <w:tcPr>
            <w:tcW w:w="868" w:type="dxa"/>
            <w:vAlign w:val="center"/>
          </w:tcPr>
          <w:p w:rsidR="00731D8F" w:rsidRDefault="00214EE0">
            <w:pPr>
              <w:spacing w:before="20" w:after="20"/>
              <w:jc w:val="right"/>
              <w:rPr>
                <w:noProof/>
                <w:sz w:val="20"/>
              </w:rPr>
            </w:pPr>
            <w:r>
              <w:rPr>
                <w:noProof/>
                <w:sz w:val="20"/>
              </w:rPr>
              <w:t>2,590</w:t>
            </w:r>
          </w:p>
        </w:tc>
        <w:tc>
          <w:tcPr>
            <w:tcW w:w="868" w:type="dxa"/>
            <w:vAlign w:val="center"/>
          </w:tcPr>
          <w:p w:rsidR="00731D8F" w:rsidRDefault="00214EE0">
            <w:pPr>
              <w:spacing w:before="20" w:after="20"/>
              <w:jc w:val="right"/>
              <w:rPr>
                <w:noProof/>
                <w:sz w:val="20"/>
              </w:rPr>
            </w:pPr>
            <w:r>
              <w:rPr>
                <w:noProof/>
                <w:sz w:val="20"/>
              </w:rPr>
              <w:t>0,517</w:t>
            </w:r>
          </w:p>
        </w:tc>
        <w:tc>
          <w:tcPr>
            <w:tcW w:w="868" w:type="dxa"/>
            <w:vAlign w:val="center"/>
          </w:tcPr>
          <w:p w:rsidR="00731D8F" w:rsidRDefault="00214EE0">
            <w:pPr>
              <w:spacing w:before="20" w:after="20"/>
              <w:jc w:val="right"/>
              <w:rPr>
                <w:noProof/>
                <w:sz w:val="20"/>
              </w:rPr>
            </w:pPr>
            <w:r>
              <w:rPr>
                <w:noProof/>
                <w:sz w:val="20"/>
              </w:rPr>
              <w:t>0,517</w:t>
            </w:r>
          </w:p>
        </w:tc>
        <w:tc>
          <w:tcPr>
            <w:tcW w:w="1040" w:type="dxa"/>
            <w:vAlign w:val="center"/>
          </w:tcPr>
          <w:p w:rsidR="00731D8F" w:rsidRDefault="00214EE0">
            <w:pPr>
              <w:spacing w:before="20" w:after="20"/>
              <w:jc w:val="right"/>
              <w:rPr>
                <w:noProof/>
                <w:sz w:val="20"/>
              </w:rPr>
            </w:pPr>
            <w:r>
              <w:rPr>
                <w:b/>
                <w:noProof/>
                <w:sz w:val="20"/>
              </w:rPr>
              <w:t>3,624</w:t>
            </w:r>
          </w:p>
        </w:tc>
      </w:tr>
      <w:tr w:rsidR="00731D8F">
        <w:tc>
          <w:tcPr>
            <w:tcW w:w="3960" w:type="dxa"/>
            <w:vMerge/>
            <w:tcBorders>
              <w:top w:val="single" w:sz="4" w:space="0" w:color="FF0000"/>
              <w:left w:val="single" w:sz="4" w:space="0" w:color="auto"/>
              <w:bottom w:val="single" w:sz="4" w:space="0" w:color="FF0000"/>
            </w:tcBorders>
            <w:shd w:val="thinDiagStripe" w:color="C0C0C0" w:fill="auto"/>
          </w:tcPr>
          <w:p w:rsidR="00731D8F" w:rsidRDefault="00731D8F">
            <w:pPr>
              <w:rPr>
                <w:noProof/>
                <w:sz w:val="20"/>
              </w:rPr>
            </w:pPr>
          </w:p>
        </w:tc>
        <w:tc>
          <w:tcPr>
            <w:tcW w:w="1440" w:type="dxa"/>
            <w:tcBorders>
              <w:bottom w:val="single" w:sz="4" w:space="0" w:color="FF0000"/>
            </w:tcBorders>
            <w:vAlign w:val="center"/>
          </w:tcPr>
          <w:p w:rsidR="00731D8F" w:rsidRDefault="00214EE0">
            <w:pPr>
              <w:rPr>
                <w:noProof/>
                <w:sz w:val="18"/>
              </w:rPr>
            </w:pPr>
            <w:r>
              <w:rPr>
                <w:noProof/>
                <w:sz w:val="18"/>
              </w:rPr>
              <w:t>Środki na płatności</w:t>
            </w:r>
          </w:p>
        </w:tc>
        <w:tc>
          <w:tcPr>
            <w:tcW w:w="654" w:type="dxa"/>
            <w:tcBorders>
              <w:bottom w:val="single" w:sz="4" w:space="0" w:color="FF0000"/>
            </w:tcBorders>
            <w:vAlign w:val="center"/>
          </w:tcPr>
          <w:p w:rsidR="00731D8F" w:rsidRDefault="00214EE0">
            <w:pPr>
              <w:jc w:val="center"/>
              <w:rPr>
                <w:noProof/>
                <w:sz w:val="14"/>
              </w:rPr>
            </w:pPr>
            <w:r>
              <w:rPr>
                <w:noProof/>
                <w:sz w:val="14"/>
              </w:rPr>
              <w:t>=5+ 6</w:t>
            </w:r>
          </w:p>
        </w:tc>
        <w:tc>
          <w:tcPr>
            <w:tcW w:w="868" w:type="dxa"/>
            <w:tcBorders>
              <w:bottom w:val="single" w:sz="4" w:space="0" w:color="FF0000"/>
            </w:tcBorders>
            <w:vAlign w:val="center"/>
          </w:tcPr>
          <w:p w:rsidR="00731D8F" w:rsidRDefault="00214EE0">
            <w:pPr>
              <w:spacing w:before="20" w:after="20"/>
              <w:jc w:val="right"/>
              <w:rPr>
                <w:noProof/>
                <w:sz w:val="20"/>
              </w:rPr>
            </w:pPr>
            <w:r>
              <w:rPr>
                <w:noProof/>
                <w:sz w:val="20"/>
              </w:rPr>
              <w:t>1,078</w:t>
            </w:r>
          </w:p>
        </w:tc>
        <w:tc>
          <w:tcPr>
            <w:tcW w:w="868" w:type="dxa"/>
            <w:tcBorders>
              <w:bottom w:val="single" w:sz="4" w:space="0" w:color="FF0000"/>
            </w:tcBorders>
            <w:vAlign w:val="center"/>
          </w:tcPr>
          <w:p w:rsidR="00731D8F" w:rsidRDefault="00214EE0">
            <w:pPr>
              <w:spacing w:before="20" w:after="20"/>
              <w:jc w:val="right"/>
              <w:rPr>
                <w:noProof/>
                <w:sz w:val="20"/>
              </w:rPr>
            </w:pPr>
            <w:r>
              <w:rPr>
                <w:noProof/>
                <w:sz w:val="20"/>
              </w:rPr>
              <w:t>2,029</w:t>
            </w:r>
          </w:p>
        </w:tc>
        <w:tc>
          <w:tcPr>
            <w:tcW w:w="868" w:type="dxa"/>
            <w:tcBorders>
              <w:bottom w:val="single" w:sz="4" w:space="0" w:color="FF0000"/>
            </w:tcBorders>
            <w:vAlign w:val="center"/>
          </w:tcPr>
          <w:p w:rsidR="00731D8F" w:rsidRDefault="00214EE0">
            <w:pPr>
              <w:spacing w:before="20" w:after="20"/>
              <w:jc w:val="right"/>
              <w:rPr>
                <w:noProof/>
                <w:sz w:val="20"/>
              </w:rPr>
            </w:pPr>
            <w:r>
              <w:rPr>
                <w:noProof/>
                <w:sz w:val="20"/>
              </w:rPr>
              <w:t>0,517</w:t>
            </w:r>
          </w:p>
        </w:tc>
        <w:tc>
          <w:tcPr>
            <w:tcW w:w="1040" w:type="dxa"/>
            <w:tcBorders>
              <w:bottom w:val="single" w:sz="4" w:space="0" w:color="FF0000"/>
            </w:tcBorders>
            <w:vAlign w:val="center"/>
          </w:tcPr>
          <w:p w:rsidR="00731D8F" w:rsidRDefault="00214EE0">
            <w:pPr>
              <w:spacing w:before="20" w:after="20"/>
              <w:jc w:val="right"/>
              <w:rPr>
                <w:noProof/>
                <w:sz w:val="20"/>
              </w:rPr>
            </w:pPr>
            <w:r>
              <w:rPr>
                <w:b/>
                <w:noProof/>
                <w:sz w:val="20"/>
              </w:rPr>
              <w:t>3,624</w:t>
            </w:r>
          </w:p>
        </w:tc>
      </w:tr>
    </w:tbl>
    <w:p w:rsidR="00731D8F" w:rsidRDefault="00731D8F">
      <w:pPr>
        <w:rPr>
          <w:noProof/>
        </w:rPr>
      </w:pPr>
    </w:p>
    <w:p w:rsidR="00731D8F" w:rsidRDefault="00214EE0">
      <w:pPr>
        <w:rPr>
          <w:noProof/>
        </w:rPr>
      </w:pPr>
      <w:r>
        <w:rPr>
          <w:noProof/>
        </w:rPr>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731D8F">
        <w:trPr>
          <w:jc w:val="center"/>
        </w:trPr>
        <w:tc>
          <w:tcPr>
            <w:tcW w:w="4744" w:type="dxa"/>
            <w:shd w:val="thinDiagStripe" w:color="C0C0C0" w:fill="auto"/>
            <w:vAlign w:val="center"/>
          </w:tcPr>
          <w:p w:rsidR="00731D8F" w:rsidRDefault="00214EE0">
            <w:pPr>
              <w:spacing w:before="60" w:after="60"/>
              <w:jc w:val="center"/>
              <w:rPr>
                <w:b/>
                <w:noProof/>
                <w:sz w:val="22"/>
              </w:rPr>
            </w:pPr>
            <w:r>
              <w:rPr>
                <w:noProof/>
              </w:rPr>
              <w:br w:type="page"/>
            </w:r>
            <w:r>
              <w:rPr>
                <w:b/>
                <w:noProof/>
                <w:sz w:val="22"/>
              </w:rPr>
              <w:t>Dział wieloletnich ram</w:t>
            </w:r>
            <w:r>
              <w:rPr>
                <w:noProof/>
                <w:sz w:val="22"/>
              </w:rPr>
              <w:br/>
            </w:r>
            <w:r>
              <w:rPr>
                <w:b/>
                <w:noProof/>
                <w:sz w:val="22"/>
              </w:rPr>
              <w:t xml:space="preserve">finansowych </w:t>
            </w:r>
          </w:p>
        </w:tc>
        <w:tc>
          <w:tcPr>
            <w:tcW w:w="1080" w:type="dxa"/>
            <w:shd w:val="thinDiagStripe" w:color="C0C0C0" w:fill="auto"/>
            <w:vAlign w:val="center"/>
          </w:tcPr>
          <w:p w:rsidR="00731D8F" w:rsidRDefault="00214EE0">
            <w:pPr>
              <w:spacing w:before="60" w:after="60"/>
              <w:jc w:val="center"/>
              <w:rPr>
                <w:noProof/>
                <w:sz w:val="22"/>
              </w:rPr>
            </w:pPr>
            <w:r>
              <w:rPr>
                <w:b/>
                <w:noProof/>
                <w:sz w:val="22"/>
              </w:rPr>
              <w:t>5</w:t>
            </w:r>
          </w:p>
        </w:tc>
        <w:tc>
          <w:tcPr>
            <w:tcW w:w="7817" w:type="dxa"/>
            <w:vAlign w:val="center"/>
          </w:tcPr>
          <w:p w:rsidR="00731D8F" w:rsidRDefault="00214EE0">
            <w:pPr>
              <w:spacing w:before="60" w:after="60"/>
              <w:rPr>
                <w:noProof/>
                <w:sz w:val="22"/>
              </w:rPr>
            </w:pPr>
            <w:r>
              <w:rPr>
                <w:noProof/>
                <w:sz w:val="22"/>
              </w:rPr>
              <w:t>„Wydatki administracyjne”</w:t>
            </w:r>
          </w:p>
        </w:tc>
      </w:tr>
    </w:tbl>
    <w:p w:rsidR="00731D8F" w:rsidRDefault="00214EE0">
      <w:pPr>
        <w:jc w:val="right"/>
        <w:rPr>
          <w:noProof/>
          <w:sz w:val="20"/>
        </w:rPr>
      </w:pPr>
      <w:r>
        <w:rPr>
          <w:noProof/>
          <w:sz w:val="20"/>
        </w:rPr>
        <w:t xml:space="preserve">w </w:t>
      </w:r>
      <w:r>
        <w:rPr>
          <w:noProof/>
          <w:sz w:val="20"/>
        </w:rPr>
        <w:t>mln EUR (do trzech miejsc po przecinku)</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731D8F">
        <w:tc>
          <w:tcPr>
            <w:tcW w:w="3960" w:type="dxa"/>
            <w:tcBorders>
              <w:top w:val="nil"/>
              <w:left w:val="nil"/>
              <w:right w:val="nil"/>
            </w:tcBorders>
            <w:vAlign w:val="center"/>
          </w:tcPr>
          <w:p w:rsidR="00731D8F" w:rsidRDefault="00731D8F">
            <w:pPr>
              <w:jc w:val="center"/>
              <w:rPr>
                <w:noProof/>
                <w:sz w:val="22"/>
              </w:rPr>
            </w:pPr>
          </w:p>
        </w:tc>
        <w:tc>
          <w:tcPr>
            <w:tcW w:w="1560" w:type="dxa"/>
            <w:tcBorders>
              <w:top w:val="nil"/>
              <w:left w:val="nil"/>
              <w:right w:val="nil"/>
            </w:tcBorders>
          </w:tcPr>
          <w:p w:rsidR="00731D8F" w:rsidRDefault="00731D8F">
            <w:pPr>
              <w:rPr>
                <w:noProof/>
                <w:sz w:val="20"/>
              </w:rPr>
            </w:pPr>
          </w:p>
        </w:tc>
        <w:tc>
          <w:tcPr>
            <w:tcW w:w="534" w:type="dxa"/>
            <w:tcBorders>
              <w:top w:val="nil"/>
              <w:left w:val="nil"/>
            </w:tcBorders>
          </w:tcPr>
          <w:p w:rsidR="00731D8F" w:rsidRDefault="00731D8F">
            <w:pPr>
              <w:jc w:val="center"/>
              <w:rPr>
                <w:noProof/>
                <w:sz w:val="20"/>
              </w:rPr>
            </w:pPr>
          </w:p>
        </w:tc>
        <w:tc>
          <w:tcPr>
            <w:tcW w:w="868" w:type="dxa"/>
            <w:vAlign w:val="center"/>
          </w:tcPr>
          <w:p w:rsidR="00731D8F" w:rsidRDefault="00214EE0">
            <w:pPr>
              <w:jc w:val="center"/>
              <w:rPr>
                <w:noProof/>
                <w:sz w:val="20"/>
              </w:rPr>
            </w:pPr>
            <w:r>
              <w:rPr>
                <w:noProof/>
                <w:sz w:val="20"/>
              </w:rPr>
              <w:t>Rok</w:t>
            </w:r>
            <w:r>
              <w:rPr>
                <w:noProof/>
                <w:sz w:val="22"/>
              </w:rPr>
              <w:br/>
            </w:r>
            <w:r>
              <w:rPr>
                <w:b/>
                <w:noProof/>
                <w:sz w:val="20"/>
              </w:rPr>
              <w:t>N</w:t>
            </w:r>
          </w:p>
        </w:tc>
        <w:tc>
          <w:tcPr>
            <w:tcW w:w="868" w:type="dxa"/>
            <w:vAlign w:val="center"/>
          </w:tcPr>
          <w:p w:rsidR="00731D8F" w:rsidRDefault="00214EE0">
            <w:pPr>
              <w:jc w:val="center"/>
              <w:rPr>
                <w:noProof/>
                <w:sz w:val="20"/>
              </w:rPr>
            </w:pPr>
            <w:r>
              <w:rPr>
                <w:noProof/>
                <w:sz w:val="20"/>
              </w:rPr>
              <w:t>Rok</w:t>
            </w:r>
            <w:r>
              <w:rPr>
                <w:noProof/>
                <w:sz w:val="22"/>
              </w:rPr>
              <w:br/>
            </w:r>
            <w:r>
              <w:rPr>
                <w:b/>
                <w:noProof/>
                <w:sz w:val="20"/>
              </w:rPr>
              <w:t>N+1</w:t>
            </w:r>
          </w:p>
        </w:tc>
        <w:tc>
          <w:tcPr>
            <w:tcW w:w="868" w:type="dxa"/>
            <w:vAlign w:val="center"/>
          </w:tcPr>
          <w:p w:rsidR="00731D8F" w:rsidRDefault="00214EE0">
            <w:pPr>
              <w:jc w:val="center"/>
              <w:rPr>
                <w:noProof/>
                <w:sz w:val="20"/>
              </w:rPr>
            </w:pPr>
            <w:r>
              <w:rPr>
                <w:noProof/>
                <w:sz w:val="20"/>
              </w:rPr>
              <w:t>Rok</w:t>
            </w:r>
            <w:r>
              <w:rPr>
                <w:noProof/>
                <w:sz w:val="22"/>
              </w:rPr>
              <w:br/>
            </w:r>
            <w:r>
              <w:rPr>
                <w:b/>
                <w:noProof/>
                <w:sz w:val="20"/>
              </w:rPr>
              <w:t>N+2</w:t>
            </w:r>
          </w:p>
        </w:tc>
        <w:tc>
          <w:tcPr>
            <w:tcW w:w="868" w:type="dxa"/>
            <w:vAlign w:val="center"/>
          </w:tcPr>
          <w:p w:rsidR="00731D8F" w:rsidRDefault="00214EE0">
            <w:pPr>
              <w:jc w:val="center"/>
              <w:rPr>
                <w:noProof/>
                <w:sz w:val="20"/>
              </w:rPr>
            </w:pPr>
            <w:r>
              <w:rPr>
                <w:noProof/>
                <w:sz w:val="20"/>
              </w:rPr>
              <w:t>Rok</w:t>
            </w:r>
            <w:r>
              <w:rPr>
                <w:noProof/>
                <w:sz w:val="22"/>
              </w:rPr>
              <w:br/>
            </w:r>
            <w:r>
              <w:rPr>
                <w:b/>
                <w:noProof/>
                <w:sz w:val="20"/>
              </w:rPr>
              <w:t>N+3</w:t>
            </w:r>
          </w:p>
        </w:tc>
        <w:tc>
          <w:tcPr>
            <w:tcW w:w="2604" w:type="dxa"/>
            <w:gridSpan w:val="3"/>
            <w:vAlign w:val="center"/>
          </w:tcPr>
          <w:p w:rsidR="00731D8F" w:rsidRDefault="00214EE0">
            <w:pPr>
              <w:jc w:val="center"/>
              <w:rPr>
                <w:b/>
                <w:noProof/>
                <w:sz w:val="18"/>
              </w:rPr>
            </w:pPr>
            <w:r>
              <w:rPr>
                <w:noProof/>
                <w:sz w:val="18"/>
              </w:rPr>
              <w:t xml:space="preserve">Wprowadzić taką liczbę kolumn dla poszczególnych lat, jaka jest niezbędna, by odzwierciedlić cały okres wpływu (por. pkt 1.6) </w:t>
            </w:r>
          </w:p>
        </w:tc>
        <w:tc>
          <w:tcPr>
            <w:tcW w:w="1777" w:type="dxa"/>
            <w:vAlign w:val="center"/>
          </w:tcPr>
          <w:p w:rsidR="00731D8F" w:rsidRDefault="00214EE0">
            <w:pPr>
              <w:jc w:val="center"/>
              <w:rPr>
                <w:b/>
                <w:noProof/>
                <w:sz w:val="20"/>
              </w:rPr>
            </w:pPr>
            <w:r>
              <w:rPr>
                <w:b/>
                <w:noProof/>
                <w:sz w:val="20"/>
              </w:rPr>
              <w:t>OGÓŁEM</w:t>
            </w:r>
          </w:p>
        </w:tc>
      </w:tr>
      <w:tr w:rsidR="00731D8F">
        <w:trPr>
          <w:gridAfter w:val="10"/>
          <w:wAfter w:w="9947" w:type="dxa"/>
        </w:trPr>
        <w:tc>
          <w:tcPr>
            <w:tcW w:w="3960" w:type="dxa"/>
            <w:vAlign w:val="center"/>
          </w:tcPr>
          <w:p w:rsidR="00731D8F" w:rsidRDefault="00214EE0">
            <w:pPr>
              <w:spacing w:before="60" w:after="60"/>
              <w:jc w:val="center"/>
              <w:rPr>
                <w:noProof/>
                <w:sz w:val="22"/>
              </w:rPr>
            </w:pPr>
            <w:r>
              <w:rPr>
                <w:noProof/>
                <w:sz w:val="22"/>
              </w:rPr>
              <w:t>DG: &lt;…….&gt;</w:t>
            </w:r>
          </w:p>
        </w:tc>
      </w:tr>
      <w:tr w:rsidR="00731D8F">
        <w:trPr>
          <w:trHeight w:val="313"/>
        </w:trPr>
        <w:tc>
          <w:tcPr>
            <w:tcW w:w="6054" w:type="dxa"/>
            <w:gridSpan w:val="3"/>
            <w:vAlign w:val="center"/>
          </w:tcPr>
          <w:p w:rsidR="00731D8F" w:rsidRDefault="00214EE0">
            <w:pPr>
              <w:spacing w:before="20" w:after="20"/>
              <w:rPr>
                <w:noProof/>
                <w:sz w:val="22"/>
              </w:rPr>
            </w:pPr>
            <w:r>
              <w:rPr>
                <w:noProof/>
                <w:sz w:val="22"/>
              </w:rPr>
              <w:sym w:font="Wingdings" w:char="F09F"/>
            </w:r>
            <w:r>
              <w:rPr>
                <w:noProof/>
                <w:sz w:val="22"/>
              </w:rPr>
              <w:t xml:space="preserve"> Zasoby ludzkie</w:t>
            </w:r>
          </w:p>
        </w:tc>
        <w:tc>
          <w:tcPr>
            <w:tcW w:w="868" w:type="dxa"/>
            <w:vAlign w:val="center"/>
          </w:tcPr>
          <w:p w:rsidR="00731D8F" w:rsidRDefault="00731D8F">
            <w:pPr>
              <w:spacing w:before="20" w:after="20"/>
              <w:jc w:val="right"/>
              <w:rPr>
                <w:noProof/>
                <w:sz w:val="20"/>
              </w:rPr>
            </w:pPr>
          </w:p>
        </w:tc>
        <w:tc>
          <w:tcPr>
            <w:tcW w:w="868" w:type="dxa"/>
            <w:vAlign w:val="center"/>
          </w:tcPr>
          <w:p w:rsidR="00731D8F" w:rsidRDefault="00731D8F">
            <w:pPr>
              <w:spacing w:before="20" w:after="20"/>
              <w:jc w:val="right"/>
              <w:rPr>
                <w:noProof/>
                <w:sz w:val="20"/>
              </w:rPr>
            </w:pPr>
          </w:p>
        </w:tc>
        <w:tc>
          <w:tcPr>
            <w:tcW w:w="868" w:type="dxa"/>
            <w:vAlign w:val="center"/>
          </w:tcPr>
          <w:p w:rsidR="00731D8F" w:rsidRDefault="00731D8F">
            <w:pPr>
              <w:spacing w:before="20" w:after="20"/>
              <w:jc w:val="right"/>
              <w:rPr>
                <w:noProof/>
                <w:sz w:val="20"/>
              </w:rPr>
            </w:pPr>
          </w:p>
        </w:tc>
        <w:tc>
          <w:tcPr>
            <w:tcW w:w="868" w:type="dxa"/>
            <w:vAlign w:val="center"/>
          </w:tcPr>
          <w:p w:rsidR="00731D8F" w:rsidRDefault="00731D8F">
            <w:pPr>
              <w:spacing w:before="20" w:after="20"/>
              <w:jc w:val="right"/>
              <w:rPr>
                <w:noProof/>
                <w:sz w:val="20"/>
              </w:rPr>
            </w:pPr>
          </w:p>
        </w:tc>
        <w:tc>
          <w:tcPr>
            <w:tcW w:w="868" w:type="dxa"/>
            <w:vAlign w:val="center"/>
          </w:tcPr>
          <w:p w:rsidR="00731D8F" w:rsidRDefault="00731D8F">
            <w:pPr>
              <w:spacing w:before="20" w:after="20"/>
              <w:jc w:val="right"/>
              <w:rPr>
                <w:noProof/>
                <w:sz w:val="20"/>
              </w:rPr>
            </w:pPr>
          </w:p>
        </w:tc>
        <w:tc>
          <w:tcPr>
            <w:tcW w:w="868" w:type="dxa"/>
            <w:vAlign w:val="center"/>
          </w:tcPr>
          <w:p w:rsidR="00731D8F" w:rsidRDefault="00731D8F">
            <w:pPr>
              <w:spacing w:before="20" w:after="20"/>
              <w:jc w:val="right"/>
              <w:rPr>
                <w:noProof/>
                <w:sz w:val="20"/>
              </w:rPr>
            </w:pPr>
          </w:p>
        </w:tc>
        <w:tc>
          <w:tcPr>
            <w:tcW w:w="868" w:type="dxa"/>
            <w:vAlign w:val="center"/>
          </w:tcPr>
          <w:p w:rsidR="00731D8F" w:rsidRDefault="00731D8F">
            <w:pPr>
              <w:spacing w:before="20" w:after="20"/>
              <w:jc w:val="right"/>
              <w:rPr>
                <w:b/>
                <w:noProof/>
                <w:sz w:val="20"/>
              </w:rPr>
            </w:pPr>
          </w:p>
        </w:tc>
        <w:tc>
          <w:tcPr>
            <w:tcW w:w="1777" w:type="dxa"/>
            <w:vAlign w:val="center"/>
          </w:tcPr>
          <w:p w:rsidR="00731D8F" w:rsidRDefault="00731D8F">
            <w:pPr>
              <w:spacing w:before="20" w:after="20"/>
              <w:jc w:val="right"/>
              <w:rPr>
                <w:b/>
                <w:noProof/>
                <w:sz w:val="20"/>
              </w:rPr>
            </w:pPr>
          </w:p>
        </w:tc>
      </w:tr>
      <w:tr w:rsidR="00731D8F">
        <w:trPr>
          <w:trHeight w:val="351"/>
        </w:trPr>
        <w:tc>
          <w:tcPr>
            <w:tcW w:w="6054" w:type="dxa"/>
            <w:gridSpan w:val="3"/>
            <w:vAlign w:val="center"/>
          </w:tcPr>
          <w:p w:rsidR="00731D8F" w:rsidRDefault="00214EE0">
            <w:pPr>
              <w:spacing w:before="20" w:after="20"/>
              <w:rPr>
                <w:noProof/>
                <w:sz w:val="22"/>
              </w:rPr>
            </w:pPr>
            <w:r>
              <w:rPr>
                <w:noProof/>
                <w:sz w:val="22"/>
              </w:rPr>
              <w:sym w:font="Wingdings" w:char="F09F"/>
            </w:r>
            <w:r>
              <w:rPr>
                <w:noProof/>
                <w:sz w:val="22"/>
              </w:rPr>
              <w:t xml:space="preserve"> Pozostałe wydatki administracyjne</w:t>
            </w:r>
          </w:p>
        </w:tc>
        <w:tc>
          <w:tcPr>
            <w:tcW w:w="868" w:type="dxa"/>
            <w:vAlign w:val="center"/>
          </w:tcPr>
          <w:p w:rsidR="00731D8F" w:rsidRDefault="00731D8F">
            <w:pPr>
              <w:spacing w:before="20" w:after="20"/>
              <w:jc w:val="right"/>
              <w:rPr>
                <w:b/>
                <w:noProof/>
                <w:sz w:val="20"/>
              </w:rPr>
            </w:pPr>
          </w:p>
        </w:tc>
        <w:tc>
          <w:tcPr>
            <w:tcW w:w="868" w:type="dxa"/>
            <w:vAlign w:val="center"/>
          </w:tcPr>
          <w:p w:rsidR="00731D8F" w:rsidRDefault="00731D8F">
            <w:pPr>
              <w:spacing w:before="20" w:after="20"/>
              <w:jc w:val="right"/>
              <w:rPr>
                <w:b/>
                <w:noProof/>
                <w:sz w:val="20"/>
              </w:rPr>
            </w:pPr>
          </w:p>
        </w:tc>
        <w:tc>
          <w:tcPr>
            <w:tcW w:w="868" w:type="dxa"/>
            <w:vAlign w:val="center"/>
          </w:tcPr>
          <w:p w:rsidR="00731D8F" w:rsidRDefault="00731D8F">
            <w:pPr>
              <w:spacing w:before="20" w:after="20"/>
              <w:jc w:val="right"/>
              <w:rPr>
                <w:b/>
                <w:noProof/>
                <w:sz w:val="20"/>
              </w:rPr>
            </w:pPr>
          </w:p>
        </w:tc>
        <w:tc>
          <w:tcPr>
            <w:tcW w:w="868" w:type="dxa"/>
            <w:vAlign w:val="center"/>
          </w:tcPr>
          <w:p w:rsidR="00731D8F" w:rsidRDefault="00731D8F">
            <w:pPr>
              <w:spacing w:before="20" w:after="20"/>
              <w:jc w:val="right"/>
              <w:rPr>
                <w:b/>
                <w:noProof/>
                <w:sz w:val="20"/>
              </w:rPr>
            </w:pPr>
          </w:p>
        </w:tc>
        <w:tc>
          <w:tcPr>
            <w:tcW w:w="868" w:type="dxa"/>
            <w:vAlign w:val="center"/>
          </w:tcPr>
          <w:p w:rsidR="00731D8F" w:rsidRDefault="00731D8F">
            <w:pPr>
              <w:spacing w:before="20" w:after="20"/>
              <w:jc w:val="right"/>
              <w:rPr>
                <w:b/>
                <w:noProof/>
                <w:sz w:val="20"/>
              </w:rPr>
            </w:pPr>
          </w:p>
        </w:tc>
        <w:tc>
          <w:tcPr>
            <w:tcW w:w="868" w:type="dxa"/>
            <w:vAlign w:val="center"/>
          </w:tcPr>
          <w:p w:rsidR="00731D8F" w:rsidRDefault="00731D8F">
            <w:pPr>
              <w:spacing w:before="20" w:after="20"/>
              <w:jc w:val="right"/>
              <w:rPr>
                <w:b/>
                <w:noProof/>
                <w:sz w:val="20"/>
              </w:rPr>
            </w:pPr>
          </w:p>
        </w:tc>
        <w:tc>
          <w:tcPr>
            <w:tcW w:w="868" w:type="dxa"/>
            <w:vAlign w:val="center"/>
          </w:tcPr>
          <w:p w:rsidR="00731D8F" w:rsidRDefault="00731D8F">
            <w:pPr>
              <w:spacing w:before="20" w:after="20"/>
              <w:jc w:val="right"/>
              <w:rPr>
                <w:b/>
                <w:noProof/>
                <w:sz w:val="20"/>
              </w:rPr>
            </w:pPr>
          </w:p>
        </w:tc>
        <w:tc>
          <w:tcPr>
            <w:tcW w:w="1777" w:type="dxa"/>
            <w:vAlign w:val="center"/>
          </w:tcPr>
          <w:p w:rsidR="00731D8F" w:rsidRDefault="00731D8F">
            <w:pPr>
              <w:spacing w:before="20" w:after="20"/>
              <w:jc w:val="right"/>
              <w:rPr>
                <w:b/>
                <w:noProof/>
                <w:sz w:val="20"/>
              </w:rPr>
            </w:pPr>
          </w:p>
        </w:tc>
      </w:tr>
      <w:tr w:rsidR="00731D8F">
        <w:tc>
          <w:tcPr>
            <w:tcW w:w="3960" w:type="dxa"/>
            <w:vAlign w:val="center"/>
          </w:tcPr>
          <w:p w:rsidR="00731D8F" w:rsidRDefault="00214EE0">
            <w:pPr>
              <w:jc w:val="center"/>
              <w:rPr>
                <w:b/>
                <w:noProof/>
                <w:sz w:val="22"/>
              </w:rPr>
            </w:pPr>
            <w:r>
              <w:rPr>
                <w:b/>
                <w:noProof/>
                <w:sz w:val="22"/>
              </w:rPr>
              <w:t xml:space="preserve">OGÓŁEM Dyrekcja Generalna </w:t>
            </w:r>
            <w:r>
              <w:rPr>
                <w:noProof/>
                <w:sz w:val="22"/>
              </w:rPr>
              <w:t>&lt;…….&gt;</w:t>
            </w:r>
          </w:p>
        </w:tc>
        <w:tc>
          <w:tcPr>
            <w:tcW w:w="2094" w:type="dxa"/>
            <w:gridSpan w:val="2"/>
            <w:vAlign w:val="center"/>
          </w:tcPr>
          <w:p w:rsidR="00731D8F" w:rsidRDefault="00214EE0">
            <w:pPr>
              <w:rPr>
                <w:noProof/>
                <w:sz w:val="14"/>
              </w:rPr>
            </w:pPr>
            <w:r>
              <w:rPr>
                <w:noProof/>
                <w:sz w:val="18"/>
              </w:rPr>
              <w:t xml:space="preserve">Środki </w:t>
            </w:r>
          </w:p>
        </w:tc>
        <w:tc>
          <w:tcPr>
            <w:tcW w:w="868" w:type="dxa"/>
            <w:vAlign w:val="center"/>
          </w:tcPr>
          <w:p w:rsidR="00731D8F" w:rsidRDefault="00731D8F">
            <w:pPr>
              <w:spacing w:before="60" w:after="60"/>
              <w:jc w:val="right"/>
              <w:rPr>
                <w:noProof/>
                <w:sz w:val="20"/>
              </w:rPr>
            </w:pPr>
          </w:p>
        </w:tc>
        <w:tc>
          <w:tcPr>
            <w:tcW w:w="868" w:type="dxa"/>
            <w:vAlign w:val="center"/>
          </w:tcPr>
          <w:p w:rsidR="00731D8F" w:rsidRDefault="00731D8F">
            <w:pPr>
              <w:spacing w:before="20" w:after="20"/>
              <w:jc w:val="right"/>
              <w:rPr>
                <w:noProof/>
                <w:sz w:val="20"/>
              </w:rPr>
            </w:pPr>
          </w:p>
        </w:tc>
        <w:tc>
          <w:tcPr>
            <w:tcW w:w="868" w:type="dxa"/>
            <w:vAlign w:val="center"/>
          </w:tcPr>
          <w:p w:rsidR="00731D8F" w:rsidRDefault="00731D8F">
            <w:pPr>
              <w:spacing w:before="20" w:after="20"/>
              <w:jc w:val="right"/>
              <w:rPr>
                <w:noProof/>
                <w:sz w:val="20"/>
              </w:rPr>
            </w:pPr>
          </w:p>
        </w:tc>
        <w:tc>
          <w:tcPr>
            <w:tcW w:w="868" w:type="dxa"/>
            <w:vAlign w:val="center"/>
          </w:tcPr>
          <w:p w:rsidR="00731D8F" w:rsidRDefault="00731D8F">
            <w:pPr>
              <w:spacing w:before="20" w:after="20"/>
              <w:jc w:val="right"/>
              <w:rPr>
                <w:noProof/>
                <w:sz w:val="20"/>
              </w:rPr>
            </w:pPr>
          </w:p>
        </w:tc>
        <w:tc>
          <w:tcPr>
            <w:tcW w:w="868" w:type="dxa"/>
            <w:vAlign w:val="center"/>
          </w:tcPr>
          <w:p w:rsidR="00731D8F" w:rsidRDefault="00731D8F">
            <w:pPr>
              <w:spacing w:before="20" w:after="20"/>
              <w:jc w:val="right"/>
              <w:rPr>
                <w:noProof/>
                <w:sz w:val="20"/>
              </w:rPr>
            </w:pPr>
          </w:p>
        </w:tc>
        <w:tc>
          <w:tcPr>
            <w:tcW w:w="868" w:type="dxa"/>
            <w:vAlign w:val="center"/>
          </w:tcPr>
          <w:p w:rsidR="00731D8F" w:rsidRDefault="00731D8F">
            <w:pPr>
              <w:spacing w:before="20" w:after="20"/>
              <w:jc w:val="right"/>
              <w:rPr>
                <w:noProof/>
                <w:sz w:val="20"/>
              </w:rPr>
            </w:pPr>
          </w:p>
        </w:tc>
        <w:tc>
          <w:tcPr>
            <w:tcW w:w="868" w:type="dxa"/>
            <w:vAlign w:val="center"/>
          </w:tcPr>
          <w:p w:rsidR="00731D8F" w:rsidRDefault="00731D8F">
            <w:pPr>
              <w:spacing w:before="20" w:after="20"/>
              <w:jc w:val="right"/>
              <w:rPr>
                <w:b/>
                <w:noProof/>
                <w:sz w:val="20"/>
              </w:rPr>
            </w:pPr>
          </w:p>
        </w:tc>
        <w:tc>
          <w:tcPr>
            <w:tcW w:w="1777" w:type="dxa"/>
            <w:vAlign w:val="center"/>
          </w:tcPr>
          <w:p w:rsidR="00731D8F" w:rsidRDefault="00731D8F">
            <w:pPr>
              <w:spacing w:before="20" w:after="20"/>
              <w:jc w:val="right"/>
              <w:rPr>
                <w:b/>
                <w:noProof/>
                <w:sz w:val="20"/>
              </w:rPr>
            </w:pPr>
          </w:p>
        </w:tc>
      </w:tr>
    </w:tbl>
    <w:p w:rsidR="00731D8F" w:rsidRDefault="00731D8F">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731D8F">
        <w:tc>
          <w:tcPr>
            <w:tcW w:w="3960" w:type="dxa"/>
            <w:shd w:val="thinDiagStripe" w:color="C0C0C0" w:fill="auto"/>
            <w:vAlign w:val="center"/>
          </w:tcPr>
          <w:p w:rsidR="00731D8F" w:rsidRDefault="00214EE0">
            <w:pPr>
              <w:jc w:val="center"/>
              <w:rPr>
                <w:b/>
                <w:noProof/>
                <w:sz w:val="22"/>
              </w:rPr>
            </w:pPr>
            <w:r>
              <w:rPr>
                <w:b/>
                <w:noProof/>
                <w:sz w:val="22"/>
              </w:rPr>
              <w:t>OGÓŁEM środki</w:t>
            </w:r>
            <w:r>
              <w:rPr>
                <w:noProof/>
                <w:sz w:val="22"/>
              </w:rPr>
              <w:br/>
            </w:r>
            <w:r>
              <w:rPr>
                <w:b/>
                <w:noProof/>
                <w:sz w:val="22"/>
              </w:rPr>
              <w:t>na DZIAŁ 5</w:t>
            </w:r>
            <w:r>
              <w:rPr>
                <w:noProof/>
                <w:sz w:val="22"/>
              </w:rPr>
              <w:br/>
              <w:t>wieloletnich ram finansowych</w:t>
            </w:r>
            <w:r>
              <w:rPr>
                <w:b/>
                <w:noProof/>
                <w:sz w:val="22"/>
              </w:rPr>
              <w:t xml:space="preserve"> </w:t>
            </w:r>
          </w:p>
        </w:tc>
        <w:tc>
          <w:tcPr>
            <w:tcW w:w="2094" w:type="dxa"/>
            <w:vAlign w:val="center"/>
          </w:tcPr>
          <w:p w:rsidR="00731D8F" w:rsidRDefault="00214EE0">
            <w:pPr>
              <w:spacing w:before="40" w:after="40"/>
              <w:rPr>
                <w:noProof/>
                <w:sz w:val="22"/>
              </w:rPr>
            </w:pPr>
            <w:r>
              <w:rPr>
                <w:noProof/>
                <w:sz w:val="18"/>
              </w:rPr>
              <w:t>(Środki na zobowiązania ogółem = środki na płatności ogółem)</w:t>
            </w:r>
          </w:p>
        </w:tc>
        <w:tc>
          <w:tcPr>
            <w:tcW w:w="868" w:type="dxa"/>
            <w:vAlign w:val="center"/>
          </w:tcPr>
          <w:p w:rsidR="00731D8F" w:rsidRDefault="00731D8F">
            <w:pPr>
              <w:spacing w:before="20" w:after="20"/>
              <w:jc w:val="right"/>
              <w:rPr>
                <w:noProof/>
                <w:sz w:val="20"/>
              </w:rPr>
            </w:pPr>
          </w:p>
        </w:tc>
        <w:tc>
          <w:tcPr>
            <w:tcW w:w="868" w:type="dxa"/>
            <w:vAlign w:val="center"/>
          </w:tcPr>
          <w:p w:rsidR="00731D8F" w:rsidRDefault="00731D8F">
            <w:pPr>
              <w:spacing w:before="20" w:after="20"/>
              <w:jc w:val="right"/>
              <w:rPr>
                <w:noProof/>
                <w:sz w:val="20"/>
              </w:rPr>
            </w:pPr>
          </w:p>
        </w:tc>
        <w:tc>
          <w:tcPr>
            <w:tcW w:w="868" w:type="dxa"/>
            <w:vAlign w:val="center"/>
          </w:tcPr>
          <w:p w:rsidR="00731D8F" w:rsidRDefault="00731D8F">
            <w:pPr>
              <w:spacing w:before="20" w:after="20"/>
              <w:jc w:val="right"/>
              <w:rPr>
                <w:noProof/>
                <w:sz w:val="20"/>
              </w:rPr>
            </w:pPr>
          </w:p>
        </w:tc>
        <w:tc>
          <w:tcPr>
            <w:tcW w:w="868" w:type="dxa"/>
            <w:vAlign w:val="center"/>
          </w:tcPr>
          <w:p w:rsidR="00731D8F" w:rsidRDefault="00731D8F">
            <w:pPr>
              <w:spacing w:before="20" w:after="20"/>
              <w:jc w:val="right"/>
              <w:rPr>
                <w:noProof/>
                <w:sz w:val="20"/>
              </w:rPr>
            </w:pPr>
          </w:p>
        </w:tc>
        <w:tc>
          <w:tcPr>
            <w:tcW w:w="868" w:type="dxa"/>
            <w:vAlign w:val="center"/>
          </w:tcPr>
          <w:p w:rsidR="00731D8F" w:rsidRDefault="00731D8F">
            <w:pPr>
              <w:spacing w:before="20" w:after="20"/>
              <w:jc w:val="right"/>
              <w:rPr>
                <w:noProof/>
                <w:sz w:val="20"/>
              </w:rPr>
            </w:pPr>
          </w:p>
        </w:tc>
        <w:tc>
          <w:tcPr>
            <w:tcW w:w="868" w:type="dxa"/>
            <w:vAlign w:val="center"/>
          </w:tcPr>
          <w:p w:rsidR="00731D8F" w:rsidRDefault="00731D8F">
            <w:pPr>
              <w:spacing w:before="20" w:after="20"/>
              <w:jc w:val="right"/>
              <w:rPr>
                <w:noProof/>
                <w:sz w:val="20"/>
              </w:rPr>
            </w:pPr>
          </w:p>
        </w:tc>
        <w:tc>
          <w:tcPr>
            <w:tcW w:w="868" w:type="dxa"/>
            <w:vAlign w:val="center"/>
          </w:tcPr>
          <w:p w:rsidR="00731D8F" w:rsidRDefault="00731D8F">
            <w:pPr>
              <w:spacing w:before="20" w:after="20"/>
              <w:jc w:val="right"/>
              <w:rPr>
                <w:b/>
                <w:noProof/>
                <w:sz w:val="20"/>
              </w:rPr>
            </w:pPr>
          </w:p>
        </w:tc>
        <w:tc>
          <w:tcPr>
            <w:tcW w:w="1777" w:type="dxa"/>
            <w:vAlign w:val="center"/>
          </w:tcPr>
          <w:p w:rsidR="00731D8F" w:rsidRDefault="00731D8F">
            <w:pPr>
              <w:spacing w:before="20" w:after="20"/>
              <w:jc w:val="right"/>
              <w:rPr>
                <w:b/>
                <w:noProof/>
                <w:sz w:val="20"/>
              </w:rPr>
            </w:pPr>
          </w:p>
        </w:tc>
      </w:tr>
    </w:tbl>
    <w:p w:rsidR="00731D8F" w:rsidRDefault="00214EE0">
      <w:pPr>
        <w:jc w:val="right"/>
        <w:rPr>
          <w:noProof/>
          <w:sz w:val="20"/>
        </w:rPr>
      </w:pPr>
      <w:r>
        <w:rPr>
          <w:noProof/>
          <w:sz w:val="20"/>
        </w:rPr>
        <w:t xml:space="preserve">w mln EUR (do trzech miejsc po </w:t>
      </w:r>
      <w:r>
        <w:rPr>
          <w:noProof/>
          <w:sz w:val="20"/>
        </w:rPr>
        <w:t>przecinku)</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731D8F">
        <w:tc>
          <w:tcPr>
            <w:tcW w:w="3960" w:type="dxa"/>
            <w:tcBorders>
              <w:top w:val="nil"/>
              <w:left w:val="nil"/>
              <w:right w:val="nil"/>
            </w:tcBorders>
            <w:vAlign w:val="center"/>
          </w:tcPr>
          <w:p w:rsidR="00731D8F" w:rsidRDefault="00731D8F">
            <w:pPr>
              <w:jc w:val="center"/>
              <w:rPr>
                <w:noProof/>
                <w:sz w:val="22"/>
              </w:rPr>
            </w:pPr>
          </w:p>
        </w:tc>
        <w:tc>
          <w:tcPr>
            <w:tcW w:w="1560" w:type="dxa"/>
            <w:tcBorders>
              <w:top w:val="nil"/>
              <w:left w:val="nil"/>
              <w:right w:val="nil"/>
            </w:tcBorders>
          </w:tcPr>
          <w:p w:rsidR="00731D8F" w:rsidRDefault="00731D8F">
            <w:pPr>
              <w:rPr>
                <w:noProof/>
                <w:sz w:val="20"/>
              </w:rPr>
            </w:pPr>
          </w:p>
        </w:tc>
        <w:tc>
          <w:tcPr>
            <w:tcW w:w="534" w:type="dxa"/>
            <w:tcBorders>
              <w:top w:val="nil"/>
              <w:left w:val="nil"/>
            </w:tcBorders>
          </w:tcPr>
          <w:p w:rsidR="00731D8F" w:rsidRDefault="00731D8F">
            <w:pPr>
              <w:jc w:val="center"/>
              <w:rPr>
                <w:noProof/>
                <w:sz w:val="20"/>
              </w:rPr>
            </w:pPr>
          </w:p>
        </w:tc>
        <w:tc>
          <w:tcPr>
            <w:tcW w:w="868" w:type="dxa"/>
            <w:vAlign w:val="center"/>
          </w:tcPr>
          <w:p w:rsidR="00731D8F" w:rsidRDefault="00214EE0">
            <w:pPr>
              <w:jc w:val="center"/>
              <w:rPr>
                <w:noProof/>
                <w:sz w:val="20"/>
              </w:rPr>
            </w:pPr>
            <w:r>
              <w:rPr>
                <w:noProof/>
                <w:sz w:val="20"/>
              </w:rPr>
              <w:t>Rok</w:t>
            </w:r>
            <w:r>
              <w:rPr>
                <w:noProof/>
                <w:sz w:val="22"/>
              </w:rPr>
              <w:br/>
            </w:r>
            <w:r>
              <w:rPr>
                <w:b/>
                <w:noProof/>
                <w:sz w:val="20"/>
              </w:rPr>
              <w:t>N</w:t>
            </w:r>
            <w:r>
              <w:rPr>
                <w:rStyle w:val="FootnoteReference"/>
                <w:b/>
                <w:noProof/>
                <w:sz w:val="20"/>
              </w:rPr>
              <w:footnoteReference w:id="54"/>
            </w:r>
          </w:p>
        </w:tc>
        <w:tc>
          <w:tcPr>
            <w:tcW w:w="868" w:type="dxa"/>
            <w:vAlign w:val="center"/>
          </w:tcPr>
          <w:p w:rsidR="00731D8F" w:rsidRDefault="00214EE0">
            <w:pPr>
              <w:jc w:val="center"/>
              <w:rPr>
                <w:noProof/>
                <w:sz w:val="20"/>
              </w:rPr>
            </w:pPr>
            <w:r>
              <w:rPr>
                <w:noProof/>
                <w:sz w:val="20"/>
              </w:rPr>
              <w:t>Rok</w:t>
            </w:r>
            <w:r>
              <w:rPr>
                <w:noProof/>
                <w:sz w:val="22"/>
              </w:rPr>
              <w:br/>
            </w:r>
            <w:r>
              <w:rPr>
                <w:b/>
                <w:noProof/>
                <w:sz w:val="20"/>
              </w:rPr>
              <w:t>N+1</w:t>
            </w:r>
          </w:p>
        </w:tc>
        <w:tc>
          <w:tcPr>
            <w:tcW w:w="868" w:type="dxa"/>
            <w:vAlign w:val="center"/>
          </w:tcPr>
          <w:p w:rsidR="00731D8F" w:rsidRDefault="00214EE0">
            <w:pPr>
              <w:jc w:val="center"/>
              <w:rPr>
                <w:noProof/>
                <w:sz w:val="20"/>
              </w:rPr>
            </w:pPr>
            <w:r>
              <w:rPr>
                <w:noProof/>
                <w:sz w:val="20"/>
              </w:rPr>
              <w:t>Rok</w:t>
            </w:r>
            <w:r>
              <w:rPr>
                <w:noProof/>
                <w:sz w:val="22"/>
              </w:rPr>
              <w:br/>
            </w:r>
            <w:r>
              <w:rPr>
                <w:b/>
                <w:noProof/>
                <w:sz w:val="20"/>
              </w:rPr>
              <w:t>N+2</w:t>
            </w:r>
          </w:p>
        </w:tc>
        <w:tc>
          <w:tcPr>
            <w:tcW w:w="868" w:type="dxa"/>
            <w:vAlign w:val="center"/>
          </w:tcPr>
          <w:p w:rsidR="00731D8F" w:rsidRDefault="00214EE0">
            <w:pPr>
              <w:jc w:val="center"/>
              <w:rPr>
                <w:noProof/>
                <w:sz w:val="20"/>
              </w:rPr>
            </w:pPr>
            <w:r>
              <w:rPr>
                <w:noProof/>
                <w:sz w:val="20"/>
              </w:rPr>
              <w:t>Rok</w:t>
            </w:r>
            <w:r>
              <w:rPr>
                <w:noProof/>
                <w:sz w:val="22"/>
              </w:rPr>
              <w:br/>
            </w:r>
            <w:r>
              <w:rPr>
                <w:b/>
                <w:noProof/>
                <w:sz w:val="20"/>
              </w:rPr>
              <w:t>N+3</w:t>
            </w:r>
          </w:p>
        </w:tc>
        <w:tc>
          <w:tcPr>
            <w:tcW w:w="2604" w:type="dxa"/>
            <w:gridSpan w:val="3"/>
            <w:vAlign w:val="center"/>
          </w:tcPr>
          <w:p w:rsidR="00731D8F" w:rsidRDefault="00214EE0">
            <w:pPr>
              <w:jc w:val="center"/>
              <w:rPr>
                <w:b/>
                <w:noProof/>
                <w:sz w:val="18"/>
              </w:rPr>
            </w:pPr>
            <w:r>
              <w:rPr>
                <w:noProof/>
                <w:sz w:val="18"/>
              </w:rPr>
              <w:t>Wprowadzić taką liczbę kolumn dla poszczególnych lat, jaka jest niezbędna, by odzwierciedlić cały okres wpływu (por. pkt 1.6)</w:t>
            </w:r>
          </w:p>
        </w:tc>
        <w:tc>
          <w:tcPr>
            <w:tcW w:w="1777" w:type="dxa"/>
            <w:vAlign w:val="center"/>
          </w:tcPr>
          <w:p w:rsidR="00731D8F" w:rsidRDefault="00214EE0">
            <w:pPr>
              <w:jc w:val="center"/>
              <w:rPr>
                <w:b/>
                <w:noProof/>
                <w:sz w:val="20"/>
              </w:rPr>
            </w:pPr>
            <w:r>
              <w:rPr>
                <w:b/>
                <w:noProof/>
                <w:sz w:val="20"/>
              </w:rPr>
              <w:t>OGÓŁEM</w:t>
            </w:r>
          </w:p>
        </w:tc>
      </w:tr>
      <w:tr w:rsidR="00731D8F">
        <w:tc>
          <w:tcPr>
            <w:tcW w:w="3960" w:type="dxa"/>
            <w:vMerge w:val="restart"/>
            <w:shd w:val="clear" w:color="auto" w:fill="C0C0C0"/>
            <w:vAlign w:val="center"/>
          </w:tcPr>
          <w:p w:rsidR="00731D8F" w:rsidRDefault="00214EE0">
            <w:pPr>
              <w:jc w:val="center"/>
              <w:rPr>
                <w:b/>
                <w:noProof/>
                <w:sz w:val="22"/>
              </w:rPr>
            </w:pPr>
            <w:r>
              <w:rPr>
                <w:b/>
                <w:noProof/>
                <w:sz w:val="22"/>
              </w:rPr>
              <w:t>OGÓŁEM środki</w:t>
            </w:r>
            <w:r>
              <w:rPr>
                <w:noProof/>
                <w:sz w:val="22"/>
              </w:rPr>
              <w:br/>
            </w:r>
            <w:r>
              <w:rPr>
                <w:b/>
                <w:noProof/>
                <w:sz w:val="22"/>
              </w:rPr>
              <w:t>na DZIAŁY 1–5</w:t>
            </w:r>
            <w:r>
              <w:rPr>
                <w:noProof/>
                <w:sz w:val="22"/>
              </w:rPr>
              <w:br/>
              <w:t>wieloletnich ram finansowych</w:t>
            </w:r>
            <w:r>
              <w:rPr>
                <w:b/>
                <w:noProof/>
                <w:sz w:val="22"/>
              </w:rPr>
              <w:t xml:space="preserve"> </w:t>
            </w:r>
          </w:p>
        </w:tc>
        <w:tc>
          <w:tcPr>
            <w:tcW w:w="2094" w:type="dxa"/>
            <w:gridSpan w:val="2"/>
            <w:vAlign w:val="center"/>
          </w:tcPr>
          <w:p w:rsidR="00731D8F" w:rsidRDefault="00214EE0">
            <w:pPr>
              <w:rPr>
                <w:noProof/>
                <w:sz w:val="14"/>
              </w:rPr>
            </w:pPr>
            <w:r>
              <w:rPr>
                <w:noProof/>
                <w:sz w:val="18"/>
              </w:rPr>
              <w:t xml:space="preserve">Środki na </w:t>
            </w:r>
            <w:r>
              <w:rPr>
                <w:noProof/>
                <w:sz w:val="18"/>
              </w:rPr>
              <w:t>zobowiązania</w:t>
            </w:r>
          </w:p>
        </w:tc>
        <w:tc>
          <w:tcPr>
            <w:tcW w:w="868" w:type="dxa"/>
            <w:vAlign w:val="center"/>
          </w:tcPr>
          <w:p w:rsidR="00731D8F" w:rsidRDefault="00731D8F">
            <w:pPr>
              <w:spacing w:before="60" w:after="60"/>
              <w:jc w:val="right"/>
              <w:rPr>
                <w:noProof/>
                <w:sz w:val="20"/>
              </w:rPr>
            </w:pPr>
          </w:p>
        </w:tc>
        <w:tc>
          <w:tcPr>
            <w:tcW w:w="868" w:type="dxa"/>
            <w:vAlign w:val="center"/>
          </w:tcPr>
          <w:p w:rsidR="00731D8F" w:rsidRDefault="00731D8F">
            <w:pPr>
              <w:spacing w:before="60" w:after="60"/>
              <w:jc w:val="right"/>
              <w:rPr>
                <w:noProof/>
                <w:sz w:val="20"/>
              </w:rPr>
            </w:pPr>
          </w:p>
        </w:tc>
        <w:tc>
          <w:tcPr>
            <w:tcW w:w="868" w:type="dxa"/>
            <w:vAlign w:val="center"/>
          </w:tcPr>
          <w:p w:rsidR="00731D8F" w:rsidRDefault="00731D8F">
            <w:pPr>
              <w:spacing w:before="60" w:after="60"/>
              <w:jc w:val="right"/>
              <w:rPr>
                <w:noProof/>
                <w:sz w:val="20"/>
              </w:rPr>
            </w:pPr>
          </w:p>
        </w:tc>
        <w:tc>
          <w:tcPr>
            <w:tcW w:w="868" w:type="dxa"/>
            <w:vAlign w:val="center"/>
          </w:tcPr>
          <w:p w:rsidR="00731D8F" w:rsidRDefault="00731D8F">
            <w:pPr>
              <w:spacing w:before="60" w:after="60"/>
              <w:jc w:val="right"/>
              <w:rPr>
                <w:noProof/>
                <w:sz w:val="20"/>
              </w:rPr>
            </w:pPr>
          </w:p>
        </w:tc>
        <w:tc>
          <w:tcPr>
            <w:tcW w:w="868" w:type="dxa"/>
            <w:vAlign w:val="center"/>
          </w:tcPr>
          <w:p w:rsidR="00731D8F" w:rsidRDefault="00731D8F">
            <w:pPr>
              <w:spacing w:before="60" w:after="60"/>
              <w:jc w:val="right"/>
              <w:rPr>
                <w:noProof/>
                <w:sz w:val="20"/>
              </w:rPr>
            </w:pPr>
          </w:p>
        </w:tc>
        <w:tc>
          <w:tcPr>
            <w:tcW w:w="868" w:type="dxa"/>
            <w:vAlign w:val="center"/>
          </w:tcPr>
          <w:p w:rsidR="00731D8F" w:rsidRDefault="00731D8F">
            <w:pPr>
              <w:spacing w:before="60" w:after="60"/>
              <w:jc w:val="right"/>
              <w:rPr>
                <w:noProof/>
                <w:sz w:val="20"/>
              </w:rPr>
            </w:pPr>
          </w:p>
        </w:tc>
        <w:tc>
          <w:tcPr>
            <w:tcW w:w="868" w:type="dxa"/>
            <w:vAlign w:val="center"/>
          </w:tcPr>
          <w:p w:rsidR="00731D8F" w:rsidRDefault="00731D8F">
            <w:pPr>
              <w:spacing w:before="60" w:after="60"/>
              <w:jc w:val="right"/>
              <w:rPr>
                <w:b/>
                <w:noProof/>
                <w:sz w:val="20"/>
              </w:rPr>
            </w:pPr>
          </w:p>
        </w:tc>
        <w:tc>
          <w:tcPr>
            <w:tcW w:w="1777" w:type="dxa"/>
            <w:vAlign w:val="center"/>
          </w:tcPr>
          <w:p w:rsidR="00731D8F" w:rsidRDefault="00731D8F">
            <w:pPr>
              <w:spacing w:before="60" w:after="60"/>
              <w:jc w:val="right"/>
              <w:rPr>
                <w:b/>
                <w:noProof/>
                <w:sz w:val="20"/>
              </w:rPr>
            </w:pPr>
          </w:p>
        </w:tc>
      </w:tr>
      <w:tr w:rsidR="00731D8F">
        <w:tc>
          <w:tcPr>
            <w:tcW w:w="3960" w:type="dxa"/>
            <w:vMerge/>
            <w:shd w:val="clear" w:color="auto" w:fill="C0C0C0"/>
          </w:tcPr>
          <w:p w:rsidR="00731D8F" w:rsidRDefault="00731D8F">
            <w:pPr>
              <w:rPr>
                <w:noProof/>
                <w:sz w:val="20"/>
              </w:rPr>
            </w:pPr>
          </w:p>
        </w:tc>
        <w:tc>
          <w:tcPr>
            <w:tcW w:w="2094" w:type="dxa"/>
            <w:gridSpan w:val="2"/>
            <w:vAlign w:val="center"/>
          </w:tcPr>
          <w:p w:rsidR="00731D8F" w:rsidRDefault="00214EE0">
            <w:pPr>
              <w:rPr>
                <w:noProof/>
                <w:sz w:val="14"/>
              </w:rPr>
            </w:pPr>
            <w:r>
              <w:rPr>
                <w:noProof/>
                <w:sz w:val="18"/>
              </w:rPr>
              <w:t>Środki na płatności</w:t>
            </w:r>
          </w:p>
        </w:tc>
        <w:tc>
          <w:tcPr>
            <w:tcW w:w="868" w:type="dxa"/>
            <w:vAlign w:val="center"/>
          </w:tcPr>
          <w:p w:rsidR="00731D8F" w:rsidRDefault="00731D8F">
            <w:pPr>
              <w:spacing w:before="60" w:after="60"/>
              <w:jc w:val="right"/>
              <w:rPr>
                <w:noProof/>
                <w:sz w:val="20"/>
              </w:rPr>
            </w:pPr>
          </w:p>
        </w:tc>
        <w:tc>
          <w:tcPr>
            <w:tcW w:w="868" w:type="dxa"/>
            <w:vAlign w:val="center"/>
          </w:tcPr>
          <w:p w:rsidR="00731D8F" w:rsidRDefault="00731D8F">
            <w:pPr>
              <w:spacing w:before="60" w:after="60"/>
              <w:jc w:val="right"/>
              <w:rPr>
                <w:noProof/>
                <w:sz w:val="20"/>
              </w:rPr>
            </w:pPr>
          </w:p>
        </w:tc>
        <w:tc>
          <w:tcPr>
            <w:tcW w:w="868" w:type="dxa"/>
            <w:vAlign w:val="center"/>
          </w:tcPr>
          <w:p w:rsidR="00731D8F" w:rsidRDefault="00731D8F">
            <w:pPr>
              <w:spacing w:before="60" w:after="60"/>
              <w:jc w:val="right"/>
              <w:rPr>
                <w:noProof/>
                <w:sz w:val="20"/>
              </w:rPr>
            </w:pPr>
          </w:p>
        </w:tc>
        <w:tc>
          <w:tcPr>
            <w:tcW w:w="868" w:type="dxa"/>
            <w:vAlign w:val="center"/>
          </w:tcPr>
          <w:p w:rsidR="00731D8F" w:rsidRDefault="00731D8F">
            <w:pPr>
              <w:spacing w:before="60" w:after="60"/>
              <w:jc w:val="right"/>
              <w:rPr>
                <w:noProof/>
                <w:sz w:val="20"/>
              </w:rPr>
            </w:pPr>
          </w:p>
        </w:tc>
        <w:tc>
          <w:tcPr>
            <w:tcW w:w="868" w:type="dxa"/>
            <w:vAlign w:val="center"/>
          </w:tcPr>
          <w:p w:rsidR="00731D8F" w:rsidRDefault="00731D8F">
            <w:pPr>
              <w:spacing w:before="60" w:after="60"/>
              <w:jc w:val="right"/>
              <w:rPr>
                <w:noProof/>
                <w:sz w:val="20"/>
              </w:rPr>
            </w:pPr>
          </w:p>
        </w:tc>
        <w:tc>
          <w:tcPr>
            <w:tcW w:w="868" w:type="dxa"/>
            <w:vAlign w:val="center"/>
          </w:tcPr>
          <w:p w:rsidR="00731D8F" w:rsidRDefault="00731D8F">
            <w:pPr>
              <w:spacing w:before="60" w:after="60"/>
              <w:jc w:val="right"/>
              <w:rPr>
                <w:noProof/>
                <w:sz w:val="20"/>
              </w:rPr>
            </w:pPr>
          </w:p>
        </w:tc>
        <w:tc>
          <w:tcPr>
            <w:tcW w:w="868" w:type="dxa"/>
            <w:vAlign w:val="center"/>
          </w:tcPr>
          <w:p w:rsidR="00731D8F" w:rsidRDefault="00731D8F">
            <w:pPr>
              <w:spacing w:before="60" w:after="60"/>
              <w:jc w:val="right"/>
              <w:rPr>
                <w:b/>
                <w:noProof/>
                <w:sz w:val="20"/>
              </w:rPr>
            </w:pPr>
          </w:p>
        </w:tc>
        <w:tc>
          <w:tcPr>
            <w:tcW w:w="1777" w:type="dxa"/>
            <w:vAlign w:val="center"/>
          </w:tcPr>
          <w:p w:rsidR="00731D8F" w:rsidRDefault="00731D8F">
            <w:pPr>
              <w:spacing w:before="60" w:after="60"/>
              <w:jc w:val="right"/>
              <w:rPr>
                <w:b/>
                <w:noProof/>
                <w:sz w:val="20"/>
              </w:rPr>
            </w:pPr>
          </w:p>
        </w:tc>
      </w:tr>
    </w:tbl>
    <w:p w:rsidR="00731D8F" w:rsidRDefault="00731D8F">
      <w:pPr>
        <w:rPr>
          <w:noProof/>
        </w:rPr>
        <w:sectPr w:rsidR="00731D8F" w:rsidSect="00214EE0">
          <w:headerReference w:type="default" r:id="rId21"/>
          <w:footerReference w:type="default" r:id="rId22"/>
          <w:headerReference w:type="first" r:id="rId23"/>
          <w:footerReference w:type="first" r:id="rId24"/>
          <w:pgSz w:w="16840" w:h="11907" w:orient="landscape" w:code="9"/>
          <w:pgMar w:top="1134" w:right="1418" w:bottom="1134" w:left="1418" w:header="709" w:footer="709" w:gutter="0"/>
          <w:cols w:space="708"/>
          <w:docGrid w:linePitch="360"/>
        </w:sectPr>
      </w:pPr>
    </w:p>
    <w:p w:rsidR="00731D8F" w:rsidRDefault="00214EE0">
      <w:pPr>
        <w:pStyle w:val="ManualHeading3"/>
        <w:rPr>
          <w:bCs/>
          <w:noProof/>
          <w:szCs w:val="24"/>
        </w:rPr>
      </w:pPr>
      <w:r>
        <w:rPr>
          <w:noProof/>
        </w:rPr>
        <w:t>3.2.2.</w:t>
      </w:r>
      <w:r>
        <w:rPr>
          <w:noProof/>
        </w:rPr>
        <w:tab/>
        <w:t xml:space="preserve">Szacunkowy wpływ na środki operacyjne eu-LISA </w:t>
      </w:r>
    </w:p>
    <w:p w:rsidR="00731D8F" w:rsidRDefault="00214EE0">
      <w:pPr>
        <w:pStyle w:val="ListDash1"/>
        <w:rPr>
          <w:noProof/>
        </w:rPr>
      </w:pPr>
      <w:r>
        <w:rPr>
          <w:noProof/>
        </w:rPr>
        <w:sym w:font="Wingdings" w:char="F0A8"/>
      </w:r>
      <w:r>
        <w:rPr>
          <w:noProof/>
        </w:rPr>
        <w:tab/>
      </w:r>
      <w:r>
        <w:rPr>
          <w:noProof/>
        </w:rPr>
        <w:t xml:space="preserve">Wniosek/inicjatywa nie wiąże się z koniecznością wykorzystania środków operacyjnych </w:t>
      </w:r>
    </w:p>
    <w:p w:rsidR="00731D8F" w:rsidRDefault="00214EE0">
      <w:pPr>
        <w:pStyle w:val="ListDash1"/>
        <w:rPr>
          <w:noProof/>
        </w:rPr>
      </w:pPr>
      <w:r>
        <w:rPr>
          <w:noProof/>
        </w:rPr>
        <w:sym w:font="Wingdings" w:char="F0FE"/>
      </w:r>
      <w:r>
        <w:rPr>
          <w:noProof/>
        </w:rPr>
        <w:tab/>
        <w:t>Wniosek/inicjatywa wiąże się z koniecznością wykorzystania środków operacyjnych, jak określono poniżej:</w:t>
      </w:r>
    </w:p>
    <w:p w:rsidR="00731D8F" w:rsidRDefault="00214EE0">
      <w:pPr>
        <w:jc w:val="right"/>
        <w:rPr>
          <w:noProof/>
          <w:sz w:val="20"/>
        </w:rPr>
      </w:pPr>
      <w:r>
        <w:rPr>
          <w:noProof/>
          <w:sz w:val="20"/>
        </w:rPr>
        <w:t>Środki na zobowiązania w mln EUR (do trzech miejsc po przecinku)</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360"/>
        <w:gridCol w:w="360"/>
        <w:gridCol w:w="540"/>
        <w:gridCol w:w="720"/>
        <w:gridCol w:w="720"/>
        <w:gridCol w:w="900"/>
      </w:tblGrid>
      <w:tr w:rsidR="00731D8F">
        <w:trPr>
          <w:gridAfter w:val="2"/>
          <w:wAfter w:w="1620" w:type="dxa"/>
          <w:jc w:val="center"/>
        </w:trPr>
        <w:tc>
          <w:tcPr>
            <w:tcW w:w="1423" w:type="dxa"/>
            <w:vMerge w:val="restart"/>
            <w:vAlign w:val="center"/>
          </w:tcPr>
          <w:p w:rsidR="00731D8F" w:rsidRDefault="00214EE0">
            <w:pPr>
              <w:ind w:right="-29"/>
              <w:jc w:val="center"/>
              <w:rPr>
                <w:b/>
                <w:noProof/>
                <w:sz w:val="18"/>
                <w:szCs w:val="18"/>
              </w:rPr>
            </w:pPr>
            <w:r>
              <w:rPr>
                <w:b/>
                <w:noProof/>
                <w:sz w:val="18"/>
              </w:rPr>
              <w:t xml:space="preserve">Określić cele i produkty </w:t>
            </w:r>
          </w:p>
          <w:p w:rsidR="00731D8F" w:rsidRDefault="00731D8F">
            <w:pPr>
              <w:ind w:right="-29"/>
              <w:jc w:val="center"/>
              <w:rPr>
                <w:b/>
                <w:noProof/>
                <w:sz w:val="18"/>
                <w:szCs w:val="18"/>
              </w:rPr>
            </w:pPr>
          </w:p>
          <w:p w:rsidR="00731D8F" w:rsidRDefault="00214EE0">
            <w:pPr>
              <w:ind w:right="-29"/>
              <w:jc w:val="center"/>
              <w:rPr>
                <w:noProof/>
                <w:sz w:val="18"/>
                <w:szCs w:val="18"/>
              </w:rPr>
            </w:pPr>
            <w:r>
              <w:rPr>
                <w:noProof/>
                <w:sz w:val="18"/>
              </w:rPr>
              <w:sym w:font="Wingdings" w:char="F0F2"/>
            </w:r>
          </w:p>
        </w:tc>
        <w:tc>
          <w:tcPr>
            <w:tcW w:w="720" w:type="dxa"/>
            <w:vAlign w:val="center"/>
          </w:tcPr>
          <w:p w:rsidR="00731D8F" w:rsidRDefault="00731D8F">
            <w:pPr>
              <w:ind w:right="-29"/>
              <w:jc w:val="center"/>
              <w:rPr>
                <w:noProof/>
                <w:sz w:val="18"/>
                <w:szCs w:val="18"/>
              </w:rPr>
            </w:pPr>
          </w:p>
        </w:tc>
        <w:tc>
          <w:tcPr>
            <w:tcW w:w="701" w:type="dxa"/>
            <w:vAlign w:val="center"/>
          </w:tcPr>
          <w:p w:rsidR="00731D8F" w:rsidRDefault="00731D8F">
            <w:pPr>
              <w:ind w:right="-29"/>
              <w:jc w:val="center"/>
              <w:rPr>
                <w:noProof/>
                <w:sz w:val="18"/>
                <w:szCs w:val="18"/>
              </w:rPr>
            </w:pPr>
          </w:p>
        </w:tc>
        <w:tc>
          <w:tcPr>
            <w:tcW w:w="1224" w:type="dxa"/>
            <w:gridSpan w:val="2"/>
            <w:tcBorders>
              <w:left w:val="nil"/>
            </w:tcBorders>
            <w:vAlign w:val="center"/>
          </w:tcPr>
          <w:p w:rsidR="00731D8F" w:rsidRDefault="00214EE0">
            <w:pPr>
              <w:ind w:right="-29"/>
              <w:jc w:val="center"/>
              <w:rPr>
                <w:noProof/>
                <w:sz w:val="18"/>
                <w:szCs w:val="18"/>
              </w:rPr>
            </w:pPr>
            <w:r>
              <w:rPr>
                <w:noProof/>
                <w:sz w:val="18"/>
              </w:rPr>
              <w:t>Rok</w:t>
            </w:r>
            <w:r>
              <w:rPr>
                <w:noProof/>
                <w:sz w:val="22"/>
              </w:rPr>
              <w:br/>
            </w:r>
            <w:r>
              <w:rPr>
                <w:b/>
                <w:noProof/>
                <w:sz w:val="18"/>
              </w:rPr>
              <w:t>2018</w:t>
            </w:r>
          </w:p>
        </w:tc>
        <w:tc>
          <w:tcPr>
            <w:tcW w:w="1260" w:type="dxa"/>
            <w:gridSpan w:val="2"/>
            <w:vAlign w:val="center"/>
          </w:tcPr>
          <w:p w:rsidR="00731D8F" w:rsidRDefault="00214EE0">
            <w:pPr>
              <w:ind w:right="-29"/>
              <w:jc w:val="center"/>
              <w:rPr>
                <w:noProof/>
                <w:sz w:val="18"/>
                <w:szCs w:val="18"/>
              </w:rPr>
            </w:pPr>
            <w:r>
              <w:rPr>
                <w:noProof/>
                <w:sz w:val="20"/>
              </w:rPr>
              <w:t>Rok</w:t>
            </w:r>
            <w:r>
              <w:rPr>
                <w:noProof/>
                <w:sz w:val="22"/>
              </w:rPr>
              <w:br/>
            </w:r>
            <w:r>
              <w:rPr>
                <w:b/>
                <w:noProof/>
                <w:sz w:val="18"/>
              </w:rPr>
              <w:t>2019</w:t>
            </w:r>
          </w:p>
        </w:tc>
        <w:tc>
          <w:tcPr>
            <w:tcW w:w="1440" w:type="dxa"/>
            <w:gridSpan w:val="2"/>
            <w:vAlign w:val="center"/>
          </w:tcPr>
          <w:p w:rsidR="00731D8F" w:rsidRDefault="00214EE0">
            <w:pPr>
              <w:ind w:right="-29"/>
              <w:jc w:val="center"/>
              <w:rPr>
                <w:noProof/>
                <w:sz w:val="18"/>
                <w:szCs w:val="18"/>
              </w:rPr>
            </w:pPr>
            <w:r>
              <w:rPr>
                <w:noProof/>
                <w:sz w:val="20"/>
              </w:rPr>
              <w:t>Rok</w:t>
            </w:r>
            <w:r>
              <w:rPr>
                <w:noProof/>
                <w:sz w:val="22"/>
              </w:rPr>
              <w:br/>
            </w:r>
            <w:r>
              <w:rPr>
                <w:b/>
                <w:noProof/>
                <w:sz w:val="18"/>
              </w:rPr>
              <w:t>2020</w:t>
            </w:r>
          </w:p>
        </w:tc>
        <w:tc>
          <w:tcPr>
            <w:tcW w:w="3600" w:type="dxa"/>
            <w:gridSpan w:val="7"/>
            <w:vAlign w:val="center"/>
          </w:tcPr>
          <w:p w:rsidR="00731D8F" w:rsidRDefault="00214EE0">
            <w:pPr>
              <w:jc w:val="center"/>
              <w:rPr>
                <w:noProof/>
                <w:sz w:val="18"/>
                <w:szCs w:val="18"/>
              </w:rPr>
            </w:pPr>
            <w:r>
              <w:rPr>
                <w:noProof/>
                <w:sz w:val="18"/>
              </w:rPr>
              <w:t>Wprowadzić taką liczbę kolumn dla poszczególnych lat, jaka jest niezbędna, by odzwierciedlić cały okres wpływu (por. pkt 1.6)</w:t>
            </w:r>
          </w:p>
        </w:tc>
        <w:tc>
          <w:tcPr>
            <w:tcW w:w="1620" w:type="dxa"/>
            <w:gridSpan w:val="3"/>
            <w:tcBorders>
              <w:left w:val="nil"/>
              <w:bottom w:val="nil"/>
            </w:tcBorders>
            <w:vAlign w:val="center"/>
          </w:tcPr>
          <w:p w:rsidR="00731D8F" w:rsidRDefault="00214EE0">
            <w:pPr>
              <w:ind w:right="-29"/>
              <w:jc w:val="center"/>
              <w:rPr>
                <w:noProof/>
                <w:sz w:val="18"/>
                <w:szCs w:val="18"/>
              </w:rPr>
            </w:pPr>
            <w:r>
              <w:rPr>
                <w:b/>
                <w:noProof/>
                <w:sz w:val="18"/>
              </w:rPr>
              <w:t>OGÓŁEM</w:t>
            </w:r>
          </w:p>
        </w:tc>
      </w:tr>
      <w:tr w:rsidR="00731D8F">
        <w:trPr>
          <w:jc w:val="center"/>
        </w:trPr>
        <w:tc>
          <w:tcPr>
            <w:tcW w:w="1423" w:type="dxa"/>
            <w:vMerge/>
            <w:vAlign w:val="center"/>
          </w:tcPr>
          <w:p w:rsidR="00731D8F" w:rsidRDefault="00731D8F">
            <w:pPr>
              <w:ind w:right="-29"/>
              <w:jc w:val="center"/>
              <w:rPr>
                <w:noProof/>
                <w:sz w:val="18"/>
                <w:szCs w:val="18"/>
              </w:rPr>
            </w:pPr>
          </w:p>
        </w:tc>
        <w:tc>
          <w:tcPr>
            <w:tcW w:w="12185" w:type="dxa"/>
            <w:gridSpan w:val="20"/>
            <w:vAlign w:val="center"/>
          </w:tcPr>
          <w:p w:rsidR="00731D8F" w:rsidRDefault="00214EE0">
            <w:pPr>
              <w:spacing w:before="60" w:after="60"/>
              <w:ind w:right="-29"/>
              <w:jc w:val="center"/>
              <w:rPr>
                <w:noProof/>
                <w:sz w:val="18"/>
                <w:szCs w:val="18"/>
              </w:rPr>
            </w:pPr>
            <w:r>
              <w:rPr>
                <w:b/>
                <w:noProof/>
                <w:sz w:val="18"/>
              </w:rPr>
              <w:t>PRODUKT</w:t>
            </w:r>
          </w:p>
        </w:tc>
      </w:tr>
      <w:tr w:rsidR="00731D8F">
        <w:trPr>
          <w:cantSplit/>
          <w:trHeight w:val="1134"/>
          <w:jc w:val="center"/>
        </w:trPr>
        <w:tc>
          <w:tcPr>
            <w:tcW w:w="1423" w:type="dxa"/>
            <w:vMerge/>
            <w:vAlign w:val="center"/>
          </w:tcPr>
          <w:p w:rsidR="00731D8F" w:rsidRDefault="00731D8F">
            <w:pPr>
              <w:rPr>
                <w:noProof/>
                <w:sz w:val="18"/>
                <w:szCs w:val="18"/>
              </w:rPr>
            </w:pPr>
          </w:p>
        </w:tc>
        <w:tc>
          <w:tcPr>
            <w:tcW w:w="720" w:type="dxa"/>
            <w:vAlign w:val="center"/>
          </w:tcPr>
          <w:p w:rsidR="00731D8F" w:rsidRDefault="00214EE0">
            <w:pPr>
              <w:jc w:val="center"/>
              <w:rPr>
                <w:noProof/>
                <w:sz w:val="18"/>
                <w:szCs w:val="18"/>
              </w:rPr>
            </w:pPr>
            <w:r>
              <w:rPr>
                <w:noProof/>
                <w:sz w:val="18"/>
              </w:rPr>
              <w:t>Rodzaj</w:t>
            </w:r>
            <w:r>
              <w:rPr>
                <w:rStyle w:val="FootnoteReference"/>
                <w:noProof/>
                <w:sz w:val="18"/>
              </w:rPr>
              <w:footnoteReference w:id="55"/>
            </w:r>
          </w:p>
          <w:p w:rsidR="00731D8F" w:rsidRDefault="00731D8F">
            <w:pPr>
              <w:spacing w:before="0" w:after="0"/>
              <w:jc w:val="center"/>
              <w:rPr>
                <w:noProof/>
                <w:sz w:val="18"/>
                <w:szCs w:val="18"/>
              </w:rPr>
            </w:pPr>
          </w:p>
        </w:tc>
        <w:tc>
          <w:tcPr>
            <w:tcW w:w="701" w:type="dxa"/>
            <w:vAlign w:val="center"/>
          </w:tcPr>
          <w:p w:rsidR="00731D8F" w:rsidRDefault="00214EE0">
            <w:pPr>
              <w:jc w:val="center"/>
              <w:rPr>
                <w:noProof/>
                <w:sz w:val="18"/>
                <w:szCs w:val="18"/>
              </w:rPr>
            </w:pPr>
            <w:r>
              <w:rPr>
                <w:noProof/>
                <w:sz w:val="18"/>
              </w:rPr>
              <w:t>Średni koszt</w:t>
            </w:r>
          </w:p>
        </w:tc>
        <w:tc>
          <w:tcPr>
            <w:tcW w:w="504" w:type="dxa"/>
            <w:tcBorders>
              <w:left w:val="nil"/>
              <w:right w:val="dashSmallGap" w:sz="4" w:space="0" w:color="auto"/>
            </w:tcBorders>
            <w:shd w:val="pct10" w:color="auto" w:fill="auto"/>
            <w:textDirection w:val="btLr"/>
            <w:vAlign w:val="center"/>
          </w:tcPr>
          <w:p w:rsidR="00731D8F" w:rsidRDefault="00214EE0">
            <w:pPr>
              <w:ind w:left="113" w:right="113"/>
              <w:jc w:val="center"/>
              <w:rPr>
                <w:noProof/>
                <w:sz w:val="18"/>
                <w:szCs w:val="18"/>
              </w:rPr>
            </w:pPr>
            <w:r>
              <w:rPr>
                <w:noProof/>
                <w:sz w:val="18"/>
              </w:rPr>
              <w:t>Liczba</w:t>
            </w:r>
          </w:p>
        </w:tc>
        <w:tc>
          <w:tcPr>
            <w:tcW w:w="720" w:type="dxa"/>
            <w:tcBorders>
              <w:left w:val="dashSmallGap" w:sz="4" w:space="0" w:color="auto"/>
            </w:tcBorders>
            <w:shd w:val="pct10" w:color="auto" w:fill="auto"/>
            <w:vAlign w:val="center"/>
          </w:tcPr>
          <w:p w:rsidR="00731D8F" w:rsidRDefault="00214EE0">
            <w:pPr>
              <w:jc w:val="center"/>
              <w:rPr>
                <w:noProof/>
                <w:sz w:val="18"/>
                <w:szCs w:val="18"/>
              </w:rPr>
            </w:pPr>
            <w:r>
              <w:rPr>
                <w:noProof/>
                <w:sz w:val="18"/>
              </w:rPr>
              <w:t>Koszt</w:t>
            </w:r>
          </w:p>
        </w:tc>
        <w:tc>
          <w:tcPr>
            <w:tcW w:w="540" w:type="dxa"/>
            <w:tcBorders>
              <w:right w:val="dashSmallGap" w:sz="4" w:space="0" w:color="auto"/>
            </w:tcBorders>
            <w:shd w:val="pct10" w:color="auto" w:fill="auto"/>
            <w:textDirection w:val="btLr"/>
            <w:vAlign w:val="center"/>
          </w:tcPr>
          <w:p w:rsidR="00731D8F" w:rsidRDefault="00214EE0">
            <w:pPr>
              <w:ind w:left="113" w:right="113"/>
              <w:jc w:val="center"/>
              <w:rPr>
                <w:noProof/>
                <w:sz w:val="18"/>
                <w:szCs w:val="18"/>
              </w:rPr>
            </w:pPr>
            <w:r>
              <w:rPr>
                <w:noProof/>
                <w:sz w:val="18"/>
              </w:rPr>
              <w:t>Liczba</w:t>
            </w:r>
          </w:p>
        </w:tc>
        <w:tc>
          <w:tcPr>
            <w:tcW w:w="720" w:type="dxa"/>
            <w:tcBorders>
              <w:left w:val="dashSmallGap" w:sz="4" w:space="0" w:color="auto"/>
            </w:tcBorders>
            <w:shd w:val="pct10" w:color="auto" w:fill="auto"/>
            <w:vAlign w:val="center"/>
          </w:tcPr>
          <w:p w:rsidR="00731D8F" w:rsidRDefault="00214EE0">
            <w:pPr>
              <w:jc w:val="center"/>
              <w:rPr>
                <w:noProof/>
                <w:sz w:val="18"/>
                <w:szCs w:val="18"/>
              </w:rPr>
            </w:pPr>
            <w:r>
              <w:rPr>
                <w:noProof/>
                <w:sz w:val="18"/>
              </w:rPr>
              <w:t>Koszt</w:t>
            </w:r>
          </w:p>
        </w:tc>
        <w:tc>
          <w:tcPr>
            <w:tcW w:w="720" w:type="dxa"/>
            <w:tcBorders>
              <w:right w:val="dashSmallGap" w:sz="4" w:space="0" w:color="auto"/>
            </w:tcBorders>
            <w:shd w:val="pct10" w:color="auto" w:fill="auto"/>
            <w:textDirection w:val="btLr"/>
            <w:vAlign w:val="center"/>
          </w:tcPr>
          <w:p w:rsidR="00731D8F" w:rsidRDefault="00214EE0">
            <w:pPr>
              <w:ind w:left="113" w:right="113"/>
              <w:jc w:val="center"/>
              <w:rPr>
                <w:noProof/>
                <w:sz w:val="18"/>
                <w:szCs w:val="18"/>
              </w:rPr>
            </w:pPr>
            <w:r>
              <w:rPr>
                <w:noProof/>
                <w:sz w:val="18"/>
              </w:rPr>
              <w:t>Liczba</w:t>
            </w:r>
          </w:p>
        </w:tc>
        <w:tc>
          <w:tcPr>
            <w:tcW w:w="720" w:type="dxa"/>
            <w:tcBorders>
              <w:left w:val="dashSmallGap" w:sz="4" w:space="0" w:color="auto"/>
            </w:tcBorders>
            <w:shd w:val="pct10" w:color="auto" w:fill="auto"/>
            <w:vAlign w:val="center"/>
          </w:tcPr>
          <w:p w:rsidR="00731D8F" w:rsidRDefault="00214EE0">
            <w:pPr>
              <w:jc w:val="center"/>
              <w:rPr>
                <w:noProof/>
                <w:sz w:val="18"/>
                <w:szCs w:val="18"/>
              </w:rPr>
            </w:pPr>
            <w:r>
              <w:rPr>
                <w:noProof/>
                <w:sz w:val="18"/>
              </w:rPr>
              <w:t>Koszt</w:t>
            </w:r>
          </w:p>
        </w:tc>
        <w:tc>
          <w:tcPr>
            <w:tcW w:w="900" w:type="dxa"/>
            <w:tcBorders>
              <w:right w:val="dashSmallGap" w:sz="4" w:space="0" w:color="auto"/>
            </w:tcBorders>
            <w:shd w:val="pct10" w:color="auto" w:fill="auto"/>
            <w:textDirection w:val="btLr"/>
            <w:vAlign w:val="center"/>
          </w:tcPr>
          <w:p w:rsidR="00731D8F" w:rsidRDefault="00214EE0">
            <w:pPr>
              <w:ind w:left="113" w:right="113"/>
              <w:jc w:val="center"/>
              <w:rPr>
                <w:noProof/>
                <w:sz w:val="18"/>
                <w:szCs w:val="18"/>
              </w:rPr>
            </w:pPr>
            <w:r>
              <w:rPr>
                <w:noProof/>
                <w:sz w:val="18"/>
              </w:rPr>
              <w:t>Liczba</w:t>
            </w:r>
          </w:p>
        </w:tc>
        <w:tc>
          <w:tcPr>
            <w:tcW w:w="720" w:type="dxa"/>
            <w:gridSpan w:val="2"/>
            <w:tcBorders>
              <w:left w:val="dashSmallGap" w:sz="4" w:space="0" w:color="auto"/>
            </w:tcBorders>
            <w:shd w:val="pct10" w:color="auto" w:fill="auto"/>
            <w:vAlign w:val="center"/>
          </w:tcPr>
          <w:p w:rsidR="00731D8F" w:rsidRDefault="00214EE0">
            <w:pPr>
              <w:jc w:val="center"/>
              <w:rPr>
                <w:noProof/>
                <w:sz w:val="18"/>
                <w:szCs w:val="18"/>
              </w:rPr>
            </w:pPr>
            <w:r>
              <w:rPr>
                <w:noProof/>
                <w:sz w:val="18"/>
              </w:rPr>
              <w:t>Koszt</w:t>
            </w:r>
          </w:p>
        </w:tc>
        <w:tc>
          <w:tcPr>
            <w:tcW w:w="540" w:type="dxa"/>
            <w:tcBorders>
              <w:right w:val="dashSmallGap" w:sz="4" w:space="0" w:color="auto"/>
            </w:tcBorders>
            <w:shd w:val="pct10" w:color="auto" w:fill="auto"/>
            <w:textDirection w:val="btLr"/>
            <w:vAlign w:val="center"/>
          </w:tcPr>
          <w:p w:rsidR="00731D8F" w:rsidRDefault="00214EE0">
            <w:pPr>
              <w:ind w:left="113" w:right="113"/>
              <w:jc w:val="center"/>
              <w:rPr>
                <w:noProof/>
                <w:sz w:val="18"/>
                <w:szCs w:val="18"/>
              </w:rPr>
            </w:pPr>
            <w:r>
              <w:rPr>
                <w:noProof/>
                <w:sz w:val="18"/>
              </w:rPr>
              <w:t>Liczba</w:t>
            </w:r>
          </w:p>
        </w:tc>
        <w:tc>
          <w:tcPr>
            <w:tcW w:w="648" w:type="dxa"/>
            <w:tcBorders>
              <w:left w:val="dashSmallGap" w:sz="4" w:space="0" w:color="auto"/>
            </w:tcBorders>
            <w:shd w:val="pct10" w:color="auto" w:fill="auto"/>
            <w:vAlign w:val="center"/>
          </w:tcPr>
          <w:p w:rsidR="00731D8F" w:rsidRDefault="00214EE0">
            <w:pPr>
              <w:jc w:val="center"/>
              <w:rPr>
                <w:noProof/>
                <w:sz w:val="18"/>
                <w:szCs w:val="18"/>
              </w:rPr>
            </w:pPr>
            <w:r>
              <w:rPr>
                <w:noProof/>
                <w:sz w:val="18"/>
              </w:rPr>
              <w:t>Koszt</w:t>
            </w:r>
          </w:p>
        </w:tc>
        <w:tc>
          <w:tcPr>
            <w:tcW w:w="432" w:type="dxa"/>
            <w:tcBorders>
              <w:right w:val="dashSmallGap" w:sz="4" w:space="0" w:color="auto"/>
            </w:tcBorders>
            <w:shd w:val="pct10" w:color="auto" w:fill="auto"/>
            <w:textDirection w:val="btLr"/>
            <w:vAlign w:val="center"/>
          </w:tcPr>
          <w:p w:rsidR="00731D8F" w:rsidRDefault="00214EE0">
            <w:pPr>
              <w:ind w:left="113" w:right="113"/>
              <w:jc w:val="center"/>
              <w:rPr>
                <w:noProof/>
                <w:sz w:val="18"/>
                <w:szCs w:val="18"/>
              </w:rPr>
            </w:pPr>
            <w:r>
              <w:rPr>
                <w:noProof/>
                <w:sz w:val="18"/>
              </w:rPr>
              <w:t>Liczba</w:t>
            </w:r>
          </w:p>
        </w:tc>
        <w:tc>
          <w:tcPr>
            <w:tcW w:w="720" w:type="dxa"/>
            <w:gridSpan w:val="2"/>
            <w:tcBorders>
              <w:left w:val="dashSmallGap" w:sz="4" w:space="0" w:color="auto"/>
            </w:tcBorders>
            <w:shd w:val="pct10" w:color="auto" w:fill="auto"/>
            <w:vAlign w:val="center"/>
          </w:tcPr>
          <w:p w:rsidR="00731D8F" w:rsidRDefault="00214EE0">
            <w:pPr>
              <w:jc w:val="center"/>
              <w:rPr>
                <w:noProof/>
                <w:sz w:val="18"/>
                <w:szCs w:val="18"/>
              </w:rPr>
            </w:pPr>
            <w:r>
              <w:rPr>
                <w:noProof/>
                <w:sz w:val="18"/>
              </w:rPr>
              <w:t>Koszt</w:t>
            </w:r>
          </w:p>
        </w:tc>
        <w:tc>
          <w:tcPr>
            <w:tcW w:w="540" w:type="dxa"/>
            <w:tcBorders>
              <w:right w:val="dashSmallGap" w:sz="4" w:space="0" w:color="auto"/>
            </w:tcBorders>
            <w:shd w:val="pct10" w:color="auto" w:fill="auto"/>
            <w:textDirection w:val="btLr"/>
            <w:vAlign w:val="center"/>
          </w:tcPr>
          <w:p w:rsidR="00731D8F" w:rsidRDefault="00214EE0">
            <w:pPr>
              <w:ind w:left="113" w:right="113"/>
              <w:jc w:val="center"/>
              <w:rPr>
                <w:noProof/>
                <w:sz w:val="18"/>
                <w:szCs w:val="18"/>
              </w:rPr>
            </w:pPr>
            <w:r>
              <w:rPr>
                <w:noProof/>
                <w:sz w:val="18"/>
              </w:rPr>
              <w:t>Liczba</w:t>
            </w:r>
          </w:p>
        </w:tc>
        <w:tc>
          <w:tcPr>
            <w:tcW w:w="720" w:type="dxa"/>
            <w:tcBorders>
              <w:left w:val="dashSmallGap" w:sz="4" w:space="0" w:color="auto"/>
            </w:tcBorders>
            <w:shd w:val="pct10" w:color="auto" w:fill="auto"/>
            <w:vAlign w:val="center"/>
          </w:tcPr>
          <w:p w:rsidR="00731D8F" w:rsidRDefault="00214EE0">
            <w:pPr>
              <w:jc w:val="center"/>
              <w:rPr>
                <w:noProof/>
                <w:sz w:val="18"/>
                <w:szCs w:val="18"/>
              </w:rPr>
            </w:pPr>
            <w:r>
              <w:rPr>
                <w:noProof/>
                <w:sz w:val="18"/>
              </w:rPr>
              <w:t>Koszt</w:t>
            </w:r>
          </w:p>
        </w:tc>
        <w:tc>
          <w:tcPr>
            <w:tcW w:w="720" w:type="dxa"/>
            <w:tcBorders>
              <w:right w:val="dashSmallGap" w:sz="4" w:space="0" w:color="auto"/>
            </w:tcBorders>
            <w:shd w:val="pct10" w:color="auto" w:fill="auto"/>
            <w:vAlign w:val="center"/>
          </w:tcPr>
          <w:p w:rsidR="00731D8F" w:rsidRDefault="00214EE0">
            <w:pPr>
              <w:jc w:val="center"/>
              <w:rPr>
                <w:noProof/>
                <w:sz w:val="18"/>
                <w:szCs w:val="18"/>
              </w:rPr>
            </w:pPr>
            <w:r>
              <w:rPr>
                <w:noProof/>
                <w:sz w:val="18"/>
              </w:rPr>
              <w:t>Liczba ogółem</w:t>
            </w:r>
          </w:p>
        </w:tc>
        <w:tc>
          <w:tcPr>
            <w:tcW w:w="900" w:type="dxa"/>
            <w:tcBorders>
              <w:left w:val="dashSmallGap" w:sz="4" w:space="0" w:color="auto"/>
            </w:tcBorders>
            <w:shd w:val="pct10" w:color="auto" w:fill="auto"/>
            <w:vAlign w:val="center"/>
          </w:tcPr>
          <w:p w:rsidR="00731D8F" w:rsidRDefault="00214EE0">
            <w:pPr>
              <w:jc w:val="center"/>
              <w:rPr>
                <w:noProof/>
                <w:sz w:val="18"/>
                <w:szCs w:val="18"/>
              </w:rPr>
            </w:pPr>
            <w:r>
              <w:rPr>
                <w:noProof/>
                <w:sz w:val="18"/>
              </w:rPr>
              <w:t>Koszt ogółem</w:t>
            </w:r>
          </w:p>
        </w:tc>
      </w:tr>
      <w:tr w:rsidR="00731D8F">
        <w:trPr>
          <w:jc w:val="center"/>
        </w:trPr>
        <w:tc>
          <w:tcPr>
            <w:tcW w:w="2844" w:type="dxa"/>
            <w:gridSpan w:val="3"/>
            <w:vAlign w:val="center"/>
          </w:tcPr>
          <w:p w:rsidR="00731D8F" w:rsidRDefault="00214EE0">
            <w:pPr>
              <w:spacing w:before="60" w:after="60"/>
              <w:ind w:right="-29"/>
              <w:jc w:val="center"/>
              <w:rPr>
                <w:noProof/>
                <w:sz w:val="18"/>
                <w:szCs w:val="18"/>
              </w:rPr>
            </w:pPr>
            <w:r>
              <w:rPr>
                <w:noProof/>
                <w:sz w:val="18"/>
              </w:rPr>
              <w:t>CEL SZCZEGÓRŁOWY nr 1</w:t>
            </w:r>
            <w:r>
              <w:rPr>
                <w:rStyle w:val="FootnoteReference"/>
                <w:noProof/>
                <w:sz w:val="18"/>
              </w:rPr>
              <w:footnoteReference w:id="56"/>
            </w:r>
            <w:r>
              <w:rPr>
                <w:noProof/>
                <w:sz w:val="18"/>
              </w:rPr>
              <w:br/>
              <w:t>Rozwój systemu centralnego</w:t>
            </w:r>
          </w:p>
        </w:tc>
        <w:tc>
          <w:tcPr>
            <w:tcW w:w="504" w:type="dxa"/>
            <w:tcBorders>
              <w:top w:val="nil"/>
              <w:left w:val="nil"/>
              <w:bottom w:val="nil"/>
              <w:right w:val="nil"/>
            </w:tcBorders>
          </w:tcPr>
          <w:p w:rsidR="00731D8F" w:rsidRDefault="00731D8F">
            <w:pPr>
              <w:spacing w:before="60" w:after="60"/>
              <w:ind w:right="-29"/>
              <w:jc w:val="center"/>
              <w:rPr>
                <w:noProof/>
                <w:sz w:val="18"/>
                <w:szCs w:val="18"/>
              </w:rPr>
            </w:pPr>
          </w:p>
        </w:tc>
        <w:tc>
          <w:tcPr>
            <w:tcW w:w="720" w:type="dxa"/>
            <w:tcBorders>
              <w:top w:val="nil"/>
              <w:left w:val="nil"/>
              <w:bottom w:val="nil"/>
              <w:right w:val="nil"/>
            </w:tcBorders>
          </w:tcPr>
          <w:p w:rsidR="00731D8F" w:rsidRDefault="00731D8F">
            <w:pPr>
              <w:spacing w:before="60" w:after="60"/>
              <w:ind w:right="-29"/>
              <w:jc w:val="center"/>
              <w:rPr>
                <w:noProof/>
                <w:sz w:val="18"/>
                <w:szCs w:val="18"/>
              </w:rPr>
            </w:pPr>
          </w:p>
        </w:tc>
        <w:tc>
          <w:tcPr>
            <w:tcW w:w="540" w:type="dxa"/>
            <w:tcBorders>
              <w:top w:val="nil"/>
              <w:left w:val="nil"/>
              <w:bottom w:val="nil"/>
              <w:right w:val="nil"/>
            </w:tcBorders>
          </w:tcPr>
          <w:p w:rsidR="00731D8F" w:rsidRDefault="00731D8F">
            <w:pPr>
              <w:spacing w:before="60" w:after="60"/>
              <w:ind w:right="-29"/>
              <w:jc w:val="center"/>
              <w:rPr>
                <w:noProof/>
                <w:sz w:val="18"/>
                <w:szCs w:val="18"/>
              </w:rPr>
            </w:pPr>
          </w:p>
        </w:tc>
        <w:tc>
          <w:tcPr>
            <w:tcW w:w="720" w:type="dxa"/>
            <w:tcBorders>
              <w:top w:val="nil"/>
              <w:left w:val="nil"/>
              <w:bottom w:val="nil"/>
              <w:right w:val="nil"/>
            </w:tcBorders>
          </w:tcPr>
          <w:p w:rsidR="00731D8F" w:rsidRDefault="00731D8F">
            <w:pPr>
              <w:spacing w:before="60" w:after="60"/>
              <w:ind w:right="-29"/>
              <w:jc w:val="center"/>
              <w:rPr>
                <w:noProof/>
                <w:sz w:val="18"/>
                <w:szCs w:val="18"/>
              </w:rPr>
            </w:pPr>
          </w:p>
        </w:tc>
        <w:tc>
          <w:tcPr>
            <w:tcW w:w="720" w:type="dxa"/>
            <w:tcBorders>
              <w:top w:val="nil"/>
              <w:left w:val="nil"/>
              <w:bottom w:val="nil"/>
              <w:right w:val="nil"/>
            </w:tcBorders>
          </w:tcPr>
          <w:p w:rsidR="00731D8F" w:rsidRDefault="00731D8F">
            <w:pPr>
              <w:spacing w:before="60" w:after="60"/>
              <w:ind w:right="-29"/>
              <w:jc w:val="center"/>
              <w:rPr>
                <w:noProof/>
                <w:sz w:val="18"/>
                <w:szCs w:val="18"/>
              </w:rPr>
            </w:pPr>
          </w:p>
        </w:tc>
        <w:tc>
          <w:tcPr>
            <w:tcW w:w="720" w:type="dxa"/>
            <w:tcBorders>
              <w:top w:val="nil"/>
              <w:left w:val="nil"/>
              <w:bottom w:val="nil"/>
              <w:right w:val="nil"/>
            </w:tcBorders>
          </w:tcPr>
          <w:p w:rsidR="00731D8F" w:rsidRDefault="00731D8F">
            <w:pPr>
              <w:spacing w:before="60" w:after="60"/>
              <w:ind w:right="-29"/>
              <w:jc w:val="center"/>
              <w:rPr>
                <w:noProof/>
                <w:sz w:val="18"/>
                <w:szCs w:val="18"/>
              </w:rPr>
            </w:pPr>
          </w:p>
        </w:tc>
        <w:tc>
          <w:tcPr>
            <w:tcW w:w="900" w:type="dxa"/>
            <w:tcBorders>
              <w:top w:val="nil"/>
              <w:left w:val="nil"/>
              <w:bottom w:val="nil"/>
              <w:right w:val="nil"/>
            </w:tcBorders>
          </w:tcPr>
          <w:p w:rsidR="00731D8F" w:rsidRDefault="00731D8F">
            <w:pPr>
              <w:spacing w:before="60" w:after="60"/>
              <w:ind w:right="-29"/>
              <w:jc w:val="center"/>
              <w:rPr>
                <w:noProof/>
                <w:sz w:val="18"/>
                <w:szCs w:val="18"/>
              </w:rPr>
            </w:pPr>
          </w:p>
        </w:tc>
        <w:tc>
          <w:tcPr>
            <w:tcW w:w="720" w:type="dxa"/>
            <w:gridSpan w:val="2"/>
            <w:tcBorders>
              <w:top w:val="nil"/>
              <w:left w:val="nil"/>
              <w:bottom w:val="nil"/>
              <w:right w:val="nil"/>
            </w:tcBorders>
          </w:tcPr>
          <w:p w:rsidR="00731D8F" w:rsidRDefault="00731D8F">
            <w:pPr>
              <w:spacing w:before="60" w:after="60"/>
              <w:ind w:right="-29"/>
              <w:jc w:val="center"/>
              <w:rPr>
                <w:noProof/>
                <w:sz w:val="18"/>
                <w:szCs w:val="18"/>
              </w:rPr>
            </w:pPr>
          </w:p>
        </w:tc>
        <w:tc>
          <w:tcPr>
            <w:tcW w:w="540" w:type="dxa"/>
            <w:tcBorders>
              <w:top w:val="nil"/>
              <w:left w:val="nil"/>
              <w:bottom w:val="nil"/>
              <w:right w:val="nil"/>
            </w:tcBorders>
          </w:tcPr>
          <w:p w:rsidR="00731D8F" w:rsidRDefault="00731D8F">
            <w:pPr>
              <w:spacing w:before="60" w:after="60"/>
              <w:ind w:right="-29"/>
              <w:jc w:val="center"/>
              <w:rPr>
                <w:noProof/>
                <w:sz w:val="18"/>
                <w:szCs w:val="18"/>
              </w:rPr>
            </w:pPr>
          </w:p>
        </w:tc>
        <w:tc>
          <w:tcPr>
            <w:tcW w:w="648" w:type="dxa"/>
            <w:tcBorders>
              <w:top w:val="nil"/>
              <w:left w:val="nil"/>
              <w:bottom w:val="nil"/>
              <w:right w:val="nil"/>
            </w:tcBorders>
          </w:tcPr>
          <w:p w:rsidR="00731D8F" w:rsidRDefault="00731D8F">
            <w:pPr>
              <w:spacing w:before="60" w:after="60"/>
              <w:ind w:right="-29"/>
              <w:jc w:val="center"/>
              <w:rPr>
                <w:noProof/>
                <w:sz w:val="18"/>
                <w:szCs w:val="18"/>
              </w:rPr>
            </w:pPr>
          </w:p>
        </w:tc>
        <w:tc>
          <w:tcPr>
            <w:tcW w:w="432" w:type="dxa"/>
            <w:tcBorders>
              <w:top w:val="nil"/>
              <w:left w:val="nil"/>
              <w:bottom w:val="nil"/>
              <w:right w:val="nil"/>
            </w:tcBorders>
          </w:tcPr>
          <w:p w:rsidR="00731D8F" w:rsidRDefault="00731D8F">
            <w:pPr>
              <w:spacing w:before="60" w:after="60"/>
              <w:ind w:right="-29"/>
              <w:jc w:val="center"/>
              <w:rPr>
                <w:noProof/>
                <w:sz w:val="18"/>
                <w:szCs w:val="18"/>
              </w:rPr>
            </w:pPr>
          </w:p>
        </w:tc>
        <w:tc>
          <w:tcPr>
            <w:tcW w:w="720" w:type="dxa"/>
            <w:gridSpan w:val="2"/>
            <w:tcBorders>
              <w:top w:val="nil"/>
              <w:left w:val="nil"/>
              <w:bottom w:val="nil"/>
              <w:right w:val="nil"/>
            </w:tcBorders>
          </w:tcPr>
          <w:p w:rsidR="00731D8F" w:rsidRDefault="00731D8F">
            <w:pPr>
              <w:spacing w:before="60" w:after="60"/>
              <w:ind w:right="-29"/>
              <w:jc w:val="center"/>
              <w:rPr>
                <w:noProof/>
                <w:sz w:val="18"/>
                <w:szCs w:val="18"/>
              </w:rPr>
            </w:pPr>
          </w:p>
        </w:tc>
        <w:tc>
          <w:tcPr>
            <w:tcW w:w="540" w:type="dxa"/>
            <w:tcBorders>
              <w:top w:val="nil"/>
              <w:left w:val="nil"/>
              <w:bottom w:val="nil"/>
              <w:right w:val="nil"/>
            </w:tcBorders>
          </w:tcPr>
          <w:p w:rsidR="00731D8F" w:rsidRDefault="00731D8F">
            <w:pPr>
              <w:spacing w:before="60" w:after="60"/>
              <w:ind w:right="-29"/>
              <w:jc w:val="center"/>
              <w:rPr>
                <w:noProof/>
                <w:sz w:val="18"/>
                <w:szCs w:val="18"/>
              </w:rPr>
            </w:pPr>
          </w:p>
        </w:tc>
        <w:tc>
          <w:tcPr>
            <w:tcW w:w="720" w:type="dxa"/>
            <w:tcBorders>
              <w:top w:val="nil"/>
              <w:left w:val="nil"/>
              <w:bottom w:val="nil"/>
              <w:right w:val="nil"/>
            </w:tcBorders>
          </w:tcPr>
          <w:p w:rsidR="00731D8F" w:rsidRDefault="00731D8F">
            <w:pPr>
              <w:spacing w:before="60" w:after="60"/>
              <w:ind w:right="-29"/>
              <w:jc w:val="center"/>
              <w:rPr>
                <w:noProof/>
                <w:sz w:val="18"/>
                <w:szCs w:val="18"/>
              </w:rPr>
            </w:pPr>
          </w:p>
        </w:tc>
        <w:tc>
          <w:tcPr>
            <w:tcW w:w="720" w:type="dxa"/>
            <w:tcBorders>
              <w:top w:val="nil"/>
              <w:left w:val="nil"/>
              <w:bottom w:val="nil"/>
              <w:right w:val="nil"/>
            </w:tcBorders>
          </w:tcPr>
          <w:p w:rsidR="00731D8F" w:rsidRDefault="00731D8F">
            <w:pPr>
              <w:spacing w:before="60" w:after="60"/>
              <w:ind w:right="-29"/>
              <w:jc w:val="center"/>
              <w:rPr>
                <w:noProof/>
                <w:sz w:val="18"/>
                <w:szCs w:val="18"/>
              </w:rPr>
            </w:pPr>
          </w:p>
        </w:tc>
        <w:tc>
          <w:tcPr>
            <w:tcW w:w="900" w:type="dxa"/>
            <w:tcBorders>
              <w:top w:val="nil"/>
              <w:left w:val="nil"/>
              <w:bottom w:val="nil"/>
              <w:right w:val="nil"/>
            </w:tcBorders>
          </w:tcPr>
          <w:p w:rsidR="00731D8F" w:rsidRDefault="00731D8F">
            <w:pPr>
              <w:spacing w:before="60" w:after="60"/>
              <w:ind w:right="-29"/>
              <w:jc w:val="center"/>
              <w:rPr>
                <w:noProof/>
                <w:sz w:val="18"/>
                <w:szCs w:val="18"/>
              </w:rPr>
            </w:pPr>
          </w:p>
        </w:tc>
      </w:tr>
      <w:tr w:rsidR="00731D8F">
        <w:trPr>
          <w:trHeight w:hRule="exact" w:val="369"/>
          <w:jc w:val="center"/>
        </w:trPr>
        <w:tc>
          <w:tcPr>
            <w:tcW w:w="1423" w:type="dxa"/>
          </w:tcPr>
          <w:p w:rsidR="00731D8F" w:rsidRDefault="00214EE0">
            <w:pPr>
              <w:ind w:right="-29"/>
              <w:jc w:val="center"/>
              <w:rPr>
                <w:noProof/>
                <w:sz w:val="18"/>
                <w:szCs w:val="18"/>
              </w:rPr>
            </w:pPr>
            <w:r>
              <w:rPr>
                <w:noProof/>
                <w:sz w:val="18"/>
              </w:rPr>
              <w:t>Wykonawca</w:t>
            </w:r>
          </w:p>
        </w:tc>
        <w:tc>
          <w:tcPr>
            <w:tcW w:w="720" w:type="dxa"/>
          </w:tcPr>
          <w:p w:rsidR="00731D8F" w:rsidRDefault="00731D8F">
            <w:pPr>
              <w:ind w:right="-29"/>
              <w:jc w:val="center"/>
              <w:rPr>
                <w:noProof/>
                <w:sz w:val="18"/>
                <w:szCs w:val="18"/>
              </w:rPr>
            </w:pPr>
          </w:p>
        </w:tc>
        <w:tc>
          <w:tcPr>
            <w:tcW w:w="701" w:type="dxa"/>
          </w:tcPr>
          <w:p w:rsidR="00731D8F" w:rsidRDefault="00731D8F">
            <w:pPr>
              <w:ind w:right="-29"/>
              <w:jc w:val="center"/>
              <w:rPr>
                <w:noProof/>
                <w:sz w:val="18"/>
                <w:szCs w:val="18"/>
              </w:rPr>
            </w:pPr>
          </w:p>
        </w:tc>
        <w:tc>
          <w:tcPr>
            <w:tcW w:w="504" w:type="dxa"/>
            <w:tcBorders>
              <w:right w:val="dashSmallGap" w:sz="4" w:space="0" w:color="auto"/>
            </w:tcBorders>
          </w:tcPr>
          <w:p w:rsidR="00731D8F" w:rsidRDefault="00214EE0">
            <w:pPr>
              <w:ind w:right="-29"/>
              <w:jc w:val="center"/>
              <w:rPr>
                <w:noProof/>
                <w:sz w:val="18"/>
                <w:szCs w:val="18"/>
              </w:rPr>
            </w:pPr>
            <w:r>
              <w:rPr>
                <w:noProof/>
                <w:sz w:val="18"/>
              </w:rPr>
              <w:t>1</w:t>
            </w:r>
          </w:p>
        </w:tc>
        <w:tc>
          <w:tcPr>
            <w:tcW w:w="720" w:type="dxa"/>
            <w:tcBorders>
              <w:left w:val="dashSmallGap" w:sz="4" w:space="0" w:color="auto"/>
            </w:tcBorders>
          </w:tcPr>
          <w:p w:rsidR="00731D8F" w:rsidRDefault="00214EE0">
            <w:pPr>
              <w:ind w:right="-29"/>
              <w:jc w:val="center"/>
              <w:rPr>
                <w:noProof/>
                <w:sz w:val="18"/>
                <w:szCs w:val="18"/>
              </w:rPr>
            </w:pPr>
            <w:r>
              <w:rPr>
                <w:noProof/>
                <w:sz w:val="18"/>
              </w:rPr>
              <w:t>0,770</w:t>
            </w:r>
          </w:p>
        </w:tc>
        <w:tc>
          <w:tcPr>
            <w:tcW w:w="540" w:type="dxa"/>
            <w:tcBorders>
              <w:right w:val="dashSmallGap" w:sz="4" w:space="0" w:color="auto"/>
            </w:tcBorders>
          </w:tcPr>
          <w:p w:rsidR="00731D8F" w:rsidRDefault="00731D8F">
            <w:pPr>
              <w:ind w:right="-29"/>
              <w:jc w:val="center"/>
              <w:rPr>
                <w:noProof/>
                <w:sz w:val="18"/>
                <w:szCs w:val="18"/>
              </w:rPr>
            </w:pPr>
          </w:p>
        </w:tc>
        <w:tc>
          <w:tcPr>
            <w:tcW w:w="720" w:type="dxa"/>
            <w:tcBorders>
              <w:left w:val="dashSmallGap" w:sz="4" w:space="0" w:color="auto"/>
            </w:tcBorders>
          </w:tcPr>
          <w:p w:rsidR="00731D8F" w:rsidRDefault="00731D8F">
            <w:pPr>
              <w:ind w:right="-29"/>
              <w:jc w:val="center"/>
              <w:rPr>
                <w:noProof/>
                <w:sz w:val="18"/>
                <w:szCs w:val="18"/>
              </w:rPr>
            </w:pPr>
          </w:p>
        </w:tc>
        <w:tc>
          <w:tcPr>
            <w:tcW w:w="720" w:type="dxa"/>
            <w:tcBorders>
              <w:right w:val="dashSmallGap" w:sz="4" w:space="0" w:color="auto"/>
            </w:tcBorders>
          </w:tcPr>
          <w:p w:rsidR="00731D8F" w:rsidRDefault="00731D8F">
            <w:pPr>
              <w:ind w:right="-29"/>
              <w:jc w:val="center"/>
              <w:rPr>
                <w:noProof/>
                <w:sz w:val="18"/>
                <w:szCs w:val="18"/>
              </w:rPr>
            </w:pPr>
          </w:p>
        </w:tc>
        <w:tc>
          <w:tcPr>
            <w:tcW w:w="720" w:type="dxa"/>
            <w:tcBorders>
              <w:left w:val="dashSmallGap" w:sz="4" w:space="0" w:color="auto"/>
            </w:tcBorders>
          </w:tcPr>
          <w:p w:rsidR="00731D8F" w:rsidRDefault="00731D8F">
            <w:pPr>
              <w:ind w:right="-29"/>
              <w:jc w:val="center"/>
              <w:rPr>
                <w:noProof/>
                <w:sz w:val="18"/>
                <w:szCs w:val="18"/>
              </w:rPr>
            </w:pPr>
          </w:p>
        </w:tc>
        <w:tc>
          <w:tcPr>
            <w:tcW w:w="900" w:type="dxa"/>
            <w:tcBorders>
              <w:right w:val="dashSmallGap" w:sz="4" w:space="0" w:color="auto"/>
            </w:tcBorders>
          </w:tcPr>
          <w:p w:rsidR="00731D8F" w:rsidRDefault="00731D8F">
            <w:pPr>
              <w:ind w:right="-29"/>
              <w:jc w:val="center"/>
              <w:rPr>
                <w:noProof/>
                <w:sz w:val="18"/>
                <w:szCs w:val="18"/>
              </w:rPr>
            </w:pPr>
          </w:p>
        </w:tc>
        <w:tc>
          <w:tcPr>
            <w:tcW w:w="720" w:type="dxa"/>
            <w:gridSpan w:val="2"/>
            <w:tcBorders>
              <w:left w:val="dashSmallGap" w:sz="4" w:space="0" w:color="auto"/>
            </w:tcBorders>
          </w:tcPr>
          <w:p w:rsidR="00731D8F" w:rsidRDefault="00731D8F">
            <w:pPr>
              <w:ind w:right="-29"/>
              <w:jc w:val="center"/>
              <w:rPr>
                <w:noProof/>
                <w:sz w:val="18"/>
                <w:szCs w:val="18"/>
              </w:rPr>
            </w:pPr>
          </w:p>
        </w:tc>
        <w:tc>
          <w:tcPr>
            <w:tcW w:w="540" w:type="dxa"/>
            <w:tcBorders>
              <w:right w:val="dashSmallGap" w:sz="4" w:space="0" w:color="auto"/>
            </w:tcBorders>
          </w:tcPr>
          <w:p w:rsidR="00731D8F" w:rsidRDefault="00731D8F">
            <w:pPr>
              <w:ind w:right="-29"/>
              <w:jc w:val="center"/>
              <w:rPr>
                <w:noProof/>
                <w:sz w:val="18"/>
                <w:szCs w:val="18"/>
              </w:rPr>
            </w:pPr>
          </w:p>
        </w:tc>
        <w:tc>
          <w:tcPr>
            <w:tcW w:w="648" w:type="dxa"/>
            <w:tcBorders>
              <w:left w:val="dashSmallGap" w:sz="4" w:space="0" w:color="auto"/>
            </w:tcBorders>
          </w:tcPr>
          <w:p w:rsidR="00731D8F" w:rsidRDefault="00731D8F">
            <w:pPr>
              <w:ind w:right="-29"/>
              <w:jc w:val="center"/>
              <w:rPr>
                <w:noProof/>
                <w:sz w:val="18"/>
                <w:szCs w:val="18"/>
              </w:rPr>
            </w:pPr>
          </w:p>
        </w:tc>
        <w:tc>
          <w:tcPr>
            <w:tcW w:w="432" w:type="dxa"/>
            <w:tcBorders>
              <w:right w:val="dashSmallGap" w:sz="4" w:space="0" w:color="auto"/>
            </w:tcBorders>
          </w:tcPr>
          <w:p w:rsidR="00731D8F" w:rsidRDefault="00731D8F">
            <w:pPr>
              <w:ind w:right="-29"/>
              <w:jc w:val="center"/>
              <w:rPr>
                <w:noProof/>
                <w:sz w:val="18"/>
                <w:szCs w:val="18"/>
              </w:rPr>
            </w:pPr>
          </w:p>
        </w:tc>
        <w:tc>
          <w:tcPr>
            <w:tcW w:w="720" w:type="dxa"/>
            <w:gridSpan w:val="2"/>
            <w:tcBorders>
              <w:left w:val="dashSmallGap" w:sz="4" w:space="0" w:color="auto"/>
            </w:tcBorders>
          </w:tcPr>
          <w:p w:rsidR="00731D8F" w:rsidRDefault="00731D8F">
            <w:pPr>
              <w:ind w:right="-29"/>
              <w:jc w:val="center"/>
              <w:rPr>
                <w:noProof/>
                <w:sz w:val="18"/>
                <w:szCs w:val="18"/>
              </w:rPr>
            </w:pPr>
          </w:p>
        </w:tc>
        <w:tc>
          <w:tcPr>
            <w:tcW w:w="540" w:type="dxa"/>
            <w:tcBorders>
              <w:right w:val="dashSmallGap" w:sz="4" w:space="0" w:color="auto"/>
            </w:tcBorders>
          </w:tcPr>
          <w:p w:rsidR="00731D8F" w:rsidRDefault="00731D8F">
            <w:pPr>
              <w:ind w:right="-29"/>
              <w:jc w:val="center"/>
              <w:rPr>
                <w:noProof/>
                <w:sz w:val="18"/>
                <w:szCs w:val="18"/>
              </w:rPr>
            </w:pPr>
          </w:p>
        </w:tc>
        <w:tc>
          <w:tcPr>
            <w:tcW w:w="720" w:type="dxa"/>
            <w:tcBorders>
              <w:left w:val="dashSmallGap" w:sz="4" w:space="0" w:color="auto"/>
            </w:tcBorders>
          </w:tcPr>
          <w:p w:rsidR="00731D8F" w:rsidRDefault="00731D8F">
            <w:pPr>
              <w:ind w:right="-29"/>
              <w:jc w:val="center"/>
              <w:rPr>
                <w:noProof/>
                <w:sz w:val="18"/>
                <w:szCs w:val="18"/>
              </w:rPr>
            </w:pPr>
          </w:p>
        </w:tc>
        <w:tc>
          <w:tcPr>
            <w:tcW w:w="720" w:type="dxa"/>
          </w:tcPr>
          <w:p w:rsidR="00731D8F" w:rsidRDefault="00731D8F">
            <w:pPr>
              <w:ind w:right="-29"/>
              <w:jc w:val="center"/>
              <w:rPr>
                <w:noProof/>
                <w:sz w:val="18"/>
                <w:szCs w:val="18"/>
              </w:rPr>
            </w:pPr>
          </w:p>
        </w:tc>
        <w:tc>
          <w:tcPr>
            <w:tcW w:w="900" w:type="dxa"/>
          </w:tcPr>
          <w:p w:rsidR="00731D8F" w:rsidRDefault="00214EE0">
            <w:pPr>
              <w:ind w:right="-29"/>
              <w:jc w:val="center"/>
              <w:rPr>
                <w:noProof/>
                <w:sz w:val="18"/>
                <w:szCs w:val="18"/>
              </w:rPr>
            </w:pPr>
            <w:r>
              <w:rPr>
                <w:noProof/>
                <w:sz w:val="18"/>
              </w:rPr>
              <w:t>0,770</w:t>
            </w:r>
          </w:p>
        </w:tc>
      </w:tr>
      <w:tr w:rsidR="00731D8F">
        <w:trPr>
          <w:trHeight w:hRule="exact" w:val="369"/>
          <w:jc w:val="center"/>
        </w:trPr>
        <w:tc>
          <w:tcPr>
            <w:tcW w:w="1423" w:type="dxa"/>
          </w:tcPr>
          <w:p w:rsidR="00731D8F" w:rsidRDefault="00214EE0">
            <w:pPr>
              <w:ind w:right="-29"/>
              <w:jc w:val="center"/>
              <w:rPr>
                <w:noProof/>
                <w:sz w:val="18"/>
                <w:szCs w:val="18"/>
              </w:rPr>
            </w:pPr>
            <w:r>
              <w:rPr>
                <w:noProof/>
                <w:sz w:val="18"/>
              </w:rPr>
              <w:t>Oprogramowanie</w:t>
            </w:r>
          </w:p>
        </w:tc>
        <w:tc>
          <w:tcPr>
            <w:tcW w:w="720" w:type="dxa"/>
          </w:tcPr>
          <w:p w:rsidR="00731D8F" w:rsidRDefault="00731D8F">
            <w:pPr>
              <w:ind w:right="-29"/>
              <w:jc w:val="center"/>
              <w:rPr>
                <w:noProof/>
                <w:sz w:val="18"/>
                <w:szCs w:val="18"/>
              </w:rPr>
            </w:pPr>
          </w:p>
        </w:tc>
        <w:tc>
          <w:tcPr>
            <w:tcW w:w="701" w:type="dxa"/>
          </w:tcPr>
          <w:p w:rsidR="00731D8F" w:rsidRDefault="00731D8F">
            <w:pPr>
              <w:ind w:right="-29"/>
              <w:jc w:val="center"/>
              <w:rPr>
                <w:noProof/>
                <w:sz w:val="18"/>
                <w:szCs w:val="18"/>
              </w:rPr>
            </w:pPr>
          </w:p>
        </w:tc>
        <w:tc>
          <w:tcPr>
            <w:tcW w:w="504" w:type="dxa"/>
            <w:tcBorders>
              <w:right w:val="dashSmallGap" w:sz="4" w:space="0" w:color="auto"/>
            </w:tcBorders>
          </w:tcPr>
          <w:p w:rsidR="00731D8F" w:rsidRDefault="00214EE0">
            <w:pPr>
              <w:ind w:right="-29"/>
              <w:jc w:val="center"/>
              <w:rPr>
                <w:noProof/>
                <w:sz w:val="18"/>
                <w:szCs w:val="18"/>
              </w:rPr>
            </w:pPr>
            <w:r>
              <w:rPr>
                <w:noProof/>
                <w:sz w:val="18"/>
              </w:rPr>
              <w:t>1</w:t>
            </w:r>
          </w:p>
        </w:tc>
        <w:tc>
          <w:tcPr>
            <w:tcW w:w="720" w:type="dxa"/>
            <w:tcBorders>
              <w:left w:val="dashSmallGap" w:sz="4" w:space="0" w:color="auto"/>
            </w:tcBorders>
          </w:tcPr>
          <w:p w:rsidR="00731D8F" w:rsidRDefault="00214EE0">
            <w:pPr>
              <w:ind w:right="-29"/>
              <w:jc w:val="center"/>
              <w:rPr>
                <w:noProof/>
                <w:sz w:val="18"/>
                <w:szCs w:val="18"/>
              </w:rPr>
            </w:pPr>
            <w:r>
              <w:rPr>
                <w:noProof/>
                <w:sz w:val="18"/>
              </w:rPr>
              <w:t>1,500</w:t>
            </w:r>
          </w:p>
        </w:tc>
        <w:tc>
          <w:tcPr>
            <w:tcW w:w="540" w:type="dxa"/>
            <w:tcBorders>
              <w:right w:val="dashSmallGap" w:sz="4" w:space="0" w:color="auto"/>
            </w:tcBorders>
          </w:tcPr>
          <w:p w:rsidR="00731D8F" w:rsidRDefault="00731D8F">
            <w:pPr>
              <w:ind w:right="-29"/>
              <w:jc w:val="center"/>
              <w:rPr>
                <w:noProof/>
                <w:sz w:val="18"/>
                <w:szCs w:val="18"/>
              </w:rPr>
            </w:pPr>
          </w:p>
        </w:tc>
        <w:tc>
          <w:tcPr>
            <w:tcW w:w="720" w:type="dxa"/>
            <w:tcBorders>
              <w:left w:val="dashSmallGap" w:sz="4" w:space="0" w:color="auto"/>
            </w:tcBorders>
          </w:tcPr>
          <w:p w:rsidR="00731D8F" w:rsidRDefault="00731D8F">
            <w:pPr>
              <w:ind w:right="-29"/>
              <w:jc w:val="center"/>
              <w:rPr>
                <w:noProof/>
                <w:sz w:val="18"/>
                <w:szCs w:val="18"/>
              </w:rPr>
            </w:pPr>
          </w:p>
        </w:tc>
        <w:tc>
          <w:tcPr>
            <w:tcW w:w="720" w:type="dxa"/>
            <w:tcBorders>
              <w:right w:val="dashSmallGap" w:sz="4" w:space="0" w:color="auto"/>
            </w:tcBorders>
          </w:tcPr>
          <w:p w:rsidR="00731D8F" w:rsidRDefault="00731D8F">
            <w:pPr>
              <w:ind w:right="-29"/>
              <w:jc w:val="center"/>
              <w:rPr>
                <w:noProof/>
                <w:sz w:val="18"/>
                <w:szCs w:val="18"/>
              </w:rPr>
            </w:pPr>
          </w:p>
        </w:tc>
        <w:tc>
          <w:tcPr>
            <w:tcW w:w="720" w:type="dxa"/>
            <w:tcBorders>
              <w:left w:val="dashSmallGap" w:sz="4" w:space="0" w:color="auto"/>
            </w:tcBorders>
          </w:tcPr>
          <w:p w:rsidR="00731D8F" w:rsidRDefault="00731D8F">
            <w:pPr>
              <w:ind w:right="-29"/>
              <w:jc w:val="center"/>
              <w:rPr>
                <w:noProof/>
                <w:sz w:val="18"/>
                <w:szCs w:val="18"/>
              </w:rPr>
            </w:pPr>
          </w:p>
        </w:tc>
        <w:tc>
          <w:tcPr>
            <w:tcW w:w="900" w:type="dxa"/>
            <w:tcBorders>
              <w:right w:val="dashSmallGap" w:sz="4" w:space="0" w:color="auto"/>
            </w:tcBorders>
          </w:tcPr>
          <w:p w:rsidR="00731D8F" w:rsidRDefault="00731D8F">
            <w:pPr>
              <w:ind w:right="-29"/>
              <w:jc w:val="center"/>
              <w:rPr>
                <w:noProof/>
                <w:sz w:val="18"/>
                <w:szCs w:val="18"/>
              </w:rPr>
            </w:pPr>
          </w:p>
        </w:tc>
        <w:tc>
          <w:tcPr>
            <w:tcW w:w="720" w:type="dxa"/>
            <w:gridSpan w:val="2"/>
            <w:tcBorders>
              <w:left w:val="dashSmallGap" w:sz="4" w:space="0" w:color="auto"/>
            </w:tcBorders>
          </w:tcPr>
          <w:p w:rsidR="00731D8F" w:rsidRDefault="00731D8F">
            <w:pPr>
              <w:ind w:right="-29"/>
              <w:jc w:val="center"/>
              <w:rPr>
                <w:noProof/>
                <w:sz w:val="18"/>
                <w:szCs w:val="18"/>
              </w:rPr>
            </w:pPr>
          </w:p>
        </w:tc>
        <w:tc>
          <w:tcPr>
            <w:tcW w:w="540" w:type="dxa"/>
            <w:tcBorders>
              <w:right w:val="dashSmallGap" w:sz="4" w:space="0" w:color="auto"/>
            </w:tcBorders>
          </w:tcPr>
          <w:p w:rsidR="00731D8F" w:rsidRDefault="00731D8F">
            <w:pPr>
              <w:ind w:right="-29"/>
              <w:jc w:val="center"/>
              <w:rPr>
                <w:noProof/>
                <w:sz w:val="18"/>
                <w:szCs w:val="18"/>
              </w:rPr>
            </w:pPr>
          </w:p>
        </w:tc>
        <w:tc>
          <w:tcPr>
            <w:tcW w:w="648" w:type="dxa"/>
            <w:tcBorders>
              <w:left w:val="dashSmallGap" w:sz="4" w:space="0" w:color="auto"/>
            </w:tcBorders>
          </w:tcPr>
          <w:p w:rsidR="00731D8F" w:rsidRDefault="00731D8F">
            <w:pPr>
              <w:ind w:right="-29"/>
              <w:jc w:val="center"/>
              <w:rPr>
                <w:noProof/>
                <w:sz w:val="18"/>
                <w:szCs w:val="18"/>
              </w:rPr>
            </w:pPr>
          </w:p>
        </w:tc>
        <w:tc>
          <w:tcPr>
            <w:tcW w:w="432" w:type="dxa"/>
            <w:tcBorders>
              <w:right w:val="dashSmallGap" w:sz="4" w:space="0" w:color="auto"/>
            </w:tcBorders>
          </w:tcPr>
          <w:p w:rsidR="00731D8F" w:rsidRDefault="00731D8F">
            <w:pPr>
              <w:ind w:right="-29"/>
              <w:jc w:val="center"/>
              <w:rPr>
                <w:noProof/>
                <w:sz w:val="18"/>
                <w:szCs w:val="18"/>
              </w:rPr>
            </w:pPr>
          </w:p>
        </w:tc>
        <w:tc>
          <w:tcPr>
            <w:tcW w:w="720" w:type="dxa"/>
            <w:gridSpan w:val="2"/>
            <w:tcBorders>
              <w:left w:val="dashSmallGap" w:sz="4" w:space="0" w:color="auto"/>
            </w:tcBorders>
          </w:tcPr>
          <w:p w:rsidR="00731D8F" w:rsidRDefault="00731D8F">
            <w:pPr>
              <w:ind w:right="-29"/>
              <w:jc w:val="center"/>
              <w:rPr>
                <w:noProof/>
                <w:sz w:val="18"/>
                <w:szCs w:val="18"/>
              </w:rPr>
            </w:pPr>
          </w:p>
        </w:tc>
        <w:tc>
          <w:tcPr>
            <w:tcW w:w="540" w:type="dxa"/>
            <w:tcBorders>
              <w:right w:val="dashSmallGap" w:sz="4" w:space="0" w:color="auto"/>
            </w:tcBorders>
          </w:tcPr>
          <w:p w:rsidR="00731D8F" w:rsidRDefault="00731D8F">
            <w:pPr>
              <w:ind w:right="-29"/>
              <w:jc w:val="center"/>
              <w:rPr>
                <w:noProof/>
                <w:sz w:val="18"/>
                <w:szCs w:val="18"/>
              </w:rPr>
            </w:pPr>
          </w:p>
        </w:tc>
        <w:tc>
          <w:tcPr>
            <w:tcW w:w="720" w:type="dxa"/>
            <w:tcBorders>
              <w:left w:val="dashSmallGap" w:sz="4" w:space="0" w:color="auto"/>
            </w:tcBorders>
          </w:tcPr>
          <w:p w:rsidR="00731D8F" w:rsidRDefault="00731D8F">
            <w:pPr>
              <w:ind w:right="-29"/>
              <w:jc w:val="center"/>
              <w:rPr>
                <w:noProof/>
                <w:sz w:val="18"/>
                <w:szCs w:val="18"/>
              </w:rPr>
            </w:pPr>
          </w:p>
        </w:tc>
        <w:tc>
          <w:tcPr>
            <w:tcW w:w="720" w:type="dxa"/>
          </w:tcPr>
          <w:p w:rsidR="00731D8F" w:rsidRDefault="00731D8F">
            <w:pPr>
              <w:ind w:right="-29"/>
              <w:jc w:val="center"/>
              <w:rPr>
                <w:noProof/>
                <w:sz w:val="18"/>
                <w:szCs w:val="18"/>
              </w:rPr>
            </w:pPr>
          </w:p>
        </w:tc>
        <w:tc>
          <w:tcPr>
            <w:tcW w:w="900" w:type="dxa"/>
          </w:tcPr>
          <w:p w:rsidR="00731D8F" w:rsidRDefault="00214EE0">
            <w:pPr>
              <w:ind w:right="-29"/>
              <w:jc w:val="center"/>
              <w:rPr>
                <w:noProof/>
                <w:sz w:val="18"/>
                <w:szCs w:val="18"/>
              </w:rPr>
            </w:pPr>
            <w:r>
              <w:rPr>
                <w:noProof/>
                <w:sz w:val="18"/>
              </w:rPr>
              <w:t>1,500</w:t>
            </w:r>
          </w:p>
        </w:tc>
      </w:tr>
      <w:tr w:rsidR="00731D8F">
        <w:trPr>
          <w:trHeight w:hRule="exact" w:val="369"/>
          <w:jc w:val="center"/>
        </w:trPr>
        <w:tc>
          <w:tcPr>
            <w:tcW w:w="1423" w:type="dxa"/>
          </w:tcPr>
          <w:p w:rsidR="00731D8F" w:rsidRDefault="00214EE0">
            <w:pPr>
              <w:ind w:right="-29"/>
              <w:jc w:val="center"/>
              <w:rPr>
                <w:noProof/>
                <w:sz w:val="18"/>
                <w:szCs w:val="18"/>
              </w:rPr>
            </w:pPr>
            <w:r>
              <w:rPr>
                <w:noProof/>
                <w:sz w:val="18"/>
              </w:rPr>
              <w:t>Sprzęt</w:t>
            </w:r>
          </w:p>
        </w:tc>
        <w:tc>
          <w:tcPr>
            <w:tcW w:w="720" w:type="dxa"/>
          </w:tcPr>
          <w:p w:rsidR="00731D8F" w:rsidRDefault="00731D8F">
            <w:pPr>
              <w:ind w:right="-29"/>
              <w:jc w:val="center"/>
              <w:rPr>
                <w:noProof/>
                <w:sz w:val="18"/>
                <w:szCs w:val="18"/>
              </w:rPr>
            </w:pPr>
          </w:p>
        </w:tc>
        <w:tc>
          <w:tcPr>
            <w:tcW w:w="701" w:type="dxa"/>
          </w:tcPr>
          <w:p w:rsidR="00731D8F" w:rsidRDefault="00731D8F">
            <w:pPr>
              <w:ind w:right="-29"/>
              <w:jc w:val="center"/>
              <w:rPr>
                <w:noProof/>
                <w:sz w:val="18"/>
                <w:szCs w:val="18"/>
              </w:rPr>
            </w:pPr>
          </w:p>
        </w:tc>
        <w:tc>
          <w:tcPr>
            <w:tcW w:w="504" w:type="dxa"/>
          </w:tcPr>
          <w:p w:rsidR="00731D8F" w:rsidRDefault="00214EE0">
            <w:pPr>
              <w:ind w:right="-29"/>
              <w:jc w:val="center"/>
              <w:rPr>
                <w:noProof/>
                <w:sz w:val="18"/>
                <w:szCs w:val="18"/>
              </w:rPr>
            </w:pPr>
            <w:r>
              <w:rPr>
                <w:noProof/>
                <w:sz w:val="18"/>
              </w:rPr>
              <w:t>1</w:t>
            </w:r>
          </w:p>
        </w:tc>
        <w:tc>
          <w:tcPr>
            <w:tcW w:w="720" w:type="dxa"/>
          </w:tcPr>
          <w:p w:rsidR="00731D8F" w:rsidRDefault="00214EE0">
            <w:pPr>
              <w:ind w:right="-29"/>
              <w:jc w:val="center"/>
              <w:rPr>
                <w:noProof/>
                <w:sz w:val="18"/>
                <w:szCs w:val="18"/>
              </w:rPr>
            </w:pPr>
            <w:r>
              <w:rPr>
                <w:noProof/>
                <w:sz w:val="18"/>
              </w:rPr>
              <w:t>0,250</w:t>
            </w:r>
          </w:p>
        </w:tc>
        <w:tc>
          <w:tcPr>
            <w:tcW w:w="540" w:type="dxa"/>
          </w:tcPr>
          <w:p w:rsidR="00731D8F" w:rsidRDefault="00731D8F">
            <w:pPr>
              <w:ind w:right="-29"/>
              <w:jc w:val="center"/>
              <w:rPr>
                <w:noProof/>
                <w:sz w:val="18"/>
                <w:szCs w:val="18"/>
              </w:rPr>
            </w:pPr>
          </w:p>
        </w:tc>
        <w:tc>
          <w:tcPr>
            <w:tcW w:w="720" w:type="dxa"/>
          </w:tcPr>
          <w:p w:rsidR="00731D8F" w:rsidRDefault="00731D8F">
            <w:pPr>
              <w:ind w:right="-29"/>
              <w:jc w:val="center"/>
              <w:rPr>
                <w:noProof/>
                <w:sz w:val="18"/>
                <w:szCs w:val="18"/>
              </w:rPr>
            </w:pPr>
          </w:p>
        </w:tc>
        <w:tc>
          <w:tcPr>
            <w:tcW w:w="720" w:type="dxa"/>
          </w:tcPr>
          <w:p w:rsidR="00731D8F" w:rsidRDefault="00731D8F">
            <w:pPr>
              <w:ind w:right="-29"/>
              <w:jc w:val="center"/>
              <w:rPr>
                <w:noProof/>
                <w:sz w:val="18"/>
                <w:szCs w:val="18"/>
              </w:rPr>
            </w:pPr>
          </w:p>
        </w:tc>
        <w:tc>
          <w:tcPr>
            <w:tcW w:w="720" w:type="dxa"/>
          </w:tcPr>
          <w:p w:rsidR="00731D8F" w:rsidRDefault="00731D8F">
            <w:pPr>
              <w:ind w:right="-29"/>
              <w:jc w:val="center"/>
              <w:rPr>
                <w:noProof/>
                <w:sz w:val="18"/>
                <w:szCs w:val="18"/>
              </w:rPr>
            </w:pPr>
          </w:p>
        </w:tc>
        <w:tc>
          <w:tcPr>
            <w:tcW w:w="900" w:type="dxa"/>
          </w:tcPr>
          <w:p w:rsidR="00731D8F" w:rsidRDefault="00731D8F">
            <w:pPr>
              <w:ind w:right="-29"/>
              <w:jc w:val="center"/>
              <w:rPr>
                <w:noProof/>
                <w:sz w:val="18"/>
                <w:szCs w:val="18"/>
              </w:rPr>
            </w:pPr>
          </w:p>
        </w:tc>
        <w:tc>
          <w:tcPr>
            <w:tcW w:w="720" w:type="dxa"/>
            <w:gridSpan w:val="2"/>
          </w:tcPr>
          <w:p w:rsidR="00731D8F" w:rsidRDefault="00731D8F">
            <w:pPr>
              <w:ind w:right="-29"/>
              <w:jc w:val="center"/>
              <w:rPr>
                <w:noProof/>
                <w:sz w:val="18"/>
                <w:szCs w:val="18"/>
              </w:rPr>
            </w:pPr>
          </w:p>
        </w:tc>
        <w:tc>
          <w:tcPr>
            <w:tcW w:w="540" w:type="dxa"/>
          </w:tcPr>
          <w:p w:rsidR="00731D8F" w:rsidRDefault="00731D8F">
            <w:pPr>
              <w:ind w:right="-29"/>
              <w:jc w:val="center"/>
              <w:rPr>
                <w:noProof/>
                <w:sz w:val="18"/>
                <w:szCs w:val="18"/>
              </w:rPr>
            </w:pPr>
          </w:p>
        </w:tc>
        <w:tc>
          <w:tcPr>
            <w:tcW w:w="648" w:type="dxa"/>
          </w:tcPr>
          <w:p w:rsidR="00731D8F" w:rsidRDefault="00731D8F">
            <w:pPr>
              <w:ind w:right="-29"/>
              <w:jc w:val="center"/>
              <w:rPr>
                <w:noProof/>
                <w:sz w:val="18"/>
                <w:szCs w:val="18"/>
              </w:rPr>
            </w:pPr>
          </w:p>
        </w:tc>
        <w:tc>
          <w:tcPr>
            <w:tcW w:w="432" w:type="dxa"/>
          </w:tcPr>
          <w:p w:rsidR="00731D8F" w:rsidRDefault="00731D8F">
            <w:pPr>
              <w:ind w:right="-29"/>
              <w:jc w:val="center"/>
              <w:rPr>
                <w:noProof/>
                <w:sz w:val="18"/>
                <w:szCs w:val="18"/>
              </w:rPr>
            </w:pPr>
          </w:p>
        </w:tc>
        <w:tc>
          <w:tcPr>
            <w:tcW w:w="720" w:type="dxa"/>
            <w:gridSpan w:val="2"/>
          </w:tcPr>
          <w:p w:rsidR="00731D8F" w:rsidRDefault="00731D8F">
            <w:pPr>
              <w:ind w:right="-29"/>
              <w:jc w:val="center"/>
              <w:rPr>
                <w:noProof/>
                <w:sz w:val="18"/>
                <w:szCs w:val="18"/>
              </w:rPr>
            </w:pPr>
          </w:p>
        </w:tc>
        <w:tc>
          <w:tcPr>
            <w:tcW w:w="540" w:type="dxa"/>
          </w:tcPr>
          <w:p w:rsidR="00731D8F" w:rsidRDefault="00731D8F">
            <w:pPr>
              <w:ind w:right="-29"/>
              <w:jc w:val="center"/>
              <w:rPr>
                <w:noProof/>
                <w:sz w:val="18"/>
                <w:szCs w:val="18"/>
              </w:rPr>
            </w:pPr>
          </w:p>
        </w:tc>
        <w:tc>
          <w:tcPr>
            <w:tcW w:w="720" w:type="dxa"/>
          </w:tcPr>
          <w:p w:rsidR="00731D8F" w:rsidRDefault="00731D8F">
            <w:pPr>
              <w:ind w:right="-29"/>
              <w:jc w:val="center"/>
              <w:rPr>
                <w:noProof/>
                <w:sz w:val="18"/>
                <w:szCs w:val="18"/>
              </w:rPr>
            </w:pPr>
          </w:p>
        </w:tc>
        <w:tc>
          <w:tcPr>
            <w:tcW w:w="720" w:type="dxa"/>
          </w:tcPr>
          <w:p w:rsidR="00731D8F" w:rsidRDefault="00731D8F">
            <w:pPr>
              <w:ind w:right="-29"/>
              <w:jc w:val="center"/>
              <w:rPr>
                <w:noProof/>
                <w:sz w:val="18"/>
                <w:szCs w:val="18"/>
              </w:rPr>
            </w:pPr>
          </w:p>
        </w:tc>
        <w:tc>
          <w:tcPr>
            <w:tcW w:w="900" w:type="dxa"/>
          </w:tcPr>
          <w:p w:rsidR="00731D8F" w:rsidRDefault="00214EE0">
            <w:pPr>
              <w:ind w:right="-29"/>
              <w:jc w:val="center"/>
              <w:rPr>
                <w:noProof/>
                <w:sz w:val="18"/>
                <w:szCs w:val="18"/>
              </w:rPr>
            </w:pPr>
            <w:r>
              <w:rPr>
                <w:noProof/>
                <w:sz w:val="18"/>
              </w:rPr>
              <w:t>0,250</w:t>
            </w:r>
          </w:p>
        </w:tc>
      </w:tr>
      <w:tr w:rsidR="00731D8F">
        <w:trPr>
          <w:jc w:val="center"/>
        </w:trPr>
        <w:tc>
          <w:tcPr>
            <w:tcW w:w="2844" w:type="dxa"/>
            <w:gridSpan w:val="3"/>
            <w:tcBorders>
              <w:bottom w:val="single" w:sz="12" w:space="0" w:color="auto"/>
            </w:tcBorders>
            <w:vAlign w:val="center"/>
          </w:tcPr>
          <w:p w:rsidR="00731D8F" w:rsidRDefault="00214EE0">
            <w:pPr>
              <w:ind w:right="-29"/>
              <w:jc w:val="center"/>
              <w:rPr>
                <w:noProof/>
                <w:sz w:val="18"/>
                <w:szCs w:val="18"/>
              </w:rPr>
            </w:pPr>
            <w:r>
              <w:rPr>
                <w:noProof/>
                <w:sz w:val="18"/>
              </w:rPr>
              <w:t>Cel szczegółowy nr 1 – suma cząstkowa</w:t>
            </w:r>
          </w:p>
        </w:tc>
        <w:tc>
          <w:tcPr>
            <w:tcW w:w="504" w:type="dxa"/>
            <w:tcBorders>
              <w:bottom w:val="single" w:sz="12" w:space="0" w:color="auto"/>
            </w:tcBorders>
          </w:tcPr>
          <w:p w:rsidR="00731D8F" w:rsidRDefault="00731D8F">
            <w:pPr>
              <w:ind w:right="-29"/>
              <w:jc w:val="center"/>
              <w:rPr>
                <w:noProof/>
                <w:sz w:val="18"/>
                <w:szCs w:val="18"/>
              </w:rPr>
            </w:pPr>
          </w:p>
        </w:tc>
        <w:tc>
          <w:tcPr>
            <w:tcW w:w="720" w:type="dxa"/>
            <w:tcBorders>
              <w:bottom w:val="single" w:sz="12" w:space="0" w:color="auto"/>
            </w:tcBorders>
          </w:tcPr>
          <w:p w:rsidR="00731D8F" w:rsidRDefault="00214EE0">
            <w:pPr>
              <w:ind w:right="-29"/>
              <w:jc w:val="center"/>
              <w:rPr>
                <w:noProof/>
                <w:sz w:val="18"/>
                <w:szCs w:val="18"/>
              </w:rPr>
            </w:pPr>
            <w:r>
              <w:rPr>
                <w:noProof/>
                <w:sz w:val="18"/>
              </w:rPr>
              <w:t>2,520</w:t>
            </w:r>
          </w:p>
        </w:tc>
        <w:tc>
          <w:tcPr>
            <w:tcW w:w="540" w:type="dxa"/>
            <w:tcBorders>
              <w:bottom w:val="single" w:sz="12" w:space="0" w:color="auto"/>
            </w:tcBorders>
          </w:tcPr>
          <w:p w:rsidR="00731D8F" w:rsidRDefault="00731D8F">
            <w:pPr>
              <w:ind w:right="-29"/>
              <w:jc w:val="center"/>
              <w:rPr>
                <w:noProof/>
                <w:sz w:val="18"/>
                <w:szCs w:val="18"/>
              </w:rPr>
            </w:pPr>
          </w:p>
        </w:tc>
        <w:tc>
          <w:tcPr>
            <w:tcW w:w="720" w:type="dxa"/>
            <w:tcBorders>
              <w:bottom w:val="single" w:sz="12" w:space="0" w:color="auto"/>
            </w:tcBorders>
          </w:tcPr>
          <w:p w:rsidR="00731D8F" w:rsidRDefault="00731D8F">
            <w:pPr>
              <w:ind w:right="-29"/>
              <w:jc w:val="center"/>
              <w:rPr>
                <w:noProof/>
                <w:sz w:val="18"/>
                <w:szCs w:val="18"/>
              </w:rPr>
            </w:pPr>
          </w:p>
        </w:tc>
        <w:tc>
          <w:tcPr>
            <w:tcW w:w="720" w:type="dxa"/>
            <w:tcBorders>
              <w:bottom w:val="single" w:sz="12" w:space="0" w:color="auto"/>
            </w:tcBorders>
          </w:tcPr>
          <w:p w:rsidR="00731D8F" w:rsidRDefault="00731D8F">
            <w:pPr>
              <w:ind w:right="-29"/>
              <w:jc w:val="center"/>
              <w:rPr>
                <w:noProof/>
                <w:sz w:val="18"/>
                <w:szCs w:val="18"/>
              </w:rPr>
            </w:pPr>
          </w:p>
        </w:tc>
        <w:tc>
          <w:tcPr>
            <w:tcW w:w="720" w:type="dxa"/>
            <w:tcBorders>
              <w:bottom w:val="single" w:sz="12" w:space="0" w:color="auto"/>
            </w:tcBorders>
          </w:tcPr>
          <w:p w:rsidR="00731D8F" w:rsidRDefault="00731D8F">
            <w:pPr>
              <w:ind w:right="-29"/>
              <w:jc w:val="center"/>
              <w:rPr>
                <w:noProof/>
                <w:sz w:val="18"/>
                <w:szCs w:val="18"/>
              </w:rPr>
            </w:pPr>
          </w:p>
        </w:tc>
        <w:tc>
          <w:tcPr>
            <w:tcW w:w="900" w:type="dxa"/>
            <w:tcBorders>
              <w:bottom w:val="single" w:sz="12" w:space="0" w:color="auto"/>
            </w:tcBorders>
          </w:tcPr>
          <w:p w:rsidR="00731D8F" w:rsidRDefault="00731D8F">
            <w:pPr>
              <w:ind w:right="-29"/>
              <w:jc w:val="center"/>
              <w:rPr>
                <w:noProof/>
                <w:sz w:val="18"/>
                <w:szCs w:val="18"/>
              </w:rPr>
            </w:pPr>
          </w:p>
        </w:tc>
        <w:tc>
          <w:tcPr>
            <w:tcW w:w="720" w:type="dxa"/>
            <w:gridSpan w:val="2"/>
            <w:tcBorders>
              <w:bottom w:val="single" w:sz="12" w:space="0" w:color="auto"/>
            </w:tcBorders>
          </w:tcPr>
          <w:p w:rsidR="00731D8F" w:rsidRDefault="00731D8F">
            <w:pPr>
              <w:ind w:right="-29"/>
              <w:jc w:val="center"/>
              <w:rPr>
                <w:noProof/>
                <w:sz w:val="18"/>
                <w:szCs w:val="18"/>
              </w:rPr>
            </w:pPr>
          </w:p>
        </w:tc>
        <w:tc>
          <w:tcPr>
            <w:tcW w:w="540" w:type="dxa"/>
            <w:tcBorders>
              <w:bottom w:val="single" w:sz="12" w:space="0" w:color="auto"/>
            </w:tcBorders>
          </w:tcPr>
          <w:p w:rsidR="00731D8F" w:rsidRDefault="00731D8F">
            <w:pPr>
              <w:ind w:right="-29"/>
              <w:jc w:val="center"/>
              <w:rPr>
                <w:noProof/>
                <w:sz w:val="18"/>
                <w:szCs w:val="18"/>
              </w:rPr>
            </w:pPr>
          </w:p>
        </w:tc>
        <w:tc>
          <w:tcPr>
            <w:tcW w:w="648" w:type="dxa"/>
            <w:tcBorders>
              <w:bottom w:val="single" w:sz="12" w:space="0" w:color="auto"/>
            </w:tcBorders>
          </w:tcPr>
          <w:p w:rsidR="00731D8F" w:rsidRDefault="00731D8F">
            <w:pPr>
              <w:ind w:right="-29"/>
              <w:jc w:val="center"/>
              <w:rPr>
                <w:noProof/>
                <w:sz w:val="18"/>
                <w:szCs w:val="18"/>
              </w:rPr>
            </w:pPr>
          </w:p>
        </w:tc>
        <w:tc>
          <w:tcPr>
            <w:tcW w:w="432" w:type="dxa"/>
            <w:tcBorders>
              <w:bottom w:val="single" w:sz="12" w:space="0" w:color="auto"/>
            </w:tcBorders>
          </w:tcPr>
          <w:p w:rsidR="00731D8F" w:rsidRDefault="00731D8F">
            <w:pPr>
              <w:ind w:right="-29"/>
              <w:jc w:val="center"/>
              <w:rPr>
                <w:noProof/>
                <w:sz w:val="18"/>
                <w:szCs w:val="18"/>
              </w:rPr>
            </w:pPr>
          </w:p>
        </w:tc>
        <w:tc>
          <w:tcPr>
            <w:tcW w:w="720" w:type="dxa"/>
            <w:gridSpan w:val="2"/>
            <w:tcBorders>
              <w:bottom w:val="single" w:sz="12" w:space="0" w:color="auto"/>
            </w:tcBorders>
          </w:tcPr>
          <w:p w:rsidR="00731D8F" w:rsidRDefault="00731D8F">
            <w:pPr>
              <w:ind w:right="-29"/>
              <w:jc w:val="center"/>
              <w:rPr>
                <w:noProof/>
                <w:sz w:val="18"/>
                <w:szCs w:val="18"/>
              </w:rPr>
            </w:pPr>
          </w:p>
        </w:tc>
        <w:tc>
          <w:tcPr>
            <w:tcW w:w="540" w:type="dxa"/>
            <w:tcBorders>
              <w:bottom w:val="single" w:sz="12" w:space="0" w:color="auto"/>
            </w:tcBorders>
          </w:tcPr>
          <w:p w:rsidR="00731D8F" w:rsidRDefault="00731D8F">
            <w:pPr>
              <w:ind w:right="-29"/>
              <w:jc w:val="center"/>
              <w:rPr>
                <w:noProof/>
                <w:sz w:val="18"/>
                <w:szCs w:val="18"/>
              </w:rPr>
            </w:pPr>
          </w:p>
        </w:tc>
        <w:tc>
          <w:tcPr>
            <w:tcW w:w="720" w:type="dxa"/>
            <w:tcBorders>
              <w:bottom w:val="single" w:sz="12" w:space="0" w:color="auto"/>
            </w:tcBorders>
          </w:tcPr>
          <w:p w:rsidR="00731D8F" w:rsidRDefault="00731D8F">
            <w:pPr>
              <w:ind w:right="-29"/>
              <w:jc w:val="center"/>
              <w:rPr>
                <w:noProof/>
                <w:sz w:val="18"/>
                <w:szCs w:val="18"/>
              </w:rPr>
            </w:pPr>
          </w:p>
        </w:tc>
        <w:tc>
          <w:tcPr>
            <w:tcW w:w="720" w:type="dxa"/>
            <w:tcBorders>
              <w:bottom w:val="single" w:sz="12" w:space="0" w:color="auto"/>
            </w:tcBorders>
          </w:tcPr>
          <w:p w:rsidR="00731D8F" w:rsidRDefault="00731D8F">
            <w:pPr>
              <w:ind w:right="-29"/>
              <w:jc w:val="center"/>
              <w:rPr>
                <w:noProof/>
                <w:sz w:val="18"/>
                <w:szCs w:val="18"/>
              </w:rPr>
            </w:pPr>
          </w:p>
        </w:tc>
        <w:tc>
          <w:tcPr>
            <w:tcW w:w="900" w:type="dxa"/>
            <w:tcBorders>
              <w:bottom w:val="single" w:sz="12" w:space="0" w:color="auto"/>
            </w:tcBorders>
          </w:tcPr>
          <w:p w:rsidR="00731D8F" w:rsidRDefault="00214EE0">
            <w:pPr>
              <w:ind w:right="-29"/>
              <w:jc w:val="center"/>
              <w:rPr>
                <w:noProof/>
                <w:sz w:val="18"/>
                <w:szCs w:val="18"/>
              </w:rPr>
            </w:pPr>
            <w:r>
              <w:rPr>
                <w:noProof/>
                <w:sz w:val="18"/>
              </w:rPr>
              <w:t>2,520</w:t>
            </w:r>
          </w:p>
        </w:tc>
      </w:tr>
      <w:tr w:rsidR="00731D8F">
        <w:trPr>
          <w:jc w:val="center"/>
        </w:trPr>
        <w:tc>
          <w:tcPr>
            <w:tcW w:w="2844" w:type="dxa"/>
            <w:gridSpan w:val="3"/>
            <w:vAlign w:val="center"/>
          </w:tcPr>
          <w:p w:rsidR="00731D8F" w:rsidRDefault="00214EE0">
            <w:pPr>
              <w:spacing w:before="60" w:after="60"/>
              <w:ind w:right="-29"/>
              <w:jc w:val="center"/>
              <w:rPr>
                <w:noProof/>
                <w:sz w:val="18"/>
                <w:szCs w:val="18"/>
              </w:rPr>
            </w:pPr>
            <w:r>
              <w:rPr>
                <w:noProof/>
                <w:sz w:val="18"/>
              </w:rPr>
              <w:t>CEL SZCZEGÓŁOWY nr 2</w:t>
            </w:r>
            <w:r>
              <w:rPr>
                <w:noProof/>
                <w:sz w:val="18"/>
              </w:rPr>
              <w:br/>
              <w:t>Konserwacja systemu centralnego</w:t>
            </w:r>
          </w:p>
        </w:tc>
        <w:tc>
          <w:tcPr>
            <w:tcW w:w="504" w:type="dxa"/>
            <w:tcBorders>
              <w:top w:val="nil"/>
              <w:left w:val="nil"/>
              <w:bottom w:val="nil"/>
              <w:right w:val="nil"/>
            </w:tcBorders>
          </w:tcPr>
          <w:p w:rsidR="00731D8F" w:rsidRDefault="00731D8F">
            <w:pPr>
              <w:spacing w:before="60" w:after="60"/>
              <w:ind w:right="-29"/>
              <w:jc w:val="center"/>
              <w:rPr>
                <w:noProof/>
                <w:sz w:val="18"/>
                <w:szCs w:val="18"/>
              </w:rPr>
            </w:pPr>
          </w:p>
        </w:tc>
        <w:tc>
          <w:tcPr>
            <w:tcW w:w="720" w:type="dxa"/>
            <w:tcBorders>
              <w:top w:val="nil"/>
              <w:left w:val="nil"/>
              <w:bottom w:val="nil"/>
              <w:right w:val="nil"/>
            </w:tcBorders>
          </w:tcPr>
          <w:p w:rsidR="00731D8F" w:rsidRDefault="00731D8F">
            <w:pPr>
              <w:spacing w:before="60" w:after="60"/>
              <w:ind w:right="-29"/>
              <w:jc w:val="center"/>
              <w:rPr>
                <w:noProof/>
                <w:sz w:val="18"/>
                <w:szCs w:val="18"/>
              </w:rPr>
            </w:pPr>
          </w:p>
        </w:tc>
        <w:tc>
          <w:tcPr>
            <w:tcW w:w="540" w:type="dxa"/>
            <w:tcBorders>
              <w:top w:val="nil"/>
              <w:left w:val="nil"/>
              <w:bottom w:val="nil"/>
              <w:right w:val="nil"/>
            </w:tcBorders>
          </w:tcPr>
          <w:p w:rsidR="00731D8F" w:rsidRDefault="00731D8F">
            <w:pPr>
              <w:spacing w:before="60" w:after="60"/>
              <w:ind w:right="-29"/>
              <w:jc w:val="center"/>
              <w:rPr>
                <w:noProof/>
                <w:sz w:val="18"/>
                <w:szCs w:val="18"/>
              </w:rPr>
            </w:pPr>
          </w:p>
        </w:tc>
        <w:tc>
          <w:tcPr>
            <w:tcW w:w="720" w:type="dxa"/>
            <w:tcBorders>
              <w:top w:val="nil"/>
              <w:left w:val="nil"/>
              <w:bottom w:val="nil"/>
              <w:right w:val="nil"/>
            </w:tcBorders>
          </w:tcPr>
          <w:p w:rsidR="00731D8F" w:rsidRDefault="00731D8F">
            <w:pPr>
              <w:spacing w:before="60" w:after="60"/>
              <w:ind w:right="-29"/>
              <w:jc w:val="center"/>
              <w:rPr>
                <w:noProof/>
                <w:sz w:val="18"/>
                <w:szCs w:val="18"/>
              </w:rPr>
            </w:pPr>
          </w:p>
        </w:tc>
        <w:tc>
          <w:tcPr>
            <w:tcW w:w="720" w:type="dxa"/>
            <w:tcBorders>
              <w:top w:val="nil"/>
              <w:left w:val="nil"/>
              <w:bottom w:val="nil"/>
              <w:right w:val="nil"/>
            </w:tcBorders>
          </w:tcPr>
          <w:p w:rsidR="00731D8F" w:rsidRDefault="00731D8F">
            <w:pPr>
              <w:spacing w:before="60" w:after="60"/>
              <w:ind w:right="-29"/>
              <w:jc w:val="center"/>
              <w:rPr>
                <w:noProof/>
                <w:sz w:val="18"/>
                <w:szCs w:val="18"/>
              </w:rPr>
            </w:pPr>
          </w:p>
        </w:tc>
        <w:tc>
          <w:tcPr>
            <w:tcW w:w="720" w:type="dxa"/>
            <w:tcBorders>
              <w:top w:val="nil"/>
              <w:left w:val="nil"/>
              <w:bottom w:val="nil"/>
              <w:right w:val="nil"/>
            </w:tcBorders>
          </w:tcPr>
          <w:p w:rsidR="00731D8F" w:rsidRDefault="00731D8F">
            <w:pPr>
              <w:spacing w:before="60" w:after="60"/>
              <w:ind w:right="-29"/>
              <w:jc w:val="center"/>
              <w:rPr>
                <w:noProof/>
                <w:sz w:val="18"/>
                <w:szCs w:val="18"/>
              </w:rPr>
            </w:pPr>
          </w:p>
        </w:tc>
        <w:tc>
          <w:tcPr>
            <w:tcW w:w="900" w:type="dxa"/>
            <w:tcBorders>
              <w:top w:val="nil"/>
              <w:left w:val="nil"/>
              <w:bottom w:val="nil"/>
              <w:right w:val="nil"/>
            </w:tcBorders>
          </w:tcPr>
          <w:p w:rsidR="00731D8F" w:rsidRDefault="00731D8F">
            <w:pPr>
              <w:spacing w:before="60" w:after="60"/>
              <w:ind w:right="-29"/>
              <w:jc w:val="center"/>
              <w:rPr>
                <w:noProof/>
                <w:sz w:val="18"/>
                <w:szCs w:val="18"/>
              </w:rPr>
            </w:pPr>
          </w:p>
        </w:tc>
        <w:tc>
          <w:tcPr>
            <w:tcW w:w="720" w:type="dxa"/>
            <w:gridSpan w:val="2"/>
            <w:tcBorders>
              <w:top w:val="nil"/>
              <w:left w:val="nil"/>
              <w:bottom w:val="nil"/>
              <w:right w:val="nil"/>
            </w:tcBorders>
          </w:tcPr>
          <w:p w:rsidR="00731D8F" w:rsidRDefault="00731D8F">
            <w:pPr>
              <w:spacing w:before="60" w:after="60"/>
              <w:ind w:right="-29"/>
              <w:jc w:val="center"/>
              <w:rPr>
                <w:noProof/>
                <w:sz w:val="18"/>
                <w:szCs w:val="18"/>
              </w:rPr>
            </w:pPr>
          </w:p>
        </w:tc>
        <w:tc>
          <w:tcPr>
            <w:tcW w:w="540" w:type="dxa"/>
            <w:tcBorders>
              <w:top w:val="nil"/>
              <w:left w:val="nil"/>
              <w:bottom w:val="nil"/>
              <w:right w:val="nil"/>
            </w:tcBorders>
          </w:tcPr>
          <w:p w:rsidR="00731D8F" w:rsidRDefault="00731D8F">
            <w:pPr>
              <w:spacing w:before="60" w:after="60"/>
              <w:ind w:right="-29"/>
              <w:jc w:val="center"/>
              <w:rPr>
                <w:noProof/>
                <w:sz w:val="18"/>
                <w:szCs w:val="18"/>
              </w:rPr>
            </w:pPr>
          </w:p>
        </w:tc>
        <w:tc>
          <w:tcPr>
            <w:tcW w:w="648" w:type="dxa"/>
            <w:tcBorders>
              <w:top w:val="nil"/>
              <w:left w:val="nil"/>
              <w:bottom w:val="nil"/>
              <w:right w:val="nil"/>
            </w:tcBorders>
          </w:tcPr>
          <w:p w:rsidR="00731D8F" w:rsidRDefault="00731D8F">
            <w:pPr>
              <w:spacing w:before="60" w:after="60"/>
              <w:ind w:right="-29"/>
              <w:jc w:val="center"/>
              <w:rPr>
                <w:noProof/>
                <w:sz w:val="18"/>
                <w:szCs w:val="18"/>
              </w:rPr>
            </w:pPr>
          </w:p>
        </w:tc>
        <w:tc>
          <w:tcPr>
            <w:tcW w:w="432" w:type="dxa"/>
            <w:tcBorders>
              <w:top w:val="nil"/>
              <w:left w:val="nil"/>
              <w:bottom w:val="nil"/>
              <w:right w:val="nil"/>
            </w:tcBorders>
          </w:tcPr>
          <w:p w:rsidR="00731D8F" w:rsidRDefault="00731D8F">
            <w:pPr>
              <w:spacing w:before="60" w:after="60"/>
              <w:ind w:right="-29"/>
              <w:jc w:val="center"/>
              <w:rPr>
                <w:noProof/>
                <w:sz w:val="18"/>
                <w:szCs w:val="18"/>
              </w:rPr>
            </w:pPr>
          </w:p>
        </w:tc>
        <w:tc>
          <w:tcPr>
            <w:tcW w:w="720" w:type="dxa"/>
            <w:gridSpan w:val="2"/>
            <w:tcBorders>
              <w:top w:val="nil"/>
              <w:left w:val="nil"/>
              <w:bottom w:val="nil"/>
              <w:right w:val="nil"/>
            </w:tcBorders>
          </w:tcPr>
          <w:p w:rsidR="00731D8F" w:rsidRDefault="00731D8F">
            <w:pPr>
              <w:spacing w:before="60" w:after="60"/>
              <w:ind w:right="-29"/>
              <w:jc w:val="center"/>
              <w:rPr>
                <w:noProof/>
                <w:sz w:val="18"/>
                <w:szCs w:val="18"/>
              </w:rPr>
            </w:pPr>
          </w:p>
        </w:tc>
        <w:tc>
          <w:tcPr>
            <w:tcW w:w="540" w:type="dxa"/>
            <w:tcBorders>
              <w:top w:val="nil"/>
              <w:left w:val="nil"/>
              <w:bottom w:val="nil"/>
              <w:right w:val="nil"/>
            </w:tcBorders>
          </w:tcPr>
          <w:p w:rsidR="00731D8F" w:rsidRDefault="00731D8F">
            <w:pPr>
              <w:spacing w:before="60" w:after="60"/>
              <w:ind w:right="-29"/>
              <w:jc w:val="center"/>
              <w:rPr>
                <w:noProof/>
                <w:sz w:val="18"/>
                <w:szCs w:val="18"/>
              </w:rPr>
            </w:pPr>
          </w:p>
        </w:tc>
        <w:tc>
          <w:tcPr>
            <w:tcW w:w="720" w:type="dxa"/>
            <w:tcBorders>
              <w:top w:val="nil"/>
              <w:left w:val="nil"/>
              <w:bottom w:val="nil"/>
              <w:right w:val="nil"/>
            </w:tcBorders>
          </w:tcPr>
          <w:p w:rsidR="00731D8F" w:rsidRDefault="00731D8F">
            <w:pPr>
              <w:spacing w:before="60" w:after="60"/>
              <w:ind w:right="-29"/>
              <w:jc w:val="center"/>
              <w:rPr>
                <w:noProof/>
                <w:sz w:val="18"/>
                <w:szCs w:val="18"/>
              </w:rPr>
            </w:pPr>
          </w:p>
        </w:tc>
        <w:tc>
          <w:tcPr>
            <w:tcW w:w="720" w:type="dxa"/>
            <w:tcBorders>
              <w:top w:val="nil"/>
              <w:left w:val="nil"/>
              <w:bottom w:val="nil"/>
              <w:right w:val="nil"/>
            </w:tcBorders>
          </w:tcPr>
          <w:p w:rsidR="00731D8F" w:rsidRDefault="00731D8F">
            <w:pPr>
              <w:spacing w:before="60" w:after="60"/>
              <w:ind w:right="-29"/>
              <w:jc w:val="center"/>
              <w:rPr>
                <w:noProof/>
                <w:sz w:val="18"/>
                <w:szCs w:val="18"/>
              </w:rPr>
            </w:pPr>
          </w:p>
        </w:tc>
        <w:tc>
          <w:tcPr>
            <w:tcW w:w="900" w:type="dxa"/>
            <w:tcBorders>
              <w:top w:val="nil"/>
              <w:left w:val="nil"/>
              <w:bottom w:val="nil"/>
              <w:right w:val="nil"/>
            </w:tcBorders>
          </w:tcPr>
          <w:p w:rsidR="00731D8F" w:rsidRDefault="00731D8F">
            <w:pPr>
              <w:spacing w:before="60" w:after="60"/>
              <w:ind w:right="-29"/>
              <w:jc w:val="center"/>
              <w:rPr>
                <w:noProof/>
                <w:sz w:val="18"/>
                <w:szCs w:val="18"/>
              </w:rPr>
            </w:pPr>
          </w:p>
        </w:tc>
      </w:tr>
      <w:tr w:rsidR="00731D8F">
        <w:trPr>
          <w:trHeight w:hRule="exact" w:val="369"/>
          <w:jc w:val="center"/>
        </w:trPr>
        <w:tc>
          <w:tcPr>
            <w:tcW w:w="1423" w:type="dxa"/>
          </w:tcPr>
          <w:p w:rsidR="00731D8F" w:rsidRDefault="00214EE0">
            <w:pPr>
              <w:ind w:right="-29"/>
              <w:jc w:val="center"/>
              <w:rPr>
                <w:noProof/>
                <w:sz w:val="18"/>
                <w:szCs w:val="18"/>
              </w:rPr>
            </w:pPr>
            <w:r>
              <w:rPr>
                <w:noProof/>
                <w:sz w:val="18"/>
              </w:rPr>
              <w:t>Wykonawca</w:t>
            </w:r>
          </w:p>
        </w:tc>
        <w:tc>
          <w:tcPr>
            <w:tcW w:w="720" w:type="dxa"/>
          </w:tcPr>
          <w:p w:rsidR="00731D8F" w:rsidRDefault="00731D8F">
            <w:pPr>
              <w:ind w:right="-29"/>
              <w:jc w:val="center"/>
              <w:rPr>
                <w:noProof/>
                <w:sz w:val="18"/>
                <w:szCs w:val="18"/>
              </w:rPr>
            </w:pPr>
          </w:p>
        </w:tc>
        <w:tc>
          <w:tcPr>
            <w:tcW w:w="701" w:type="dxa"/>
          </w:tcPr>
          <w:p w:rsidR="00731D8F" w:rsidRDefault="00731D8F">
            <w:pPr>
              <w:ind w:right="-29"/>
              <w:jc w:val="center"/>
              <w:rPr>
                <w:noProof/>
                <w:sz w:val="18"/>
                <w:szCs w:val="18"/>
              </w:rPr>
            </w:pPr>
          </w:p>
        </w:tc>
        <w:tc>
          <w:tcPr>
            <w:tcW w:w="504" w:type="dxa"/>
          </w:tcPr>
          <w:p w:rsidR="00731D8F" w:rsidRDefault="00214EE0">
            <w:pPr>
              <w:ind w:right="-29"/>
              <w:jc w:val="center"/>
              <w:rPr>
                <w:noProof/>
                <w:sz w:val="18"/>
                <w:szCs w:val="18"/>
              </w:rPr>
            </w:pPr>
            <w:r>
              <w:rPr>
                <w:noProof/>
                <w:sz w:val="18"/>
              </w:rPr>
              <w:t>1</w:t>
            </w:r>
          </w:p>
        </w:tc>
        <w:tc>
          <w:tcPr>
            <w:tcW w:w="720" w:type="dxa"/>
          </w:tcPr>
          <w:p w:rsidR="00731D8F" w:rsidRDefault="00214EE0">
            <w:pPr>
              <w:ind w:right="-29"/>
              <w:jc w:val="center"/>
              <w:rPr>
                <w:noProof/>
                <w:sz w:val="18"/>
                <w:szCs w:val="18"/>
              </w:rPr>
            </w:pPr>
            <w:r>
              <w:rPr>
                <w:noProof/>
                <w:sz w:val="18"/>
              </w:rPr>
              <w:t>0</w:t>
            </w:r>
          </w:p>
        </w:tc>
        <w:tc>
          <w:tcPr>
            <w:tcW w:w="540" w:type="dxa"/>
          </w:tcPr>
          <w:p w:rsidR="00731D8F" w:rsidRDefault="00214EE0">
            <w:pPr>
              <w:ind w:right="-29"/>
              <w:jc w:val="center"/>
              <w:rPr>
                <w:noProof/>
                <w:sz w:val="18"/>
                <w:szCs w:val="18"/>
              </w:rPr>
            </w:pPr>
            <w:r>
              <w:rPr>
                <w:noProof/>
                <w:sz w:val="18"/>
              </w:rPr>
              <w:t>1</w:t>
            </w:r>
          </w:p>
        </w:tc>
        <w:tc>
          <w:tcPr>
            <w:tcW w:w="720" w:type="dxa"/>
          </w:tcPr>
          <w:p w:rsidR="00731D8F" w:rsidRDefault="00214EE0">
            <w:pPr>
              <w:ind w:right="-29"/>
              <w:jc w:val="center"/>
              <w:rPr>
                <w:noProof/>
                <w:sz w:val="18"/>
                <w:szCs w:val="18"/>
              </w:rPr>
            </w:pPr>
            <w:r>
              <w:rPr>
                <w:noProof/>
                <w:sz w:val="18"/>
              </w:rPr>
              <w:t>0,078</w:t>
            </w:r>
          </w:p>
        </w:tc>
        <w:tc>
          <w:tcPr>
            <w:tcW w:w="720" w:type="dxa"/>
          </w:tcPr>
          <w:p w:rsidR="00731D8F" w:rsidRDefault="00214EE0">
            <w:pPr>
              <w:ind w:right="-29"/>
              <w:jc w:val="center"/>
              <w:rPr>
                <w:noProof/>
                <w:sz w:val="18"/>
                <w:szCs w:val="18"/>
              </w:rPr>
            </w:pPr>
            <w:r>
              <w:rPr>
                <w:noProof/>
                <w:sz w:val="18"/>
              </w:rPr>
              <w:t>1</w:t>
            </w:r>
          </w:p>
        </w:tc>
        <w:tc>
          <w:tcPr>
            <w:tcW w:w="720" w:type="dxa"/>
          </w:tcPr>
          <w:p w:rsidR="00731D8F" w:rsidRDefault="00214EE0">
            <w:pPr>
              <w:ind w:right="-29"/>
              <w:jc w:val="center"/>
              <w:rPr>
                <w:noProof/>
                <w:sz w:val="18"/>
                <w:szCs w:val="18"/>
              </w:rPr>
            </w:pPr>
            <w:r>
              <w:rPr>
                <w:noProof/>
                <w:sz w:val="18"/>
              </w:rPr>
              <w:t>0,078</w:t>
            </w:r>
          </w:p>
        </w:tc>
        <w:tc>
          <w:tcPr>
            <w:tcW w:w="900" w:type="dxa"/>
          </w:tcPr>
          <w:p w:rsidR="00731D8F" w:rsidRDefault="00731D8F">
            <w:pPr>
              <w:ind w:right="-29"/>
              <w:jc w:val="center"/>
              <w:rPr>
                <w:noProof/>
                <w:sz w:val="18"/>
                <w:szCs w:val="18"/>
              </w:rPr>
            </w:pPr>
          </w:p>
        </w:tc>
        <w:tc>
          <w:tcPr>
            <w:tcW w:w="720" w:type="dxa"/>
            <w:gridSpan w:val="2"/>
          </w:tcPr>
          <w:p w:rsidR="00731D8F" w:rsidRDefault="00731D8F">
            <w:pPr>
              <w:ind w:right="-29"/>
              <w:jc w:val="center"/>
              <w:rPr>
                <w:noProof/>
                <w:sz w:val="18"/>
                <w:szCs w:val="18"/>
              </w:rPr>
            </w:pPr>
          </w:p>
        </w:tc>
        <w:tc>
          <w:tcPr>
            <w:tcW w:w="540" w:type="dxa"/>
          </w:tcPr>
          <w:p w:rsidR="00731D8F" w:rsidRDefault="00731D8F">
            <w:pPr>
              <w:ind w:right="-29"/>
              <w:jc w:val="center"/>
              <w:rPr>
                <w:noProof/>
                <w:sz w:val="18"/>
                <w:szCs w:val="18"/>
              </w:rPr>
            </w:pPr>
          </w:p>
        </w:tc>
        <w:tc>
          <w:tcPr>
            <w:tcW w:w="648" w:type="dxa"/>
          </w:tcPr>
          <w:p w:rsidR="00731D8F" w:rsidRDefault="00731D8F">
            <w:pPr>
              <w:ind w:right="-29"/>
              <w:jc w:val="center"/>
              <w:rPr>
                <w:noProof/>
                <w:sz w:val="18"/>
                <w:szCs w:val="18"/>
              </w:rPr>
            </w:pPr>
          </w:p>
        </w:tc>
        <w:tc>
          <w:tcPr>
            <w:tcW w:w="432" w:type="dxa"/>
          </w:tcPr>
          <w:p w:rsidR="00731D8F" w:rsidRDefault="00731D8F">
            <w:pPr>
              <w:ind w:right="-29"/>
              <w:jc w:val="center"/>
              <w:rPr>
                <w:noProof/>
                <w:sz w:val="18"/>
                <w:szCs w:val="18"/>
              </w:rPr>
            </w:pPr>
          </w:p>
        </w:tc>
        <w:tc>
          <w:tcPr>
            <w:tcW w:w="720" w:type="dxa"/>
            <w:gridSpan w:val="2"/>
          </w:tcPr>
          <w:p w:rsidR="00731D8F" w:rsidRDefault="00731D8F">
            <w:pPr>
              <w:ind w:right="-29"/>
              <w:jc w:val="center"/>
              <w:rPr>
                <w:noProof/>
                <w:sz w:val="18"/>
                <w:szCs w:val="18"/>
              </w:rPr>
            </w:pPr>
          </w:p>
        </w:tc>
        <w:tc>
          <w:tcPr>
            <w:tcW w:w="540" w:type="dxa"/>
          </w:tcPr>
          <w:p w:rsidR="00731D8F" w:rsidRDefault="00731D8F">
            <w:pPr>
              <w:ind w:right="-29"/>
              <w:jc w:val="center"/>
              <w:rPr>
                <w:noProof/>
                <w:sz w:val="18"/>
                <w:szCs w:val="18"/>
              </w:rPr>
            </w:pPr>
          </w:p>
        </w:tc>
        <w:tc>
          <w:tcPr>
            <w:tcW w:w="720" w:type="dxa"/>
          </w:tcPr>
          <w:p w:rsidR="00731D8F" w:rsidRDefault="00731D8F">
            <w:pPr>
              <w:ind w:right="-29"/>
              <w:jc w:val="center"/>
              <w:rPr>
                <w:noProof/>
                <w:sz w:val="18"/>
                <w:szCs w:val="18"/>
              </w:rPr>
            </w:pPr>
          </w:p>
        </w:tc>
        <w:tc>
          <w:tcPr>
            <w:tcW w:w="720" w:type="dxa"/>
          </w:tcPr>
          <w:p w:rsidR="00731D8F" w:rsidRDefault="00731D8F">
            <w:pPr>
              <w:ind w:right="-29"/>
              <w:jc w:val="center"/>
              <w:rPr>
                <w:noProof/>
                <w:sz w:val="18"/>
                <w:szCs w:val="18"/>
              </w:rPr>
            </w:pPr>
          </w:p>
        </w:tc>
        <w:tc>
          <w:tcPr>
            <w:tcW w:w="900" w:type="dxa"/>
          </w:tcPr>
          <w:p w:rsidR="00731D8F" w:rsidRDefault="00214EE0">
            <w:pPr>
              <w:ind w:right="-29"/>
              <w:jc w:val="center"/>
              <w:rPr>
                <w:noProof/>
                <w:sz w:val="18"/>
                <w:szCs w:val="18"/>
              </w:rPr>
            </w:pPr>
            <w:r>
              <w:rPr>
                <w:noProof/>
                <w:sz w:val="18"/>
              </w:rPr>
              <w:t>0,156</w:t>
            </w:r>
          </w:p>
        </w:tc>
      </w:tr>
      <w:tr w:rsidR="00731D8F">
        <w:trPr>
          <w:trHeight w:hRule="exact" w:val="369"/>
          <w:jc w:val="center"/>
        </w:trPr>
        <w:tc>
          <w:tcPr>
            <w:tcW w:w="1423" w:type="dxa"/>
          </w:tcPr>
          <w:p w:rsidR="00731D8F" w:rsidRDefault="00214EE0">
            <w:pPr>
              <w:ind w:right="-29"/>
              <w:jc w:val="center"/>
              <w:rPr>
                <w:noProof/>
                <w:sz w:val="18"/>
              </w:rPr>
            </w:pPr>
            <w:r>
              <w:rPr>
                <w:noProof/>
                <w:sz w:val="18"/>
              </w:rPr>
              <w:t>Oprogramowanie</w:t>
            </w:r>
          </w:p>
        </w:tc>
        <w:tc>
          <w:tcPr>
            <w:tcW w:w="720" w:type="dxa"/>
          </w:tcPr>
          <w:p w:rsidR="00731D8F" w:rsidRDefault="00731D8F">
            <w:pPr>
              <w:ind w:right="-29"/>
              <w:jc w:val="center"/>
              <w:rPr>
                <w:noProof/>
                <w:sz w:val="18"/>
                <w:szCs w:val="18"/>
              </w:rPr>
            </w:pPr>
          </w:p>
        </w:tc>
        <w:tc>
          <w:tcPr>
            <w:tcW w:w="701" w:type="dxa"/>
          </w:tcPr>
          <w:p w:rsidR="00731D8F" w:rsidRDefault="00731D8F">
            <w:pPr>
              <w:ind w:right="-29"/>
              <w:jc w:val="center"/>
              <w:rPr>
                <w:noProof/>
                <w:sz w:val="18"/>
                <w:szCs w:val="18"/>
              </w:rPr>
            </w:pPr>
          </w:p>
        </w:tc>
        <w:tc>
          <w:tcPr>
            <w:tcW w:w="504" w:type="dxa"/>
          </w:tcPr>
          <w:p w:rsidR="00731D8F" w:rsidRDefault="00214EE0">
            <w:pPr>
              <w:ind w:right="-29"/>
              <w:jc w:val="center"/>
              <w:rPr>
                <w:noProof/>
                <w:sz w:val="18"/>
                <w:szCs w:val="18"/>
              </w:rPr>
            </w:pPr>
            <w:r>
              <w:rPr>
                <w:noProof/>
                <w:sz w:val="18"/>
              </w:rPr>
              <w:t>1</w:t>
            </w:r>
          </w:p>
        </w:tc>
        <w:tc>
          <w:tcPr>
            <w:tcW w:w="720" w:type="dxa"/>
          </w:tcPr>
          <w:p w:rsidR="00731D8F" w:rsidRDefault="00214EE0">
            <w:pPr>
              <w:ind w:right="-29"/>
              <w:jc w:val="center"/>
              <w:rPr>
                <w:noProof/>
                <w:sz w:val="18"/>
                <w:szCs w:val="18"/>
              </w:rPr>
            </w:pPr>
            <w:r>
              <w:rPr>
                <w:noProof/>
                <w:sz w:val="18"/>
              </w:rPr>
              <w:t>0</w:t>
            </w:r>
          </w:p>
        </w:tc>
        <w:tc>
          <w:tcPr>
            <w:tcW w:w="540" w:type="dxa"/>
          </w:tcPr>
          <w:p w:rsidR="00731D8F" w:rsidRDefault="00214EE0">
            <w:pPr>
              <w:ind w:right="-29"/>
              <w:jc w:val="center"/>
              <w:rPr>
                <w:noProof/>
                <w:sz w:val="18"/>
                <w:szCs w:val="18"/>
              </w:rPr>
            </w:pPr>
            <w:r>
              <w:rPr>
                <w:noProof/>
                <w:sz w:val="18"/>
              </w:rPr>
              <w:t>1</w:t>
            </w:r>
          </w:p>
        </w:tc>
        <w:tc>
          <w:tcPr>
            <w:tcW w:w="720" w:type="dxa"/>
          </w:tcPr>
          <w:p w:rsidR="00731D8F" w:rsidRDefault="00214EE0">
            <w:pPr>
              <w:ind w:right="-29"/>
              <w:jc w:val="center"/>
              <w:rPr>
                <w:noProof/>
                <w:sz w:val="18"/>
                <w:szCs w:val="18"/>
              </w:rPr>
            </w:pPr>
            <w:r>
              <w:rPr>
                <w:noProof/>
                <w:sz w:val="18"/>
              </w:rPr>
              <w:t>0,225</w:t>
            </w:r>
          </w:p>
        </w:tc>
        <w:tc>
          <w:tcPr>
            <w:tcW w:w="720" w:type="dxa"/>
          </w:tcPr>
          <w:p w:rsidR="00731D8F" w:rsidRDefault="00214EE0">
            <w:pPr>
              <w:ind w:right="-29"/>
              <w:jc w:val="center"/>
              <w:rPr>
                <w:noProof/>
                <w:sz w:val="18"/>
                <w:szCs w:val="18"/>
              </w:rPr>
            </w:pPr>
            <w:r>
              <w:rPr>
                <w:noProof/>
                <w:sz w:val="18"/>
              </w:rPr>
              <w:t>1</w:t>
            </w:r>
          </w:p>
        </w:tc>
        <w:tc>
          <w:tcPr>
            <w:tcW w:w="720" w:type="dxa"/>
          </w:tcPr>
          <w:p w:rsidR="00731D8F" w:rsidRDefault="00214EE0">
            <w:pPr>
              <w:ind w:right="-29"/>
              <w:jc w:val="center"/>
              <w:rPr>
                <w:noProof/>
                <w:sz w:val="18"/>
                <w:szCs w:val="18"/>
              </w:rPr>
            </w:pPr>
            <w:r>
              <w:rPr>
                <w:noProof/>
                <w:sz w:val="18"/>
              </w:rPr>
              <w:t>0,225</w:t>
            </w:r>
          </w:p>
        </w:tc>
        <w:tc>
          <w:tcPr>
            <w:tcW w:w="900" w:type="dxa"/>
          </w:tcPr>
          <w:p w:rsidR="00731D8F" w:rsidRDefault="00731D8F">
            <w:pPr>
              <w:ind w:right="-29"/>
              <w:jc w:val="center"/>
              <w:rPr>
                <w:noProof/>
                <w:sz w:val="18"/>
                <w:szCs w:val="18"/>
              </w:rPr>
            </w:pPr>
          </w:p>
        </w:tc>
        <w:tc>
          <w:tcPr>
            <w:tcW w:w="720" w:type="dxa"/>
            <w:gridSpan w:val="2"/>
          </w:tcPr>
          <w:p w:rsidR="00731D8F" w:rsidRDefault="00731D8F">
            <w:pPr>
              <w:ind w:right="-29"/>
              <w:jc w:val="center"/>
              <w:rPr>
                <w:noProof/>
                <w:sz w:val="18"/>
                <w:szCs w:val="18"/>
              </w:rPr>
            </w:pPr>
          </w:p>
        </w:tc>
        <w:tc>
          <w:tcPr>
            <w:tcW w:w="540" w:type="dxa"/>
          </w:tcPr>
          <w:p w:rsidR="00731D8F" w:rsidRDefault="00731D8F">
            <w:pPr>
              <w:ind w:right="-29"/>
              <w:jc w:val="center"/>
              <w:rPr>
                <w:noProof/>
                <w:sz w:val="18"/>
                <w:szCs w:val="18"/>
              </w:rPr>
            </w:pPr>
          </w:p>
        </w:tc>
        <w:tc>
          <w:tcPr>
            <w:tcW w:w="648" w:type="dxa"/>
          </w:tcPr>
          <w:p w:rsidR="00731D8F" w:rsidRDefault="00731D8F">
            <w:pPr>
              <w:ind w:right="-29"/>
              <w:jc w:val="center"/>
              <w:rPr>
                <w:noProof/>
                <w:sz w:val="18"/>
                <w:szCs w:val="18"/>
              </w:rPr>
            </w:pPr>
          </w:p>
        </w:tc>
        <w:tc>
          <w:tcPr>
            <w:tcW w:w="432" w:type="dxa"/>
          </w:tcPr>
          <w:p w:rsidR="00731D8F" w:rsidRDefault="00731D8F">
            <w:pPr>
              <w:ind w:right="-29"/>
              <w:jc w:val="center"/>
              <w:rPr>
                <w:noProof/>
                <w:sz w:val="18"/>
                <w:szCs w:val="18"/>
              </w:rPr>
            </w:pPr>
          </w:p>
        </w:tc>
        <w:tc>
          <w:tcPr>
            <w:tcW w:w="720" w:type="dxa"/>
            <w:gridSpan w:val="2"/>
          </w:tcPr>
          <w:p w:rsidR="00731D8F" w:rsidRDefault="00731D8F">
            <w:pPr>
              <w:ind w:right="-29"/>
              <w:jc w:val="center"/>
              <w:rPr>
                <w:noProof/>
                <w:sz w:val="18"/>
                <w:szCs w:val="18"/>
              </w:rPr>
            </w:pPr>
          </w:p>
        </w:tc>
        <w:tc>
          <w:tcPr>
            <w:tcW w:w="540" w:type="dxa"/>
          </w:tcPr>
          <w:p w:rsidR="00731D8F" w:rsidRDefault="00731D8F">
            <w:pPr>
              <w:ind w:right="-29"/>
              <w:jc w:val="center"/>
              <w:rPr>
                <w:noProof/>
                <w:sz w:val="18"/>
                <w:szCs w:val="18"/>
              </w:rPr>
            </w:pPr>
          </w:p>
        </w:tc>
        <w:tc>
          <w:tcPr>
            <w:tcW w:w="720" w:type="dxa"/>
          </w:tcPr>
          <w:p w:rsidR="00731D8F" w:rsidRDefault="00731D8F">
            <w:pPr>
              <w:ind w:right="-29"/>
              <w:jc w:val="center"/>
              <w:rPr>
                <w:noProof/>
                <w:sz w:val="18"/>
                <w:szCs w:val="18"/>
              </w:rPr>
            </w:pPr>
          </w:p>
        </w:tc>
        <w:tc>
          <w:tcPr>
            <w:tcW w:w="720" w:type="dxa"/>
          </w:tcPr>
          <w:p w:rsidR="00731D8F" w:rsidRDefault="00731D8F">
            <w:pPr>
              <w:ind w:right="-29"/>
              <w:jc w:val="center"/>
              <w:rPr>
                <w:noProof/>
                <w:sz w:val="18"/>
                <w:szCs w:val="18"/>
              </w:rPr>
            </w:pPr>
          </w:p>
        </w:tc>
        <w:tc>
          <w:tcPr>
            <w:tcW w:w="900" w:type="dxa"/>
          </w:tcPr>
          <w:p w:rsidR="00731D8F" w:rsidRDefault="00214EE0">
            <w:pPr>
              <w:ind w:right="-29"/>
              <w:jc w:val="center"/>
              <w:rPr>
                <w:noProof/>
                <w:sz w:val="18"/>
                <w:szCs w:val="18"/>
              </w:rPr>
            </w:pPr>
            <w:r>
              <w:rPr>
                <w:noProof/>
                <w:sz w:val="18"/>
              </w:rPr>
              <w:t>0,450</w:t>
            </w:r>
          </w:p>
        </w:tc>
      </w:tr>
      <w:tr w:rsidR="00731D8F">
        <w:trPr>
          <w:trHeight w:hRule="exact" w:val="369"/>
          <w:jc w:val="center"/>
        </w:trPr>
        <w:tc>
          <w:tcPr>
            <w:tcW w:w="1423" w:type="dxa"/>
          </w:tcPr>
          <w:p w:rsidR="00731D8F" w:rsidRDefault="00214EE0">
            <w:pPr>
              <w:ind w:right="-29"/>
              <w:jc w:val="center"/>
              <w:rPr>
                <w:noProof/>
                <w:sz w:val="18"/>
              </w:rPr>
            </w:pPr>
            <w:r>
              <w:rPr>
                <w:noProof/>
                <w:sz w:val="18"/>
              </w:rPr>
              <w:t>Sprzęt</w:t>
            </w:r>
          </w:p>
        </w:tc>
        <w:tc>
          <w:tcPr>
            <w:tcW w:w="720" w:type="dxa"/>
          </w:tcPr>
          <w:p w:rsidR="00731D8F" w:rsidRDefault="00731D8F">
            <w:pPr>
              <w:ind w:right="-29"/>
              <w:jc w:val="center"/>
              <w:rPr>
                <w:noProof/>
                <w:sz w:val="18"/>
                <w:szCs w:val="18"/>
              </w:rPr>
            </w:pPr>
          </w:p>
        </w:tc>
        <w:tc>
          <w:tcPr>
            <w:tcW w:w="701" w:type="dxa"/>
          </w:tcPr>
          <w:p w:rsidR="00731D8F" w:rsidRDefault="00731D8F">
            <w:pPr>
              <w:ind w:right="-29"/>
              <w:jc w:val="center"/>
              <w:rPr>
                <w:noProof/>
                <w:sz w:val="18"/>
                <w:szCs w:val="18"/>
              </w:rPr>
            </w:pPr>
          </w:p>
        </w:tc>
        <w:tc>
          <w:tcPr>
            <w:tcW w:w="504" w:type="dxa"/>
          </w:tcPr>
          <w:p w:rsidR="00731D8F" w:rsidRDefault="00214EE0">
            <w:pPr>
              <w:ind w:right="-29"/>
              <w:jc w:val="center"/>
              <w:rPr>
                <w:noProof/>
                <w:sz w:val="18"/>
                <w:szCs w:val="18"/>
              </w:rPr>
            </w:pPr>
            <w:r>
              <w:rPr>
                <w:noProof/>
                <w:sz w:val="18"/>
              </w:rPr>
              <w:t>1</w:t>
            </w:r>
          </w:p>
        </w:tc>
        <w:tc>
          <w:tcPr>
            <w:tcW w:w="720" w:type="dxa"/>
          </w:tcPr>
          <w:p w:rsidR="00731D8F" w:rsidRDefault="00214EE0">
            <w:pPr>
              <w:ind w:right="-29"/>
              <w:jc w:val="center"/>
              <w:rPr>
                <w:noProof/>
                <w:sz w:val="18"/>
                <w:szCs w:val="18"/>
              </w:rPr>
            </w:pPr>
            <w:r>
              <w:rPr>
                <w:noProof/>
                <w:sz w:val="18"/>
              </w:rPr>
              <w:t>0</w:t>
            </w:r>
          </w:p>
        </w:tc>
        <w:tc>
          <w:tcPr>
            <w:tcW w:w="540" w:type="dxa"/>
          </w:tcPr>
          <w:p w:rsidR="00731D8F" w:rsidRDefault="00214EE0">
            <w:pPr>
              <w:ind w:right="-29"/>
              <w:jc w:val="center"/>
              <w:rPr>
                <w:noProof/>
                <w:sz w:val="18"/>
                <w:szCs w:val="18"/>
              </w:rPr>
            </w:pPr>
            <w:r>
              <w:rPr>
                <w:noProof/>
                <w:sz w:val="18"/>
              </w:rPr>
              <w:t>1</w:t>
            </w:r>
          </w:p>
        </w:tc>
        <w:tc>
          <w:tcPr>
            <w:tcW w:w="720" w:type="dxa"/>
          </w:tcPr>
          <w:p w:rsidR="00731D8F" w:rsidRDefault="00214EE0">
            <w:pPr>
              <w:ind w:right="-29"/>
              <w:jc w:val="center"/>
              <w:rPr>
                <w:noProof/>
                <w:sz w:val="18"/>
                <w:szCs w:val="18"/>
              </w:rPr>
            </w:pPr>
            <w:r>
              <w:rPr>
                <w:noProof/>
                <w:sz w:val="18"/>
              </w:rPr>
              <w:t>0,075</w:t>
            </w:r>
          </w:p>
        </w:tc>
        <w:tc>
          <w:tcPr>
            <w:tcW w:w="720" w:type="dxa"/>
          </w:tcPr>
          <w:p w:rsidR="00731D8F" w:rsidRDefault="00214EE0">
            <w:pPr>
              <w:ind w:right="-29"/>
              <w:jc w:val="center"/>
              <w:rPr>
                <w:noProof/>
                <w:sz w:val="18"/>
                <w:szCs w:val="18"/>
              </w:rPr>
            </w:pPr>
            <w:r>
              <w:rPr>
                <w:noProof/>
                <w:sz w:val="18"/>
              </w:rPr>
              <w:t>1</w:t>
            </w:r>
          </w:p>
        </w:tc>
        <w:tc>
          <w:tcPr>
            <w:tcW w:w="720" w:type="dxa"/>
          </w:tcPr>
          <w:p w:rsidR="00731D8F" w:rsidRDefault="00214EE0">
            <w:pPr>
              <w:ind w:right="-29"/>
              <w:jc w:val="center"/>
              <w:rPr>
                <w:noProof/>
                <w:sz w:val="18"/>
                <w:szCs w:val="18"/>
              </w:rPr>
            </w:pPr>
            <w:r>
              <w:rPr>
                <w:noProof/>
                <w:sz w:val="18"/>
              </w:rPr>
              <w:t>0,075</w:t>
            </w:r>
          </w:p>
        </w:tc>
        <w:tc>
          <w:tcPr>
            <w:tcW w:w="900" w:type="dxa"/>
          </w:tcPr>
          <w:p w:rsidR="00731D8F" w:rsidRDefault="00731D8F">
            <w:pPr>
              <w:ind w:right="-29"/>
              <w:jc w:val="center"/>
              <w:rPr>
                <w:noProof/>
                <w:sz w:val="18"/>
                <w:szCs w:val="18"/>
              </w:rPr>
            </w:pPr>
          </w:p>
        </w:tc>
        <w:tc>
          <w:tcPr>
            <w:tcW w:w="720" w:type="dxa"/>
            <w:gridSpan w:val="2"/>
          </w:tcPr>
          <w:p w:rsidR="00731D8F" w:rsidRDefault="00731D8F">
            <w:pPr>
              <w:ind w:right="-29"/>
              <w:jc w:val="center"/>
              <w:rPr>
                <w:noProof/>
                <w:sz w:val="18"/>
                <w:szCs w:val="18"/>
              </w:rPr>
            </w:pPr>
          </w:p>
        </w:tc>
        <w:tc>
          <w:tcPr>
            <w:tcW w:w="540" w:type="dxa"/>
          </w:tcPr>
          <w:p w:rsidR="00731D8F" w:rsidRDefault="00731D8F">
            <w:pPr>
              <w:ind w:right="-29"/>
              <w:jc w:val="center"/>
              <w:rPr>
                <w:noProof/>
                <w:sz w:val="18"/>
                <w:szCs w:val="18"/>
              </w:rPr>
            </w:pPr>
          </w:p>
        </w:tc>
        <w:tc>
          <w:tcPr>
            <w:tcW w:w="648" w:type="dxa"/>
          </w:tcPr>
          <w:p w:rsidR="00731D8F" w:rsidRDefault="00731D8F">
            <w:pPr>
              <w:ind w:right="-29"/>
              <w:jc w:val="center"/>
              <w:rPr>
                <w:noProof/>
                <w:sz w:val="18"/>
                <w:szCs w:val="18"/>
              </w:rPr>
            </w:pPr>
          </w:p>
        </w:tc>
        <w:tc>
          <w:tcPr>
            <w:tcW w:w="432" w:type="dxa"/>
          </w:tcPr>
          <w:p w:rsidR="00731D8F" w:rsidRDefault="00731D8F">
            <w:pPr>
              <w:ind w:right="-29"/>
              <w:jc w:val="center"/>
              <w:rPr>
                <w:noProof/>
                <w:sz w:val="18"/>
                <w:szCs w:val="18"/>
              </w:rPr>
            </w:pPr>
          </w:p>
        </w:tc>
        <w:tc>
          <w:tcPr>
            <w:tcW w:w="720" w:type="dxa"/>
            <w:gridSpan w:val="2"/>
          </w:tcPr>
          <w:p w:rsidR="00731D8F" w:rsidRDefault="00731D8F">
            <w:pPr>
              <w:ind w:right="-29"/>
              <w:jc w:val="center"/>
              <w:rPr>
                <w:noProof/>
                <w:sz w:val="18"/>
                <w:szCs w:val="18"/>
              </w:rPr>
            </w:pPr>
          </w:p>
        </w:tc>
        <w:tc>
          <w:tcPr>
            <w:tcW w:w="540" w:type="dxa"/>
          </w:tcPr>
          <w:p w:rsidR="00731D8F" w:rsidRDefault="00731D8F">
            <w:pPr>
              <w:ind w:right="-29"/>
              <w:jc w:val="center"/>
              <w:rPr>
                <w:noProof/>
                <w:sz w:val="18"/>
                <w:szCs w:val="18"/>
              </w:rPr>
            </w:pPr>
          </w:p>
        </w:tc>
        <w:tc>
          <w:tcPr>
            <w:tcW w:w="720" w:type="dxa"/>
          </w:tcPr>
          <w:p w:rsidR="00731D8F" w:rsidRDefault="00731D8F">
            <w:pPr>
              <w:ind w:right="-29"/>
              <w:jc w:val="center"/>
              <w:rPr>
                <w:noProof/>
                <w:sz w:val="18"/>
                <w:szCs w:val="18"/>
              </w:rPr>
            </w:pPr>
          </w:p>
        </w:tc>
        <w:tc>
          <w:tcPr>
            <w:tcW w:w="720" w:type="dxa"/>
          </w:tcPr>
          <w:p w:rsidR="00731D8F" w:rsidRDefault="00731D8F">
            <w:pPr>
              <w:ind w:right="-29"/>
              <w:jc w:val="center"/>
              <w:rPr>
                <w:noProof/>
                <w:sz w:val="18"/>
                <w:szCs w:val="18"/>
              </w:rPr>
            </w:pPr>
          </w:p>
        </w:tc>
        <w:tc>
          <w:tcPr>
            <w:tcW w:w="900" w:type="dxa"/>
          </w:tcPr>
          <w:p w:rsidR="00731D8F" w:rsidRDefault="00214EE0">
            <w:pPr>
              <w:ind w:right="-29"/>
              <w:jc w:val="center"/>
              <w:rPr>
                <w:noProof/>
                <w:sz w:val="18"/>
                <w:szCs w:val="18"/>
              </w:rPr>
            </w:pPr>
            <w:r>
              <w:rPr>
                <w:noProof/>
                <w:sz w:val="18"/>
              </w:rPr>
              <w:t>0,150</w:t>
            </w:r>
          </w:p>
        </w:tc>
      </w:tr>
      <w:tr w:rsidR="00731D8F">
        <w:trPr>
          <w:jc w:val="center"/>
        </w:trPr>
        <w:tc>
          <w:tcPr>
            <w:tcW w:w="2844" w:type="dxa"/>
            <w:gridSpan w:val="3"/>
            <w:tcBorders>
              <w:bottom w:val="single" w:sz="12" w:space="0" w:color="auto"/>
            </w:tcBorders>
            <w:vAlign w:val="center"/>
          </w:tcPr>
          <w:p w:rsidR="00731D8F" w:rsidRDefault="00214EE0">
            <w:pPr>
              <w:jc w:val="center"/>
              <w:rPr>
                <w:noProof/>
                <w:sz w:val="18"/>
                <w:szCs w:val="18"/>
              </w:rPr>
            </w:pPr>
            <w:r>
              <w:rPr>
                <w:noProof/>
                <w:sz w:val="18"/>
              </w:rPr>
              <w:t>Cel szczegółowy nr 2 – suma cząstkowa</w:t>
            </w:r>
          </w:p>
        </w:tc>
        <w:tc>
          <w:tcPr>
            <w:tcW w:w="504" w:type="dxa"/>
            <w:tcBorders>
              <w:bottom w:val="single" w:sz="12" w:space="0" w:color="auto"/>
            </w:tcBorders>
          </w:tcPr>
          <w:p w:rsidR="00731D8F" w:rsidRDefault="00731D8F">
            <w:pPr>
              <w:ind w:right="-29"/>
              <w:jc w:val="center"/>
              <w:rPr>
                <w:noProof/>
                <w:sz w:val="18"/>
                <w:szCs w:val="18"/>
              </w:rPr>
            </w:pPr>
          </w:p>
        </w:tc>
        <w:tc>
          <w:tcPr>
            <w:tcW w:w="720" w:type="dxa"/>
            <w:tcBorders>
              <w:bottom w:val="single" w:sz="12" w:space="0" w:color="auto"/>
            </w:tcBorders>
          </w:tcPr>
          <w:p w:rsidR="00731D8F" w:rsidRDefault="00214EE0">
            <w:pPr>
              <w:ind w:right="-29"/>
              <w:jc w:val="center"/>
              <w:rPr>
                <w:noProof/>
                <w:sz w:val="18"/>
                <w:szCs w:val="18"/>
              </w:rPr>
            </w:pPr>
            <w:r>
              <w:rPr>
                <w:noProof/>
                <w:sz w:val="18"/>
              </w:rPr>
              <w:t>0</w:t>
            </w:r>
          </w:p>
        </w:tc>
        <w:tc>
          <w:tcPr>
            <w:tcW w:w="540" w:type="dxa"/>
            <w:tcBorders>
              <w:bottom w:val="single" w:sz="12" w:space="0" w:color="auto"/>
            </w:tcBorders>
          </w:tcPr>
          <w:p w:rsidR="00731D8F" w:rsidRDefault="00731D8F">
            <w:pPr>
              <w:ind w:right="-29"/>
              <w:jc w:val="center"/>
              <w:rPr>
                <w:noProof/>
                <w:sz w:val="18"/>
                <w:szCs w:val="18"/>
              </w:rPr>
            </w:pPr>
          </w:p>
        </w:tc>
        <w:tc>
          <w:tcPr>
            <w:tcW w:w="720" w:type="dxa"/>
            <w:tcBorders>
              <w:bottom w:val="single" w:sz="12" w:space="0" w:color="auto"/>
            </w:tcBorders>
          </w:tcPr>
          <w:p w:rsidR="00731D8F" w:rsidRDefault="00214EE0">
            <w:pPr>
              <w:ind w:right="-29"/>
              <w:jc w:val="center"/>
              <w:rPr>
                <w:noProof/>
                <w:sz w:val="18"/>
                <w:szCs w:val="18"/>
              </w:rPr>
            </w:pPr>
            <w:r>
              <w:rPr>
                <w:noProof/>
                <w:sz w:val="18"/>
              </w:rPr>
              <w:t>0,378</w:t>
            </w:r>
          </w:p>
        </w:tc>
        <w:tc>
          <w:tcPr>
            <w:tcW w:w="720" w:type="dxa"/>
            <w:tcBorders>
              <w:bottom w:val="single" w:sz="12" w:space="0" w:color="auto"/>
            </w:tcBorders>
          </w:tcPr>
          <w:p w:rsidR="00731D8F" w:rsidRDefault="00731D8F">
            <w:pPr>
              <w:ind w:right="-29"/>
              <w:jc w:val="center"/>
              <w:rPr>
                <w:noProof/>
                <w:sz w:val="18"/>
                <w:szCs w:val="18"/>
              </w:rPr>
            </w:pPr>
          </w:p>
        </w:tc>
        <w:tc>
          <w:tcPr>
            <w:tcW w:w="720" w:type="dxa"/>
            <w:tcBorders>
              <w:bottom w:val="single" w:sz="12" w:space="0" w:color="auto"/>
            </w:tcBorders>
          </w:tcPr>
          <w:p w:rsidR="00731D8F" w:rsidRDefault="00214EE0">
            <w:pPr>
              <w:ind w:right="-29"/>
              <w:jc w:val="center"/>
              <w:rPr>
                <w:noProof/>
                <w:sz w:val="18"/>
                <w:szCs w:val="18"/>
              </w:rPr>
            </w:pPr>
            <w:r>
              <w:rPr>
                <w:noProof/>
                <w:sz w:val="18"/>
              </w:rPr>
              <w:t>0,378</w:t>
            </w:r>
          </w:p>
        </w:tc>
        <w:tc>
          <w:tcPr>
            <w:tcW w:w="951" w:type="dxa"/>
            <w:gridSpan w:val="2"/>
            <w:tcBorders>
              <w:bottom w:val="single" w:sz="12" w:space="0" w:color="auto"/>
            </w:tcBorders>
          </w:tcPr>
          <w:p w:rsidR="00731D8F" w:rsidRDefault="00731D8F">
            <w:pPr>
              <w:ind w:right="-29"/>
              <w:jc w:val="center"/>
              <w:rPr>
                <w:noProof/>
                <w:sz w:val="18"/>
                <w:szCs w:val="18"/>
              </w:rPr>
            </w:pPr>
          </w:p>
        </w:tc>
        <w:tc>
          <w:tcPr>
            <w:tcW w:w="669" w:type="dxa"/>
            <w:tcBorders>
              <w:bottom w:val="single" w:sz="12" w:space="0" w:color="auto"/>
            </w:tcBorders>
          </w:tcPr>
          <w:p w:rsidR="00731D8F" w:rsidRDefault="00731D8F">
            <w:pPr>
              <w:ind w:right="-29"/>
              <w:jc w:val="center"/>
              <w:rPr>
                <w:noProof/>
                <w:sz w:val="18"/>
                <w:szCs w:val="18"/>
              </w:rPr>
            </w:pPr>
          </w:p>
        </w:tc>
        <w:tc>
          <w:tcPr>
            <w:tcW w:w="540" w:type="dxa"/>
            <w:tcBorders>
              <w:bottom w:val="single" w:sz="12" w:space="0" w:color="auto"/>
            </w:tcBorders>
          </w:tcPr>
          <w:p w:rsidR="00731D8F" w:rsidRDefault="00731D8F">
            <w:pPr>
              <w:ind w:right="-29"/>
              <w:jc w:val="center"/>
              <w:rPr>
                <w:noProof/>
                <w:sz w:val="18"/>
                <w:szCs w:val="18"/>
              </w:rPr>
            </w:pPr>
          </w:p>
        </w:tc>
        <w:tc>
          <w:tcPr>
            <w:tcW w:w="648" w:type="dxa"/>
            <w:tcBorders>
              <w:bottom w:val="single" w:sz="12" w:space="0" w:color="auto"/>
            </w:tcBorders>
          </w:tcPr>
          <w:p w:rsidR="00731D8F" w:rsidRDefault="00731D8F">
            <w:pPr>
              <w:ind w:right="-29"/>
              <w:jc w:val="center"/>
              <w:rPr>
                <w:noProof/>
                <w:sz w:val="18"/>
                <w:szCs w:val="18"/>
              </w:rPr>
            </w:pPr>
          </w:p>
        </w:tc>
        <w:tc>
          <w:tcPr>
            <w:tcW w:w="432" w:type="dxa"/>
            <w:tcBorders>
              <w:bottom w:val="single" w:sz="12" w:space="0" w:color="auto"/>
            </w:tcBorders>
          </w:tcPr>
          <w:p w:rsidR="00731D8F" w:rsidRDefault="00731D8F">
            <w:pPr>
              <w:ind w:right="-29"/>
              <w:jc w:val="center"/>
              <w:rPr>
                <w:noProof/>
                <w:sz w:val="18"/>
                <w:szCs w:val="18"/>
              </w:rPr>
            </w:pPr>
          </w:p>
        </w:tc>
        <w:tc>
          <w:tcPr>
            <w:tcW w:w="720" w:type="dxa"/>
            <w:gridSpan w:val="2"/>
            <w:tcBorders>
              <w:bottom w:val="single" w:sz="12" w:space="0" w:color="auto"/>
            </w:tcBorders>
          </w:tcPr>
          <w:p w:rsidR="00731D8F" w:rsidRDefault="00731D8F">
            <w:pPr>
              <w:ind w:right="-29"/>
              <w:jc w:val="center"/>
              <w:rPr>
                <w:noProof/>
                <w:sz w:val="18"/>
                <w:szCs w:val="18"/>
              </w:rPr>
            </w:pPr>
          </w:p>
        </w:tc>
        <w:tc>
          <w:tcPr>
            <w:tcW w:w="540" w:type="dxa"/>
            <w:tcBorders>
              <w:bottom w:val="single" w:sz="12" w:space="0" w:color="auto"/>
            </w:tcBorders>
          </w:tcPr>
          <w:p w:rsidR="00731D8F" w:rsidRDefault="00731D8F">
            <w:pPr>
              <w:ind w:right="-29"/>
              <w:jc w:val="center"/>
              <w:rPr>
                <w:noProof/>
                <w:sz w:val="18"/>
                <w:szCs w:val="18"/>
              </w:rPr>
            </w:pPr>
          </w:p>
        </w:tc>
        <w:tc>
          <w:tcPr>
            <w:tcW w:w="720" w:type="dxa"/>
            <w:tcBorders>
              <w:bottom w:val="single" w:sz="12" w:space="0" w:color="auto"/>
            </w:tcBorders>
          </w:tcPr>
          <w:p w:rsidR="00731D8F" w:rsidRDefault="00731D8F">
            <w:pPr>
              <w:ind w:right="-29"/>
              <w:jc w:val="center"/>
              <w:rPr>
                <w:noProof/>
                <w:sz w:val="18"/>
                <w:szCs w:val="18"/>
              </w:rPr>
            </w:pPr>
          </w:p>
        </w:tc>
        <w:tc>
          <w:tcPr>
            <w:tcW w:w="720" w:type="dxa"/>
            <w:tcBorders>
              <w:bottom w:val="single" w:sz="12" w:space="0" w:color="auto"/>
            </w:tcBorders>
          </w:tcPr>
          <w:p w:rsidR="00731D8F" w:rsidRDefault="00731D8F">
            <w:pPr>
              <w:ind w:right="-29"/>
              <w:jc w:val="center"/>
              <w:rPr>
                <w:noProof/>
                <w:sz w:val="18"/>
                <w:szCs w:val="18"/>
              </w:rPr>
            </w:pPr>
          </w:p>
        </w:tc>
        <w:tc>
          <w:tcPr>
            <w:tcW w:w="900" w:type="dxa"/>
            <w:tcBorders>
              <w:bottom w:val="single" w:sz="12" w:space="0" w:color="auto"/>
            </w:tcBorders>
          </w:tcPr>
          <w:p w:rsidR="00731D8F" w:rsidRDefault="00214EE0">
            <w:pPr>
              <w:ind w:right="-29"/>
              <w:jc w:val="center"/>
              <w:rPr>
                <w:noProof/>
                <w:sz w:val="18"/>
                <w:szCs w:val="18"/>
              </w:rPr>
            </w:pPr>
            <w:r>
              <w:rPr>
                <w:noProof/>
                <w:sz w:val="18"/>
              </w:rPr>
              <w:t>0,756</w:t>
            </w:r>
          </w:p>
        </w:tc>
      </w:tr>
      <w:tr w:rsidR="00731D8F">
        <w:trPr>
          <w:jc w:val="center"/>
        </w:trPr>
        <w:tc>
          <w:tcPr>
            <w:tcW w:w="2844" w:type="dxa"/>
            <w:gridSpan w:val="3"/>
            <w:tcBorders>
              <w:bottom w:val="single" w:sz="12" w:space="0" w:color="auto"/>
            </w:tcBorders>
            <w:vAlign w:val="center"/>
          </w:tcPr>
          <w:p w:rsidR="00731D8F" w:rsidRDefault="00214EE0">
            <w:pPr>
              <w:jc w:val="center"/>
              <w:rPr>
                <w:noProof/>
                <w:sz w:val="18"/>
              </w:rPr>
            </w:pPr>
            <w:r>
              <w:rPr>
                <w:noProof/>
                <w:sz w:val="18"/>
              </w:rPr>
              <w:t>CEL SZCZEGÓŁOWY nr 3</w:t>
            </w:r>
            <w:r>
              <w:rPr>
                <w:noProof/>
                <w:sz w:val="18"/>
              </w:rPr>
              <w:br/>
              <w:t>Spotkania/szkolenia</w:t>
            </w:r>
          </w:p>
        </w:tc>
        <w:tc>
          <w:tcPr>
            <w:tcW w:w="10764" w:type="dxa"/>
            <w:gridSpan w:val="18"/>
            <w:tcBorders>
              <w:bottom w:val="single" w:sz="12" w:space="0" w:color="auto"/>
            </w:tcBorders>
          </w:tcPr>
          <w:p w:rsidR="00731D8F" w:rsidRDefault="00731D8F">
            <w:pPr>
              <w:ind w:right="-29"/>
              <w:jc w:val="center"/>
              <w:rPr>
                <w:noProof/>
                <w:sz w:val="18"/>
                <w:szCs w:val="18"/>
              </w:rPr>
            </w:pPr>
          </w:p>
        </w:tc>
      </w:tr>
      <w:tr w:rsidR="00731D8F">
        <w:trPr>
          <w:jc w:val="center"/>
        </w:trPr>
        <w:tc>
          <w:tcPr>
            <w:tcW w:w="2844" w:type="dxa"/>
            <w:gridSpan w:val="3"/>
            <w:tcBorders>
              <w:bottom w:val="single" w:sz="12" w:space="0" w:color="auto"/>
            </w:tcBorders>
          </w:tcPr>
          <w:p w:rsidR="00731D8F" w:rsidRDefault="00214EE0">
            <w:pPr>
              <w:jc w:val="center"/>
              <w:rPr>
                <w:noProof/>
                <w:sz w:val="18"/>
              </w:rPr>
            </w:pPr>
            <w:r>
              <w:rPr>
                <w:noProof/>
                <w:sz w:val="18"/>
              </w:rPr>
              <w:t>Działania szkoleniowe</w:t>
            </w:r>
          </w:p>
        </w:tc>
        <w:tc>
          <w:tcPr>
            <w:tcW w:w="504" w:type="dxa"/>
            <w:tcBorders>
              <w:bottom w:val="single" w:sz="12" w:space="0" w:color="auto"/>
            </w:tcBorders>
          </w:tcPr>
          <w:p w:rsidR="00731D8F" w:rsidRDefault="00731D8F">
            <w:pPr>
              <w:ind w:right="-29"/>
              <w:jc w:val="center"/>
              <w:rPr>
                <w:noProof/>
                <w:sz w:val="18"/>
                <w:szCs w:val="18"/>
              </w:rPr>
            </w:pPr>
          </w:p>
        </w:tc>
        <w:tc>
          <w:tcPr>
            <w:tcW w:w="720" w:type="dxa"/>
            <w:tcBorders>
              <w:bottom w:val="single" w:sz="12" w:space="0" w:color="auto"/>
            </w:tcBorders>
          </w:tcPr>
          <w:p w:rsidR="00731D8F" w:rsidRDefault="00731D8F">
            <w:pPr>
              <w:ind w:right="-29"/>
              <w:jc w:val="center"/>
              <w:rPr>
                <w:noProof/>
                <w:sz w:val="18"/>
                <w:szCs w:val="18"/>
              </w:rPr>
            </w:pPr>
          </w:p>
        </w:tc>
        <w:tc>
          <w:tcPr>
            <w:tcW w:w="540" w:type="dxa"/>
            <w:tcBorders>
              <w:bottom w:val="single" w:sz="12" w:space="0" w:color="auto"/>
            </w:tcBorders>
          </w:tcPr>
          <w:p w:rsidR="00731D8F" w:rsidRDefault="00214EE0">
            <w:pPr>
              <w:ind w:right="-29"/>
              <w:jc w:val="center"/>
              <w:rPr>
                <w:noProof/>
                <w:sz w:val="18"/>
                <w:szCs w:val="18"/>
              </w:rPr>
            </w:pPr>
            <w:r>
              <w:rPr>
                <w:noProof/>
                <w:sz w:val="18"/>
              </w:rPr>
              <w:t>1</w:t>
            </w:r>
          </w:p>
        </w:tc>
        <w:tc>
          <w:tcPr>
            <w:tcW w:w="720" w:type="dxa"/>
            <w:tcBorders>
              <w:bottom w:val="single" w:sz="12" w:space="0" w:color="auto"/>
            </w:tcBorders>
          </w:tcPr>
          <w:p w:rsidR="00731D8F" w:rsidRDefault="00214EE0">
            <w:pPr>
              <w:ind w:right="-29"/>
              <w:jc w:val="center"/>
              <w:rPr>
                <w:noProof/>
                <w:sz w:val="18"/>
                <w:szCs w:val="18"/>
              </w:rPr>
            </w:pPr>
            <w:r>
              <w:rPr>
                <w:noProof/>
                <w:sz w:val="18"/>
              </w:rPr>
              <w:t>0,069</w:t>
            </w:r>
          </w:p>
        </w:tc>
        <w:tc>
          <w:tcPr>
            <w:tcW w:w="720" w:type="dxa"/>
            <w:tcBorders>
              <w:bottom w:val="single" w:sz="12" w:space="0" w:color="auto"/>
            </w:tcBorders>
          </w:tcPr>
          <w:p w:rsidR="00731D8F" w:rsidRDefault="00214EE0">
            <w:pPr>
              <w:ind w:right="-29"/>
              <w:jc w:val="center"/>
              <w:rPr>
                <w:noProof/>
                <w:sz w:val="18"/>
                <w:szCs w:val="18"/>
              </w:rPr>
            </w:pPr>
            <w:r>
              <w:rPr>
                <w:noProof/>
                <w:sz w:val="18"/>
              </w:rPr>
              <w:t>1</w:t>
            </w:r>
          </w:p>
        </w:tc>
        <w:tc>
          <w:tcPr>
            <w:tcW w:w="720" w:type="dxa"/>
            <w:tcBorders>
              <w:bottom w:val="single" w:sz="12" w:space="0" w:color="auto"/>
            </w:tcBorders>
          </w:tcPr>
          <w:p w:rsidR="00731D8F" w:rsidRDefault="00214EE0">
            <w:pPr>
              <w:ind w:right="-29"/>
              <w:jc w:val="center"/>
              <w:rPr>
                <w:noProof/>
                <w:sz w:val="18"/>
                <w:szCs w:val="18"/>
              </w:rPr>
            </w:pPr>
            <w:r>
              <w:rPr>
                <w:noProof/>
                <w:sz w:val="18"/>
              </w:rPr>
              <w:t>0,069</w:t>
            </w:r>
          </w:p>
        </w:tc>
        <w:tc>
          <w:tcPr>
            <w:tcW w:w="951" w:type="dxa"/>
            <w:gridSpan w:val="2"/>
            <w:tcBorders>
              <w:bottom w:val="single" w:sz="12" w:space="0" w:color="auto"/>
            </w:tcBorders>
          </w:tcPr>
          <w:p w:rsidR="00731D8F" w:rsidRDefault="00731D8F">
            <w:pPr>
              <w:ind w:right="-29"/>
              <w:jc w:val="center"/>
              <w:rPr>
                <w:noProof/>
                <w:sz w:val="18"/>
                <w:szCs w:val="18"/>
              </w:rPr>
            </w:pPr>
          </w:p>
        </w:tc>
        <w:tc>
          <w:tcPr>
            <w:tcW w:w="669" w:type="dxa"/>
            <w:tcBorders>
              <w:bottom w:val="single" w:sz="12" w:space="0" w:color="auto"/>
            </w:tcBorders>
          </w:tcPr>
          <w:p w:rsidR="00731D8F" w:rsidRDefault="00731D8F">
            <w:pPr>
              <w:ind w:right="-29"/>
              <w:jc w:val="center"/>
              <w:rPr>
                <w:noProof/>
                <w:sz w:val="18"/>
                <w:szCs w:val="18"/>
              </w:rPr>
            </w:pPr>
          </w:p>
        </w:tc>
        <w:tc>
          <w:tcPr>
            <w:tcW w:w="540" w:type="dxa"/>
            <w:tcBorders>
              <w:bottom w:val="single" w:sz="12" w:space="0" w:color="auto"/>
            </w:tcBorders>
          </w:tcPr>
          <w:p w:rsidR="00731D8F" w:rsidRDefault="00731D8F">
            <w:pPr>
              <w:ind w:right="-29"/>
              <w:jc w:val="center"/>
              <w:rPr>
                <w:noProof/>
                <w:sz w:val="18"/>
                <w:szCs w:val="18"/>
              </w:rPr>
            </w:pPr>
          </w:p>
        </w:tc>
        <w:tc>
          <w:tcPr>
            <w:tcW w:w="648" w:type="dxa"/>
            <w:tcBorders>
              <w:bottom w:val="single" w:sz="12" w:space="0" w:color="auto"/>
            </w:tcBorders>
          </w:tcPr>
          <w:p w:rsidR="00731D8F" w:rsidRDefault="00731D8F">
            <w:pPr>
              <w:ind w:right="-29"/>
              <w:jc w:val="center"/>
              <w:rPr>
                <w:noProof/>
                <w:sz w:val="18"/>
                <w:szCs w:val="18"/>
              </w:rPr>
            </w:pPr>
          </w:p>
        </w:tc>
        <w:tc>
          <w:tcPr>
            <w:tcW w:w="432" w:type="dxa"/>
            <w:tcBorders>
              <w:bottom w:val="single" w:sz="12" w:space="0" w:color="auto"/>
            </w:tcBorders>
          </w:tcPr>
          <w:p w:rsidR="00731D8F" w:rsidRDefault="00731D8F">
            <w:pPr>
              <w:ind w:right="-29"/>
              <w:jc w:val="center"/>
              <w:rPr>
                <w:noProof/>
                <w:sz w:val="18"/>
                <w:szCs w:val="18"/>
              </w:rPr>
            </w:pPr>
          </w:p>
        </w:tc>
        <w:tc>
          <w:tcPr>
            <w:tcW w:w="720" w:type="dxa"/>
            <w:gridSpan w:val="2"/>
            <w:tcBorders>
              <w:bottom w:val="single" w:sz="12" w:space="0" w:color="auto"/>
            </w:tcBorders>
          </w:tcPr>
          <w:p w:rsidR="00731D8F" w:rsidRDefault="00731D8F">
            <w:pPr>
              <w:ind w:right="-29"/>
              <w:jc w:val="center"/>
              <w:rPr>
                <w:noProof/>
                <w:sz w:val="18"/>
                <w:szCs w:val="18"/>
              </w:rPr>
            </w:pPr>
          </w:p>
        </w:tc>
        <w:tc>
          <w:tcPr>
            <w:tcW w:w="540" w:type="dxa"/>
            <w:tcBorders>
              <w:bottom w:val="single" w:sz="12" w:space="0" w:color="auto"/>
            </w:tcBorders>
          </w:tcPr>
          <w:p w:rsidR="00731D8F" w:rsidRDefault="00731D8F">
            <w:pPr>
              <w:ind w:right="-29"/>
              <w:jc w:val="center"/>
              <w:rPr>
                <w:noProof/>
                <w:sz w:val="18"/>
                <w:szCs w:val="18"/>
              </w:rPr>
            </w:pPr>
          </w:p>
        </w:tc>
        <w:tc>
          <w:tcPr>
            <w:tcW w:w="720" w:type="dxa"/>
            <w:tcBorders>
              <w:bottom w:val="single" w:sz="12" w:space="0" w:color="auto"/>
            </w:tcBorders>
          </w:tcPr>
          <w:p w:rsidR="00731D8F" w:rsidRDefault="00731D8F">
            <w:pPr>
              <w:ind w:right="-29"/>
              <w:jc w:val="center"/>
              <w:rPr>
                <w:noProof/>
                <w:sz w:val="18"/>
                <w:szCs w:val="18"/>
              </w:rPr>
            </w:pPr>
          </w:p>
        </w:tc>
        <w:tc>
          <w:tcPr>
            <w:tcW w:w="720" w:type="dxa"/>
            <w:tcBorders>
              <w:bottom w:val="single" w:sz="12" w:space="0" w:color="auto"/>
            </w:tcBorders>
          </w:tcPr>
          <w:p w:rsidR="00731D8F" w:rsidRDefault="00731D8F">
            <w:pPr>
              <w:ind w:right="-29"/>
              <w:jc w:val="center"/>
              <w:rPr>
                <w:noProof/>
                <w:sz w:val="18"/>
                <w:szCs w:val="18"/>
              </w:rPr>
            </w:pPr>
          </w:p>
        </w:tc>
        <w:tc>
          <w:tcPr>
            <w:tcW w:w="900" w:type="dxa"/>
            <w:tcBorders>
              <w:bottom w:val="single" w:sz="12" w:space="0" w:color="auto"/>
            </w:tcBorders>
          </w:tcPr>
          <w:p w:rsidR="00731D8F" w:rsidRDefault="00214EE0">
            <w:pPr>
              <w:ind w:right="-29"/>
              <w:jc w:val="center"/>
              <w:rPr>
                <w:noProof/>
                <w:sz w:val="18"/>
                <w:szCs w:val="18"/>
              </w:rPr>
            </w:pPr>
            <w:r>
              <w:rPr>
                <w:noProof/>
                <w:sz w:val="18"/>
              </w:rPr>
              <w:t>0,138</w:t>
            </w:r>
          </w:p>
        </w:tc>
      </w:tr>
      <w:tr w:rsidR="00731D8F">
        <w:trPr>
          <w:jc w:val="center"/>
        </w:trPr>
        <w:tc>
          <w:tcPr>
            <w:tcW w:w="2844" w:type="dxa"/>
            <w:gridSpan w:val="3"/>
            <w:tcBorders>
              <w:bottom w:val="single" w:sz="12" w:space="0" w:color="auto"/>
            </w:tcBorders>
            <w:vAlign w:val="center"/>
          </w:tcPr>
          <w:p w:rsidR="00731D8F" w:rsidRDefault="00214EE0">
            <w:pPr>
              <w:jc w:val="center"/>
              <w:rPr>
                <w:noProof/>
                <w:sz w:val="18"/>
              </w:rPr>
            </w:pPr>
            <w:r>
              <w:rPr>
                <w:noProof/>
                <w:sz w:val="18"/>
              </w:rPr>
              <w:t>Cel szczegółowy nr</w:t>
            </w:r>
            <w:r>
              <w:rPr>
                <w:noProof/>
                <w:sz w:val="18"/>
              </w:rPr>
              <w:t xml:space="preserve"> 3 – suma cząstkowa</w:t>
            </w:r>
          </w:p>
        </w:tc>
        <w:tc>
          <w:tcPr>
            <w:tcW w:w="504" w:type="dxa"/>
            <w:tcBorders>
              <w:bottom w:val="single" w:sz="12" w:space="0" w:color="auto"/>
            </w:tcBorders>
          </w:tcPr>
          <w:p w:rsidR="00731D8F" w:rsidRDefault="00731D8F">
            <w:pPr>
              <w:ind w:right="-29"/>
              <w:jc w:val="center"/>
              <w:rPr>
                <w:noProof/>
                <w:sz w:val="18"/>
                <w:szCs w:val="18"/>
              </w:rPr>
            </w:pPr>
          </w:p>
        </w:tc>
        <w:tc>
          <w:tcPr>
            <w:tcW w:w="720" w:type="dxa"/>
            <w:tcBorders>
              <w:bottom w:val="single" w:sz="12" w:space="0" w:color="auto"/>
            </w:tcBorders>
          </w:tcPr>
          <w:p w:rsidR="00731D8F" w:rsidRDefault="00731D8F">
            <w:pPr>
              <w:ind w:right="-29"/>
              <w:jc w:val="center"/>
              <w:rPr>
                <w:noProof/>
                <w:sz w:val="18"/>
                <w:szCs w:val="18"/>
              </w:rPr>
            </w:pPr>
          </w:p>
        </w:tc>
        <w:tc>
          <w:tcPr>
            <w:tcW w:w="540" w:type="dxa"/>
            <w:tcBorders>
              <w:bottom w:val="single" w:sz="12" w:space="0" w:color="auto"/>
            </w:tcBorders>
          </w:tcPr>
          <w:p w:rsidR="00731D8F" w:rsidRDefault="00731D8F">
            <w:pPr>
              <w:ind w:right="-29"/>
              <w:jc w:val="center"/>
              <w:rPr>
                <w:noProof/>
                <w:sz w:val="18"/>
                <w:szCs w:val="18"/>
              </w:rPr>
            </w:pPr>
          </w:p>
        </w:tc>
        <w:tc>
          <w:tcPr>
            <w:tcW w:w="720" w:type="dxa"/>
            <w:tcBorders>
              <w:bottom w:val="single" w:sz="12" w:space="0" w:color="auto"/>
            </w:tcBorders>
          </w:tcPr>
          <w:p w:rsidR="00731D8F" w:rsidRDefault="00214EE0">
            <w:pPr>
              <w:ind w:right="-29"/>
              <w:jc w:val="center"/>
              <w:rPr>
                <w:noProof/>
                <w:sz w:val="18"/>
                <w:szCs w:val="18"/>
              </w:rPr>
            </w:pPr>
            <w:r>
              <w:rPr>
                <w:noProof/>
                <w:sz w:val="18"/>
              </w:rPr>
              <w:t>0,069</w:t>
            </w:r>
          </w:p>
        </w:tc>
        <w:tc>
          <w:tcPr>
            <w:tcW w:w="720" w:type="dxa"/>
            <w:tcBorders>
              <w:bottom w:val="single" w:sz="12" w:space="0" w:color="auto"/>
            </w:tcBorders>
          </w:tcPr>
          <w:p w:rsidR="00731D8F" w:rsidRDefault="00731D8F">
            <w:pPr>
              <w:ind w:right="-29"/>
              <w:jc w:val="center"/>
              <w:rPr>
                <w:noProof/>
                <w:sz w:val="18"/>
                <w:szCs w:val="18"/>
              </w:rPr>
            </w:pPr>
          </w:p>
        </w:tc>
        <w:tc>
          <w:tcPr>
            <w:tcW w:w="720" w:type="dxa"/>
            <w:tcBorders>
              <w:bottom w:val="single" w:sz="12" w:space="0" w:color="auto"/>
            </w:tcBorders>
          </w:tcPr>
          <w:p w:rsidR="00731D8F" w:rsidRDefault="00214EE0">
            <w:pPr>
              <w:ind w:right="-29"/>
              <w:jc w:val="center"/>
              <w:rPr>
                <w:noProof/>
                <w:sz w:val="18"/>
                <w:szCs w:val="18"/>
              </w:rPr>
            </w:pPr>
            <w:r>
              <w:rPr>
                <w:noProof/>
                <w:sz w:val="18"/>
              </w:rPr>
              <w:t>0,069</w:t>
            </w:r>
          </w:p>
        </w:tc>
        <w:tc>
          <w:tcPr>
            <w:tcW w:w="951" w:type="dxa"/>
            <w:gridSpan w:val="2"/>
            <w:tcBorders>
              <w:bottom w:val="single" w:sz="12" w:space="0" w:color="auto"/>
            </w:tcBorders>
          </w:tcPr>
          <w:p w:rsidR="00731D8F" w:rsidRDefault="00731D8F">
            <w:pPr>
              <w:ind w:right="-29"/>
              <w:jc w:val="center"/>
              <w:rPr>
                <w:noProof/>
                <w:sz w:val="18"/>
                <w:szCs w:val="18"/>
              </w:rPr>
            </w:pPr>
          </w:p>
        </w:tc>
        <w:tc>
          <w:tcPr>
            <w:tcW w:w="669" w:type="dxa"/>
            <w:tcBorders>
              <w:bottom w:val="single" w:sz="12" w:space="0" w:color="auto"/>
            </w:tcBorders>
          </w:tcPr>
          <w:p w:rsidR="00731D8F" w:rsidRDefault="00731D8F">
            <w:pPr>
              <w:ind w:right="-29"/>
              <w:jc w:val="center"/>
              <w:rPr>
                <w:noProof/>
                <w:sz w:val="18"/>
                <w:szCs w:val="18"/>
              </w:rPr>
            </w:pPr>
          </w:p>
        </w:tc>
        <w:tc>
          <w:tcPr>
            <w:tcW w:w="540" w:type="dxa"/>
            <w:tcBorders>
              <w:bottom w:val="single" w:sz="12" w:space="0" w:color="auto"/>
            </w:tcBorders>
          </w:tcPr>
          <w:p w:rsidR="00731D8F" w:rsidRDefault="00731D8F">
            <w:pPr>
              <w:ind w:right="-29"/>
              <w:jc w:val="center"/>
              <w:rPr>
                <w:noProof/>
                <w:sz w:val="18"/>
                <w:szCs w:val="18"/>
              </w:rPr>
            </w:pPr>
          </w:p>
        </w:tc>
        <w:tc>
          <w:tcPr>
            <w:tcW w:w="648" w:type="dxa"/>
            <w:tcBorders>
              <w:bottom w:val="single" w:sz="12" w:space="0" w:color="auto"/>
            </w:tcBorders>
          </w:tcPr>
          <w:p w:rsidR="00731D8F" w:rsidRDefault="00731D8F">
            <w:pPr>
              <w:ind w:right="-29"/>
              <w:jc w:val="center"/>
              <w:rPr>
                <w:noProof/>
                <w:sz w:val="18"/>
                <w:szCs w:val="18"/>
              </w:rPr>
            </w:pPr>
          </w:p>
        </w:tc>
        <w:tc>
          <w:tcPr>
            <w:tcW w:w="432" w:type="dxa"/>
            <w:tcBorders>
              <w:bottom w:val="single" w:sz="12" w:space="0" w:color="auto"/>
            </w:tcBorders>
          </w:tcPr>
          <w:p w:rsidR="00731D8F" w:rsidRDefault="00731D8F">
            <w:pPr>
              <w:ind w:right="-29"/>
              <w:jc w:val="center"/>
              <w:rPr>
                <w:noProof/>
                <w:sz w:val="18"/>
                <w:szCs w:val="18"/>
              </w:rPr>
            </w:pPr>
          </w:p>
        </w:tc>
        <w:tc>
          <w:tcPr>
            <w:tcW w:w="720" w:type="dxa"/>
            <w:gridSpan w:val="2"/>
            <w:tcBorders>
              <w:bottom w:val="single" w:sz="12" w:space="0" w:color="auto"/>
            </w:tcBorders>
          </w:tcPr>
          <w:p w:rsidR="00731D8F" w:rsidRDefault="00731D8F">
            <w:pPr>
              <w:ind w:right="-29"/>
              <w:jc w:val="center"/>
              <w:rPr>
                <w:noProof/>
                <w:sz w:val="18"/>
                <w:szCs w:val="18"/>
              </w:rPr>
            </w:pPr>
          </w:p>
        </w:tc>
        <w:tc>
          <w:tcPr>
            <w:tcW w:w="540" w:type="dxa"/>
            <w:tcBorders>
              <w:bottom w:val="single" w:sz="12" w:space="0" w:color="auto"/>
            </w:tcBorders>
          </w:tcPr>
          <w:p w:rsidR="00731D8F" w:rsidRDefault="00731D8F">
            <w:pPr>
              <w:ind w:right="-29"/>
              <w:jc w:val="center"/>
              <w:rPr>
                <w:noProof/>
                <w:sz w:val="18"/>
                <w:szCs w:val="18"/>
              </w:rPr>
            </w:pPr>
          </w:p>
        </w:tc>
        <w:tc>
          <w:tcPr>
            <w:tcW w:w="720" w:type="dxa"/>
            <w:tcBorders>
              <w:bottom w:val="single" w:sz="12" w:space="0" w:color="auto"/>
            </w:tcBorders>
          </w:tcPr>
          <w:p w:rsidR="00731D8F" w:rsidRDefault="00731D8F">
            <w:pPr>
              <w:ind w:right="-29"/>
              <w:jc w:val="center"/>
              <w:rPr>
                <w:noProof/>
                <w:sz w:val="18"/>
                <w:szCs w:val="18"/>
              </w:rPr>
            </w:pPr>
          </w:p>
        </w:tc>
        <w:tc>
          <w:tcPr>
            <w:tcW w:w="720" w:type="dxa"/>
            <w:tcBorders>
              <w:bottom w:val="single" w:sz="12" w:space="0" w:color="auto"/>
            </w:tcBorders>
          </w:tcPr>
          <w:p w:rsidR="00731D8F" w:rsidRDefault="00731D8F">
            <w:pPr>
              <w:ind w:right="-29"/>
              <w:jc w:val="center"/>
              <w:rPr>
                <w:noProof/>
                <w:sz w:val="18"/>
                <w:szCs w:val="18"/>
              </w:rPr>
            </w:pPr>
          </w:p>
        </w:tc>
        <w:tc>
          <w:tcPr>
            <w:tcW w:w="900" w:type="dxa"/>
            <w:tcBorders>
              <w:bottom w:val="single" w:sz="12" w:space="0" w:color="auto"/>
            </w:tcBorders>
          </w:tcPr>
          <w:p w:rsidR="00731D8F" w:rsidRDefault="00214EE0">
            <w:pPr>
              <w:ind w:right="-29"/>
              <w:jc w:val="center"/>
              <w:rPr>
                <w:noProof/>
                <w:sz w:val="18"/>
                <w:szCs w:val="18"/>
              </w:rPr>
            </w:pPr>
            <w:r>
              <w:rPr>
                <w:noProof/>
                <w:sz w:val="18"/>
              </w:rPr>
              <w:t>0,138</w:t>
            </w:r>
          </w:p>
        </w:tc>
      </w:tr>
      <w:tr w:rsidR="00731D8F">
        <w:trPr>
          <w:jc w:val="center"/>
        </w:trPr>
        <w:tc>
          <w:tcPr>
            <w:tcW w:w="2844" w:type="dxa"/>
            <w:gridSpan w:val="3"/>
            <w:tcBorders>
              <w:top w:val="single" w:sz="12" w:space="0" w:color="auto"/>
              <w:left w:val="single" w:sz="12" w:space="0" w:color="auto"/>
              <w:bottom w:val="single" w:sz="12" w:space="0" w:color="auto"/>
            </w:tcBorders>
            <w:vAlign w:val="center"/>
          </w:tcPr>
          <w:p w:rsidR="00731D8F" w:rsidRDefault="00214EE0">
            <w:pPr>
              <w:ind w:right="-29"/>
              <w:jc w:val="center"/>
              <w:rPr>
                <w:noProof/>
                <w:sz w:val="18"/>
                <w:szCs w:val="18"/>
              </w:rPr>
            </w:pPr>
            <w:r>
              <w:rPr>
                <w:b/>
                <w:noProof/>
                <w:sz w:val="18"/>
              </w:rPr>
              <w:t>KOSZT OGÓŁEM</w:t>
            </w:r>
          </w:p>
        </w:tc>
        <w:tc>
          <w:tcPr>
            <w:tcW w:w="504" w:type="dxa"/>
            <w:tcBorders>
              <w:top w:val="single" w:sz="12" w:space="0" w:color="auto"/>
              <w:bottom w:val="single" w:sz="12" w:space="0" w:color="auto"/>
            </w:tcBorders>
          </w:tcPr>
          <w:p w:rsidR="00731D8F" w:rsidRDefault="00731D8F">
            <w:pPr>
              <w:spacing w:before="180" w:after="180"/>
              <w:ind w:right="-29"/>
              <w:jc w:val="center"/>
              <w:rPr>
                <w:noProof/>
                <w:sz w:val="18"/>
                <w:szCs w:val="18"/>
              </w:rPr>
            </w:pPr>
          </w:p>
        </w:tc>
        <w:tc>
          <w:tcPr>
            <w:tcW w:w="720" w:type="dxa"/>
            <w:tcBorders>
              <w:top w:val="single" w:sz="12" w:space="0" w:color="auto"/>
              <w:bottom w:val="single" w:sz="12" w:space="0" w:color="auto"/>
            </w:tcBorders>
          </w:tcPr>
          <w:p w:rsidR="00731D8F" w:rsidRDefault="00214EE0">
            <w:pPr>
              <w:spacing w:before="180" w:after="180"/>
              <w:ind w:right="-29"/>
              <w:jc w:val="center"/>
              <w:rPr>
                <w:noProof/>
                <w:sz w:val="18"/>
                <w:szCs w:val="18"/>
              </w:rPr>
            </w:pPr>
            <w:r>
              <w:rPr>
                <w:noProof/>
                <w:sz w:val="18"/>
              </w:rPr>
              <w:t>2,520</w:t>
            </w:r>
          </w:p>
        </w:tc>
        <w:tc>
          <w:tcPr>
            <w:tcW w:w="540" w:type="dxa"/>
            <w:tcBorders>
              <w:top w:val="single" w:sz="12" w:space="0" w:color="auto"/>
              <w:bottom w:val="single" w:sz="12" w:space="0" w:color="auto"/>
            </w:tcBorders>
          </w:tcPr>
          <w:p w:rsidR="00731D8F" w:rsidRDefault="00731D8F">
            <w:pPr>
              <w:spacing w:before="180" w:after="180"/>
              <w:ind w:right="-29"/>
              <w:jc w:val="center"/>
              <w:rPr>
                <w:noProof/>
                <w:sz w:val="18"/>
                <w:szCs w:val="18"/>
              </w:rPr>
            </w:pPr>
          </w:p>
        </w:tc>
        <w:tc>
          <w:tcPr>
            <w:tcW w:w="720" w:type="dxa"/>
            <w:tcBorders>
              <w:top w:val="single" w:sz="12" w:space="0" w:color="auto"/>
              <w:bottom w:val="single" w:sz="12" w:space="0" w:color="auto"/>
            </w:tcBorders>
          </w:tcPr>
          <w:p w:rsidR="00731D8F" w:rsidRDefault="00214EE0">
            <w:pPr>
              <w:spacing w:before="180" w:after="180"/>
              <w:ind w:right="-29"/>
              <w:jc w:val="center"/>
              <w:rPr>
                <w:noProof/>
                <w:sz w:val="18"/>
                <w:szCs w:val="18"/>
              </w:rPr>
            </w:pPr>
            <w:r>
              <w:rPr>
                <w:noProof/>
                <w:sz w:val="18"/>
              </w:rPr>
              <w:t>0,447</w:t>
            </w:r>
          </w:p>
        </w:tc>
        <w:tc>
          <w:tcPr>
            <w:tcW w:w="720" w:type="dxa"/>
            <w:tcBorders>
              <w:top w:val="single" w:sz="12" w:space="0" w:color="auto"/>
              <w:bottom w:val="single" w:sz="12" w:space="0" w:color="auto"/>
            </w:tcBorders>
          </w:tcPr>
          <w:p w:rsidR="00731D8F" w:rsidRDefault="00731D8F">
            <w:pPr>
              <w:spacing w:before="180" w:after="180"/>
              <w:ind w:right="-29"/>
              <w:jc w:val="center"/>
              <w:rPr>
                <w:noProof/>
                <w:sz w:val="18"/>
                <w:szCs w:val="18"/>
              </w:rPr>
            </w:pPr>
          </w:p>
        </w:tc>
        <w:tc>
          <w:tcPr>
            <w:tcW w:w="720" w:type="dxa"/>
            <w:tcBorders>
              <w:top w:val="single" w:sz="12" w:space="0" w:color="auto"/>
              <w:bottom w:val="single" w:sz="12" w:space="0" w:color="auto"/>
            </w:tcBorders>
          </w:tcPr>
          <w:p w:rsidR="00731D8F" w:rsidRDefault="00214EE0">
            <w:pPr>
              <w:spacing w:before="180" w:after="180"/>
              <w:ind w:right="-29"/>
              <w:jc w:val="center"/>
              <w:rPr>
                <w:noProof/>
                <w:sz w:val="18"/>
                <w:szCs w:val="18"/>
              </w:rPr>
            </w:pPr>
            <w:r>
              <w:rPr>
                <w:noProof/>
                <w:sz w:val="18"/>
              </w:rPr>
              <w:t>0,447</w:t>
            </w:r>
          </w:p>
        </w:tc>
        <w:tc>
          <w:tcPr>
            <w:tcW w:w="900" w:type="dxa"/>
            <w:tcBorders>
              <w:top w:val="single" w:sz="12" w:space="0" w:color="auto"/>
              <w:bottom w:val="single" w:sz="12" w:space="0" w:color="auto"/>
            </w:tcBorders>
          </w:tcPr>
          <w:p w:rsidR="00731D8F" w:rsidRDefault="00731D8F">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rsidR="00731D8F" w:rsidRDefault="00731D8F">
            <w:pPr>
              <w:spacing w:before="180" w:after="180"/>
              <w:ind w:right="-29"/>
              <w:jc w:val="center"/>
              <w:rPr>
                <w:noProof/>
                <w:sz w:val="18"/>
                <w:szCs w:val="18"/>
              </w:rPr>
            </w:pPr>
          </w:p>
        </w:tc>
        <w:tc>
          <w:tcPr>
            <w:tcW w:w="540" w:type="dxa"/>
            <w:tcBorders>
              <w:top w:val="single" w:sz="12" w:space="0" w:color="auto"/>
              <w:bottom w:val="single" w:sz="12" w:space="0" w:color="auto"/>
            </w:tcBorders>
          </w:tcPr>
          <w:p w:rsidR="00731D8F" w:rsidRDefault="00731D8F">
            <w:pPr>
              <w:spacing w:before="180" w:after="180"/>
              <w:ind w:right="-29"/>
              <w:jc w:val="center"/>
              <w:rPr>
                <w:noProof/>
                <w:sz w:val="18"/>
                <w:szCs w:val="18"/>
              </w:rPr>
            </w:pPr>
          </w:p>
        </w:tc>
        <w:tc>
          <w:tcPr>
            <w:tcW w:w="648" w:type="dxa"/>
            <w:tcBorders>
              <w:top w:val="single" w:sz="12" w:space="0" w:color="auto"/>
              <w:bottom w:val="single" w:sz="12" w:space="0" w:color="auto"/>
            </w:tcBorders>
          </w:tcPr>
          <w:p w:rsidR="00731D8F" w:rsidRDefault="00731D8F">
            <w:pPr>
              <w:spacing w:before="180" w:after="180"/>
              <w:ind w:right="-29"/>
              <w:jc w:val="center"/>
              <w:rPr>
                <w:noProof/>
                <w:sz w:val="18"/>
                <w:szCs w:val="18"/>
              </w:rPr>
            </w:pPr>
          </w:p>
        </w:tc>
        <w:tc>
          <w:tcPr>
            <w:tcW w:w="432" w:type="dxa"/>
            <w:tcBorders>
              <w:top w:val="single" w:sz="12" w:space="0" w:color="auto"/>
              <w:bottom w:val="single" w:sz="12" w:space="0" w:color="auto"/>
            </w:tcBorders>
          </w:tcPr>
          <w:p w:rsidR="00731D8F" w:rsidRDefault="00731D8F">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rsidR="00731D8F" w:rsidRDefault="00731D8F">
            <w:pPr>
              <w:spacing w:before="180" w:after="180"/>
              <w:ind w:right="-29"/>
              <w:jc w:val="center"/>
              <w:rPr>
                <w:noProof/>
                <w:sz w:val="18"/>
                <w:szCs w:val="18"/>
              </w:rPr>
            </w:pPr>
          </w:p>
        </w:tc>
        <w:tc>
          <w:tcPr>
            <w:tcW w:w="540" w:type="dxa"/>
            <w:tcBorders>
              <w:top w:val="single" w:sz="12" w:space="0" w:color="auto"/>
              <w:bottom w:val="single" w:sz="12" w:space="0" w:color="auto"/>
            </w:tcBorders>
          </w:tcPr>
          <w:p w:rsidR="00731D8F" w:rsidRDefault="00731D8F">
            <w:pPr>
              <w:spacing w:before="180" w:after="180"/>
              <w:ind w:right="-29"/>
              <w:jc w:val="center"/>
              <w:rPr>
                <w:noProof/>
                <w:sz w:val="18"/>
                <w:szCs w:val="18"/>
              </w:rPr>
            </w:pPr>
          </w:p>
        </w:tc>
        <w:tc>
          <w:tcPr>
            <w:tcW w:w="720" w:type="dxa"/>
            <w:tcBorders>
              <w:top w:val="single" w:sz="12" w:space="0" w:color="auto"/>
              <w:bottom w:val="single" w:sz="12" w:space="0" w:color="auto"/>
            </w:tcBorders>
          </w:tcPr>
          <w:p w:rsidR="00731D8F" w:rsidRDefault="00731D8F">
            <w:pPr>
              <w:spacing w:before="180" w:after="180"/>
              <w:ind w:right="-29"/>
              <w:jc w:val="center"/>
              <w:rPr>
                <w:noProof/>
                <w:sz w:val="18"/>
                <w:szCs w:val="18"/>
              </w:rPr>
            </w:pPr>
          </w:p>
        </w:tc>
        <w:tc>
          <w:tcPr>
            <w:tcW w:w="720" w:type="dxa"/>
            <w:tcBorders>
              <w:top w:val="single" w:sz="12" w:space="0" w:color="auto"/>
              <w:bottom w:val="single" w:sz="12" w:space="0" w:color="auto"/>
            </w:tcBorders>
          </w:tcPr>
          <w:p w:rsidR="00731D8F" w:rsidRDefault="00731D8F">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rsidR="00731D8F" w:rsidRDefault="00214EE0">
            <w:pPr>
              <w:spacing w:before="180" w:after="180"/>
              <w:ind w:right="-29"/>
              <w:jc w:val="center"/>
              <w:rPr>
                <w:noProof/>
                <w:sz w:val="18"/>
                <w:szCs w:val="18"/>
              </w:rPr>
            </w:pPr>
            <w:r>
              <w:rPr>
                <w:noProof/>
                <w:sz w:val="18"/>
              </w:rPr>
              <w:t>3,414</w:t>
            </w:r>
          </w:p>
        </w:tc>
      </w:tr>
    </w:tbl>
    <w:p w:rsidR="00731D8F" w:rsidRDefault="00731D8F">
      <w:pPr>
        <w:rPr>
          <w:noProof/>
        </w:rPr>
        <w:sectPr w:rsidR="00731D8F" w:rsidSect="00214EE0">
          <w:pgSz w:w="16840" w:h="11907" w:orient="landscape" w:code="9"/>
          <w:pgMar w:top="1134" w:right="1418" w:bottom="567" w:left="1418" w:header="709" w:footer="709" w:gutter="0"/>
          <w:cols w:space="708"/>
          <w:docGrid w:linePitch="360"/>
        </w:sectPr>
      </w:pPr>
    </w:p>
    <w:p w:rsidR="00731D8F" w:rsidRDefault="00214EE0">
      <w:pPr>
        <w:pStyle w:val="ManualHeading3"/>
        <w:rPr>
          <w:bCs/>
          <w:noProof/>
          <w:szCs w:val="24"/>
        </w:rPr>
      </w:pPr>
      <w:r>
        <w:rPr>
          <w:noProof/>
        </w:rPr>
        <w:t>3.2.3.</w:t>
      </w:r>
      <w:r>
        <w:rPr>
          <w:noProof/>
        </w:rPr>
        <w:tab/>
        <w:t>Szacunkowy wpływ na zasoby ludzkie eu-LISA</w:t>
      </w:r>
    </w:p>
    <w:p w:rsidR="00731D8F" w:rsidRDefault="00214EE0">
      <w:pPr>
        <w:pStyle w:val="ManualHeading4"/>
        <w:rPr>
          <w:noProof/>
        </w:rPr>
      </w:pPr>
      <w:r>
        <w:rPr>
          <w:noProof/>
        </w:rPr>
        <w:t>3.2.3.1.</w:t>
      </w:r>
      <w:r>
        <w:rPr>
          <w:noProof/>
        </w:rPr>
        <w:tab/>
        <w:t xml:space="preserve">Streszczenie </w:t>
      </w:r>
    </w:p>
    <w:p w:rsidR="00731D8F" w:rsidRDefault="00214EE0">
      <w:pPr>
        <w:pStyle w:val="ListDash1"/>
        <w:rPr>
          <w:noProof/>
        </w:rPr>
      </w:pPr>
      <w:r>
        <w:rPr>
          <w:noProof/>
        </w:rPr>
        <w:sym w:font="Wingdings" w:char="F0A8"/>
      </w:r>
      <w:r>
        <w:rPr>
          <w:noProof/>
        </w:rPr>
        <w:tab/>
      </w:r>
      <w:r>
        <w:rPr>
          <w:noProof/>
        </w:rPr>
        <w:t xml:space="preserve">Wniosek/inicjatywa nie wiąże się z koniecznością wykorzystania środków administracyjnych </w:t>
      </w:r>
    </w:p>
    <w:p w:rsidR="00731D8F" w:rsidRDefault="00214EE0">
      <w:pPr>
        <w:pStyle w:val="ListDash1"/>
        <w:rPr>
          <w:noProof/>
        </w:rPr>
      </w:pPr>
      <w:r>
        <w:rPr>
          <w:noProof/>
        </w:rPr>
        <w:sym w:font="Wingdings" w:char="F0FE"/>
      </w:r>
      <w:r>
        <w:rPr>
          <w:noProof/>
        </w:rPr>
        <w:tab/>
        <w:t>Wniosek/inicjatywa wiąże się z koniecznością wykorzystania środków administracyjnych, jak określono poniżej:</w:t>
      </w:r>
    </w:p>
    <w:p w:rsidR="00731D8F" w:rsidRDefault="00214EE0">
      <w:pPr>
        <w:rPr>
          <w:noProof/>
          <w:sz w:val="20"/>
        </w:rPr>
      </w:pPr>
      <w:r>
        <w:rPr>
          <w:noProof/>
          <w:sz w:val="20"/>
        </w:rPr>
        <w:t>w mln EUR (do trzech miejsc po przecinku)</w:t>
      </w:r>
    </w:p>
    <w:tbl>
      <w:tblPr>
        <w:tblW w:w="630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tblGrid>
      <w:tr w:rsidR="00731D8F">
        <w:trPr>
          <w:trHeight w:val="585"/>
        </w:trPr>
        <w:tc>
          <w:tcPr>
            <w:tcW w:w="1980" w:type="dxa"/>
          </w:tcPr>
          <w:p w:rsidR="00731D8F" w:rsidRDefault="00731D8F">
            <w:pPr>
              <w:spacing w:before="60" w:after="60" w:line="200" w:lineRule="exact"/>
              <w:rPr>
                <w:noProof/>
                <w:sz w:val="16"/>
                <w:szCs w:val="16"/>
              </w:rPr>
            </w:pPr>
          </w:p>
        </w:tc>
        <w:tc>
          <w:tcPr>
            <w:tcW w:w="1080" w:type="dxa"/>
            <w:vAlign w:val="center"/>
          </w:tcPr>
          <w:p w:rsidR="00731D8F" w:rsidRDefault="00214EE0">
            <w:pPr>
              <w:spacing w:before="60" w:after="60" w:line="200" w:lineRule="exact"/>
              <w:jc w:val="center"/>
              <w:rPr>
                <w:noProof/>
                <w:sz w:val="16"/>
                <w:szCs w:val="16"/>
              </w:rPr>
            </w:pPr>
            <w:r>
              <w:rPr>
                <w:noProof/>
                <w:sz w:val="16"/>
              </w:rPr>
              <w:t>Rok</w:t>
            </w:r>
            <w:r>
              <w:rPr>
                <w:noProof/>
                <w:sz w:val="22"/>
              </w:rPr>
              <w:br/>
            </w:r>
            <w:r>
              <w:rPr>
                <w:b/>
                <w:noProof/>
                <w:sz w:val="16"/>
              </w:rPr>
              <w:t>2018</w:t>
            </w:r>
          </w:p>
        </w:tc>
        <w:tc>
          <w:tcPr>
            <w:tcW w:w="1080" w:type="dxa"/>
            <w:vAlign w:val="center"/>
          </w:tcPr>
          <w:p w:rsidR="00731D8F" w:rsidRDefault="00214EE0">
            <w:pPr>
              <w:spacing w:before="60" w:after="60" w:line="200" w:lineRule="exact"/>
              <w:jc w:val="center"/>
              <w:rPr>
                <w:noProof/>
                <w:sz w:val="16"/>
                <w:szCs w:val="16"/>
              </w:rPr>
            </w:pPr>
            <w:r>
              <w:rPr>
                <w:noProof/>
                <w:sz w:val="16"/>
              </w:rPr>
              <w:t>Rok</w:t>
            </w:r>
            <w:r>
              <w:rPr>
                <w:noProof/>
                <w:sz w:val="22"/>
              </w:rPr>
              <w:br/>
            </w:r>
            <w:r>
              <w:rPr>
                <w:b/>
                <w:noProof/>
                <w:sz w:val="16"/>
              </w:rPr>
              <w:t>2019</w:t>
            </w:r>
          </w:p>
        </w:tc>
        <w:tc>
          <w:tcPr>
            <w:tcW w:w="1080" w:type="dxa"/>
            <w:vAlign w:val="center"/>
          </w:tcPr>
          <w:p w:rsidR="00731D8F" w:rsidRDefault="00214EE0">
            <w:pPr>
              <w:spacing w:before="60" w:after="60" w:line="200" w:lineRule="exact"/>
              <w:jc w:val="center"/>
              <w:rPr>
                <w:noProof/>
                <w:sz w:val="16"/>
                <w:szCs w:val="16"/>
              </w:rPr>
            </w:pPr>
            <w:r>
              <w:rPr>
                <w:noProof/>
                <w:sz w:val="16"/>
              </w:rPr>
              <w:t>Rok</w:t>
            </w:r>
            <w:r>
              <w:rPr>
                <w:noProof/>
                <w:sz w:val="22"/>
              </w:rPr>
              <w:br/>
            </w:r>
            <w:r>
              <w:rPr>
                <w:b/>
                <w:noProof/>
                <w:sz w:val="16"/>
              </w:rPr>
              <w:t>2020</w:t>
            </w:r>
          </w:p>
        </w:tc>
        <w:tc>
          <w:tcPr>
            <w:tcW w:w="1080" w:type="dxa"/>
            <w:vAlign w:val="center"/>
          </w:tcPr>
          <w:p w:rsidR="00731D8F" w:rsidRDefault="00214EE0">
            <w:pPr>
              <w:spacing w:before="60" w:after="60" w:line="200" w:lineRule="exact"/>
              <w:jc w:val="center"/>
              <w:rPr>
                <w:b/>
                <w:noProof/>
                <w:sz w:val="16"/>
                <w:szCs w:val="16"/>
              </w:rPr>
            </w:pPr>
            <w:r>
              <w:rPr>
                <w:b/>
                <w:noProof/>
                <w:sz w:val="16"/>
              </w:rPr>
              <w:t>OGÓŁEM</w:t>
            </w:r>
          </w:p>
        </w:tc>
      </w:tr>
    </w:tbl>
    <w:p w:rsidR="00731D8F" w:rsidRDefault="00731D8F">
      <w:pPr>
        <w:spacing w:line="200" w:lineRule="exact"/>
        <w:rPr>
          <w:noProof/>
          <w:sz w:val="16"/>
          <w:szCs w:val="16"/>
        </w:rPr>
      </w:pPr>
    </w:p>
    <w:tbl>
      <w:tblPr>
        <w:tblW w:w="630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tblGrid>
      <w:tr w:rsidR="00731D8F">
        <w:trPr>
          <w:trHeight w:val="585"/>
        </w:trPr>
        <w:tc>
          <w:tcPr>
            <w:tcW w:w="1980" w:type="dxa"/>
            <w:shd w:val="clear" w:color="auto" w:fill="CCCCCC"/>
            <w:vAlign w:val="center"/>
          </w:tcPr>
          <w:p w:rsidR="00731D8F" w:rsidRDefault="00214EE0">
            <w:pPr>
              <w:spacing w:before="60" w:after="60" w:line="200" w:lineRule="exact"/>
              <w:rPr>
                <w:noProof/>
                <w:sz w:val="16"/>
                <w:szCs w:val="16"/>
              </w:rPr>
            </w:pPr>
            <w:r>
              <w:rPr>
                <w:noProof/>
                <w:sz w:val="16"/>
              </w:rPr>
              <w:t>Urzędnicy (grupa zaszeregowania AD)</w:t>
            </w:r>
          </w:p>
        </w:tc>
        <w:tc>
          <w:tcPr>
            <w:tcW w:w="1080" w:type="dxa"/>
            <w:vAlign w:val="center"/>
          </w:tcPr>
          <w:p w:rsidR="00731D8F" w:rsidRDefault="00731D8F">
            <w:pPr>
              <w:spacing w:before="60" w:after="60" w:line="200" w:lineRule="exact"/>
              <w:jc w:val="right"/>
              <w:rPr>
                <w:noProof/>
                <w:sz w:val="16"/>
                <w:szCs w:val="16"/>
              </w:rPr>
            </w:pPr>
          </w:p>
        </w:tc>
        <w:tc>
          <w:tcPr>
            <w:tcW w:w="1080" w:type="dxa"/>
            <w:vAlign w:val="center"/>
          </w:tcPr>
          <w:p w:rsidR="00731D8F" w:rsidRDefault="00731D8F">
            <w:pPr>
              <w:spacing w:before="60" w:after="60" w:line="200" w:lineRule="exact"/>
              <w:jc w:val="right"/>
              <w:rPr>
                <w:noProof/>
                <w:sz w:val="16"/>
                <w:szCs w:val="16"/>
              </w:rPr>
            </w:pPr>
          </w:p>
        </w:tc>
        <w:tc>
          <w:tcPr>
            <w:tcW w:w="1080" w:type="dxa"/>
            <w:vAlign w:val="center"/>
          </w:tcPr>
          <w:p w:rsidR="00731D8F" w:rsidRDefault="00731D8F">
            <w:pPr>
              <w:spacing w:before="60" w:after="60" w:line="200" w:lineRule="exact"/>
              <w:jc w:val="right"/>
              <w:rPr>
                <w:noProof/>
                <w:sz w:val="16"/>
                <w:szCs w:val="16"/>
              </w:rPr>
            </w:pPr>
          </w:p>
        </w:tc>
        <w:tc>
          <w:tcPr>
            <w:tcW w:w="1080" w:type="dxa"/>
            <w:vAlign w:val="center"/>
          </w:tcPr>
          <w:p w:rsidR="00731D8F" w:rsidRDefault="00731D8F">
            <w:pPr>
              <w:spacing w:before="60" w:after="60" w:line="200" w:lineRule="exact"/>
              <w:jc w:val="right"/>
              <w:rPr>
                <w:noProof/>
                <w:sz w:val="16"/>
                <w:szCs w:val="16"/>
              </w:rPr>
            </w:pPr>
          </w:p>
        </w:tc>
      </w:tr>
      <w:tr w:rsidR="00731D8F">
        <w:trPr>
          <w:trHeight w:val="585"/>
        </w:trPr>
        <w:tc>
          <w:tcPr>
            <w:tcW w:w="1980" w:type="dxa"/>
            <w:vAlign w:val="center"/>
          </w:tcPr>
          <w:p w:rsidR="00731D8F" w:rsidRDefault="00214EE0">
            <w:pPr>
              <w:spacing w:before="60" w:after="60" w:line="200" w:lineRule="exact"/>
              <w:jc w:val="left"/>
              <w:rPr>
                <w:noProof/>
                <w:sz w:val="16"/>
                <w:szCs w:val="16"/>
              </w:rPr>
            </w:pPr>
            <w:r>
              <w:rPr>
                <w:noProof/>
                <w:sz w:val="16"/>
              </w:rPr>
              <w:t>Urzędnicy (grupa zaszeregowania AST)</w:t>
            </w:r>
          </w:p>
        </w:tc>
        <w:tc>
          <w:tcPr>
            <w:tcW w:w="1080" w:type="dxa"/>
            <w:vAlign w:val="center"/>
          </w:tcPr>
          <w:p w:rsidR="00731D8F" w:rsidRDefault="00731D8F">
            <w:pPr>
              <w:spacing w:before="60" w:after="60" w:line="200" w:lineRule="exact"/>
              <w:jc w:val="right"/>
              <w:rPr>
                <w:noProof/>
                <w:sz w:val="16"/>
                <w:szCs w:val="16"/>
              </w:rPr>
            </w:pPr>
          </w:p>
        </w:tc>
        <w:tc>
          <w:tcPr>
            <w:tcW w:w="1080" w:type="dxa"/>
            <w:vAlign w:val="center"/>
          </w:tcPr>
          <w:p w:rsidR="00731D8F" w:rsidRDefault="00731D8F">
            <w:pPr>
              <w:spacing w:before="60" w:after="60" w:line="200" w:lineRule="exact"/>
              <w:jc w:val="right"/>
              <w:rPr>
                <w:noProof/>
                <w:sz w:val="16"/>
                <w:szCs w:val="16"/>
              </w:rPr>
            </w:pPr>
          </w:p>
        </w:tc>
        <w:tc>
          <w:tcPr>
            <w:tcW w:w="1080" w:type="dxa"/>
            <w:vAlign w:val="center"/>
          </w:tcPr>
          <w:p w:rsidR="00731D8F" w:rsidRDefault="00731D8F">
            <w:pPr>
              <w:spacing w:before="60" w:after="60" w:line="200" w:lineRule="exact"/>
              <w:jc w:val="right"/>
              <w:rPr>
                <w:noProof/>
                <w:sz w:val="16"/>
                <w:szCs w:val="16"/>
              </w:rPr>
            </w:pPr>
          </w:p>
        </w:tc>
        <w:tc>
          <w:tcPr>
            <w:tcW w:w="1080" w:type="dxa"/>
            <w:vAlign w:val="center"/>
          </w:tcPr>
          <w:p w:rsidR="00731D8F" w:rsidRDefault="00731D8F">
            <w:pPr>
              <w:spacing w:before="60" w:after="60" w:line="200" w:lineRule="exact"/>
              <w:jc w:val="right"/>
              <w:rPr>
                <w:noProof/>
                <w:sz w:val="16"/>
                <w:szCs w:val="16"/>
              </w:rPr>
            </w:pPr>
          </w:p>
        </w:tc>
      </w:tr>
      <w:tr w:rsidR="00731D8F">
        <w:trPr>
          <w:trHeight w:val="585"/>
        </w:trPr>
        <w:tc>
          <w:tcPr>
            <w:tcW w:w="1980" w:type="dxa"/>
            <w:vAlign w:val="center"/>
          </w:tcPr>
          <w:p w:rsidR="00731D8F" w:rsidRDefault="00214EE0">
            <w:pPr>
              <w:spacing w:before="60" w:after="60" w:line="200" w:lineRule="exact"/>
              <w:jc w:val="left"/>
              <w:rPr>
                <w:noProof/>
                <w:sz w:val="16"/>
                <w:szCs w:val="16"/>
              </w:rPr>
            </w:pPr>
            <w:r>
              <w:rPr>
                <w:noProof/>
                <w:sz w:val="16"/>
              </w:rPr>
              <w:t>Personel kontraktowy</w:t>
            </w:r>
          </w:p>
        </w:tc>
        <w:tc>
          <w:tcPr>
            <w:tcW w:w="1080" w:type="dxa"/>
            <w:vAlign w:val="center"/>
          </w:tcPr>
          <w:p w:rsidR="00731D8F" w:rsidRDefault="00214EE0">
            <w:pPr>
              <w:spacing w:before="60" w:after="60" w:line="200" w:lineRule="exact"/>
              <w:jc w:val="right"/>
              <w:rPr>
                <w:noProof/>
                <w:sz w:val="16"/>
                <w:szCs w:val="16"/>
              </w:rPr>
            </w:pPr>
            <w:r>
              <w:rPr>
                <w:noProof/>
                <w:sz w:val="16"/>
              </w:rPr>
              <w:t>0,070</w:t>
            </w:r>
          </w:p>
        </w:tc>
        <w:tc>
          <w:tcPr>
            <w:tcW w:w="1080" w:type="dxa"/>
            <w:vAlign w:val="center"/>
          </w:tcPr>
          <w:p w:rsidR="00731D8F" w:rsidRDefault="00214EE0">
            <w:pPr>
              <w:spacing w:before="60" w:after="60" w:line="200" w:lineRule="exact"/>
              <w:jc w:val="right"/>
              <w:rPr>
                <w:noProof/>
                <w:sz w:val="16"/>
                <w:szCs w:val="16"/>
              </w:rPr>
            </w:pPr>
            <w:r>
              <w:rPr>
                <w:noProof/>
                <w:sz w:val="16"/>
              </w:rPr>
              <w:t>0,070</w:t>
            </w:r>
          </w:p>
        </w:tc>
        <w:tc>
          <w:tcPr>
            <w:tcW w:w="1080" w:type="dxa"/>
            <w:vAlign w:val="center"/>
          </w:tcPr>
          <w:p w:rsidR="00731D8F" w:rsidRDefault="00214EE0">
            <w:pPr>
              <w:spacing w:before="60" w:after="60" w:line="200" w:lineRule="exact"/>
              <w:jc w:val="right"/>
              <w:rPr>
                <w:noProof/>
                <w:sz w:val="16"/>
                <w:szCs w:val="16"/>
              </w:rPr>
            </w:pPr>
            <w:r>
              <w:rPr>
                <w:noProof/>
                <w:sz w:val="16"/>
              </w:rPr>
              <w:t>0,070</w:t>
            </w:r>
          </w:p>
        </w:tc>
        <w:tc>
          <w:tcPr>
            <w:tcW w:w="1080" w:type="dxa"/>
            <w:vAlign w:val="center"/>
          </w:tcPr>
          <w:p w:rsidR="00731D8F" w:rsidRDefault="00214EE0">
            <w:pPr>
              <w:spacing w:before="60" w:after="60" w:line="200" w:lineRule="exact"/>
              <w:jc w:val="right"/>
              <w:rPr>
                <w:noProof/>
                <w:sz w:val="16"/>
                <w:szCs w:val="16"/>
              </w:rPr>
            </w:pPr>
            <w:r>
              <w:rPr>
                <w:noProof/>
                <w:sz w:val="16"/>
              </w:rPr>
              <w:t>0,210</w:t>
            </w:r>
          </w:p>
        </w:tc>
      </w:tr>
      <w:tr w:rsidR="00731D8F">
        <w:trPr>
          <w:trHeight w:val="585"/>
        </w:trPr>
        <w:tc>
          <w:tcPr>
            <w:tcW w:w="1980" w:type="dxa"/>
            <w:shd w:val="clear" w:color="auto" w:fill="CCCCCC"/>
            <w:vAlign w:val="center"/>
          </w:tcPr>
          <w:p w:rsidR="00731D8F" w:rsidRDefault="00214EE0">
            <w:pPr>
              <w:spacing w:before="60" w:after="60" w:line="200" w:lineRule="exact"/>
              <w:rPr>
                <w:noProof/>
                <w:sz w:val="16"/>
                <w:szCs w:val="16"/>
              </w:rPr>
            </w:pPr>
            <w:r>
              <w:rPr>
                <w:noProof/>
                <w:sz w:val="16"/>
              </w:rPr>
              <w:t>Pracownicy zatrudnieni na czas określony</w:t>
            </w:r>
          </w:p>
        </w:tc>
        <w:tc>
          <w:tcPr>
            <w:tcW w:w="1080" w:type="dxa"/>
            <w:vAlign w:val="center"/>
          </w:tcPr>
          <w:p w:rsidR="00731D8F" w:rsidRDefault="00731D8F">
            <w:pPr>
              <w:spacing w:before="60" w:after="60" w:line="200" w:lineRule="exact"/>
              <w:jc w:val="right"/>
              <w:rPr>
                <w:noProof/>
                <w:sz w:val="16"/>
                <w:szCs w:val="16"/>
              </w:rPr>
            </w:pPr>
          </w:p>
        </w:tc>
        <w:tc>
          <w:tcPr>
            <w:tcW w:w="1080" w:type="dxa"/>
            <w:vAlign w:val="center"/>
          </w:tcPr>
          <w:p w:rsidR="00731D8F" w:rsidRDefault="00731D8F">
            <w:pPr>
              <w:spacing w:before="60" w:after="60" w:line="200" w:lineRule="exact"/>
              <w:jc w:val="right"/>
              <w:rPr>
                <w:noProof/>
                <w:sz w:val="16"/>
                <w:szCs w:val="16"/>
              </w:rPr>
            </w:pPr>
          </w:p>
        </w:tc>
        <w:tc>
          <w:tcPr>
            <w:tcW w:w="1080" w:type="dxa"/>
            <w:vAlign w:val="center"/>
          </w:tcPr>
          <w:p w:rsidR="00731D8F" w:rsidRDefault="00731D8F">
            <w:pPr>
              <w:spacing w:before="60" w:after="60" w:line="200" w:lineRule="exact"/>
              <w:jc w:val="right"/>
              <w:rPr>
                <w:noProof/>
                <w:sz w:val="16"/>
                <w:szCs w:val="16"/>
              </w:rPr>
            </w:pPr>
          </w:p>
        </w:tc>
        <w:tc>
          <w:tcPr>
            <w:tcW w:w="1080" w:type="dxa"/>
            <w:vAlign w:val="center"/>
          </w:tcPr>
          <w:p w:rsidR="00731D8F" w:rsidRDefault="00731D8F">
            <w:pPr>
              <w:spacing w:before="60" w:after="60" w:line="200" w:lineRule="exact"/>
              <w:jc w:val="right"/>
              <w:rPr>
                <w:noProof/>
                <w:sz w:val="16"/>
                <w:szCs w:val="16"/>
              </w:rPr>
            </w:pPr>
          </w:p>
        </w:tc>
      </w:tr>
      <w:tr w:rsidR="00731D8F">
        <w:trPr>
          <w:trHeight w:val="585"/>
        </w:trPr>
        <w:tc>
          <w:tcPr>
            <w:tcW w:w="1980" w:type="dxa"/>
            <w:shd w:val="clear" w:color="auto" w:fill="CCCCCC"/>
            <w:vAlign w:val="center"/>
          </w:tcPr>
          <w:p w:rsidR="00731D8F" w:rsidRDefault="00214EE0">
            <w:pPr>
              <w:spacing w:before="60" w:after="60" w:line="200" w:lineRule="exact"/>
              <w:rPr>
                <w:noProof/>
                <w:sz w:val="16"/>
              </w:rPr>
            </w:pPr>
            <w:r>
              <w:rPr>
                <w:noProof/>
                <w:sz w:val="16"/>
              </w:rPr>
              <w:t>Oddelegowani eksperci krajowi</w:t>
            </w:r>
          </w:p>
        </w:tc>
        <w:tc>
          <w:tcPr>
            <w:tcW w:w="1080" w:type="dxa"/>
            <w:vAlign w:val="center"/>
          </w:tcPr>
          <w:p w:rsidR="00731D8F" w:rsidRDefault="00731D8F">
            <w:pPr>
              <w:spacing w:before="60" w:after="60" w:line="200" w:lineRule="exact"/>
              <w:jc w:val="right"/>
              <w:rPr>
                <w:noProof/>
                <w:sz w:val="16"/>
                <w:szCs w:val="16"/>
              </w:rPr>
            </w:pPr>
          </w:p>
        </w:tc>
        <w:tc>
          <w:tcPr>
            <w:tcW w:w="1080" w:type="dxa"/>
            <w:vAlign w:val="center"/>
          </w:tcPr>
          <w:p w:rsidR="00731D8F" w:rsidRDefault="00731D8F">
            <w:pPr>
              <w:spacing w:before="60" w:after="60" w:line="200" w:lineRule="exact"/>
              <w:jc w:val="right"/>
              <w:rPr>
                <w:noProof/>
                <w:sz w:val="16"/>
                <w:szCs w:val="16"/>
              </w:rPr>
            </w:pPr>
          </w:p>
        </w:tc>
        <w:tc>
          <w:tcPr>
            <w:tcW w:w="1080" w:type="dxa"/>
            <w:vAlign w:val="center"/>
          </w:tcPr>
          <w:p w:rsidR="00731D8F" w:rsidRDefault="00731D8F">
            <w:pPr>
              <w:spacing w:before="60" w:after="60" w:line="200" w:lineRule="exact"/>
              <w:jc w:val="right"/>
              <w:rPr>
                <w:noProof/>
                <w:sz w:val="16"/>
                <w:szCs w:val="16"/>
              </w:rPr>
            </w:pPr>
          </w:p>
        </w:tc>
        <w:tc>
          <w:tcPr>
            <w:tcW w:w="1080" w:type="dxa"/>
            <w:vAlign w:val="center"/>
          </w:tcPr>
          <w:p w:rsidR="00731D8F" w:rsidRDefault="00731D8F">
            <w:pPr>
              <w:spacing w:before="60" w:after="60" w:line="200" w:lineRule="exact"/>
              <w:jc w:val="right"/>
              <w:rPr>
                <w:noProof/>
                <w:sz w:val="16"/>
                <w:szCs w:val="16"/>
              </w:rPr>
            </w:pPr>
          </w:p>
        </w:tc>
      </w:tr>
      <w:tr w:rsidR="00731D8F">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tcPr>
          <w:p w:rsidR="00731D8F" w:rsidRDefault="00214EE0">
            <w:pPr>
              <w:spacing w:before="60" w:after="60" w:line="200" w:lineRule="exact"/>
              <w:rPr>
                <w:noProof/>
                <w:sz w:val="16"/>
              </w:rPr>
            </w:pPr>
            <w:r>
              <w:rPr>
                <w:noProof/>
                <w:sz w:val="16"/>
              </w:rPr>
              <w:t>OGÓŁEM</w:t>
            </w:r>
          </w:p>
        </w:tc>
        <w:tc>
          <w:tcPr>
            <w:tcW w:w="1080" w:type="dxa"/>
            <w:tcBorders>
              <w:top w:val="single" w:sz="2" w:space="0" w:color="auto"/>
              <w:left w:val="single" w:sz="2" w:space="0" w:color="auto"/>
              <w:bottom w:val="single" w:sz="2" w:space="0" w:color="auto"/>
              <w:right w:val="single" w:sz="2" w:space="0" w:color="auto"/>
            </w:tcBorders>
            <w:vAlign w:val="center"/>
          </w:tcPr>
          <w:p w:rsidR="00731D8F" w:rsidRDefault="00214EE0">
            <w:pPr>
              <w:spacing w:before="60" w:after="60" w:line="200" w:lineRule="exact"/>
              <w:jc w:val="right"/>
              <w:rPr>
                <w:noProof/>
                <w:sz w:val="16"/>
                <w:szCs w:val="16"/>
              </w:rPr>
            </w:pPr>
            <w:r>
              <w:rPr>
                <w:noProof/>
                <w:sz w:val="16"/>
              </w:rPr>
              <w:t>0,070</w:t>
            </w:r>
          </w:p>
        </w:tc>
        <w:tc>
          <w:tcPr>
            <w:tcW w:w="1080" w:type="dxa"/>
            <w:tcBorders>
              <w:top w:val="single" w:sz="2" w:space="0" w:color="auto"/>
              <w:left w:val="single" w:sz="2" w:space="0" w:color="auto"/>
              <w:bottom w:val="single" w:sz="2" w:space="0" w:color="auto"/>
              <w:right w:val="single" w:sz="2" w:space="0" w:color="auto"/>
            </w:tcBorders>
            <w:vAlign w:val="center"/>
          </w:tcPr>
          <w:p w:rsidR="00731D8F" w:rsidRDefault="00214EE0">
            <w:pPr>
              <w:spacing w:before="60" w:after="60" w:line="200" w:lineRule="exact"/>
              <w:jc w:val="right"/>
              <w:rPr>
                <w:noProof/>
                <w:sz w:val="16"/>
                <w:szCs w:val="16"/>
              </w:rPr>
            </w:pPr>
            <w:r>
              <w:rPr>
                <w:noProof/>
                <w:sz w:val="16"/>
              </w:rPr>
              <w:t>0,070</w:t>
            </w:r>
          </w:p>
        </w:tc>
        <w:tc>
          <w:tcPr>
            <w:tcW w:w="1080" w:type="dxa"/>
            <w:tcBorders>
              <w:top w:val="single" w:sz="2" w:space="0" w:color="auto"/>
              <w:left w:val="single" w:sz="2" w:space="0" w:color="auto"/>
              <w:bottom w:val="single" w:sz="2" w:space="0" w:color="auto"/>
              <w:right w:val="single" w:sz="2" w:space="0" w:color="auto"/>
            </w:tcBorders>
            <w:vAlign w:val="center"/>
          </w:tcPr>
          <w:p w:rsidR="00731D8F" w:rsidRDefault="00214EE0">
            <w:pPr>
              <w:spacing w:before="60" w:after="60" w:line="200" w:lineRule="exact"/>
              <w:jc w:val="right"/>
              <w:rPr>
                <w:noProof/>
                <w:sz w:val="16"/>
                <w:szCs w:val="16"/>
              </w:rPr>
            </w:pPr>
            <w:r>
              <w:rPr>
                <w:noProof/>
                <w:sz w:val="16"/>
              </w:rPr>
              <w:t>0,070</w:t>
            </w:r>
          </w:p>
        </w:tc>
        <w:tc>
          <w:tcPr>
            <w:tcW w:w="1080" w:type="dxa"/>
            <w:tcBorders>
              <w:top w:val="single" w:sz="2" w:space="0" w:color="auto"/>
              <w:left w:val="single" w:sz="2" w:space="0" w:color="auto"/>
              <w:bottom w:val="single" w:sz="2" w:space="0" w:color="auto"/>
              <w:right w:val="single" w:sz="2" w:space="0" w:color="auto"/>
            </w:tcBorders>
            <w:vAlign w:val="center"/>
          </w:tcPr>
          <w:p w:rsidR="00731D8F" w:rsidRDefault="00214EE0">
            <w:pPr>
              <w:spacing w:before="60" w:after="60" w:line="200" w:lineRule="exact"/>
              <w:jc w:val="right"/>
              <w:rPr>
                <w:noProof/>
                <w:sz w:val="16"/>
                <w:szCs w:val="16"/>
              </w:rPr>
            </w:pPr>
            <w:r>
              <w:rPr>
                <w:noProof/>
                <w:sz w:val="16"/>
              </w:rPr>
              <w:t>0,210</w:t>
            </w:r>
          </w:p>
        </w:tc>
      </w:tr>
    </w:tbl>
    <w:p w:rsidR="00731D8F" w:rsidRDefault="00731D8F">
      <w:pPr>
        <w:spacing w:line="200" w:lineRule="exact"/>
        <w:rPr>
          <w:noProof/>
          <w:sz w:val="16"/>
          <w:szCs w:val="16"/>
        </w:rPr>
      </w:pPr>
    </w:p>
    <w:p w:rsidR="00731D8F" w:rsidRDefault="00731D8F">
      <w:pPr>
        <w:spacing w:line="200" w:lineRule="exact"/>
        <w:rPr>
          <w:noProof/>
          <w:sz w:val="16"/>
          <w:szCs w:val="16"/>
        </w:rPr>
      </w:pPr>
    </w:p>
    <w:p w:rsidR="00731D8F" w:rsidRDefault="00214EE0">
      <w:pPr>
        <w:pStyle w:val="BodyText"/>
        <w:spacing w:line="237" w:lineRule="auto"/>
        <w:ind w:left="848" w:right="886" w:firstLine="4"/>
        <w:jc w:val="both"/>
        <w:rPr>
          <w:noProof/>
        </w:rPr>
      </w:pPr>
      <w:r>
        <w:rPr>
          <w:noProof/>
        </w:rPr>
        <w:t xml:space="preserve">Rekrutację zaplanowano na styczeń 2018 r. Pracownicy muszą być dostępni już na początku 2018 r., tak aby faza rozwojowa mogła rozpocząć się w odpowiednim czasie, zapewniając tym samym uruchomienie w 2020 r. W celu zaspokojenia potrzeb </w:t>
      </w:r>
      <w:r>
        <w:rPr>
          <w:noProof/>
        </w:rPr>
        <w:t>zarówno w zakresie wdrażania projektu, jak i wsparcia operacyjnego i konserwacji po rozmieszczeniu do produkcji, potrzebne jest zatrudnienie pracownika kontraktowego (CA). Pracownik ten będzie:</w:t>
      </w:r>
    </w:p>
    <w:p w:rsidR="00731D8F" w:rsidRDefault="00214EE0">
      <w:pPr>
        <w:pStyle w:val="Bullet1"/>
        <w:numPr>
          <w:ilvl w:val="0"/>
          <w:numId w:val="13"/>
        </w:numPr>
        <w:ind w:right="849"/>
        <w:rPr>
          <w:rFonts w:eastAsia="Times New Roman"/>
          <w:noProof/>
          <w:szCs w:val="23"/>
        </w:rPr>
      </w:pPr>
      <w:r>
        <w:rPr>
          <w:noProof/>
        </w:rPr>
        <w:t>wspierać wdrażanie projektu jako członek zespołu projektowego,</w:t>
      </w:r>
      <w:r>
        <w:rPr>
          <w:noProof/>
        </w:rPr>
        <w:t xml:space="preserve"> podejmując działania takie jak: określenie wymogów i specyfikacji technicznych, współpraca i wspieranie państw członkowskich w trakcie wdrażania, aktualizacje dokumentu kontroli interfejsu (ICD), działania następcze w związku z dostarczaniem usług na pods</w:t>
      </w:r>
      <w:r>
        <w:rPr>
          <w:noProof/>
        </w:rPr>
        <w:t>tawie umowy, dostarczaniem i aktualizacją dokumentacji itp.;</w:t>
      </w:r>
    </w:p>
    <w:p w:rsidR="00731D8F" w:rsidRDefault="00214EE0">
      <w:pPr>
        <w:pStyle w:val="Bullet1"/>
        <w:ind w:right="849"/>
        <w:rPr>
          <w:rFonts w:eastAsia="Times New Roman"/>
          <w:noProof/>
          <w:szCs w:val="23"/>
        </w:rPr>
      </w:pPr>
      <w:r>
        <w:rPr>
          <w:noProof/>
        </w:rPr>
        <w:t>wspierać działania przejściowe związane z uruchomieniem systemu we współpracy z wykonawcą (działania następcze, operacyjne aktualizacje procesowe, szkolenia (w tym działania szkoleniowe państw cz</w:t>
      </w:r>
      <w:r>
        <w:rPr>
          <w:noProof/>
        </w:rPr>
        <w:t>łonkowskich) itp.);</w:t>
      </w:r>
    </w:p>
    <w:p w:rsidR="00731D8F" w:rsidRDefault="00214EE0">
      <w:pPr>
        <w:pStyle w:val="Bullet1"/>
        <w:ind w:right="849"/>
        <w:rPr>
          <w:rFonts w:eastAsia="Times New Roman"/>
          <w:noProof/>
          <w:szCs w:val="23"/>
        </w:rPr>
      </w:pPr>
      <w:r>
        <w:rPr>
          <w:noProof/>
        </w:rPr>
        <w:t xml:space="preserve">wspierać działania długofalowe, określanie specyfikacji, przygotowania podejmowane na podstawie umowy w przypadku przeprogramowania systemu lub w przypadku, gdy umowa dotycząca utrzymania dobrego stanu technicznego nowego SIS II będzie </w:t>
      </w:r>
      <w:r>
        <w:rPr>
          <w:noProof/>
        </w:rPr>
        <w:t>wymagała modyfikacji ze względu na dodatkowe zmiany (z perspektywy technicznej i budżetowej);</w:t>
      </w:r>
    </w:p>
    <w:p w:rsidR="00731D8F" w:rsidRDefault="00214EE0">
      <w:pPr>
        <w:pStyle w:val="Bullet1"/>
        <w:ind w:right="849"/>
        <w:rPr>
          <w:rFonts w:eastAsia="Times New Roman"/>
          <w:noProof/>
          <w:szCs w:val="23"/>
        </w:rPr>
      </w:pPr>
      <w:r>
        <w:rPr>
          <w:noProof/>
        </w:rPr>
        <w:t>wzmacniać wsparcie drugiego szczebla po uruchomieniu systemu w trakcie ciągłej konserwacji i działania systemu.</w:t>
      </w:r>
    </w:p>
    <w:p w:rsidR="00731D8F" w:rsidRDefault="00214EE0">
      <w:pPr>
        <w:pStyle w:val="BodyText"/>
        <w:spacing w:before="112" w:line="235" w:lineRule="auto"/>
        <w:ind w:left="881" w:right="897" w:firstLine="4"/>
        <w:jc w:val="both"/>
        <w:rPr>
          <w:noProof/>
        </w:rPr>
      </w:pPr>
      <w:r>
        <w:rPr>
          <w:noProof/>
        </w:rPr>
        <w:t>Należy podkreślić, że nowy pracownik (EPC CA) będz</w:t>
      </w:r>
      <w:r>
        <w:rPr>
          <w:noProof/>
        </w:rPr>
        <w:t>ie działać obok wewnętrznych zespołów, które również będą zajmowały się innymi projektami i czynnościami oraz działaniami związanymi z projektem/umową, a także finansowymi działaniami następczymi i działaniami operacyjnymi. Dzięki nowemu pracownikowi umowy</w:t>
      </w:r>
      <w:r>
        <w:rPr>
          <w:noProof/>
        </w:rPr>
        <w:t xml:space="preserve"> będą obowiązywać przez odpowiedni czas i zagwarantuje to ich ciągłość w celu zapewnienia ciągłości działania i wykorzystywania usług tych samych specjalistów w działaniach o charakterze wsparcia operacyjnego po zakończeniu projektu. Ponadto wsparcie opera</w:t>
      </w:r>
      <w:r>
        <w:rPr>
          <w:noProof/>
        </w:rPr>
        <w:t>cyjne wymaga dostępu do środowiska produkcyjnego, którego nie można udzielić wykonawcom ani pracownikom zewnętrznym.</w:t>
      </w:r>
    </w:p>
    <w:p w:rsidR="00731D8F" w:rsidRDefault="00214EE0">
      <w:pPr>
        <w:rPr>
          <w:noProof/>
          <w:sz w:val="18"/>
        </w:rPr>
        <w:sectPr w:rsidR="00731D8F" w:rsidSect="00214EE0">
          <w:headerReference w:type="default" r:id="rId25"/>
          <w:footerReference w:type="default" r:id="rId26"/>
          <w:headerReference w:type="first" r:id="rId27"/>
          <w:footerReference w:type="first" r:id="rId28"/>
          <w:pgSz w:w="11907" w:h="16840"/>
          <w:pgMar w:top="1134" w:right="1418" w:bottom="1134" w:left="1418" w:header="709" w:footer="709" w:gutter="0"/>
          <w:cols w:space="708"/>
          <w:docGrid w:linePitch="360"/>
        </w:sectPr>
      </w:pPr>
      <w:r>
        <w:rPr>
          <w:noProof/>
          <w:sz w:val="18"/>
        </w:rPr>
        <w:t>.</w:t>
      </w:r>
    </w:p>
    <w:p w:rsidR="00731D8F" w:rsidRDefault="00214EE0">
      <w:pPr>
        <w:pStyle w:val="ManualHeading4"/>
        <w:rPr>
          <w:noProof/>
          <w:szCs w:val="24"/>
        </w:rPr>
      </w:pPr>
      <w:r>
        <w:rPr>
          <w:noProof/>
        </w:rPr>
        <w:t>3.2.3.2.</w:t>
      </w:r>
      <w:r>
        <w:rPr>
          <w:noProof/>
        </w:rPr>
        <w:tab/>
        <w:t xml:space="preserve">Szacowane </w:t>
      </w:r>
      <w:r>
        <w:rPr>
          <w:noProof/>
        </w:rPr>
        <w:t>zapotrzebowanie na zasoby ludzkie</w:t>
      </w:r>
    </w:p>
    <w:p w:rsidR="00731D8F" w:rsidRDefault="00214EE0">
      <w:pPr>
        <w:pStyle w:val="ListDash1"/>
        <w:rPr>
          <w:noProof/>
        </w:rPr>
      </w:pPr>
      <w:r>
        <w:rPr>
          <w:noProof/>
        </w:rPr>
        <w:sym w:font="Wingdings" w:char="F0A8"/>
      </w:r>
      <w:r>
        <w:rPr>
          <w:noProof/>
        </w:rPr>
        <w:tab/>
        <w:t xml:space="preserve">Wniosek/inicjatywa nie wiąże się z koniecznością wykorzystania zasobów ludzkich </w:t>
      </w:r>
    </w:p>
    <w:p w:rsidR="00731D8F" w:rsidRDefault="00214EE0">
      <w:pPr>
        <w:pStyle w:val="ListDash1"/>
        <w:rPr>
          <w:noProof/>
        </w:rPr>
      </w:pPr>
      <w:r>
        <w:rPr>
          <w:noProof/>
        </w:rPr>
        <w:sym w:font="Wingdings" w:char="F0A8"/>
      </w:r>
      <w:r>
        <w:rPr>
          <w:noProof/>
        </w:rPr>
        <w:tab/>
        <w:t>Wniosek/inicjatywa wiąże się z koniecznością wykorzystania zasobów ludzkich, jak określono poniżej:</w:t>
      </w:r>
    </w:p>
    <w:p w:rsidR="00731D8F" w:rsidRDefault="00214EE0">
      <w:pPr>
        <w:spacing w:after="60"/>
        <w:jc w:val="right"/>
        <w:rPr>
          <w:i/>
          <w:noProof/>
          <w:sz w:val="20"/>
        </w:rPr>
      </w:pPr>
      <w:r>
        <w:rPr>
          <w:i/>
          <w:noProof/>
          <w:sz w:val="20"/>
        </w:rPr>
        <w:t xml:space="preserve">Wartości szacunkowe należy wyrazić w </w:t>
      </w:r>
      <w:r>
        <w:rPr>
          <w:i/>
          <w:noProof/>
          <w:sz w:val="20"/>
        </w:rPr>
        <w:t>ekwiwalentach pełnego czasu pracy</w:t>
      </w:r>
    </w:p>
    <w:tbl>
      <w:tblPr>
        <w:tblW w:w="5544"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
        <w:gridCol w:w="1952"/>
        <w:gridCol w:w="1954"/>
        <w:gridCol w:w="655"/>
        <w:gridCol w:w="655"/>
        <w:gridCol w:w="3894"/>
        <w:gridCol w:w="465"/>
        <w:gridCol w:w="237"/>
        <w:gridCol w:w="237"/>
        <w:gridCol w:w="236"/>
      </w:tblGrid>
      <w:tr w:rsidR="00731D8F">
        <w:trPr>
          <w:gridBefore w:val="1"/>
          <w:wBefore w:w="6" w:type="pct"/>
          <w:trHeight w:val="289"/>
          <w:jc w:val="center"/>
        </w:trPr>
        <w:tc>
          <w:tcPr>
            <w:tcW w:w="1897" w:type="pct"/>
            <w:gridSpan w:val="2"/>
            <w:shd w:val="clear" w:color="auto" w:fill="auto"/>
          </w:tcPr>
          <w:p w:rsidR="00731D8F" w:rsidRDefault="00731D8F">
            <w:pPr>
              <w:pStyle w:val="Text1"/>
              <w:spacing w:before="40" w:after="40"/>
              <w:ind w:left="0"/>
              <w:jc w:val="center"/>
              <w:rPr>
                <w:i/>
                <w:noProof/>
                <w:sz w:val="16"/>
                <w:szCs w:val="16"/>
              </w:rPr>
            </w:pPr>
          </w:p>
        </w:tc>
        <w:tc>
          <w:tcPr>
            <w:tcW w:w="318" w:type="pct"/>
            <w:shd w:val="clear" w:color="auto" w:fill="auto"/>
            <w:vAlign w:val="center"/>
          </w:tcPr>
          <w:p w:rsidR="00731D8F" w:rsidRDefault="00214EE0">
            <w:pPr>
              <w:spacing w:before="20" w:after="20"/>
              <w:jc w:val="center"/>
              <w:rPr>
                <w:noProof/>
                <w:sz w:val="16"/>
                <w:szCs w:val="16"/>
              </w:rPr>
            </w:pPr>
            <w:r>
              <w:rPr>
                <w:noProof/>
                <w:sz w:val="16"/>
              </w:rPr>
              <w:t>Rok</w:t>
            </w:r>
            <w:r>
              <w:rPr>
                <w:noProof/>
                <w:sz w:val="22"/>
              </w:rPr>
              <w:br/>
            </w:r>
            <w:r>
              <w:rPr>
                <w:b/>
                <w:noProof/>
                <w:sz w:val="16"/>
              </w:rPr>
              <w:t>N</w:t>
            </w:r>
          </w:p>
        </w:tc>
        <w:tc>
          <w:tcPr>
            <w:tcW w:w="318" w:type="pct"/>
            <w:shd w:val="clear" w:color="auto" w:fill="auto"/>
            <w:vAlign w:val="center"/>
          </w:tcPr>
          <w:p w:rsidR="00731D8F" w:rsidRDefault="00214EE0">
            <w:pPr>
              <w:spacing w:before="20" w:after="20"/>
              <w:jc w:val="center"/>
              <w:rPr>
                <w:noProof/>
                <w:sz w:val="16"/>
                <w:szCs w:val="16"/>
              </w:rPr>
            </w:pPr>
            <w:r>
              <w:rPr>
                <w:noProof/>
                <w:sz w:val="16"/>
              </w:rPr>
              <w:t>Rok</w:t>
            </w:r>
            <w:r>
              <w:rPr>
                <w:noProof/>
                <w:sz w:val="22"/>
              </w:rPr>
              <w:br/>
            </w:r>
            <w:r>
              <w:rPr>
                <w:b/>
                <w:noProof/>
                <w:sz w:val="16"/>
              </w:rPr>
              <w:t>N+1</w:t>
            </w:r>
          </w:p>
        </w:tc>
        <w:tc>
          <w:tcPr>
            <w:tcW w:w="1891" w:type="pct"/>
            <w:shd w:val="clear" w:color="auto" w:fill="auto"/>
            <w:vAlign w:val="center"/>
          </w:tcPr>
          <w:p w:rsidR="00731D8F" w:rsidRDefault="00214EE0">
            <w:pPr>
              <w:spacing w:before="20" w:after="20"/>
              <w:jc w:val="center"/>
              <w:rPr>
                <w:noProof/>
                <w:sz w:val="16"/>
                <w:szCs w:val="16"/>
              </w:rPr>
            </w:pPr>
            <w:r>
              <w:rPr>
                <w:noProof/>
                <w:sz w:val="16"/>
              </w:rPr>
              <w:t xml:space="preserve">Rok </w:t>
            </w:r>
            <w:r>
              <w:rPr>
                <w:b/>
                <w:noProof/>
                <w:sz w:val="16"/>
              </w:rPr>
              <w:t>N+2</w:t>
            </w:r>
          </w:p>
        </w:tc>
        <w:tc>
          <w:tcPr>
            <w:tcW w:w="226" w:type="pct"/>
            <w:shd w:val="clear" w:color="auto" w:fill="auto"/>
            <w:vAlign w:val="center"/>
          </w:tcPr>
          <w:p w:rsidR="00731D8F" w:rsidRDefault="00214EE0">
            <w:pPr>
              <w:spacing w:before="20" w:after="20"/>
              <w:jc w:val="center"/>
              <w:rPr>
                <w:noProof/>
                <w:sz w:val="16"/>
                <w:szCs w:val="16"/>
              </w:rPr>
            </w:pPr>
            <w:r>
              <w:rPr>
                <w:noProof/>
                <w:sz w:val="16"/>
              </w:rPr>
              <w:t xml:space="preserve">Rok </w:t>
            </w:r>
            <w:r>
              <w:rPr>
                <w:b/>
                <w:noProof/>
                <w:sz w:val="16"/>
              </w:rPr>
              <w:t>N+3</w:t>
            </w:r>
          </w:p>
        </w:tc>
        <w:tc>
          <w:tcPr>
            <w:tcW w:w="345" w:type="pct"/>
            <w:gridSpan w:val="3"/>
            <w:shd w:val="clear" w:color="auto" w:fill="auto"/>
            <w:vAlign w:val="center"/>
          </w:tcPr>
          <w:p w:rsidR="00731D8F" w:rsidRDefault="00214EE0">
            <w:pPr>
              <w:jc w:val="center"/>
              <w:rPr>
                <w:b/>
                <w:noProof/>
                <w:sz w:val="16"/>
                <w:szCs w:val="16"/>
              </w:rPr>
            </w:pPr>
            <w:r>
              <w:rPr>
                <w:noProof/>
                <w:sz w:val="16"/>
              </w:rPr>
              <w:t>Wprowadzić taką liczbę kolumn dla poszczególnych lat, jaka jest niezbędna, by odzwierciedlić cały okres wpływu (por. pkt 1.6)</w:t>
            </w:r>
          </w:p>
        </w:tc>
      </w:tr>
      <w:tr w:rsidR="00731D8F">
        <w:trPr>
          <w:gridBefore w:val="1"/>
          <w:wBefore w:w="6" w:type="pct"/>
          <w:trHeight w:val="289"/>
          <w:jc w:val="center"/>
        </w:trPr>
        <w:tc>
          <w:tcPr>
            <w:tcW w:w="4424" w:type="pct"/>
            <w:gridSpan w:val="5"/>
            <w:shd w:val="clear" w:color="auto" w:fill="auto"/>
          </w:tcPr>
          <w:p w:rsidR="00731D8F" w:rsidRDefault="00214EE0">
            <w:pPr>
              <w:spacing w:before="20" w:after="20"/>
              <w:rPr>
                <w:noProof/>
                <w:sz w:val="16"/>
                <w:szCs w:val="16"/>
              </w:rPr>
            </w:pPr>
            <w:r>
              <w:rPr>
                <w:b/>
                <w:noProof/>
                <w:sz w:val="16"/>
              </w:rPr>
              <w:sym w:font="Wingdings" w:char="F09F"/>
            </w:r>
            <w:r>
              <w:rPr>
                <w:b/>
                <w:noProof/>
                <w:sz w:val="16"/>
              </w:rPr>
              <w:t xml:space="preserve"> Stanowiska przewidziane w planie zatrudnienia (stanowiska urzędników i pracowników zatrudnionych na czas określony)</w:t>
            </w:r>
          </w:p>
        </w:tc>
        <w:tc>
          <w:tcPr>
            <w:tcW w:w="226" w:type="pct"/>
            <w:shd w:val="clear" w:color="auto" w:fill="auto"/>
            <w:vAlign w:val="center"/>
          </w:tcPr>
          <w:p w:rsidR="00731D8F" w:rsidRDefault="00731D8F">
            <w:pPr>
              <w:spacing w:before="20" w:after="20"/>
              <w:jc w:val="center"/>
              <w:rPr>
                <w:noProof/>
                <w:sz w:val="16"/>
                <w:szCs w:val="16"/>
              </w:rPr>
            </w:pPr>
          </w:p>
        </w:tc>
        <w:tc>
          <w:tcPr>
            <w:tcW w:w="345" w:type="pct"/>
            <w:gridSpan w:val="3"/>
            <w:shd w:val="clear" w:color="auto" w:fill="auto"/>
            <w:vAlign w:val="center"/>
          </w:tcPr>
          <w:p w:rsidR="00731D8F" w:rsidRDefault="00731D8F">
            <w:pPr>
              <w:jc w:val="center"/>
              <w:rPr>
                <w:noProof/>
                <w:sz w:val="16"/>
                <w:szCs w:val="16"/>
              </w:rPr>
            </w:pPr>
          </w:p>
        </w:tc>
      </w:tr>
      <w:tr w:rsidR="00731D8F">
        <w:trPr>
          <w:gridBefore w:val="1"/>
          <w:wBefore w:w="6" w:type="pct"/>
          <w:trHeight w:val="289"/>
          <w:jc w:val="center"/>
        </w:trPr>
        <w:tc>
          <w:tcPr>
            <w:tcW w:w="1897" w:type="pct"/>
            <w:gridSpan w:val="2"/>
            <w:shd w:val="clear" w:color="auto" w:fill="auto"/>
            <w:vAlign w:val="center"/>
          </w:tcPr>
          <w:p w:rsidR="00731D8F" w:rsidRDefault="00214EE0">
            <w:pPr>
              <w:pStyle w:val="Text1"/>
              <w:spacing w:beforeLines="20" w:before="48" w:afterLines="20" w:after="48"/>
              <w:ind w:left="134"/>
              <w:jc w:val="left"/>
              <w:rPr>
                <w:b/>
                <w:noProof/>
                <w:sz w:val="16"/>
                <w:szCs w:val="16"/>
              </w:rPr>
            </w:pPr>
            <w:r>
              <w:rPr>
                <w:noProof/>
                <w:sz w:val="16"/>
              </w:rPr>
              <w:t>XX 01 01 01 (w centrali i w biurach przedstawicielstw Komisji)</w:t>
            </w:r>
          </w:p>
        </w:tc>
        <w:tc>
          <w:tcPr>
            <w:tcW w:w="318" w:type="pct"/>
            <w:shd w:val="clear" w:color="auto" w:fill="auto"/>
            <w:vAlign w:val="center"/>
          </w:tcPr>
          <w:p w:rsidR="00731D8F" w:rsidRDefault="00731D8F">
            <w:pPr>
              <w:spacing w:beforeLines="20" w:before="48" w:afterLines="20" w:after="48"/>
              <w:jc w:val="center"/>
              <w:rPr>
                <w:noProof/>
                <w:sz w:val="16"/>
                <w:szCs w:val="16"/>
              </w:rPr>
            </w:pPr>
          </w:p>
        </w:tc>
        <w:tc>
          <w:tcPr>
            <w:tcW w:w="318" w:type="pct"/>
            <w:shd w:val="clear" w:color="auto" w:fill="auto"/>
            <w:vAlign w:val="center"/>
          </w:tcPr>
          <w:p w:rsidR="00731D8F" w:rsidRDefault="00731D8F">
            <w:pPr>
              <w:spacing w:beforeLines="20" w:before="48" w:afterLines="20" w:after="48"/>
              <w:jc w:val="center"/>
              <w:rPr>
                <w:noProof/>
                <w:sz w:val="16"/>
                <w:szCs w:val="16"/>
              </w:rPr>
            </w:pPr>
          </w:p>
        </w:tc>
        <w:tc>
          <w:tcPr>
            <w:tcW w:w="1891" w:type="pct"/>
            <w:shd w:val="clear" w:color="auto" w:fill="auto"/>
            <w:vAlign w:val="center"/>
          </w:tcPr>
          <w:p w:rsidR="00731D8F" w:rsidRDefault="00731D8F">
            <w:pPr>
              <w:spacing w:beforeLines="20" w:before="48" w:afterLines="20" w:after="48"/>
              <w:jc w:val="center"/>
              <w:rPr>
                <w:noProof/>
                <w:sz w:val="16"/>
                <w:szCs w:val="16"/>
              </w:rPr>
            </w:pPr>
          </w:p>
        </w:tc>
        <w:tc>
          <w:tcPr>
            <w:tcW w:w="226" w:type="pct"/>
            <w:shd w:val="clear" w:color="auto" w:fill="auto"/>
            <w:vAlign w:val="center"/>
          </w:tcPr>
          <w:p w:rsidR="00731D8F" w:rsidRDefault="00731D8F">
            <w:pPr>
              <w:spacing w:beforeLines="20" w:before="48" w:afterLines="20" w:after="48"/>
              <w:jc w:val="center"/>
              <w:rPr>
                <w:noProof/>
                <w:sz w:val="16"/>
                <w:szCs w:val="16"/>
              </w:rPr>
            </w:pPr>
          </w:p>
        </w:tc>
        <w:tc>
          <w:tcPr>
            <w:tcW w:w="115" w:type="pct"/>
            <w:shd w:val="clear" w:color="auto" w:fill="auto"/>
            <w:vAlign w:val="center"/>
          </w:tcPr>
          <w:p w:rsidR="00731D8F" w:rsidRDefault="00731D8F">
            <w:pPr>
              <w:spacing w:beforeLines="20" w:before="48" w:afterLines="20" w:after="48"/>
              <w:jc w:val="center"/>
              <w:rPr>
                <w:noProof/>
                <w:sz w:val="16"/>
                <w:szCs w:val="16"/>
              </w:rPr>
            </w:pPr>
          </w:p>
        </w:tc>
        <w:tc>
          <w:tcPr>
            <w:tcW w:w="115" w:type="pct"/>
            <w:shd w:val="clear" w:color="auto" w:fill="auto"/>
            <w:vAlign w:val="center"/>
          </w:tcPr>
          <w:p w:rsidR="00731D8F" w:rsidRDefault="00731D8F">
            <w:pPr>
              <w:spacing w:beforeLines="20" w:before="48" w:afterLines="20" w:after="48"/>
              <w:jc w:val="center"/>
              <w:rPr>
                <w:noProof/>
                <w:sz w:val="16"/>
                <w:szCs w:val="16"/>
              </w:rPr>
            </w:pPr>
          </w:p>
        </w:tc>
        <w:tc>
          <w:tcPr>
            <w:tcW w:w="115" w:type="pct"/>
            <w:shd w:val="clear" w:color="auto" w:fill="auto"/>
            <w:vAlign w:val="center"/>
          </w:tcPr>
          <w:p w:rsidR="00731D8F" w:rsidRDefault="00731D8F">
            <w:pPr>
              <w:spacing w:beforeLines="20" w:before="48" w:afterLines="20" w:after="48"/>
              <w:jc w:val="center"/>
              <w:rPr>
                <w:noProof/>
                <w:sz w:val="16"/>
                <w:szCs w:val="16"/>
              </w:rPr>
            </w:pPr>
          </w:p>
        </w:tc>
      </w:tr>
      <w:tr w:rsidR="00731D8F">
        <w:trPr>
          <w:gridBefore w:val="1"/>
          <w:wBefore w:w="6" w:type="pct"/>
          <w:trHeight w:val="289"/>
          <w:jc w:val="center"/>
        </w:trPr>
        <w:tc>
          <w:tcPr>
            <w:tcW w:w="1897" w:type="pct"/>
            <w:gridSpan w:val="2"/>
            <w:shd w:val="clear" w:color="auto" w:fill="auto"/>
            <w:vAlign w:val="center"/>
          </w:tcPr>
          <w:p w:rsidR="00731D8F" w:rsidRDefault="00214EE0">
            <w:pPr>
              <w:pStyle w:val="Text1"/>
              <w:spacing w:beforeLines="20" w:before="48" w:afterLines="20" w:after="48"/>
              <w:ind w:left="134"/>
              <w:jc w:val="left"/>
              <w:rPr>
                <w:noProof/>
                <w:sz w:val="16"/>
                <w:szCs w:val="16"/>
              </w:rPr>
            </w:pPr>
            <w:r>
              <w:rPr>
                <w:noProof/>
                <w:sz w:val="16"/>
              </w:rPr>
              <w:t>XX 01 01 02 (w delegaturach)</w:t>
            </w:r>
          </w:p>
        </w:tc>
        <w:tc>
          <w:tcPr>
            <w:tcW w:w="318" w:type="pct"/>
            <w:shd w:val="clear" w:color="auto" w:fill="auto"/>
            <w:vAlign w:val="center"/>
          </w:tcPr>
          <w:p w:rsidR="00731D8F" w:rsidRDefault="00731D8F">
            <w:pPr>
              <w:spacing w:beforeLines="20" w:before="48" w:afterLines="20" w:after="48"/>
              <w:jc w:val="center"/>
              <w:rPr>
                <w:noProof/>
                <w:sz w:val="16"/>
                <w:szCs w:val="16"/>
              </w:rPr>
            </w:pPr>
          </w:p>
        </w:tc>
        <w:tc>
          <w:tcPr>
            <w:tcW w:w="318" w:type="pct"/>
            <w:shd w:val="clear" w:color="auto" w:fill="auto"/>
            <w:vAlign w:val="center"/>
          </w:tcPr>
          <w:p w:rsidR="00731D8F" w:rsidRDefault="00731D8F">
            <w:pPr>
              <w:spacing w:beforeLines="20" w:before="48" w:afterLines="20" w:after="48"/>
              <w:jc w:val="center"/>
              <w:rPr>
                <w:noProof/>
                <w:sz w:val="16"/>
                <w:szCs w:val="16"/>
              </w:rPr>
            </w:pPr>
          </w:p>
        </w:tc>
        <w:tc>
          <w:tcPr>
            <w:tcW w:w="1891" w:type="pct"/>
            <w:shd w:val="clear" w:color="auto" w:fill="auto"/>
            <w:vAlign w:val="center"/>
          </w:tcPr>
          <w:p w:rsidR="00731D8F" w:rsidRDefault="00731D8F">
            <w:pPr>
              <w:spacing w:beforeLines="20" w:before="48" w:afterLines="20" w:after="48"/>
              <w:jc w:val="center"/>
              <w:rPr>
                <w:noProof/>
                <w:sz w:val="16"/>
                <w:szCs w:val="16"/>
              </w:rPr>
            </w:pPr>
          </w:p>
        </w:tc>
        <w:tc>
          <w:tcPr>
            <w:tcW w:w="226" w:type="pct"/>
            <w:shd w:val="clear" w:color="auto" w:fill="auto"/>
            <w:vAlign w:val="center"/>
          </w:tcPr>
          <w:p w:rsidR="00731D8F" w:rsidRDefault="00731D8F">
            <w:pPr>
              <w:spacing w:beforeLines="20" w:before="48" w:afterLines="20" w:after="48"/>
              <w:jc w:val="center"/>
              <w:rPr>
                <w:noProof/>
                <w:sz w:val="16"/>
                <w:szCs w:val="16"/>
              </w:rPr>
            </w:pPr>
          </w:p>
        </w:tc>
        <w:tc>
          <w:tcPr>
            <w:tcW w:w="115" w:type="pct"/>
            <w:shd w:val="clear" w:color="auto" w:fill="auto"/>
            <w:vAlign w:val="center"/>
          </w:tcPr>
          <w:p w:rsidR="00731D8F" w:rsidRDefault="00731D8F">
            <w:pPr>
              <w:spacing w:beforeLines="20" w:before="48" w:afterLines="20" w:after="48"/>
              <w:jc w:val="center"/>
              <w:rPr>
                <w:noProof/>
                <w:sz w:val="16"/>
                <w:szCs w:val="16"/>
              </w:rPr>
            </w:pPr>
          </w:p>
        </w:tc>
        <w:tc>
          <w:tcPr>
            <w:tcW w:w="115" w:type="pct"/>
            <w:shd w:val="clear" w:color="auto" w:fill="auto"/>
            <w:vAlign w:val="center"/>
          </w:tcPr>
          <w:p w:rsidR="00731D8F" w:rsidRDefault="00731D8F">
            <w:pPr>
              <w:spacing w:beforeLines="20" w:before="48" w:afterLines="20" w:after="48"/>
              <w:jc w:val="center"/>
              <w:rPr>
                <w:noProof/>
                <w:sz w:val="16"/>
                <w:szCs w:val="16"/>
              </w:rPr>
            </w:pPr>
          </w:p>
        </w:tc>
        <w:tc>
          <w:tcPr>
            <w:tcW w:w="115" w:type="pct"/>
            <w:shd w:val="clear" w:color="auto" w:fill="auto"/>
            <w:vAlign w:val="center"/>
          </w:tcPr>
          <w:p w:rsidR="00731D8F" w:rsidRDefault="00731D8F">
            <w:pPr>
              <w:spacing w:beforeLines="20" w:before="48" w:afterLines="20" w:after="48"/>
              <w:jc w:val="center"/>
              <w:rPr>
                <w:noProof/>
                <w:sz w:val="16"/>
                <w:szCs w:val="16"/>
              </w:rPr>
            </w:pPr>
          </w:p>
        </w:tc>
      </w:tr>
      <w:tr w:rsidR="00731D8F">
        <w:trPr>
          <w:gridBefore w:val="1"/>
          <w:wBefore w:w="6" w:type="pct"/>
          <w:trHeight w:val="289"/>
          <w:jc w:val="center"/>
        </w:trPr>
        <w:tc>
          <w:tcPr>
            <w:tcW w:w="1897" w:type="pct"/>
            <w:gridSpan w:val="2"/>
            <w:shd w:val="clear" w:color="auto" w:fill="auto"/>
            <w:vAlign w:val="center"/>
          </w:tcPr>
          <w:p w:rsidR="00731D8F" w:rsidRDefault="00214EE0">
            <w:pPr>
              <w:pStyle w:val="Text1"/>
              <w:spacing w:beforeLines="20" w:before="48" w:afterLines="20" w:after="48"/>
              <w:ind w:left="134"/>
              <w:jc w:val="left"/>
              <w:rPr>
                <w:noProof/>
                <w:sz w:val="16"/>
                <w:szCs w:val="16"/>
              </w:rPr>
            </w:pPr>
            <w:r>
              <w:rPr>
                <w:noProof/>
                <w:sz w:val="16"/>
              </w:rPr>
              <w:t xml:space="preserve">XX 01 05 01 (pośrednie </w:t>
            </w:r>
            <w:r>
              <w:rPr>
                <w:noProof/>
                <w:sz w:val="16"/>
              </w:rPr>
              <w:t>badania naukowe)</w:t>
            </w:r>
          </w:p>
        </w:tc>
        <w:tc>
          <w:tcPr>
            <w:tcW w:w="318" w:type="pct"/>
            <w:shd w:val="clear" w:color="auto" w:fill="auto"/>
            <w:vAlign w:val="center"/>
          </w:tcPr>
          <w:p w:rsidR="00731D8F" w:rsidRDefault="00731D8F">
            <w:pPr>
              <w:spacing w:beforeLines="20" w:before="48" w:afterLines="20" w:after="48"/>
              <w:jc w:val="center"/>
              <w:rPr>
                <w:noProof/>
                <w:sz w:val="16"/>
                <w:szCs w:val="16"/>
              </w:rPr>
            </w:pPr>
          </w:p>
        </w:tc>
        <w:tc>
          <w:tcPr>
            <w:tcW w:w="318" w:type="pct"/>
            <w:shd w:val="clear" w:color="auto" w:fill="auto"/>
            <w:vAlign w:val="center"/>
          </w:tcPr>
          <w:p w:rsidR="00731D8F" w:rsidRDefault="00731D8F">
            <w:pPr>
              <w:spacing w:beforeLines="20" w:before="48" w:afterLines="20" w:after="48"/>
              <w:jc w:val="center"/>
              <w:rPr>
                <w:noProof/>
                <w:sz w:val="16"/>
                <w:szCs w:val="16"/>
              </w:rPr>
            </w:pPr>
          </w:p>
        </w:tc>
        <w:tc>
          <w:tcPr>
            <w:tcW w:w="1891" w:type="pct"/>
            <w:shd w:val="clear" w:color="auto" w:fill="auto"/>
            <w:vAlign w:val="center"/>
          </w:tcPr>
          <w:p w:rsidR="00731D8F" w:rsidRDefault="00731D8F">
            <w:pPr>
              <w:spacing w:beforeLines="20" w:before="48" w:afterLines="20" w:after="48"/>
              <w:jc w:val="center"/>
              <w:rPr>
                <w:noProof/>
                <w:sz w:val="16"/>
                <w:szCs w:val="16"/>
              </w:rPr>
            </w:pPr>
          </w:p>
        </w:tc>
        <w:tc>
          <w:tcPr>
            <w:tcW w:w="226" w:type="pct"/>
            <w:shd w:val="clear" w:color="auto" w:fill="auto"/>
            <w:vAlign w:val="center"/>
          </w:tcPr>
          <w:p w:rsidR="00731D8F" w:rsidRDefault="00731D8F">
            <w:pPr>
              <w:spacing w:beforeLines="20" w:before="48" w:afterLines="20" w:after="48"/>
              <w:jc w:val="center"/>
              <w:rPr>
                <w:noProof/>
                <w:sz w:val="16"/>
                <w:szCs w:val="16"/>
              </w:rPr>
            </w:pPr>
          </w:p>
        </w:tc>
        <w:tc>
          <w:tcPr>
            <w:tcW w:w="115" w:type="pct"/>
            <w:shd w:val="clear" w:color="auto" w:fill="auto"/>
            <w:vAlign w:val="center"/>
          </w:tcPr>
          <w:p w:rsidR="00731D8F" w:rsidRDefault="00731D8F">
            <w:pPr>
              <w:spacing w:beforeLines="20" w:before="48" w:afterLines="20" w:after="48"/>
              <w:jc w:val="center"/>
              <w:rPr>
                <w:noProof/>
                <w:sz w:val="16"/>
                <w:szCs w:val="16"/>
              </w:rPr>
            </w:pPr>
          </w:p>
        </w:tc>
        <w:tc>
          <w:tcPr>
            <w:tcW w:w="115" w:type="pct"/>
            <w:shd w:val="clear" w:color="auto" w:fill="auto"/>
            <w:vAlign w:val="center"/>
          </w:tcPr>
          <w:p w:rsidR="00731D8F" w:rsidRDefault="00731D8F">
            <w:pPr>
              <w:spacing w:beforeLines="20" w:before="48" w:afterLines="20" w:after="48"/>
              <w:jc w:val="center"/>
              <w:rPr>
                <w:noProof/>
                <w:sz w:val="16"/>
                <w:szCs w:val="16"/>
              </w:rPr>
            </w:pPr>
          </w:p>
        </w:tc>
        <w:tc>
          <w:tcPr>
            <w:tcW w:w="115" w:type="pct"/>
            <w:shd w:val="clear" w:color="auto" w:fill="auto"/>
            <w:vAlign w:val="center"/>
          </w:tcPr>
          <w:p w:rsidR="00731D8F" w:rsidRDefault="00731D8F">
            <w:pPr>
              <w:spacing w:beforeLines="20" w:before="48" w:afterLines="20" w:after="48"/>
              <w:jc w:val="center"/>
              <w:rPr>
                <w:noProof/>
                <w:sz w:val="16"/>
                <w:szCs w:val="16"/>
              </w:rPr>
            </w:pPr>
          </w:p>
        </w:tc>
      </w:tr>
      <w:tr w:rsidR="00731D8F">
        <w:trPr>
          <w:gridBefore w:val="1"/>
          <w:wBefore w:w="6" w:type="pct"/>
          <w:trHeight w:val="289"/>
          <w:jc w:val="center"/>
        </w:trPr>
        <w:tc>
          <w:tcPr>
            <w:tcW w:w="1897" w:type="pct"/>
            <w:gridSpan w:val="2"/>
            <w:shd w:val="clear" w:color="auto" w:fill="auto"/>
            <w:vAlign w:val="center"/>
          </w:tcPr>
          <w:p w:rsidR="00731D8F" w:rsidRDefault="00214EE0">
            <w:pPr>
              <w:pStyle w:val="Text1"/>
              <w:spacing w:beforeLines="20" w:before="48" w:afterLines="20" w:after="48"/>
              <w:ind w:left="134"/>
              <w:jc w:val="left"/>
              <w:rPr>
                <w:noProof/>
                <w:sz w:val="16"/>
                <w:szCs w:val="16"/>
              </w:rPr>
            </w:pPr>
            <w:r>
              <w:rPr>
                <w:noProof/>
                <w:sz w:val="16"/>
              </w:rPr>
              <w:t>10 01 05 01 (bezpośrednie badania naukowe)</w:t>
            </w:r>
          </w:p>
        </w:tc>
        <w:tc>
          <w:tcPr>
            <w:tcW w:w="318" w:type="pct"/>
            <w:shd w:val="clear" w:color="auto" w:fill="auto"/>
            <w:vAlign w:val="center"/>
          </w:tcPr>
          <w:p w:rsidR="00731D8F" w:rsidRDefault="00731D8F">
            <w:pPr>
              <w:spacing w:beforeLines="20" w:before="48" w:afterLines="20" w:after="48"/>
              <w:jc w:val="center"/>
              <w:rPr>
                <w:noProof/>
                <w:sz w:val="16"/>
                <w:szCs w:val="16"/>
              </w:rPr>
            </w:pPr>
          </w:p>
        </w:tc>
        <w:tc>
          <w:tcPr>
            <w:tcW w:w="318" w:type="pct"/>
            <w:shd w:val="clear" w:color="auto" w:fill="auto"/>
            <w:vAlign w:val="center"/>
          </w:tcPr>
          <w:p w:rsidR="00731D8F" w:rsidRDefault="00731D8F">
            <w:pPr>
              <w:spacing w:beforeLines="20" w:before="48" w:afterLines="20" w:after="48"/>
              <w:jc w:val="center"/>
              <w:rPr>
                <w:noProof/>
                <w:sz w:val="16"/>
                <w:szCs w:val="16"/>
              </w:rPr>
            </w:pPr>
          </w:p>
        </w:tc>
        <w:tc>
          <w:tcPr>
            <w:tcW w:w="1891" w:type="pct"/>
            <w:shd w:val="clear" w:color="auto" w:fill="auto"/>
            <w:vAlign w:val="center"/>
          </w:tcPr>
          <w:p w:rsidR="00731D8F" w:rsidRDefault="00731D8F">
            <w:pPr>
              <w:spacing w:beforeLines="20" w:before="48" w:afterLines="20" w:after="48"/>
              <w:jc w:val="center"/>
              <w:rPr>
                <w:noProof/>
                <w:sz w:val="16"/>
                <w:szCs w:val="16"/>
              </w:rPr>
            </w:pPr>
          </w:p>
        </w:tc>
        <w:tc>
          <w:tcPr>
            <w:tcW w:w="226" w:type="pct"/>
            <w:shd w:val="clear" w:color="auto" w:fill="auto"/>
            <w:vAlign w:val="center"/>
          </w:tcPr>
          <w:p w:rsidR="00731D8F" w:rsidRDefault="00731D8F">
            <w:pPr>
              <w:spacing w:beforeLines="20" w:before="48" w:afterLines="20" w:after="48"/>
              <w:jc w:val="center"/>
              <w:rPr>
                <w:noProof/>
                <w:sz w:val="16"/>
                <w:szCs w:val="16"/>
              </w:rPr>
            </w:pPr>
          </w:p>
        </w:tc>
        <w:tc>
          <w:tcPr>
            <w:tcW w:w="115" w:type="pct"/>
            <w:shd w:val="clear" w:color="auto" w:fill="auto"/>
            <w:vAlign w:val="center"/>
          </w:tcPr>
          <w:p w:rsidR="00731D8F" w:rsidRDefault="00731D8F">
            <w:pPr>
              <w:spacing w:beforeLines="20" w:before="48" w:afterLines="20" w:after="48"/>
              <w:jc w:val="center"/>
              <w:rPr>
                <w:noProof/>
                <w:sz w:val="16"/>
                <w:szCs w:val="16"/>
              </w:rPr>
            </w:pPr>
          </w:p>
        </w:tc>
        <w:tc>
          <w:tcPr>
            <w:tcW w:w="115" w:type="pct"/>
            <w:shd w:val="clear" w:color="auto" w:fill="auto"/>
            <w:vAlign w:val="center"/>
          </w:tcPr>
          <w:p w:rsidR="00731D8F" w:rsidRDefault="00731D8F">
            <w:pPr>
              <w:spacing w:beforeLines="20" w:before="48" w:afterLines="20" w:after="48"/>
              <w:jc w:val="center"/>
              <w:rPr>
                <w:noProof/>
                <w:sz w:val="16"/>
                <w:szCs w:val="16"/>
              </w:rPr>
            </w:pPr>
          </w:p>
        </w:tc>
        <w:tc>
          <w:tcPr>
            <w:tcW w:w="115" w:type="pct"/>
            <w:shd w:val="clear" w:color="auto" w:fill="auto"/>
            <w:vAlign w:val="center"/>
          </w:tcPr>
          <w:p w:rsidR="00731D8F" w:rsidRDefault="00731D8F">
            <w:pPr>
              <w:spacing w:beforeLines="20" w:before="48" w:afterLines="20" w:after="48"/>
              <w:jc w:val="center"/>
              <w:rPr>
                <w:noProof/>
                <w:sz w:val="16"/>
                <w:szCs w:val="16"/>
              </w:rPr>
            </w:pPr>
          </w:p>
        </w:tc>
      </w:tr>
      <w:tr w:rsidR="00731D8F">
        <w:trPr>
          <w:gridAfter w:val="4"/>
          <w:wAfter w:w="570" w:type="pct"/>
          <w:trHeight w:val="248"/>
          <w:jc w:val="center"/>
        </w:trPr>
        <w:tc>
          <w:tcPr>
            <w:tcW w:w="4430" w:type="pct"/>
            <w:gridSpan w:val="6"/>
            <w:shd w:val="clear" w:color="auto" w:fill="auto"/>
            <w:vAlign w:val="center"/>
          </w:tcPr>
          <w:p w:rsidR="00731D8F" w:rsidRDefault="00214EE0">
            <w:pPr>
              <w:pStyle w:val="Text1"/>
              <w:spacing w:before="60" w:after="60"/>
              <w:ind w:left="0"/>
              <w:jc w:val="left"/>
              <w:rPr>
                <w:b/>
                <w:noProof/>
                <w:sz w:val="16"/>
                <w:szCs w:val="16"/>
              </w:rPr>
            </w:pPr>
            <w:r>
              <w:rPr>
                <w:b/>
                <w:noProof/>
                <w:sz w:val="16"/>
              </w:rPr>
              <w:sym w:font="Wingdings" w:char="F09F"/>
            </w:r>
            <w:r>
              <w:rPr>
                <w:b/>
                <w:noProof/>
                <w:sz w:val="16"/>
              </w:rPr>
              <w:t xml:space="preserve"> Personel zewnętrzny (w ekwiwalentach pełnego czasu pracy: EPC)</w:t>
            </w:r>
            <w:r>
              <w:rPr>
                <w:rStyle w:val="FootnoteReference"/>
                <w:b/>
                <w:noProof/>
                <w:sz w:val="16"/>
              </w:rPr>
              <w:footnoteReference w:id="57"/>
            </w:r>
          </w:p>
          <w:p w:rsidR="00731D8F" w:rsidRDefault="00731D8F">
            <w:pPr>
              <w:pStyle w:val="Text1"/>
              <w:spacing w:before="0" w:after="0"/>
              <w:ind w:left="0"/>
              <w:jc w:val="left"/>
              <w:rPr>
                <w:noProof/>
                <w:sz w:val="16"/>
                <w:szCs w:val="16"/>
              </w:rPr>
            </w:pPr>
          </w:p>
        </w:tc>
      </w:tr>
      <w:tr w:rsidR="00731D8F">
        <w:trPr>
          <w:gridBefore w:val="1"/>
          <w:wBefore w:w="6" w:type="pct"/>
          <w:trHeight w:val="289"/>
          <w:jc w:val="center"/>
        </w:trPr>
        <w:tc>
          <w:tcPr>
            <w:tcW w:w="1897" w:type="pct"/>
            <w:gridSpan w:val="2"/>
            <w:shd w:val="clear" w:color="auto" w:fill="auto"/>
            <w:vAlign w:val="center"/>
          </w:tcPr>
          <w:p w:rsidR="00731D8F" w:rsidRDefault="00214EE0">
            <w:pPr>
              <w:pStyle w:val="Text1"/>
              <w:spacing w:beforeLines="20" w:before="48" w:afterLines="20" w:after="48"/>
              <w:ind w:left="136"/>
              <w:jc w:val="left"/>
              <w:rPr>
                <w:b/>
                <w:noProof/>
                <w:sz w:val="16"/>
                <w:szCs w:val="16"/>
              </w:rPr>
            </w:pPr>
            <w:r>
              <w:rPr>
                <w:noProof/>
                <w:sz w:val="16"/>
              </w:rPr>
              <w:t>XX 01 02 01 (CA, SNE, INT z globalnej koperty finansowej)</w:t>
            </w:r>
          </w:p>
        </w:tc>
        <w:tc>
          <w:tcPr>
            <w:tcW w:w="318" w:type="pct"/>
            <w:shd w:val="clear" w:color="auto" w:fill="auto"/>
            <w:vAlign w:val="center"/>
          </w:tcPr>
          <w:p w:rsidR="00731D8F" w:rsidRDefault="00731D8F">
            <w:pPr>
              <w:spacing w:beforeLines="20" w:before="48" w:afterLines="20" w:after="48"/>
              <w:jc w:val="center"/>
              <w:rPr>
                <w:noProof/>
                <w:sz w:val="16"/>
                <w:szCs w:val="16"/>
              </w:rPr>
            </w:pPr>
          </w:p>
        </w:tc>
        <w:tc>
          <w:tcPr>
            <w:tcW w:w="318" w:type="pct"/>
            <w:shd w:val="clear" w:color="auto" w:fill="auto"/>
            <w:vAlign w:val="center"/>
          </w:tcPr>
          <w:p w:rsidR="00731D8F" w:rsidRDefault="00731D8F">
            <w:pPr>
              <w:spacing w:beforeLines="20" w:before="48" w:afterLines="20" w:after="48"/>
              <w:jc w:val="center"/>
              <w:rPr>
                <w:noProof/>
                <w:sz w:val="16"/>
                <w:szCs w:val="16"/>
              </w:rPr>
            </w:pPr>
          </w:p>
        </w:tc>
        <w:tc>
          <w:tcPr>
            <w:tcW w:w="1891" w:type="pct"/>
            <w:shd w:val="clear" w:color="auto" w:fill="auto"/>
            <w:vAlign w:val="center"/>
          </w:tcPr>
          <w:p w:rsidR="00731D8F" w:rsidRDefault="00731D8F">
            <w:pPr>
              <w:spacing w:beforeLines="20" w:before="48" w:afterLines="20" w:after="48"/>
              <w:jc w:val="center"/>
              <w:rPr>
                <w:noProof/>
                <w:sz w:val="16"/>
                <w:szCs w:val="16"/>
              </w:rPr>
            </w:pPr>
          </w:p>
        </w:tc>
        <w:tc>
          <w:tcPr>
            <w:tcW w:w="226" w:type="pct"/>
            <w:shd w:val="clear" w:color="auto" w:fill="auto"/>
            <w:vAlign w:val="center"/>
          </w:tcPr>
          <w:p w:rsidR="00731D8F" w:rsidRDefault="00731D8F">
            <w:pPr>
              <w:spacing w:beforeLines="20" w:before="48" w:afterLines="20" w:after="48"/>
              <w:jc w:val="center"/>
              <w:rPr>
                <w:noProof/>
                <w:sz w:val="16"/>
                <w:szCs w:val="16"/>
              </w:rPr>
            </w:pPr>
          </w:p>
        </w:tc>
        <w:tc>
          <w:tcPr>
            <w:tcW w:w="115" w:type="pct"/>
            <w:shd w:val="clear" w:color="auto" w:fill="auto"/>
            <w:vAlign w:val="center"/>
          </w:tcPr>
          <w:p w:rsidR="00731D8F" w:rsidRDefault="00731D8F">
            <w:pPr>
              <w:spacing w:beforeLines="20" w:before="48" w:afterLines="20" w:after="48"/>
              <w:jc w:val="center"/>
              <w:rPr>
                <w:noProof/>
                <w:sz w:val="16"/>
                <w:szCs w:val="16"/>
              </w:rPr>
            </w:pPr>
          </w:p>
        </w:tc>
        <w:tc>
          <w:tcPr>
            <w:tcW w:w="115" w:type="pct"/>
            <w:shd w:val="clear" w:color="auto" w:fill="auto"/>
            <w:vAlign w:val="center"/>
          </w:tcPr>
          <w:p w:rsidR="00731D8F" w:rsidRDefault="00731D8F">
            <w:pPr>
              <w:spacing w:beforeLines="20" w:before="48" w:afterLines="20" w:after="48"/>
              <w:jc w:val="center"/>
              <w:rPr>
                <w:noProof/>
                <w:sz w:val="16"/>
                <w:szCs w:val="16"/>
              </w:rPr>
            </w:pPr>
          </w:p>
        </w:tc>
        <w:tc>
          <w:tcPr>
            <w:tcW w:w="115" w:type="pct"/>
            <w:shd w:val="clear" w:color="auto" w:fill="auto"/>
            <w:vAlign w:val="center"/>
          </w:tcPr>
          <w:p w:rsidR="00731D8F" w:rsidRDefault="00731D8F">
            <w:pPr>
              <w:spacing w:beforeLines="20" w:before="48" w:afterLines="20" w:after="48"/>
              <w:jc w:val="center"/>
              <w:rPr>
                <w:noProof/>
                <w:sz w:val="16"/>
                <w:szCs w:val="16"/>
              </w:rPr>
            </w:pPr>
          </w:p>
        </w:tc>
      </w:tr>
      <w:tr w:rsidR="00731D8F">
        <w:trPr>
          <w:gridBefore w:val="1"/>
          <w:wBefore w:w="6" w:type="pct"/>
          <w:trHeight w:val="289"/>
          <w:jc w:val="center"/>
        </w:trPr>
        <w:tc>
          <w:tcPr>
            <w:tcW w:w="1897" w:type="pct"/>
            <w:gridSpan w:val="2"/>
            <w:shd w:val="clear" w:color="auto" w:fill="auto"/>
            <w:vAlign w:val="center"/>
          </w:tcPr>
          <w:p w:rsidR="00731D8F" w:rsidRDefault="00214EE0">
            <w:pPr>
              <w:pStyle w:val="Text1"/>
              <w:spacing w:beforeLines="20" w:before="48" w:afterLines="20" w:after="48"/>
              <w:ind w:left="136"/>
              <w:jc w:val="left"/>
              <w:rPr>
                <w:noProof/>
                <w:sz w:val="16"/>
                <w:szCs w:val="16"/>
              </w:rPr>
            </w:pPr>
            <w:r>
              <w:rPr>
                <w:noProof/>
                <w:sz w:val="16"/>
              </w:rPr>
              <w:t xml:space="preserve">XX 01 02 02 (CA, LA, SNE, INT i JED w </w:t>
            </w:r>
            <w:r>
              <w:rPr>
                <w:noProof/>
                <w:sz w:val="16"/>
              </w:rPr>
              <w:t>delegaturach)</w:t>
            </w:r>
          </w:p>
        </w:tc>
        <w:tc>
          <w:tcPr>
            <w:tcW w:w="318" w:type="pct"/>
            <w:shd w:val="clear" w:color="auto" w:fill="auto"/>
            <w:vAlign w:val="center"/>
          </w:tcPr>
          <w:p w:rsidR="00731D8F" w:rsidRDefault="00731D8F">
            <w:pPr>
              <w:spacing w:beforeLines="20" w:before="48" w:afterLines="20" w:after="48"/>
              <w:jc w:val="center"/>
              <w:rPr>
                <w:noProof/>
                <w:sz w:val="16"/>
                <w:szCs w:val="16"/>
              </w:rPr>
            </w:pPr>
          </w:p>
        </w:tc>
        <w:tc>
          <w:tcPr>
            <w:tcW w:w="318" w:type="pct"/>
            <w:shd w:val="clear" w:color="auto" w:fill="auto"/>
            <w:vAlign w:val="center"/>
          </w:tcPr>
          <w:p w:rsidR="00731D8F" w:rsidRDefault="00731D8F">
            <w:pPr>
              <w:spacing w:beforeLines="20" w:before="48" w:afterLines="20" w:after="48"/>
              <w:jc w:val="center"/>
              <w:rPr>
                <w:noProof/>
                <w:sz w:val="16"/>
                <w:szCs w:val="16"/>
              </w:rPr>
            </w:pPr>
          </w:p>
        </w:tc>
        <w:tc>
          <w:tcPr>
            <w:tcW w:w="1891" w:type="pct"/>
            <w:shd w:val="clear" w:color="auto" w:fill="auto"/>
            <w:vAlign w:val="center"/>
          </w:tcPr>
          <w:p w:rsidR="00731D8F" w:rsidRDefault="00731D8F">
            <w:pPr>
              <w:spacing w:beforeLines="20" w:before="48" w:afterLines="20" w:after="48"/>
              <w:jc w:val="center"/>
              <w:rPr>
                <w:noProof/>
                <w:sz w:val="16"/>
                <w:szCs w:val="16"/>
              </w:rPr>
            </w:pPr>
          </w:p>
        </w:tc>
        <w:tc>
          <w:tcPr>
            <w:tcW w:w="226" w:type="pct"/>
            <w:shd w:val="clear" w:color="auto" w:fill="auto"/>
            <w:vAlign w:val="center"/>
          </w:tcPr>
          <w:p w:rsidR="00731D8F" w:rsidRDefault="00731D8F">
            <w:pPr>
              <w:spacing w:beforeLines="20" w:before="48" w:afterLines="20" w:after="48"/>
              <w:jc w:val="center"/>
              <w:rPr>
                <w:noProof/>
                <w:sz w:val="16"/>
                <w:szCs w:val="16"/>
              </w:rPr>
            </w:pPr>
          </w:p>
        </w:tc>
        <w:tc>
          <w:tcPr>
            <w:tcW w:w="115" w:type="pct"/>
            <w:shd w:val="clear" w:color="auto" w:fill="auto"/>
            <w:vAlign w:val="center"/>
          </w:tcPr>
          <w:p w:rsidR="00731D8F" w:rsidRDefault="00731D8F">
            <w:pPr>
              <w:spacing w:beforeLines="20" w:before="48" w:afterLines="20" w:after="48"/>
              <w:jc w:val="center"/>
              <w:rPr>
                <w:noProof/>
                <w:sz w:val="16"/>
                <w:szCs w:val="16"/>
              </w:rPr>
            </w:pPr>
          </w:p>
        </w:tc>
        <w:tc>
          <w:tcPr>
            <w:tcW w:w="115" w:type="pct"/>
            <w:shd w:val="clear" w:color="auto" w:fill="auto"/>
            <w:vAlign w:val="center"/>
          </w:tcPr>
          <w:p w:rsidR="00731D8F" w:rsidRDefault="00731D8F">
            <w:pPr>
              <w:spacing w:beforeLines="20" w:before="48" w:afterLines="20" w:after="48"/>
              <w:jc w:val="center"/>
              <w:rPr>
                <w:noProof/>
                <w:sz w:val="16"/>
                <w:szCs w:val="16"/>
              </w:rPr>
            </w:pPr>
          </w:p>
        </w:tc>
        <w:tc>
          <w:tcPr>
            <w:tcW w:w="115" w:type="pct"/>
            <w:shd w:val="clear" w:color="auto" w:fill="auto"/>
            <w:vAlign w:val="center"/>
          </w:tcPr>
          <w:p w:rsidR="00731D8F" w:rsidRDefault="00731D8F">
            <w:pPr>
              <w:spacing w:beforeLines="20" w:before="48" w:afterLines="20" w:after="48"/>
              <w:jc w:val="center"/>
              <w:rPr>
                <w:noProof/>
                <w:sz w:val="16"/>
                <w:szCs w:val="16"/>
              </w:rPr>
            </w:pPr>
          </w:p>
        </w:tc>
      </w:tr>
      <w:tr w:rsidR="00731D8F">
        <w:trPr>
          <w:gridBefore w:val="1"/>
          <w:wBefore w:w="6" w:type="pct"/>
          <w:trHeight w:val="289"/>
          <w:jc w:val="center"/>
        </w:trPr>
        <w:tc>
          <w:tcPr>
            <w:tcW w:w="948" w:type="pct"/>
            <w:vMerge w:val="restart"/>
            <w:shd w:val="clear" w:color="auto" w:fill="auto"/>
            <w:vAlign w:val="center"/>
          </w:tcPr>
          <w:p w:rsidR="00731D8F" w:rsidRDefault="00214EE0">
            <w:pPr>
              <w:pStyle w:val="Text1"/>
              <w:spacing w:beforeLines="20" w:before="48" w:afterLines="20" w:after="48"/>
              <w:ind w:left="136"/>
              <w:jc w:val="left"/>
              <w:rPr>
                <w:b/>
                <w:noProof/>
                <w:sz w:val="16"/>
                <w:szCs w:val="16"/>
              </w:rPr>
            </w:pPr>
            <w:r>
              <w:rPr>
                <w:b/>
                <w:noProof/>
                <w:sz w:val="16"/>
              </w:rPr>
              <w:t>XX</w:t>
            </w:r>
            <w:r>
              <w:rPr>
                <w:noProof/>
                <w:sz w:val="16"/>
              </w:rPr>
              <w:t xml:space="preserve"> 01 04 </w:t>
            </w:r>
            <w:r>
              <w:rPr>
                <w:b/>
                <w:noProof/>
                <w:sz w:val="16"/>
              </w:rPr>
              <w:t>yy</w:t>
            </w:r>
            <w:r>
              <w:rPr>
                <w:b/>
                <w:i/>
                <w:noProof/>
                <w:sz w:val="16"/>
              </w:rPr>
              <w:t xml:space="preserve"> </w:t>
            </w:r>
            <w:r>
              <w:rPr>
                <w:rStyle w:val="FootnoteReference"/>
                <w:b/>
                <w:i/>
                <w:noProof/>
                <w:sz w:val="16"/>
              </w:rPr>
              <w:footnoteReference w:id="58"/>
            </w:r>
          </w:p>
          <w:p w:rsidR="00731D8F" w:rsidRDefault="00731D8F">
            <w:pPr>
              <w:pStyle w:val="Text1"/>
              <w:spacing w:beforeLines="20" w:before="48" w:afterLines="20" w:after="48"/>
              <w:ind w:left="136"/>
              <w:jc w:val="left"/>
              <w:rPr>
                <w:b/>
                <w:noProof/>
                <w:sz w:val="16"/>
                <w:szCs w:val="16"/>
              </w:rPr>
            </w:pPr>
          </w:p>
        </w:tc>
        <w:tc>
          <w:tcPr>
            <w:tcW w:w="949" w:type="pct"/>
            <w:shd w:val="clear" w:color="auto" w:fill="auto"/>
            <w:vAlign w:val="center"/>
          </w:tcPr>
          <w:p w:rsidR="00731D8F" w:rsidRDefault="00214EE0">
            <w:pPr>
              <w:pStyle w:val="Text1"/>
              <w:spacing w:beforeLines="20" w:before="48" w:afterLines="20" w:after="48"/>
              <w:ind w:left="136"/>
              <w:jc w:val="left"/>
              <w:rPr>
                <w:b/>
                <w:noProof/>
                <w:sz w:val="16"/>
                <w:szCs w:val="16"/>
              </w:rPr>
            </w:pPr>
            <w:r>
              <w:rPr>
                <w:noProof/>
                <w:sz w:val="16"/>
              </w:rPr>
              <w:t>- w centrali</w:t>
            </w:r>
          </w:p>
          <w:p w:rsidR="00731D8F" w:rsidRDefault="00731D8F">
            <w:pPr>
              <w:pStyle w:val="Text1"/>
              <w:spacing w:beforeLines="20" w:before="48" w:afterLines="20" w:after="48"/>
              <w:ind w:left="136"/>
              <w:jc w:val="left"/>
              <w:rPr>
                <w:b/>
                <w:noProof/>
                <w:sz w:val="16"/>
                <w:szCs w:val="16"/>
              </w:rPr>
            </w:pPr>
          </w:p>
        </w:tc>
        <w:tc>
          <w:tcPr>
            <w:tcW w:w="318" w:type="pct"/>
            <w:shd w:val="clear" w:color="auto" w:fill="auto"/>
            <w:vAlign w:val="center"/>
          </w:tcPr>
          <w:p w:rsidR="00731D8F" w:rsidRDefault="00731D8F">
            <w:pPr>
              <w:pStyle w:val="Text1"/>
              <w:spacing w:beforeLines="20" w:before="48" w:afterLines="20" w:after="48"/>
              <w:ind w:left="0"/>
              <w:rPr>
                <w:noProof/>
                <w:sz w:val="16"/>
                <w:szCs w:val="16"/>
              </w:rPr>
            </w:pPr>
          </w:p>
        </w:tc>
        <w:tc>
          <w:tcPr>
            <w:tcW w:w="318" w:type="pct"/>
            <w:shd w:val="clear" w:color="auto" w:fill="auto"/>
            <w:vAlign w:val="center"/>
          </w:tcPr>
          <w:p w:rsidR="00731D8F" w:rsidRDefault="00731D8F">
            <w:pPr>
              <w:spacing w:beforeLines="20" w:before="48" w:afterLines="20" w:after="48"/>
              <w:jc w:val="center"/>
              <w:rPr>
                <w:noProof/>
                <w:sz w:val="16"/>
                <w:szCs w:val="16"/>
              </w:rPr>
            </w:pPr>
          </w:p>
        </w:tc>
        <w:tc>
          <w:tcPr>
            <w:tcW w:w="1891" w:type="pct"/>
            <w:shd w:val="clear" w:color="auto" w:fill="auto"/>
            <w:vAlign w:val="center"/>
          </w:tcPr>
          <w:p w:rsidR="00731D8F" w:rsidRDefault="00731D8F">
            <w:pPr>
              <w:spacing w:beforeLines="20" w:before="48" w:afterLines="20" w:after="48"/>
              <w:jc w:val="center"/>
              <w:rPr>
                <w:noProof/>
                <w:sz w:val="16"/>
                <w:szCs w:val="16"/>
              </w:rPr>
            </w:pPr>
          </w:p>
        </w:tc>
        <w:tc>
          <w:tcPr>
            <w:tcW w:w="226" w:type="pct"/>
            <w:shd w:val="clear" w:color="auto" w:fill="auto"/>
            <w:vAlign w:val="center"/>
          </w:tcPr>
          <w:p w:rsidR="00731D8F" w:rsidRDefault="00731D8F">
            <w:pPr>
              <w:spacing w:beforeLines="20" w:before="48" w:afterLines="20" w:after="48"/>
              <w:jc w:val="center"/>
              <w:rPr>
                <w:noProof/>
                <w:sz w:val="16"/>
                <w:szCs w:val="16"/>
              </w:rPr>
            </w:pPr>
          </w:p>
        </w:tc>
        <w:tc>
          <w:tcPr>
            <w:tcW w:w="115" w:type="pct"/>
            <w:shd w:val="clear" w:color="auto" w:fill="auto"/>
            <w:vAlign w:val="center"/>
          </w:tcPr>
          <w:p w:rsidR="00731D8F" w:rsidRDefault="00731D8F">
            <w:pPr>
              <w:spacing w:beforeLines="20" w:before="48" w:afterLines="20" w:after="48"/>
              <w:jc w:val="center"/>
              <w:rPr>
                <w:noProof/>
                <w:sz w:val="16"/>
                <w:szCs w:val="16"/>
              </w:rPr>
            </w:pPr>
          </w:p>
        </w:tc>
        <w:tc>
          <w:tcPr>
            <w:tcW w:w="115" w:type="pct"/>
            <w:shd w:val="clear" w:color="auto" w:fill="auto"/>
            <w:vAlign w:val="center"/>
          </w:tcPr>
          <w:p w:rsidR="00731D8F" w:rsidRDefault="00731D8F">
            <w:pPr>
              <w:spacing w:beforeLines="20" w:before="48" w:afterLines="20" w:after="48"/>
              <w:jc w:val="center"/>
              <w:rPr>
                <w:noProof/>
                <w:sz w:val="16"/>
                <w:szCs w:val="16"/>
              </w:rPr>
            </w:pPr>
          </w:p>
        </w:tc>
        <w:tc>
          <w:tcPr>
            <w:tcW w:w="115" w:type="pct"/>
            <w:shd w:val="clear" w:color="auto" w:fill="auto"/>
            <w:vAlign w:val="center"/>
          </w:tcPr>
          <w:p w:rsidR="00731D8F" w:rsidRDefault="00731D8F">
            <w:pPr>
              <w:spacing w:beforeLines="20" w:before="48" w:afterLines="20" w:after="48"/>
              <w:jc w:val="center"/>
              <w:rPr>
                <w:noProof/>
                <w:sz w:val="16"/>
                <w:szCs w:val="16"/>
              </w:rPr>
            </w:pPr>
          </w:p>
        </w:tc>
      </w:tr>
      <w:tr w:rsidR="00731D8F">
        <w:trPr>
          <w:gridBefore w:val="1"/>
          <w:wBefore w:w="6" w:type="pct"/>
          <w:trHeight w:val="289"/>
          <w:jc w:val="center"/>
        </w:trPr>
        <w:tc>
          <w:tcPr>
            <w:tcW w:w="948" w:type="pct"/>
            <w:vMerge/>
            <w:shd w:val="clear" w:color="auto" w:fill="auto"/>
            <w:vAlign w:val="center"/>
          </w:tcPr>
          <w:p w:rsidR="00731D8F" w:rsidRDefault="00731D8F">
            <w:pPr>
              <w:pStyle w:val="Text1"/>
              <w:spacing w:beforeLines="20" w:before="48" w:afterLines="20" w:after="48"/>
              <w:ind w:left="136"/>
              <w:jc w:val="left"/>
              <w:rPr>
                <w:b/>
                <w:noProof/>
                <w:sz w:val="16"/>
                <w:szCs w:val="16"/>
              </w:rPr>
            </w:pPr>
          </w:p>
        </w:tc>
        <w:tc>
          <w:tcPr>
            <w:tcW w:w="949" w:type="pct"/>
            <w:shd w:val="clear" w:color="auto" w:fill="auto"/>
            <w:vAlign w:val="center"/>
          </w:tcPr>
          <w:p w:rsidR="00731D8F" w:rsidRDefault="00214EE0">
            <w:pPr>
              <w:pStyle w:val="Text1"/>
              <w:spacing w:beforeLines="20" w:before="48" w:afterLines="20" w:after="48"/>
              <w:ind w:left="136"/>
              <w:jc w:val="left"/>
              <w:rPr>
                <w:b/>
                <w:noProof/>
                <w:sz w:val="16"/>
                <w:szCs w:val="16"/>
              </w:rPr>
            </w:pPr>
            <w:r>
              <w:rPr>
                <w:noProof/>
                <w:sz w:val="16"/>
              </w:rPr>
              <w:t xml:space="preserve">- w delegaturach </w:t>
            </w:r>
          </w:p>
        </w:tc>
        <w:tc>
          <w:tcPr>
            <w:tcW w:w="318" w:type="pct"/>
            <w:shd w:val="clear" w:color="auto" w:fill="auto"/>
            <w:vAlign w:val="center"/>
          </w:tcPr>
          <w:p w:rsidR="00731D8F" w:rsidRDefault="00731D8F">
            <w:pPr>
              <w:pStyle w:val="Text1"/>
              <w:spacing w:beforeLines="20" w:before="48" w:afterLines="20" w:after="48"/>
              <w:ind w:left="0"/>
              <w:rPr>
                <w:noProof/>
                <w:sz w:val="16"/>
                <w:szCs w:val="16"/>
              </w:rPr>
            </w:pPr>
          </w:p>
        </w:tc>
        <w:tc>
          <w:tcPr>
            <w:tcW w:w="318" w:type="pct"/>
            <w:shd w:val="clear" w:color="auto" w:fill="auto"/>
            <w:vAlign w:val="center"/>
          </w:tcPr>
          <w:p w:rsidR="00731D8F" w:rsidRDefault="00731D8F">
            <w:pPr>
              <w:spacing w:beforeLines="20" w:before="48" w:afterLines="20" w:after="48"/>
              <w:jc w:val="center"/>
              <w:rPr>
                <w:noProof/>
                <w:sz w:val="16"/>
                <w:szCs w:val="16"/>
              </w:rPr>
            </w:pPr>
          </w:p>
        </w:tc>
        <w:tc>
          <w:tcPr>
            <w:tcW w:w="1891" w:type="pct"/>
            <w:shd w:val="clear" w:color="auto" w:fill="auto"/>
            <w:vAlign w:val="center"/>
          </w:tcPr>
          <w:p w:rsidR="00731D8F" w:rsidRDefault="00731D8F">
            <w:pPr>
              <w:spacing w:beforeLines="20" w:before="48" w:afterLines="20" w:after="48"/>
              <w:jc w:val="center"/>
              <w:rPr>
                <w:noProof/>
                <w:sz w:val="16"/>
                <w:szCs w:val="16"/>
              </w:rPr>
            </w:pPr>
          </w:p>
        </w:tc>
        <w:tc>
          <w:tcPr>
            <w:tcW w:w="226" w:type="pct"/>
            <w:shd w:val="clear" w:color="auto" w:fill="auto"/>
            <w:vAlign w:val="center"/>
          </w:tcPr>
          <w:p w:rsidR="00731D8F" w:rsidRDefault="00731D8F">
            <w:pPr>
              <w:spacing w:beforeLines="20" w:before="48" w:afterLines="20" w:after="48"/>
              <w:jc w:val="center"/>
              <w:rPr>
                <w:noProof/>
                <w:sz w:val="16"/>
                <w:szCs w:val="16"/>
              </w:rPr>
            </w:pPr>
          </w:p>
        </w:tc>
        <w:tc>
          <w:tcPr>
            <w:tcW w:w="115" w:type="pct"/>
            <w:shd w:val="clear" w:color="auto" w:fill="auto"/>
            <w:vAlign w:val="center"/>
          </w:tcPr>
          <w:p w:rsidR="00731D8F" w:rsidRDefault="00731D8F">
            <w:pPr>
              <w:spacing w:beforeLines="20" w:before="48" w:afterLines="20" w:after="48"/>
              <w:jc w:val="center"/>
              <w:rPr>
                <w:noProof/>
                <w:sz w:val="16"/>
                <w:szCs w:val="16"/>
              </w:rPr>
            </w:pPr>
          </w:p>
        </w:tc>
        <w:tc>
          <w:tcPr>
            <w:tcW w:w="115" w:type="pct"/>
            <w:shd w:val="clear" w:color="auto" w:fill="auto"/>
            <w:vAlign w:val="center"/>
          </w:tcPr>
          <w:p w:rsidR="00731D8F" w:rsidRDefault="00731D8F">
            <w:pPr>
              <w:spacing w:beforeLines="20" w:before="48" w:afterLines="20" w:after="48"/>
              <w:jc w:val="center"/>
              <w:rPr>
                <w:noProof/>
                <w:sz w:val="16"/>
                <w:szCs w:val="16"/>
              </w:rPr>
            </w:pPr>
          </w:p>
        </w:tc>
        <w:tc>
          <w:tcPr>
            <w:tcW w:w="115" w:type="pct"/>
            <w:shd w:val="clear" w:color="auto" w:fill="auto"/>
            <w:vAlign w:val="center"/>
          </w:tcPr>
          <w:p w:rsidR="00731D8F" w:rsidRDefault="00731D8F">
            <w:pPr>
              <w:spacing w:beforeLines="20" w:before="48" w:afterLines="20" w:after="48"/>
              <w:jc w:val="center"/>
              <w:rPr>
                <w:noProof/>
                <w:sz w:val="16"/>
                <w:szCs w:val="16"/>
              </w:rPr>
            </w:pPr>
          </w:p>
        </w:tc>
      </w:tr>
      <w:tr w:rsidR="00731D8F">
        <w:trPr>
          <w:gridBefore w:val="1"/>
          <w:wBefore w:w="6" w:type="pct"/>
          <w:trHeight w:val="289"/>
          <w:jc w:val="center"/>
        </w:trPr>
        <w:tc>
          <w:tcPr>
            <w:tcW w:w="1897" w:type="pct"/>
            <w:gridSpan w:val="2"/>
            <w:shd w:val="clear" w:color="auto" w:fill="auto"/>
            <w:vAlign w:val="center"/>
          </w:tcPr>
          <w:p w:rsidR="00731D8F" w:rsidRDefault="00214EE0">
            <w:pPr>
              <w:pStyle w:val="Text1"/>
              <w:spacing w:beforeLines="20" w:before="48" w:afterLines="20" w:after="48"/>
              <w:ind w:left="136"/>
              <w:jc w:val="left"/>
              <w:rPr>
                <w:noProof/>
                <w:sz w:val="16"/>
                <w:szCs w:val="16"/>
              </w:rPr>
            </w:pPr>
            <w:r>
              <w:rPr>
                <w:b/>
                <w:noProof/>
                <w:sz w:val="16"/>
              </w:rPr>
              <w:t>XX</w:t>
            </w:r>
            <w:r>
              <w:rPr>
                <w:noProof/>
                <w:sz w:val="16"/>
              </w:rPr>
              <w:t xml:space="preserve"> 01 05 02 (CA, SNE, INT – pośrednie badania naukowe)</w:t>
            </w:r>
          </w:p>
        </w:tc>
        <w:tc>
          <w:tcPr>
            <w:tcW w:w="318" w:type="pct"/>
            <w:shd w:val="clear" w:color="auto" w:fill="auto"/>
            <w:vAlign w:val="center"/>
          </w:tcPr>
          <w:p w:rsidR="00731D8F" w:rsidRDefault="00731D8F">
            <w:pPr>
              <w:spacing w:beforeLines="20" w:before="48" w:afterLines="20" w:after="48"/>
              <w:jc w:val="center"/>
              <w:rPr>
                <w:noProof/>
                <w:sz w:val="16"/>
                <w:szCs w:val="16"/>
              </w:rPr>
            </w:pPr>
          </w:p>
        </w:tc>
        <w:tc>
          <w:tcPr>
            <w:tcW w:w="318" w:type="pct"/>
            <w:shd w:val="clear" w:color="auto" w:fill="auto"/>
            <w:vAlign w:val="center"/>
          </w:tcPr>
          <w:p w:rsidR="00731D8F" w:rsidRDefault="00731D8F">
            <w:pPr>
              <w:spacing w:beforeLines="20" w:before="48" w:afterLines="20" w:after="48"/>
              <w:jc w:val="center"/>
              <w:rPr>
                <w:noProof/>
                <w:sz w:val="16"/>
                <w:szCs w:val="16"/>
              </w:rPr>
            </w:pPr>
          </w:p>
        </w:tc>
        <w:tc>
          <w:tcPr>
            <w:tcW w:w="1891" w:type="pct"/>
            <w:shd w:val="clear" w:color="auto" w:fill="auto"/>
            <w:vAlign w:val="center"/>
          </w:tcPr>
          <w:p w:rsidR="00731D8F" w:rsidRDefault="00731D8F">
            <w:pPr>
              <w:spacing w:beforeLines="20" w:before="48" w:afterLines="20" w:after="48"/>
              <w:jc w:val="center"/>
              <w:rPr>
                <w:noProof/>
                <w:sz w:val="16"/>
                <w:szCs w:val="16"/>
              </w:rPr>
            </w:pPr>
          </w:p>
        </w:tc>
        <w:tc>
          <w:tcPr>
            <w:tcW w:w="226" w:type="pct"/>
            <w:shd w:val="clear" w:color="auto" w:fill="auto"/>
            <w:vAlign w:val="center"/>
          </w:tcPr>
          <w:p w:rsidR="00731D8F" w:rsidRDefault="00731D8F">
            <w:pPr>
              <w:spacing w:beforeLines="20" w:before="48" w:afterLines="20" w:after="48"/>
              <w:jc w:val="center"/>
              <w:rPr>
                <w:noProof/>
                <w:sz w:val="16"/>
                <w:szCs w:val="16"/>
              </w:rPr>
            </w:pPr>
          </w:p>
        </w:tc>
        <w:tc>
          <w:tcPr>
            <w:tcW w:w="115" w:type="pct"/>
            <w:shd w:val="clear" w:color="auto" w:fill="auto"/>
            <w:vAlign w:val="center"/>
          </w:tcPr>
          <w:p w:rsidR="00731D8F" w:rsidRDefault="00731D8F">
            <w:pPr>
              <w:spacing w:beforeLines="20" w:before="48" w:afterLines="20" w:after="48"/>
              <w:jc w:val="center"/>
              <w:rPr>
                <w:noProof/>
                <w:sz w:val="16"/>
                <w:szCs w:val="16"/>
              </w:rPr>
            </w:pPr>
          </w:p>
        </w:tc>
        <w:tc>
          <w:tcPr>
            <w:tcW w:w="115" w:type="pct"/>
            <w:shd w:val="clear" w:color="auto" w:fill="auto"/>
            <w:vAlign w:val="center"/>
          </w:tcPr>
          <w:p w:rsidR="00731D8F" w:rsidRDefault="00731D8F">
            <w:pPr>
              <w:spacing w:beforeLines="20" w:before="48" w:afterLines="20" w:after="48"/>
              <w:jc w:val="center"/>
              <w:rPr>
                <w:noProof/>
                <w:sz w:val="16"/>
                <w:szCs w:val="16"/>
              </w:rPr>
            </w:pPr>
          </w:p>
        </w:tc>
        <w:tc>
          <w:tcPr>
            <w:tcW w:w="115" w:type="pct"/>
            <w:shd w:val="clear" w:color="auto" w:fill="auto"/>
            <w:vAlign w:val="center"/>
          </w:tcPr>
          <w:p w:rsidR="00731D8F" w:rsidRDefault="00731D8F">
            <w:pPr>
              <w:spacing w:beforeLines="20" w:before="48" w:afterLines="20" w:after="48"/>
              <w:jc w:val="center"/>
              <w:rPr>
                <w:noProof/>
                <w:sz w:val="16"/>
                <w:szCs w:val="16"/>
              </w:rPr>
            </w:pPr>
          </w:p>
        </w:tc>
      </w:tr>
      <w:tr w:rsidR="00731D8F">
        <w:trPr>
          <w:gridBefore w:val="1"/>
          <w:wBefore w:w="6" w:type="pct"/>
          <w:trHeight w:val="289"/>
          <w:jc w:val="center"/>
        </w:trPr>
        <w:tc>
          <w:tcPr>
            <w:tcW w:w="1897" w:type="pct"/>
            <w:gridSpan w:val="2"/>
            <w:shd w:val="clear" w:color="auto" w:fill="auto"/>
            <w:vAlign w:val="center"/>
          </w:tcPr>
          <w:p w:rsidR="00731D8F" w:rsidRDefault="00214EE0">
            <w:pPr>
              <w:pStyle w:val="Text1"/>
              <w:spacing w:beforeLines="20" w:before="48" w:afterLines="20" w:after="48"/>
              <w:ind w:left="136"/>
              <w:jc w:val="left"/>
              <w:rPr>
                <w:noProof/>
                <w:sz w:val="16"/>
                <w:szCs w:val="16"/>
              </w:rPr>
            </w:pPr>
            <w:r>
              <w:rPr>
                <w:noProof/>
                <w:sz w:val="16"/>
              </w:rPr>
              <w:t>10 01 05 02 (CA, SNE, INT – bezpośrednie badania naukowe)</w:t>
            </w:r>
          </w:p>
        </w:tc>
        <w:tc>
          <w:tcPr>
            <w:tcW w:w="318" w:type="pct"/>
            <w:shd w:val="clear" w:color="auto" w:fill="auto"/>
            <w:vAlign w:val="center"/>
          </w:tcPr>
          <w:p w:rsidR="00731D8F" w:rsidRDefault="00731D8F">
            <w:pPr>
              <w:spacing w:beforeLines="20" w:before="48" w:afterLines="20" w:after="48"/>
              <w:jc w:val="center"/>
              <w:rPr>
                <w:noProof/>
                <w:sz w:val="16"/>
                <w:szCs w:val="16"/>
              </w:rPr>
            </w:pPr>
          </w:p>
        </w:tc>
        <w:tc>
          <w:tcPr>
            <w:tcW w:w="318" w:type="pct"/>
            <w:shd w:val="clear" w:color="auto" w:fill="auto"/>
            <w:vAlign w:val="center"/>
          </w:tcPr>
          <w:p w:rsidR="00731D8F" w:rsidRDefault="00731D8F">
            <w:pPr>
              <w:spacing w:beforeLines="20" w:before="48" w:afterLines="20" w:after="48"/>
              <w:jc w:val="center"/>
              <w:rPr>
                <w:noProof/>
                <w:sz w:val="16"/>
                <w:szCs w:val="16"/>
              </w:rPr>
            </w:pPr>
          </w:p>
        </w:tc>
        <w:tc>
          <w:tcPr>
            <w:tcW w:w="1891" w:type="pct"/>
            <w:shd w:val="clear" w:color="auto" w:fill="auto"/>
            <w:vAlign w:val="center"/>
          </w:tcPr>
          <w:p w:rsidR="00731D8F" w:rsidRDefault="00731D8F">
            <w:pPr>
              <w:spacing w:beforeLines="20" w:before="48" w:afterLines="20" w:after="48"/>
              <w:jc w:val="center"/>
              <w:rPr>
                <w:noProof/>
                <w:sz w:val="16"/>
                <w:szCs w:val="16"/>
              </w:rPr>
            </w:pPr>
          </w:p>
        </w:tc>
        <w:tc>
          <w:tcPr>
            <w:tcW w:w="226" w:type="pct"/>
            <w:shd w:val="clear" w:color="auto" w:fill="auto"/>
            <w:vAlign w:val="center"/>
          </w:tcPr>
          <w:p w:rsidR="00731D8F" w:rsidRDefault="00731D8F">
            <w:pPr>
              <w:spacing w:beforeLines="20" w:before="48" w:afterLines="20" w:after="48"/>
              <w:jc w:val="center"/>
              <w:rPr>
                <w:noProof/>
                <w:sz w:val="16"/>
                <w:szCs w:val="16"/>
              </w:rPr>
            </w:pPr>
          </w:p>
        </w:tc>
        <w:tc>
          <w:tcPr>
            <w:tcW w:w="115" w:type="pct"/>
            <w:shd w:val="clear" w:color="auto" w:fill="auto"/>
            <w:vAlign w:val="center"/>
          </w:tcPr>
          <w:p w:rsidR="00731D8F" w:rsidRDefault="00731D8F">
            <w:pPr>
              <w:spacing w:beforeLines="20" w:before="48" w:afterLines="20" w:after="48"/>
              <w:jc w:val="center"/>
              <w:rPr>
                <w:noProof/>
                <w:sz w:val="16"/>
                <w:szCs w:val="16"/>
              </w:rPr>
            </w:pPr>
          </w:p>
        </w:tc>
        <w:tc>
          <w:tcPr>
            <w:tcW w:w="115" w:type="pct"/>
            <w:shd w:val="clear" w:color="auto" w:fill="auto"/>
            <w:vAlign w:val="center"/>
          </w:tcPr>
          <w:p w:rsidR="00731D8F" w:rsidRDefault="00731D8F">
            <w:pPr>
              <w:spacing w:beforeLines="20" w:before="48" w:afterLines="20" w:after="48"/>
              <w:jc w:val="center"/>
              <w:rPr>
                <w:noProof/>
                <w:sz w:val="16"/>
                <w:szCs w:val="16"/>
              </w:rPr>
            </w:pPr>
          </w:p>
        </w:tc>
        <w:tc>
          <w:tcPr>
            <w:tcW w:w="115" w:type="pct"/>
            <w:shd w:val="clear" w:color="auto" w:fill="auto"/>
            <w:vAlign w:val="center"/>
          </w:tcPr>
          <w:p w:rsidR="00731D8F" w:rsidRDefault="00731D8F">
            <w:pPr>
              <w:spacing w:beforeLines="20" w:before="48" w:afterLines="20" w:after="48"/>
              <w:jc w:val="center"/>
              <w:rPr>
                <w:noProof/>
                <w:sz w:val="16"/>
                <w:szCs w:val="16"/>
              </w:rPr>
            </w:pPr>
          </w:p>
        </w:tc>
      </w:tr>
      <w:tr w:rsidR="00731D8F">
        <w:trPr>
          <w:gridBefore w:val="1"/>
          <w:wBefore w:w="6" w:type="pct"/>
          <w:trHeight w:val="289"/>
          <w:jc w:val="center"/>
        </w:trPr>
        <w:tc>
          <w:tcPr>
            <w:tcW w:w="1897" w:type="pct"/>
            <w:gridSpan w:val="2"/>
            <w:tcBorders>
              <w:bottom w:val="double" w:sz="4" w:space="0" w:color="auto"/>
            </w:tcBorders>
            <w:shd w:val="clear" w:color="auto" w:fill="auto"/>
            <w:vAlign w:val="center"/>
          </w:tcPr>
          <w:p w:rsidR="00731D8F" w:rsidRDefault="00214EE0">
            <w:pPr>
              <w:pStyle w:val="Text1"/>
              <w:spacing w:beforeLines="20" w:before="48" w:afterLines="20" w:after="48"/>
              <w:ind w:left="134"/>
              <w:jc w:val="left"/>
              <w:rPr>
                <w:noProof/>
                <w:sz w:val="16"/>
                <w:szCs w:val="16"/>
              </w:rPr>
            </w:pPr>
            <w:r>
              <w:rPr>
                <w:noProof/>
                <w:sz w:val="16"/>
              </w:rPr>
              <w:t>Inna linia budżetowa (określić)</w:t>
            </w:r>
          </w:p>
        </w:tc>
        <w:tc>
          <w:tcPr>
            <w:tcW w:w="318" w:type="pct"/>
            <w:tcBorders>
              <w:bottom w:val="double" w:sz="4" w:space="0" w:color="auto"/>
            </w:tcBorders>
            <w:shd w:val="clear" w:color="auto" w:fill="auto"/>
            <w:vAlign w:val="center"/>
          </w:tcPr>
          <w:p w:rsidR="00731D8F" w:rsidRDefault="00731D8F">
            <w:pPr>
              <w:spacing w:beforeLines="20" w:before="48" w:afterLines="20" w:after="48"/>
              <w:jc w:val="center"/>
              <w:rPr>
                <w:noProof/>
                <w:sz w:val="16"/>
                <w:szCs w:val="16"/>
              </w:rPr>
            </w:pPr>
          </w:p>
        </w:tc>
        <w:tc>
          <w:tcPr>
            <w:tcW w:w="318" w:type="pct"/>
            <w:tcBorders>
              <w:bottom w:val="double" w:sz="4" w:space="0" w:color="auto"/>
            </w:tcBorders>
            <w:shd w:val="clear" w:color="auto" w:fill="auto"/>
            <w:vAlign w:val="center"/>
          </w:tcPr>
          <w:p w:rsidR="00731D8F" w:rsidRDefault="00731D8F">
            <w:pPr>
              <w:spacing w:beforeLines="20" w:before="48" w:afterLines="20" w:after="48"/>
              <w:jc w:val="center"/>
              <w:rPr>
                <w:noProof/>
                <w:sz w:val="16"/>
                <w:szCs w:val="16"/>
              </w:rPr>
            </w:pPr>
          </w:p>
        </w:tc>
        <w:tc>
          <w:tcPr>
            <w:tcW w:w="1891" w:type="pct"/>
            <w:tcBorders>
              <w:bottom w:val="double" w:sz="4" w:space="0" w:color="auto"/>
            </w:tcBorders>
            <w:shd w:val="clear" w:color="auto" w:fill="auto"/>
            <w:vAlign w:val="center"/>
          </w:tcPr>
          <w:p w:rsidR="00731D8F" w:rsidRDefault="00731D8F">
            <w:pPr>
              <w:spacing w:beforeLines="20" w:before="48" w:afterLines="20" w:after="48"/>
              <w:jc w:val="center"/>
              <w:rPr>
                <w:noProof/>
                <w:sz w:val="16"/>
                <w:szCs w:val="16"/>
              </w:rPr>
            </w:pPr>
          </w:p>
        </w:tc>
        <w:tc>
          <w:tcPr>
            <w:tcW w:w="226" w:type="pct"/>
            <w:tcBorders>
              <w:bottom w:val="double" w:sz="4" w:space="0" w:color="auto"/>
            </w:tcBorders>
            <w:shd w:val="clear" w:color="auto" w:fill="auto"/>
            <w:vAlign w:val="center"/>
          </w:tcPr>
          <w:p w:rsidR="00731D8F" w:rsidRDefault="00731D8F">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731D8F" w:rsidRDefault="00731D8F">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731D8F" w:rsidRDefault="00731D8F">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731D8F" w:rsidRDefault="00731D8F">
            <w:pPr>
              <w:spacing w:beforeLines="20" w:before="48" w:afterLines="20" w:after="48"/>
              <w:jc w:val="center"/>
              <w:rPr>
                <w:noProof/>
                <w:sz w:val="16"/>
                <w:szCs w:val="16"/>
              </w:rPr>
            </w:pPr>
          </w:p>
        </w:tc>
      </w:tr>
      <w:tr w:rsidR="00731D8F">
        <w:trPr>
          <w:gridBefore w:val="1"/>
          <w:wBefore w:w="6" w:type="pct"/>
          <w:trHeight w:val="289"/>
          <w:jc w:val="center"/>
        </w:trPr>
        <w:tc>
          <w:tcPr>
            <w:tcW w:w="1897" w:type="pct"/>
            <w:gridSpan w:val="2"/>
            <w:tcBorders>
              <w:top w:val="double" w:sz="4" w:space="0" w:color="auto"/>
            </w:tcBorders>
            <w:shd w:val="clear" w:color="auto" w:fill="auto"/>
            <w:vAlign w:val="center"/>
          </w:tcPr>
          <w:p w:rsidR="00731D8F" w:rsidRDefault="00214EE0">
            <w:pPr>
              <w:pStyle w:val="Text1"/>
              <w:spacing w:beforeLines="20" w:before="48" w:afterLines="20" w:after="48"/>
              <w:ind w:left="136"/>
              <w:jc w:val="left"/>
              <w:rPr>
                <w:noProof/>
                <w:sz w:val="16"/>
                <w:szCs w:val="16"/>
              </w:rPr>
            </w:pPr>
            <w:r>
              <w:rPr>
                <w:b/>
                <w:noProof/>
                <w:sz w:val="16"/>
              </w:rPr>
              <w:t>OGÓŁEM</w:t>
            </w:r>
          </w:p>
        </w:tc>
        <w:tc>
          <w:tcPr>
            <w:tcW w:w="318" w:type="pct"/>
            <w:tcBorders>
              <w:top w:val="double" w:sz="4" w:space="0" w:color="auto"/>
            </w:tcBorders>
            <w:shd w:val="clear" w:color="auto" w:fill="auto"/>
            <w:vAlign w:val="center"/>
          </w:tcPr>
          <w:p w:rsidR="00731D8F" w:rsidRDefault="00731D8F">
            <w:pPr>
              <w:spacing w:beforeLines="20" w:before="48" w:afterLines="20" w:after="48"/>
              <w:jc w:val="center"/>
              <w:rPr>
                <w:b/>
                <w:noProof/>
                <w:sz w:val="16"/>
                <w:szCs w:val="16"/>
              </w:rPr>
            </w:pPr>
          </w:p>
        </w:tc>
        <w:tc>
          <w:tcPr>
            <w:tcW w:w="318" w:type="pct"/>
            <w:tcBorders>
              <w:top w:val="double" w:sz="4" w:space="0" w:color="auto"/>
            </w:tcBorders>
            <w:shd w:val="clear" w:color="auto" w:fill="auto"/>
            <w:vAlign w:val="center"/>
          </w:tcPr>
          <w:p w:rsidR="00731D8F" w:rsidRDefault="00731D8F">
            <w:pPr>
              <w:spacing w:beforeLines="20" w:before="48" w:afterLines="20" w:after="48"/>
              <w:jc w:val="center"/>
              <w:rPr>
                <w:b/>
                <w:noProof/>
                <w:sz w:val="16"/>
                <w:szCs w:val="16"/>
              </w:rPr>
            </w:pPr>
          </w:p>
        </w:tc>
        <w:tc>
          <w:tcPr>
            <w:tcW w:w="1891" w:type="pct"/>
            <w:tcBorders>
              <w:top w:val="double" w:sz="4" w:space="0" w:color="auto"/>
            </w:tcBorders>
            <w:shd w:val="clear" w:color="auto" w:fill="auto"/>
            <w:vAlign w:val="center"/>
          </w:tcPr>
          <w:p w:rsidR="00731D8F" w:rsidRDefault="00731D8F">
            <w:pPr>
              <w:spacing w:beforeLines="20" w:before="48" w:afterLines="20" w:after="48"/>
              <w:jc w:val="center"/>
              <w:rPr>
                <w:b/>
                <w:noProof/>
                <w:sz w:val="16"/>
                <w:szCs w:val="16"/>
              </w:rPr>
            </w:pPr>
          </w:p>
        </w:tc>
        <w:tc>
          <w:tcPr>
            <w:tcW w:w="226" w:type="pct"/>
            <w:tcBorders>
              <w:top w:val="double" w:sz="4" w:space="0" w:color="auto"/>
            </w:tcBorders>
            <w:shd w:val="clear" w:color="auto" w:fill="auto"/>
            <w:vAlign w:val="center"/>
          </w:tcPr>
          <w:p w:rsidR="00731D8F" w:rsidRDefault="00731D8F">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731D8F" w:rsidRDefault="00731D8F">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731D8F" w:rsidRDefault="00731D8F">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731D8F" w:rsidRDefault="00731D8F">
            <w:pPr>
              <w:spacing w:beforeLines="20" w:before="48" w:afterLines="20" w:after="48"/>
              <w:jc w:val="center"/>
              <w:rPr>
                <w:b/>
                <w:noProof/>
                <w:sz w:val="16"/>
                <w:szCs w:val="16"/>
              </w:rPr>
            </w:pPr>
          </w:p>
        </w:tc>
      </w:tr>
    </w:tbl>
    <w:p w:rsidR="00731D8F" w:rsidRDefault="00214EE0">
      <w:pPr>
        <w:pStyle w:val="Text1"/>
        <w:spacing w:before="60" w:after="60"/>
        <w:ind w:left="851"/>
        <w:rPr>
          <w:noProof/>
          <w:sz w:val="18"/>
          <w:szCs w:val="18"/>
        </w:rPr>
      </w:pPr>
      <w:r>
        <w:rPr>
          <w:b/>
          <w:noProof/>
          <w:sz w:val="18"/>
        </w:rPr>
        <w:t>XX</w:t>
      </w:r>
      <w:r>
        <w:rPr>
          <w:noProof/>
          <w:sz w:val="18"/>
        </w:rPr>
        <w:t xml:space="preserve"> oznacza odpowiednią dziedzinę polityki lub odpowiedni tytuł w budżecie</w:t>
      </w:r>
    </w:p>
    <w:p w:rsidR="00731D8F" w:rsidRDefault="00214EE0">
      <w:pPr>
        <w:pStyle w:val="Text1"/>
        <w:rPr>
          <w:noProof/>
          <w:sz w:val="18"/>
          <w:szCs w:val="18"/>
        </w:rPr>
      </w:pPr>
      <w:r>
        <w:rPr>
          <w:noProof/>
          <w:sz w:val="18"/>
        </w:rPr>
        <w:t xml:space="preserve">Potrzeby w zakresie zasobów ludzkich zostaną pokryte z zasobów DG już przydzielonych na zarządzanie tym działaniem lub przesuniętych w ramach dyrekcji generalnej, </w:t>
      </w:r>
      <w:r>
        <w:rPr>
          <w:noProof/>
          <w:sz w:val="18"/>
        </w:rPr>
        <w:t>uzupełnionych w razie potrzeby wszelkimi dodatkowymi zasobami, które mogą zostać przydzielone zarządzającej dyrekcji generalnej w ramach procedury rocznego przydziału środków oraz w świetle istniejących ograniczeń budżetowych.</w:t>
      </w:r>
    </w:p>
    <w:p w:rsidR="00731D8F" w:rsidRDefault="00214EE0">
      <w:pPr>
        <w:rPr>
          <w:noProof/>
          <w:sz w:val="20"/>
        </w:rPr>
      </w:pPr>
      <w:r>
        <w:rPr>
          <w:noProof/>
          <w:sz w:val="20"/>
        </w:rPr>
        <w:t>Opis zadań do wykonania:</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731D8F">
        <w:tc>
          <w:tcPr>
            <w:tcW w:w="3240" w:type="dxa"/>
          </w:tcPr>
          <w:p w:rsidR="00731D8F" w:rsidRDefault="00214EE0">
            <w:pPr>
              <w:rPr>
                <w:noProof/>
                <w:sz w:val="20"/>
              </w:rPr>
            </w:pPr>
            <w:r>
              <w:rPr>
                <w:noProof/>
                <w:sz w:val="20"/>
              </w:rPr>
              <w:t>Urzę</w:t>
            </w:r>
            <w:r>
              <w:rPr>
                <w:noProof/>
                <w:sz w:val="20"/>
              </w:rPr>
              <w:t>dnicy i pracownicy zatrudnieni na czas określony</w:t>
            </w:r>
          </w:p>
        </w:tc>
        <w:tc>
          <w:tcPr>
            <w:tcW w:w="7200" w:type="dxa"/>
          </w:tcPr>
          <w:p w:rsidR="00731D8F" w:rsidRDefault="00731D8F">
            <w:pPr>
              <w:rPr>
                <w:noProof/>
                <w:sz w:val="20"/>
              </w:rPr>
            </w:pPr>
          </w:p>
        </w:tc>
      </w:tr>
      <w:tr w:rsidR="00731D8F">
        <w:tc>
          <w:tcPr>
            <w:tcW w:w="3240" w:type="dxa"/>
          </w:tcPr>
          <w:p w:rsidR="00731D8F" w:rsidRDefault="00214EE0">
            <w:pPr>
              <w:spacing w:before="60" w:after="60"/>
              <w:rPr>
                <w:noProof/>
                <w:sz w:val="20"/>
              </w:rPr>
            </w:pPr>
            <w:r>
              <w:rPr>
                <w:noProof/>
                <w:sz w:val="20"/>
              </w:rPr>
              <w:t>Personel zewnętrzny</w:t>
            </w:r>
          </w:p>
        </w:tc>
        <w:tc>
          <w:tcPr>
            <w:tcW w:w="7200" w:type="dxa"/>
          </w:tcPr>
          <w:p w:rsidR="00731D8F" w:rsidRDefault="00731D8F">
            <w:pPr>
              <w:rPr>
                <w:noProof/>
                <w:sz w:val="20"/>
              </w:rPr>
            </w:pPr>
          </w:p>
        </w:tc>
      </w:tr>
    </w:tbl>
    <w:p w:rsidR="00731D8F" w:rsidRDefault="00731D8F">
      <w:pPr>
        <w:rPr>
          <w:noProof/>
        </w:rPr>
        <w:sectPr w:rsidR="00731D8F" w:rsidSect="00214EE0">
          <w:pgSz w:w="11907" w:h="16840"/>
          <w:pgMar w:top="1134" w:right="1418" w:bottom="1134" w:left="1418" w:header="709" w:footer="709" w:gutter="0"/>
          <w:cols w:space="708"/>
          <w:docGrid w:linePitch="360"/>
        </w:sectPr>
      </w:pPr>
    </w:p>
    <w:p w:rsidR="00731D8F" w:rsidRDefault="00214EE0">
      <w:pPr>
        <w:pStyle w:val="ManualHeading3"/>
        <w:rPr>
          <w:bCs/>
          <w:noProof/>
          <w:szCs w:val="24"/>
        </w:rPr>
      </w:pPr>
      <w:r>
        <w:rPr>
          <w:noProof/>
        </w:rPr>
        <w:t>3.2.4.</w:t>
      </w:r>
      <w:r>
        <w:rPr>
          <w:noProof/>
        </w:rPr>
        <w:tab/>
        <w:t xml:space="preserve">Zgodność z obowiązującymi wieloletnimi ramami finansowymi </w:t>
      </w:r>
    </w:p>
    <w:p w:rsidR="00731D8F" w:rsidRDefault="00214EE0">
      <w:pPr>
        <w:pStyle w:val="ListDash1"/>
        <w:rPr>
          <w:noProof/>
        </w:rPr>
      </w:pPr>
      <w:r>
        <w:rPr>
          <w:noProof/>
        </w:rPr>
        <w:sym w:font="Wingdings" w:char="F0A8"/>
      </w:r>
      <w:r>
        <w:rPr>
          <w:noProof/>
        </w:rPr>
        <w:tab/>
        <w:t>Wniosek/inicjatywa jest zgodny(-a) z obowiązującymi wieloletnimi ramami finansowymi.</w:t>
      </w:r>
    </w:p>
    <w:p w:rsidR="00731D8F" w:rsidRDefault="00214EE0">
      <w:pPr>
        <w:pStyle w:val="ListDash1"/>
        <w:rPr>
          <w:noProof/>
        </w:rPr>
      </w:pPr>
      <w:r>
        <w:rPr>
          <w:noProof/>
        </w:rPr>
        <w:sym w:font="Wingdings" w:char="F0FE"/>
      </w:r>
      <w:r>
        <w:rPr>
          <w:noProof/>
        </w:rPr>
        <w:tab/>
        <w:t>Wniose</w:t>
      </w:r>
      <w:r>
        <w:rPr>
          <w:noProof/>
        </w:rPr>
        <w:t>k/inicjatywa wymaga przeprogramowania odpowiedniego działu w wieloletnich ramach finansowych.</w:t>
      </w:r>
    </w:p>
    <w:p w:rsidR="00731D8F" w:rsidRDefault="00214EE0">
      <w:pPr>
        <w:pStyle w:val="Text1"/>
        <w:pBdr>
          <w:top w:val="single" w:sz="4" w:space="1" w:color="auto"/>
          <w:left w:val="single" w:sz="4" w:space="4" w:color="auto"/>
          <w:bottom w:val="single" w:sz="4" w:space="1" w:color="auto"/>
          <w:right w:val="single" w:sz="4" w:space="4" w:color="auto"/>
        </w:pBdr>
        <w:rPr>
          <w:noProof/>
        </w:rPr>
      </w:pPr>
      <w:r>
        <w:rPr>
          <w:noProof/>
        </w:rPr>
        <w:t>W celu wdrożenia zmian przewidzianych w przedmiotowym wniosku zaplanowano przeprogramowanie pozostałej części puli środków przeznaczonych w ramach Funduszu Bezpieczeństwa Wewnętrznego na inicjatywę na rzecz inteligentnych granic. Rozporządzenie w sprawie F</w:t>
      </w:r>
      <w:r>
        <w:rPr>
          <w:noProof/>
        </w:rPr>
        <w:t>unduszu Bezpieczeństwa Wewnętrznego i wsparcia w zakresie granic jest instrumentem finansowym, w którym uwzględniono budżet przeznaczony na realizację pakietu dotyczącego inteligentnych granic. W art. 5 rozporządzenia przewidziano, że kwota 791 mln EUR zos</w:t>
      </w:r>
      <w:r>
        <w:rPr>
          <w:noProof/>
        </w:rPr>
        <w:t>tanie wykorzystana za pośrednictwem programu tworzenia nowych systemów informatycznych wspierających zarządzanie przepływami migracyjnymi przez granice zewnętrzne Unii, na warunkach ustanowionych w art. 15. Z podanej powyżej kwoty 791 mln EUR kwota 480 mln</w:t>
      </w:r>
      <w:r>
        <w:rPr>
          <w:noProof/>
        </w:rPr>
        <w:t xml:space="preserve"> EUR jest zarezerwowana na rozwój systemu wjazdu/wyjazdu, a kwota 210 mln EUR – na rozwój europejskiego systemu informacji o podróży oraz zezwoleń na podróż (ETIAS). Część pozostałej kwoty w wysokości 100 828 mln EUR zostanie przeznaczona na pokrycie koszt</w:t>
      </w:r>
      <w:r>
        <w:rPr>
          <w:noProof/>
        </w:rPr>
        <w:t xml:space="preserve">ów zmian przewidzianych w przedmiotowym wniosku. </w:t>
      </w:r>
    </w:p>
    <w:p w:rsidR="00731D8F" w:rsidRDefault="00214EE0">
      <w:pPr>
        <w:pStyle w:val="ListDash1"/>
        <w:rPr>
          <w:noProof/>
        </w:rPr>
      </w:pPr>
      <w:r>
        <w:rPr>
          <w:noProof/>
        </w:rPr>
        <w:sym w:font="Wingdings" w:char="F0A8"/>
      </w:r>
      <w:r>
        <w:rPr>
          <w:noProof/>
        </w:rPr>
        <w:tab/>
        <w:t>Wniosek/inicjatywa wymaga zastosowania instrumentu elastyczności lub zmiany wieloletnich ram finansowych.</w:t>
      </w:r>
    </w:p>
    <w:p w:rsidR="00731D8F" w:rsidRDefault="00214EE0">
      <w:pPr>
        <w:pStyle w:val="Text1"/>
        <w:pBdr>
          <w:top w:val="single" w:sz="4" w:space="0" w:color="auto"/>
          <w:left w:val="single" w:sz="4" w:space="4" w:color="auto"/>
          <w:bottom w:val="single" w:sz="4" w:space="1" w:color="auto"/>
          <w:right w:val="single" w:sz="4" w:space="4" w:color="auto"/>
        </w:pBdr>
        <w:rPr>
          <w:noProof/>
          <w:sz w:val="20"/>
        </w:rPr>
      </w:pPr>
      <w:r>
        <w:rPr>
          <w:noProof/>
          <w:sz w:val="20"/>
        </w:rPr>
        <w:t>Należy wyjaśnić, który wariant jest konieczny, określając linie budżetowe, których ma on dotyczyć,</w:t>
      </w:r>
      <w:r>
        <w:rPr>
          <w:noProof/>
          <w:sz w:val="20"/>
        </w:rPr>
        <w:t xml:space="preserve"> oraz podając odpowiednie kwoty.</w:t>
      </w:r>
    </w:p>
    <w:p w:rsidR="00731D8F" w:rsidRDefault="00731D8F">
      <w:pPr>
        <w:pStyle w:val="Text1"/>
        <w:pBdr>
          <w:top w:val="single" w:sz="4" w:space="0" w:color="auto"/>
          <w:left w:val="single" w:sz="4" w:space="4" w:color="auto"/>
          <w:bottom w:val="single" w:sz="4" w:space="1" w:color="auto"/>
          <w:right w:val="single" w:sz="4" w:space="4" w:color="auto"/>
        </w:pBdr>
        <w:rPr>
          <w:noProof/>
        </w:rPr>
      </w:pPr>
    </w:p>
    <w:p w:rsidR="00731D8F" w:rsidRDefault="00214EE0">
      <w:pPr>
        <w:pStyle w:val="ManualHeading3"/>
        <w:rPr>
          <w:bCs/>
          <w:noProof/>
          <w:szCs w:val="24"/>
        </w:rPr>
      </w:pPr>
      <w:r>
        <w:rPr>
          <w:noProof/>
        </w:rPr>
        <w:t>3.2.5.</w:t>
      </w:r>
      <w:r>
        <w:rPr>
          <w:noProof/>
        </w:rPr>
        <w:tab/>
        <w:t xml:space="preserve">Udział osób trzecich w finansowaniu </w:t>
      </w:r>
    </w:p>
    <w:p w:rsidR="00731D8F" w:rsidRDefault="00214EE0">
      <w:pPr>
        <w:pStyle w:val="ListDash1"/>
        <w:rPr>
          <w:noProof/>
        </w:rPr>
      </w:pPr>
      <w:r>
        <w:rPr>
          <w:noProof/>
        </w:rPr>
        <w:sym w:font="Wingdings" w:char="F0FE"/>
      </w:r>
      <w:r>
        <w:rPr>
          <w:noProof/>
        </w:rPr>
        <w:t xml:space="preserve">Wniosek/inicjatywa nie przewiduje współfinansowania ze strony osób trzecich </w:t>
      </w:r>
    </w:p>
    <w:p w:rsidR="00731D8F" w:rsidRDefault="00214EE0">
      <w:pPr>
        <w:pStyle w:val="ListDash1"/>
        <w:rPr>
          <w:noProof/>
        </w:rPr>
      </w:pPr>
      <w:r>
        <w:rPr>
          <w:noProof/>
        </w:rPr>
        <w:t>Wniosek/inicjatywa przewiduje współfinansowanie szacowane zgodnie z poniższym:</w:t>
      </w:r>
    </w:p>
    <w:p w:rsidR="00731D8F" w:rsidRDefault="00214EE0">
      <w:pPr>
        <w:jc w:val="right"/>
        <w:rPr>
          <w:noProof/>
          <w:sz w:val="20"/>
        </w:rPr>
      </w:pPr>
      <w:r>
        <w:rPr>
          <w:noProof/>
          <w:sz w:val="20"/>
        </w:rPr>
        <w:t xml:space="preserve">Środki w mln EUR (do </w:t>
      </w:r>
      <w:r>
        <w:rPr>
          <w:noProof/>
          <w:sz w:val="20"/>
        </w:rPr>
        <w:t>trzech miejsc po przecinku)</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731D8F">
        <w:trPr>
          <w:cantSplit/>
        </w:trPr>
        <w:tc>
          <w:tcPr>
            <w:tcW w:w="2340" w:type="dxa"/>
          </w:tcPr>
          <w:p w:rsidR="00731D8F" w:rsidRDefault="00731D8F">
            <w:pPr>
              <w:spacing w:before="60" w:after="60"/>
              <w:rPr>
                <w:noProof/>
                <w:sz w:val="20"/>
              </w:rPr>
            </w:pPr>
          </w:p>
        </w:tc>
        <w:tc>
          <w:tcPr>
            <w:tcW w:w="964" w:type="dxa"/>
            <w:vAlign w:val="center"/>
          </w:tcPr>
          <w:p w:rsidR="00731D8F" w:rsidRDefault="00214EE0">
            <w:pPr>
              <w:jc w:val="center"/>
              <w:rPr>
                <w:noProof/>
                <w:sz w:val="20"/>
              </w:rPr>
            </w:pPr>
            <w:r>
              <w:rPr>
                <w:noProof/>
                <w:sz w:val="20"/>
              </w:rPr>
              <w:t>Rok</w:t>
            </w:r>
            <w:r>
              <w:rPr>
                <w:noProof/>
                <w:sz w:val="22"/>
              </w:rPr>
              <w:br/>
            </w:r>
            <w:r>
              <w:rPr>
                <w:b/>
                <w:noProof/>
                <w:sz w:val="20"/>
              </w:rPr>
              <w:t>N</w:t>
            </w:r>
          </w:p>
        </w:tc>
        <w:tc>
          <w:tcPr>
            <w:tcW w:w="964" w:type="dxa"/>
            <w:vAlign w:val="center"/>
          </w:tcPr>
          <w:p w:rsidR="00731D8F" w:rsidRDefault="00214EE0">
            <w:pPr>
              <w:jc w:val="center"/>
              <w:rPr>
                <w:noProof/>
                <w:sz w:val="20"/>
              </w:rPr>
            </w:pPr>
            <w:r>
              <w:rPr>
                <w:noProof/>
                <w:sz w:val="20"/>
              </w:rPr>
              <w:t>Rok</w:t>
            </w:r>
            <w:r>
              <w:rPr>
                <w:noProof/>
                <w:sz w:val="22"/>
              </w:rPr>
              <w:br/>
            </w:r>
            <w:r>
              <w:rPr>
                <w:b/>
                <w:noProof/>
                <w:sz w:val="20"/>
              </w:rPr>
              <w:t>N+1</w:t>
            </w:r>
          </w:p>
        </w:tc>
        <w:tc>
          <w:tcPr>
            <w:tcW w:w="964" w:type="dxa"/>
            <w:vAlign w:val="center"/>
          </w:tcPr>
          <w:p w:rsidR="00731D8F" w:rsidRDefault="00214EE0">
            <w:pPr>
              <w:jc w:val="center"/>
              <w:rPr>
                <w:noProof/>
                <w:sz w:val="20"/>
              </w:rPr>
            </w:pPr>
            <w:r>
              <w:rPr>
                <w:noProof/>
                <w:sz w:val="20"/>
              </w:rPr>
              <w:t>Rok</w:t>
            </w:r>
            <w:r>
              <w:rPr>
                <w:noProof/>
                <w:sz w:val="22"/>
              </w:rPr>
              <w:br/>
            </w:r>
            <w:r>
              <w:rPr>
                <w:b/>
                <w:noProof/>
                <w:sz w:val="20"/>
              </w:rPr>
              <w:t>N+2</w:t>
            </w:r>
          </w:p>
        </w:tc>
        <w:tc>
          <w:tcPr>
            <w:tcW w:w="964" w:type="dxa"/>
            <w:vAlign w:val="center"/>
          </w:tcPr>
          <w:p w:rsidR="00731D8F" w:rsidRDefault="00214EE0">
            <w:pPr>
              <w:jc w:val="center"/>
              <w:rPr>
                <w:noProof/>
                <w:sz w:val="20"/>
              </w:rPr>
            </w:pPr>
            <w:r>
              <w:rPr>
                <w:noProof/>
                <w:sz w:val="20"/>
              </w:rPr>
              <w:t>Rok</w:t>
            </w:r>
            <w:r>
              <w:rPr>
                <w:noProof/>
                <w:sz w:val="22"/>
              </w:rPr>
              <w:br/>
            </w:r>
            <w:r>
              <w:rPr>
                <w:b/>
                <w:noProof/>
                <w:sz w:val="20"/>
              </w:rPr>
              <w:t>N+3</w:t>
            </w:r>
          </w:p>
        </w:tc>
        <w:tc>
          <w:tcPr>
            <w:tcW w:w="2892" w:type="dxa"/>
            <w:gridSpan w:val="3"/>
            <w:vAlign w:val="center"/>
          </w:tcPr>
          <w:p w:rsidR="00731D8F" w:rsidRDefault="00214EE0">
            <w:pPr>
              <w:jc w:val="center"/>
              <w:rPr>
                <w:b/>
                <w:noProof/>
                <w:sz w:val="20"/>
              </w:rPr>
            </w:pPr>
            <w:r>
              <w:rPr>
                <w:noProof/>
                <w:sz w:val="20"/>
              </w:rPr>
              <w:t>Wprowadzić taką liczbę kolumn dla poszczególnych lat, jaka jest niezbędna, by odzwierciedlić cały okres wpływu (por. pkt 1.6)</w:t>
            </w:r>
          </w:p>
        </w:tc>
        <w:tc>
          <w:tcPr>
            <w:tcW w:w="1158" w:type="dxa"/>
            <w:vAlign w:val="center"/>
          </w:tcPr>
          <w:p w:rsidR="00731D8F" w:rsidRDefault="00214EE0">
            <w:pPr>
              <w:spacing w:before="60" w:after="60"/>
              <w:jc w:val="center"/>
              <w:rPr>
                <w:noProof/>
                <w:sz w:val="20"/>
              </w:rPr>
            </w:pPr>
            <w:r>
              <w:rPr>
                <w:noProof/>
                <w:sz w:val="20"/>
              </w:rPr>
              <w:t>Ogółem</w:t>
            </w:r>
          </w:p>
        </w:tc>
      </w:tr>
      <w:tr w:rsidR="00731D8F">
        <w:trPr>
          <w:cantSplit/>
        </w:trPr>
        <w:tc>
          <w:tcPr>
            <w:tcW w:w="2340" w:type="dxa"/>
          </w:tcPr>
          <w:p w:rsidR="00731D8F" w:rsidRDefault="00214EE0">
            <w:pPr>
              <w:rPr>
                <w:noProof/>
                <w:sz w:val="22"/>
              </w:rPr>
            </w:pPr>
            <w:r>
              <w:rPr>
                <w:noProof/>
                <w:sz w:val="20"/>
              </w:rPr>
              <w:t>Określić organ współfinansujący</w:t>
            </w:r>
            <w:r>
              <w:rPr>
                <w:i/>
                <w:noProof/>
                <w:sz w:val="20"/>
              </w:rPr>
              <w:t xml:space="preserve"> </w:t>
            </w:r>
          </w:p>
        </w:tc>
        <w:tc>
          <w:tcPr>
            <w:tcW w:w="964" w:type="dxa"/>
            <w:vAlign w:val="center"/>
          </w:tcPr>
          <w:p w:rsidR="00731D8F" w:rsidRDefault="00731D8F">
            <w:pPr>
              <w:spacing w:before="60" w:after="60"/>
              <w:jc w:val="center"/>
              <w:rPr>
                <w:noProof/>
                <w:sz w:val="20"/>
              </w:rPr>
            </w:pPr>
          </w:p>
        </w:tc>
        <w:tc>
          <w:tcPr>
            <w:tcW w:w="964" w:type="dxa"/>
            <w:vAlign w:val="center"/>
          </w:tcPr>
          <w:p w:rsidR="00731D8F" w:rsidRDefault="00731D8F">
            <w:pPr>
              <w:spacing w:before="60" w:after="60"/>
              <w:jc w:val="center"/>
              <w:rPr>
                <w:noProof/>
                <w:sz w:val="20"/>
              </w:rPr>
            </w:pPr>
          </w:p>
        </w:tc>
        <w:tc>
          <w:tcPr>
            <w:tcW w:w="964" w:type="dxa"/>
            <w:vAlign w:val="center"/>
          </w:tcPr>
          <w:p w:rsidR="00731D8F" w:rsidRDefault="00731D8F">
            <w:pPr>
              <w:spacing w:before="60" w:after="60"/>
              <w:jc w:val="center"/>
              <w:rPr>
                <w:noProof/>
                <w:sz w:val="20"/>
              </w:rPr>
            </w:pPr>
          </w:p>
        </w:tc>
        <w:tc>
          <w:tcPr>
            <w:tcW w:w="964" w:type="dxa"/>
            <w:vAlign w:val="center"/>
          </w:tcPr>
          <w:p w:rsidR="00731D8F" w:rsidRDefault="00731D8F">
            <w:pPr>
              <w:spacing w:before="60" w:after="60"/>
              <w:jc w:val="center"/>
              <w:rPr>
                <w:noProof/>
                <w:sz w:val="20"/>
              </w:rPr>
            </w:pPr>
          </w:p>
        </w:tc>
        <w:tc>
          <w:tcPr>
            <w:tcW w:w="964" w:type="dxa"/>
            <w:vAlign w:val="center"/>
          </w:tcPr>
          <w:p w:rsidR="00731D8F" w:rsidRDefault="00731D8F">
            <w:pPr>
              <w:spacing w:before="60" w:after="60"/>
              <w:jc w:val="center"/>
              <w:rPr>
                <w:noProof/>
                <w:sz w:val="20"/>
              </w:rPr>
            </w:pPr>
          </w:p>
        </w:tc>
        <w:tc>
          <w:tcPr>
            <w:tcW w:w="964" w:type="dxa"/>
            <w:vAlign w:val="center"/>
          </w:tcPr>
          <w:p w:rsidR="00731D8F" w:rsidRDefault="00731D8F">
            <w:pPr>
              <w:spacing w:before="60" w:after="60"/>
              <w:jc w:val="center"/>
              <w:rPr>
                <w:noProof/>
                <w:sz w:val="20"/>
              </w:rPr>
            </w:pPr>
          </w:p>
        </w:tc>
        <w:tc>
          <w:tcPr>
            <w:tcW w:w="964" w:type="dxa"/>
            <w:vAlign w:val="center"/>
          </w:tcPr>
          <w:p w:rsidR="00731D8F" w:rsidRDefault="00731D8F">
            <w:pPr>
              <w:spacing w:before="60" w:after="60"/>
              <w:jc w:val="center"/>
              <w:rPr>
                <w:noProof/>
                <w:sz w:val="20"/>
              </w:rPr>
            </w:pPr>
          </w:p>
        </w:tc>
        <w:tc>
          <w:tcPr>
            <w:tcW w:w="1158" w:type="dxa"/>
            <w:vAlign w:val="center"/>
          </w:tcPr>
          <w:p w:rsidR="00731D8F" w:rsidRDefault="00731D8F">
            <w:pPr>
              <w:spacing w:before="60" w:after="60"/>
              <w:jc w:val="center"/>
              <w:rPr>
                <w:noProof/>
                <w:sz w:val="20"/>
              </w:rPr>
            </w:pPr>
          </w:p>
        </w:tc>
      </w:tr>
      <w:tr w:rsidR="00731D8F">
        <w:trPr>
          <w:cantSplit/>
        </w:trPr>
        <w:tc>
          <w:tcPr>
            <w:tcW w:w="2340" w:type="dxa"/>
          </w:tcPr>
          <w:p w:rsidR="00731D8F" w:rsidRDefault="00214EE0">
            <w:pPr>
              <w:spacing w:before="60" w:after="60"/>
              <w:jc w:val="left"/>
              <w:rPr>
                <w:noProof/>
                <w:sz w:val="20"/>
              </w:rPr>
            </w:pPr>
            <w:r>
              <w:rPr>
                <w:noProof/>
                <w:sz w:val="20"/>
              </w:rPr>
              <w:t xml:space="preserve">OGÓŁEM środki objęte współfinansowaniem </w:t>
            </w:r>
          </w:p>
        </w:tc>
        <w:tc>
          <w:tcPr>
            <w:tcW w:w="964" w:type="dxa"/>
            <w:vAlign w:val="center"/>
          </w:tcPr>
          <w:p w:rsidR="00731D8F" w:rsidRDefault="00731D8F">
            <w:pPr>
              <w:spacing w:before="60" w:after="60"/>
              <w:jc w:val="center"/>
              <w:rPr>
                <w:noProof/>
                <w:sz w:val="20"/>
              </w:rPr>
            </w:pPr>
          </w:p>
        </w:tc>
        <w:tc>
          <w:tcPr>
            <w:tcW w:w="964" w:type="dxa"/>
            <w:vAlign w:val="center"/>
          </w:tcPr>
          <w:p w:rsidR="00731D8F" w:rsidRDefault="00731D8F">
            <w:pPr>
              <w:spacing w:before="60" w:after="60"/>
              <w:jc w:val="center"/>
              <w:rPr>
                <w:noProof/>
                <w:sz w:val="20"/>
              </w:rPr>
            </w:pPr>
          </w:p>
        </w:tc>
        <w:tc>
          <w:tcPr>
            <w:tcW w:w="964" w:type="dxa"/>
            <w:vAlign w:val="center"/>
          </w:tcPr>
          <w:p w:rsidR="00731D8F" w:rsidRDefault="00731D8F">
            <w:pPr>
              <w:spacing w:before="60" w:after="60"/>
              <w:jc w:val="center"/>
              <w:rPr>
                <w:noProof/>
                <w:sz w:val="20"/>
              </w:rPr>
            </w:pPr>
          </w:p>
        </w:tc>
        <w:tc>
          <w:tcPr>
            <w:tcW w:w="964" w:type="dxa"/>
            <w:vAlign w:val="center"/>
          </w:tcPr>
          <w:p w:rsidR="00731D8F" w:rsidRDefault="00731D8F">
            <w:pPr>
              <w:spacing w:before="60" w:after="60"/>
              <w:jc w:val="center"/>
              <w:rPr>
                <w:noProof/>
                <w:sz w:val="20"/>
              </w:rPr>
            </w:pPr>
          </w:p>
        </w:tc>
        <w:tc>
          <w:tcPr>
            <w:tcW w:w="964" w:type="dxa"/>
            <w:vAlign w:val="center"/>
          </w:tcPr>
          <w:p w:rsidR="00731D8F" w:rsidRDefault="00731D8F">
            <w:pPr>
              <w:spacing w:before="60" w:after="60"/>
              <w:jc w:val="center"/>
              <w:rPr>
                <w:noProof/>
                <w:sz w:val="20"/>
              </w:rPr>
            </w:pPr>
          </w:p>
        </w:tc>
        <w:tc>
          <w:tcPr>
            <w:tcW w:w="964" w:type="dxa"/>
            <w:vAlign w:val="center"/>
          </w:tcPr>
          <w:p w:rsidR="00731D8F" w:rsidRDefault="00731D8F">
            <w:pPr>
              <w:spacing w:before="60" w:after="60"/>
              <w:jc w:val="center"/>
              <w:rPr>
                <w:noProof/>
                <w:sz w:val="20"/>
              </w:rPr>
            </w:pPr>
          </w:p>
        </w:tc>
        <w:tc>
          <w:tcPr>
            <w:tcW w:w="964" w:type="dxa"/>
            <w:vAlign w:val="center"/>
          </w:tcPr>
          <w:p w:rsidR="00731D8F" w:rsidRDefault="00731D8F">
            <w:pPr>
              <w:spacing w:before="60" w:after="60"/>
              <w:jc w:val="center"/>
              <w:rPr>
                <w:noProof/>
                <w:sz w:val="20"/>
              </w:rPr>
            </w:pPr>
          </w:p>
        </w:tc>
        <w:tc>
          <w:tcPr>
            <w:tcW w:w="1158" w:type="dxa"/>
            <w:vAlign w:val="center"/>
          </w:tcPr>
          <w:p w:rsidR="00731D8F" w:rsidRDefault="00731D8F">
            <w:pPr>
              <w:spacing w:before="60" w:after="60"/>
              <w:jc w:val="center"/>
              <w:rPr>
                <w:noProof/>
                <w:sz w:val="20"/>
              </w:rPr>
            </w:pPr>
          </w:p>
        </w:tc>
      </w:tr>
    </w:tbl>
    <w:p w:rsidR="00731D8F" w:rsidRDefault="00214EE0">
      <w:pPr>
        <w:rPr>
          <w:noProof/>
        </w:rPr>
      </w:pPr>
      <w:r>
        <w:rPr>
          <w:noProof/>
        </w:rPr>
        <w:br/>
      </w:r>
    </w:p>
    <w:p w:rsidR="00731D8F" w:rsidRDefault="00214EE0">
      <w:pPr>
        <w:pStyle w:val="ManualHeading2"/>
        <w:rPr>
          <w:bCs/>
          <w:noProof/>
          <w:szCs w:val="24"/>
        </w:rPr>
      </w:pPr>
      <w:r>
        <w:rPr>
          <w:noProof/>
        </w:rPr>
        <w:br w:type="page"/>
        <w:t>3.3.</w:t>
      </w:r>
      <w:r>
        <w:rPr>
          <w:noProof/>
        </w:rPr>
        <w:tab/>
        <w:t xml:space="preserve">Szacunkowy wpływ na dochody </w:t>
      </w:r>
    </w:p>
    <w:p w:rsidR="00731D8F" w:rsidRDefault="00214EE0">
      <w:pPr>
        <w:pStyle w:val="ListDash1"/>
        <w:rPr>
          <w:noProof/>
        </w:rPr>
      </w:pPr>
      <w:r>
        <w:rPr>
          <w:noProof/>
        </w:rPr>
        <w:sym w:font="Wingdings" w:char="F0A8"/>
      </w:r>
      <w:r>
        <w:rPr>
          <w:noProof/>
        </w:rPr>
        <w:tab/>
        <w:t>Wniosek/inicjatywa nie ma wpływu finansowego na dochody.</w:t>
      </w:r>
    </w:p>
    <w:p w:rsidR="00731D8F" w:rsidRDefault="00214EE0">
      <w:pPr>
        <w:pStyle w:val="ListDash1"/>
        <w:rPr>
          <w:noProof/>
        </w:rPr>
      </w:pPr>
      <w:r>
        <w:rPr>
          <w:noProof/>
        </w:rPr>
        <w:sym w:font="Wingdings" w:char="F0FE"/>
      </w:r>
      <w:r>
        <w:rPr>
          <w:noProof/>
        </w:rPr>
        <w:tab/>
        <w:t>Wniosek/inicjatywa ma wpływ finansowy określony poniżej:</w:t>
      </w:r>
    </w:p>
    <w:p w:rsidR="00731D8F" w:rsidRDefault="00214EE0">
      <w:pPr>
        <w:pStyle w:val="ListNumberLevel3"/>
        <w:rPr>
          <w:noProof/>
        </w:rPr>
      </w:pPr>
      <w:r>
        <w:rPr>
          <w:noProof/>
        </w:rPr>
        <w:sym w:font="Wingdings" w:char="F0A8"/>
      </w:r>
      <w:r>
        <w:rPr>
          <w:noProof/>
        </w:rPr>
        <w:tab/>
        <w:t xml:space="preserve">wpływ na zasoby własne </w:t>
      </w:r>
    </w:p>
    <w:p w:rsidR="00731D8F" w:rsidRDefault="00214EE0">
      <w:pPr>
        <w:pStyle w:val="ListNumberLevel3"/>
        <w:rPr>
          <w:noProof/>
        </w:rPr>
      </w:pPr>
      <w:r>
        <w:rPr>
          <w:noProof/>
        </w:rPr>
        <w:sym w:font="Wingdings" w:char="F0FE"/>
      </w:r>
      <w:r>
        <w:rPr>
          <w:noProof/>
        </w:rPr>
        <w:tab/>
        <w:t xml:space="preserve">wpływ na dochody różne </w:t>
      </w:r>
    </w:p>
    <w:p w:rsidR="00731D8F" w:rsidRDefault="00214EE0">
      <w:pPr>
        <w:jc w:val="right"/>
        <w:rPr>
          <w:i/>
          <w:noProof/>
          <w:sz w:val="20"/>
        </w:rPr>
      </w:pPr>
      <w:r>
        <w:rPr>
          <w:noProof/>
        </w:rPr>
        <w:t>w mln EUR (do trzech miejsc po przecinku)</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rsidR="00731D8F">
        <w:trPr>
          <w:trHeight w:val="388"/>
        </w:trPr>
        <w:tc>
          <w:tcPr>
            <w:tcW w:w="2144" w:type="dxa"/>
            <w:vMerge w:val="restart"/>
            <w:vAlign w:val="center"/>
          </w:tcPr>
          <w:p w:rsidR="00731D8F" w:rsidRDefault="00214EE0">
            <w:pPr>
              <w:spacing w:before="40" w:after="40"/>
              <w:rPr>
                <w:noProof/>
                <w:sz w:val="18"/>
              </w:rPr>
            </w:pPr>
            <w:r>
              <w:rPr>
                <w:noProof/>
                <w:sz w:val="18"/>
              </w:rPr>
              <w:t>Linia budżetowa po stronie dochodów</w:t>
            </w:r>
          </w:p>
        </w:tc>
        <w:tc>
          <w:tcPr>
            <w:tcW w:w="1276" w:type="dxa"/>
            <w:vMerge w:val="restart"/>
            <w:vAlign w:val="center"/>
          </w:tcPr>
          <w:p w:rsidR="00731D8F" w:rsidRDefault="00214EE0">
            <w:pPr>
              <w:jc w:val="center"/>
              <w:rPr>
                <w:noProof/>
                <w:sz w:val="18"/>
              </w:rPr>
            </w:pPr>
            <w:r>
              <w:rPr>
                <w:noProof/>
                <w:sz w:val="18"/>
              </w:rPr>
              <w:t>Środki zapisane w budżecie na bieżący rok budżetowy</w:t>
            </w:r>
          </w:p>
        </w:tc>
        <w:tc>
          <w:tcPr>
            <w:tcW w:w="7200" w:type="dxa"/>
            <w:gridSpan w:val="7"/>
            <w:vAlign w:val="center"/>
          </w:tcPr>
          <w:p w:rsidR="00731D8F" w:rsidRDefault="00214EE0">
            <w:pPr>
              <w:jc w:val="center"/>
              <w:rPr>
                <w:noProof/>
                <w:sz w:val="18"/>
              </w:rPr>
            </w:pPr>
            <w:r>
              <w:rPr>
                <w:noProof/>
                <w:sz w:val="18"/>
              </w:rPr>
              <w:t>Wpływ wniosku/inicjatywy</w:t>
            </w:r>
            <w:r>
              <w:rPr>
                <w:rStyle w:val="FootnoteReference"/>
                <w:noProof/>
                <w:sz w:val="18"/>
              </w:rPr>
              <w:footnoteReference w:id="59"/>
            </w:r>
          </w:p>
        </w:tc>
      </w:tr>
      <w:tr w:rsidR="00731D8F">
        <w:trPr>
          <w:trHeight w:val="388"/>
        </w:trPr>
        <w:tc>
          <w:tcPr>
            <w:tcW w:w="2144" w:type="dxa"/>
            <w:vMerge/>
          </w:tcPr>
          <w:p w:rsidR="00731D8F" w:rsidRDefault="00731D8F">
            <w:pPr>
              <w:spacing w:before="40" w:after="40"/>
              <w:rPr>
                <w:noProof/>
                <w:sz w:val="18"/>
              </w:rPr>
            </w:pPr>
          </w:p>
        </w:tc>
        <w:tc>
          <w:tcPr>
            <w:tcW w:w="1276" w:type="dxa"/>
            <w:vMerge/>
          </w:tcPr>
          <w:p w:rsidR="00731D8F" w:rsidRDefault="00731D8F">
            <w:pPr>
              <w:spacing w:beforeLines="40" w:before="96" w:afterLines="40" w:after="96"/>
              <w:rPr>
                <w:i/>
                <w:noProof/>
                <w:sz w:val="18"/>
              </w:rPr>
            </w:pPr>
          </w:p>
        </w:tc>
        <w:tc>
          <w:tcPr>
            <w:tcW w:w="1080" w:type="dxa"/>
            <w:vAlign w:val="center"/>
          </w:tcPr>
          <w:p w:rsidR="00731D8F" w:rsidRDefault="00214EE0">
            <w:pPr>
              <w:jc w:val="center"/>
              <w:rPr>
                <w:noProof/>
                <w:sz w:val="18"/>
              </w:rPr>
            </w:pPr>
            <w:r>
              <w:rPr>
                <w:noProof/>
                <w:sz w:val="18"/>
              </w:rPr>
              <w:t>Rok</w:t>
            </w:r>
            <w:r>
              <w:rPr>
                <w:noProof/>
                <w:sz w:val="22"/>
              </w:rPr>
              <w:br/>
            </w:r>
            <w:r>
              <w:rPr>
                <w:b/>
                <w:noProof/>
                <w:sz w:val="18"/>
              </w:rPr>
              <w:t>2018</w:t>
            </w:r>
          </w:p>
        </w:tc>
        <w:tc>
          <w:tcPr>
            <w:tcW w:w="900" w:type="dxa"/>
            <w:vAlign w:val="center"/>
          </w:tcPr>
          <w:p w:rsidR="00731D8F" w:rsidRDefault="00214EE0">
            <w:pPr>
              <w:jc w:val="center"/>
              <w:rPr>
                <w:noProof/>
                <w:sz w:val="18"/>
              </w:rPr>
            </w:pPr>
            <w:r>
              <w:rPr>
                <w:noProof/>
                <w:sz w:val="18"/>
              </w:rPr>
              <w:t>Rok</w:t>
            </w:r>
          </w:p>
          <w:p w:rsidR="00731D8F" w:rsidRDefault="00214EE0">
            <w:pPr>
              <w:jc w:val="center"/>
              <w:rPr>
                <w:noProof/>
                <w:sz w:val="18"/>
              </w:rPr>
            </w:pPr>
            <w:r>
              <w:rPr>
                <w:noProof/>
                <w:sz w:val="18"/>
              </w:rPr>
              <w:t>2019</w:t>
            </w:r>
          </w:p>
        </w:tc>
        <w:tc>
          <w:tcPr>
            <w:tcW w:w="900" w:type="dxa"/>
            <w:vAlign w:val="center"/>
          </w:tcPr>
          <w:p w:rsidR="00731D8F" w:rsidRDefault="00214EE0">
            <w:pPr>
              <w:jc w:val="center"/>
              <w:rPr>
                <w:noProof/>
                <w:sz w:val="18"/>
              </w:rPr>
            </w:pPr>
            <w:r>
              <w:rPr>
                <w:noProof/>
                <w:sz w:val="18"/>
              </w:rPr>
              <w:t>Rok</w:t>
            </w:r>
          </w:p>
          <w:p w:rsidR="00731D8F" w:rsidRDefault="00214EE0">
            <w:pPr>
              <w:jc w:val="center"/>
              <w:rPr>
                <w:noProof/>
                <w:sz w:val="18"/>
              </w:rPr>
            </w:pPr>
            <w:r>
              <w:rPr>
                <w:noProof/>
                <w:sz w:val="18"/>
              </w:rPr>
              <w:t>2020</w:t>
            </w:r>
          </w:p>
        </w:tc>
        <w:tc>
          <w:tcPr>
            <w:tcW w:w="1080" w:type="dxa"/>
            <w:vAlign w:val="center"/>
          </w:tcPr>
          <w:p w:rsidR="00731D8F" w:rsidRDefault="00214EE0">
            <w:pPr>
              <w:jc w:val="center"/>
              <w:rPr>
                <w:noProof/>
                <w:sz w:val="18"/>
              </w:rPr>
            </w:pPr>
            <w:r>
              <w:rPr>
                <w:noProof/>
                <w:sz w:val="18"/>
              </w:rPr>
              <w:t>Rok</w:t>
            </w:r>
          </w:p>
          <w:p w:rsidR="00731D8F" w:rsidRDefault="00214EE0">
            <w:pPr>
              <w:jc w:val="center"/>
              <w:rPr>
                <w:noProof/>
                <w:sz w:val="18"/>
              </w:rPr>
            </w:pPr>
            <w:r>
              <w:rPr>
                <w:noProof/>
                <w:sz w:val="18"/>
              </w:rPr>
              <w:t>2021</w:t>
            </w:r>
          </w:p>
        </w:tc>
        <w:tc>
          <w:tcPr>
            <w:tcW w:w="3240" w:type="dxa"/>
            <w:gridSpan w:val="3"/>
            <w:vAlign w:val="center"/>
          </w:tcPr>
          <w:p w:rsidR="00731D8F" w:rsidRDefault="00214EE0">
            <w:pPr>
              <w:jc w:val="center"/>
              <w:rPr>
                <w:b/>
                <w:noProof/>
                <w:sz w:val="18"/>
              </w:rPr>
            </w:pPr>
            <w:r>
              <w:rPr>
                <w:noProof/>
                <w:sz w:val="18"/>
              </w:rPr>
              <w:t xml:space="preserve">Wprowadzić taką liczbę kolumn dla poszczególnych lat, jaka </w:t>
            </w:r>
            <w:r>
              <w:rPr>
                <w:noProof/>
                <w:sz w:val="18"/>
              </w:rPr>
              <w:t>jest niezbędna, by odzwierciedlić cały okres wpływu (por. pkt 1.6)</w:t>
            </w:r>
          </w:p>
        </w:tc>
      </w:tr>
      <w:tr w:rsidR="00731D8F">
        <w:trPr>
          <w:trHeight w:val="388"/>
        </w:trPr>
        <w:tc>
          <w:tcPr>
            <w:tcW w:w="2144" w:type="dxa"/>
            <w:vAlign w:val="center"/>
          </w:tcPr>
          <w:p w:rsidR="00731D8F" w:rsidRDefault="00214EE0">
            <w:pPr>
              <w:spacing w:before="40" w:after="40"/>
              <w:rPr>
                <w:noProof/>
                <w:sz w:val="18"/>
              </w:rPr>
            </w:pPr>
            <w:r>
              <w:rPr>
                <w:noProof/>
                <w:sz w:val="18"/>
              </w:rPr>
              <w:t>Artykuł 6313</w:t>
            </w:r>
          </w:p>
        </w:tc>
        <w:tc>
          <w:tcPr>
            <w:tcW w:w="1276" w:type="dxa"/>
          </w:tcPr>
          <w:p w:rsidR="00731D8F" w:rsidRDefault="00731D8F">
            <w:pPr>
              <w:spacing w:beforeLines="40" w:before="96" w:afterLines="40" w:after="96"/>
              <w:jc w:val="center"/>
              <w:rPr>
                <w:i/>
                <w:noProof/>
                <w:sz w:val="18"/>
              </w:rPr>
            </w:pPr>
          </w:p>
        </w:tc>
        <w:tc>
          <w:tcPr>
            <w:tcW w:w="1080" w:type="dxa"/>
          </w:tcPr>
          <w:p w:rsidR="00731D8F" w:rsidRDefault="00214EE0">
            <w:pPr>
              <w:spacing w:beforeLines="40" w:before="96" w:afterLines="40" w:after="96"/>
              <w:jc w:val="center"/>
              <w:rPr>
                <w:noProof/>
                <w:sz w:val="18"/>
              </w:rPr>
            </w:pPr>
            <w:r>
              <w:rPr>
                <w:noProof/>
                <w:sz w:val="18"/>
              </w:rPr>
              <w:t>p.m.</w:t>
            </w:r>
          </w:p>
        </w:tc>
        <w:tc>
          <w:tcPr>
            <w:tcW w:w="900" w:type="dxa"/>
          </w:tcPr>
          <w:p w:rsidR="00731D8F" w:rsidRDefault="00214EE0">
            <w:pPr>
              <w:spacing w:beforeLines="40" w:before="96" w:afterLines="40" w:after="96"/>
              <w:jc w:val="center"/>
              <w:rPr>
                <w:noProof/>
                <w:sz w:val="18"/>
              </w:rPr>
            </w:pPr>
            <w:r>
              <w:rPr>
                <w:noProof/>
                <w:sz w:val="18"/>
              </w:rPr>
              <w:t>p.m.</w:t>
            </w:r>
          </w:p>
        </w:tc>
        <w:tc>
          <w:tcPr>
            <w:tcW w:w="900" w:type="dxa"/>
          </w:tcPr>
          <w:p w:rsidR="00731D8F" w:rsidRDefault="00214EE0">
            <w:pPr>
              <w:spacing w:beforeLines="40" w:before="96" w:afterLines="40" w:after="96"/>
              <w:jc w:val="center"/>
              <w:rPr>
                <w:noProof/>
                <w:sz w:val="18"/>
              </w:rPr>
            </w:pPr>
            <w:r>
              <w:rPr>
                <w:noProof/>
                <w:sz w:val="18"/>
              </w:rPr>
              <w:t>p.m.</w:t>
            </w:r>
          </w:p>
        </w:tc>
        <w:tc>
          <w:tcPr>
            <w:tcW w:w="1080" w:type="dxa"/>
          </w:tcPr>
          <w:p w:rsidR="00731D8F" w:rsidRDefault="00214EE0">
            <w:pPr>
              <w:spacing w:beforeLines="40" w:before="96" w:afterLines="40" w:after="96"/>
              <w:jc w:val="center"/>
              <w:rPr>
                <w:noProof/>
                <w:sz w:val="18"/>
              </w:rPr>
            </w:pPr>
            <w:r>
              <w:rPr>
                <w:noProof/>
                <w:sz w:val="18"/>
              </w:rPr>
              <w:t>p.m.</w:t>
            </w:r>
          </w:p>
        </w:tc>
        <w:tc>
          <w:tcPr>
            <w:tcW w:w="1080" w:type="dxa"/>
          </w:tcPr>
          <w:p w:rsidR="00731D8F" w:rsidRDefault="00731D8F">
            <w:pPr>
              <w:spacing w:beforeLines="40" w:before="96" w:afterLines="40" w:after="96"/>
              <w:jc w:val="center"/>
              <w:rPr>
                <w:noProof/>
                <w:sz w:val="18"/>
              </w:rPr>
            </w:pPr>
          </w:p>
        </w:tc>
        <w:tc>
          <w:tcPr>
            <w:tcW w:w="1080" w:type="dxa"/>
          </w:tcPr>
          <w:p w:rsidR="00731D8F" w:rsidRDefault="00731D8F">
            <w:pPr>
              <w:spacing w:beforeLines="40" w:before="96" w:afterLines="40" w:after="96"/>
              <w:jc w:val="center"/>
              <w:rPr>
                <w:noProof/>
                <w:sz w:val="18"/>
              </w:rPr>
            </w:pPr>
          </w:p>
        </w:tc>
        <w:tc>
          <w:tcPr>
            <w:tcW w:w="1080" w:type="dxa"/>
          </w:tcPr>
          <w:p w:rsidR="00731D8F" w:rsidRDefault="00731D8F">
            <w:pPr>
              <w:spacing w:beforeLines="40" w:before="96" w:afterLines="40" w:after="96"/>
              <w:jc w:val="center"/>
              <w:rPr>
                <w:noProof/>
                <w:sz w:val="18"/>
              </w:rPr>
            </w:pPr>
          </w:p>
        </w:tc>
      </w:tr>
    </w:tbl>
    <w:p w:rsidR="00731D8F" w:rsidRDefault="00214EE0">
      <w:pPr>
        <w:pStyle w:val="Text1"/>
        <w:rPr>
          <w:noProof/>
          <w:sz w:val="20"/>
        </w:rPr>
      </w:pPr>
      <w:r>
        <w:rPr>
          <w:noProof/>
          <w:sz w:val="20"/>
        </w:rPr>
        <w:t>W przypadku wpływu na dochody różne „przeznaczone na określony cel” należy wskazać linie budżetowe po stronie wydatków, które ten wpływ obejmie.</w:t>
      </w:r>
    </w:p>
    <w:p w:rsidR="00731D8F" w:rsidRDefault="00214EE0">
      <w:pPr>
        <w:pStyle w:val="Text1"/>
        <w:pBdr>
          <w:top w:val="single" w:sz="4" w:space="1" w:color="auto"/>
          <w:left w:val="single" w:sz="4" w:space="4" w:color="auto"/>
          <w:bottom w:val="single" w:sz="4" w:space="1" w:color="auto"/>
          <w:right w:val="single" w:sz="4" w:space="4" w:color="auto"/>
        </w:pBdr>
        <w:rPr>
          <w:noProof/>
        </w:rPr>
      </w:pPr>
      <w:r>
        <w:rPr>
          <w:noProof/>
        </w:rPr>
        <w:t>18.02.08 (System Informacyjny Schengen), 18.02.07 (eu-LISA)</w:t>
      </w:r>
    </w:p>
    <w:p w:rsidR="00731D8F" w:rsidRDefault="00214EE0">
      <w:pPr>
        <w:pStyle w:val="Text1"/>
        <w:rPr>
          <w:noProof/>
          <w:sz w:val="20"/>
        </w:rPr>
      </w:pPr>
      <w:r>
        <w:rPr>
          <w:noProof/>
          <w:sz w:val="20"/>
        </w:rPr>
        <w:t>Należy określić metodę obliczania wpływu na dochody.</w:t>
      </w:r>
    </w:p>
    <w:p w:rsidR="00731D8F" w:rsidRDefault="00214EE0">
      <w:pPr>
        <w:pStyle w:val="Text1"/>
        <w:pBdr>
          <w:top w:val="single" w:sz="4" w:space="1" w:color="auto"/>
          <w:left w:val="single" w:sz="4" w:space="4" w:color="auto"/>
          <w:bottom w:val="single" w:sz="4" w:space="1" w:color="auto"/>
          <w:right w:val="single" w:sz="4" w:space="4" w:color="auto"/>
        </w:pBdr>
        <w:rPr>
          <w:noProof/>
        </w:rPr>
      </w:pPr>
      <w:r>
        <w:rPr>
          <w:noProof/>
        </w:rPr>
        <w:t>Budżet obejmuje wkład państw stowarzyszonych we wdrażaniu, stosowaniu i rozwijaniu dorobku Schengen.</w:t>
      </w:r>
    </w:p>
    <w:sectPr w:rsidR="00731D8F" w:rsidSect="00214EE0">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D8F" w:rsidRDefault="00214EE0">
      <w:pPr>
        <w:spacing w:before="0" w:after="0"/>
      </w:pPr>
      <w:r>
        <w:separator/>
      </w:r>
    </w:p>
  </w:endnote>
  <w:endnote w:type="continuationSeparator" w:id="0">
    <w:p w:rsidR="00731D8F" w:rsidRDefault="00214EE0">
      <w:pPr>
        <w:spacing w:before="0" w:after="0"/>
      </w:pPr>
      <w:r>
        <w:continuationSeparator/>
      </w:r>
    </w:p>
  </w:endnote>
  <w:endnote w:type="continuationNotice" w:id="1">
    <w:p w:rsidR="00731D8F" w:rsidRDefault="00731D8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EE0" w:rsidRPr="00214EE0" w:rsidRDefault="00214EE0" w:rsidP="00214E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EE0" w:rsidRPr="00214EE0" w:rsidRDefault="00214EE0" w:rsidP="00214EE0">
    <w:pPr>
      <w:pStyle w:val="Footer"/>
      <w:rPr>
        <w:rFonts w:ascii="Arial" w:hAnsi="Arial" w:cs="Arial"/>
        <w:b/>
        <w:sz w:val="48"/>
      </w:rPr>
    </w:pPr>
    <w:r w:rsidRPr="00214EE0">
      <w:rPr>
        <w:rFonts w:ascii="Arial" w:hAnsi="Arial" w:cs="Arial"/>
        <w:b/>
        <w:sz w:val="48"/>
      </w:rPr>
      <w:t>PL</w:t>
    </w:r>
    <w:r w:rsidRPr="00214EE0">
      <w:rPr>
        <w:rFonts w:ascii="Arial" w:hAnsi="Arial" w:cs="Arial"/>
        <w:b/>
        <w:sz w:val="48"/>
      </w:rPr>
      <w:tab/>
    </w:r>
    <w:r w:rsidRPr="00214EE0">
      <w:rPr>
        <w:rFonts w:ascii="Arial" w:hAnsi="Arial" w:cs="Arial"/>
        <w:b/>
        <w:sz w:val="48"/>
      </w:rPr>
      <w:tab/>
    </w:r>
    <w:fldSimple w:instr=" DOCVARIABLE &quot;LW_Confidence&quot; \* MERGEFORMAT ">
      <w:r>
        <w:t xml:space="preserve"> </w:t>
      </w:r>
    </w:fldSimple>
    <w:r w:rsidRPr="00214EE0">
      <w:tab/>
    </w:r>
    <w:proofErr w:type="spellStart"/>
    <w:r w:rsidRPr="00214EE0">
      <w:rPr>
        <w:rFonts w:ascii="Arial" w:hAnsi="Arial" w:cs="Arial"/>
        <w:b/>
        <w:sz w:val="48"/>
      </w:rPr>
      <w:t>PL</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EE0" w:rsidRPr="00214EE0" w:rsidRDefault="00214EE0" w:rsidP="00214EE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EE0" w:rsidRPr="00214EE0" w:rsidRDefault="00214EE0" w:rsidP="00214EE0">
    <w:pPr>
      <w:pStyle w:val="Footer"/>
      <w:rPr>
        <w:rFonts w:ascii="Arial" w:hAnsi="Arial" w:cs="Arial"/>
        <w:b/>
        <w:sz w:val="48"/>
      </w:rPr>
    </w:pPr>
    <w:r w:rsidRPr="00214EE0">
      <w:rPr>
        <w:rFonts w:ascii="Arial" w:hAnsi="Arial" w:cs="Arial"/>
        <w:b/>
        <w:sz w:val="48"/>
      </w:rPr>
      <w:t>PL</w:t>
    </w:r>
    <w:r w:rsidRPr="00214EE0">
      <w:rPr>
        <w:rFonts w:ascii="Arial" w:hAnsi="Arial" w:cs="Arial"/>
        <w:b/>
        <w:sz w:val="48"/>
      </w:rPr>
      <w:tab/>
    </w:r>
    <w:r>
      <w:fldChar w:fldCharType="begin"/>
    </w:r>
    <w:r>
      <w:instrText xml:space="preserve"> PAGE  \* MERGEFORMAT </w:instrText>
    </w:r>
    <w:r>
      <w:fldChar w:fldCharType="separate"/>
    </w:r>
    <w:r>
      <w:rPr>
        <w:noProof/>
      </w:rPr>
      <w:t>44</w:t>
    </w:r>
    <w:r>
      <w:fldChar w:fldCharType="end"/>
    </w:r>
    <w:r>
      <w:tab/>
    </w:r>
    <w:fldSimple w:instr=" DOCVARIABLE &quot;LW_Confidence&quot; \* MERGEFORMAT ">
      <w:r>
        <w:t xml:space="preserve"> </w:t>
      </w:r>
    </w:fldSimple>
    <w:r w:rsidRPr="00214EE0">
      <w:tab/>
    </w:r>
    <w:r w:rsidRPr="00214EE0">
      <w:rPr>
        <w:rFonts w:ascii="Arial" w:hAnsi="Arial" w:cs="Arial"/>
        <w:b/>
        <w:sz w:val="48"/>
      </w:rPr>
      <w:t>PL</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EE0" w:rsidRPr="00214EE0" w:rsidRDefault="00214EE0" w:rsidP="00214EE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EE0" w:rsidRPr="00214EE0" w:rsidRDefault="00214EE0" w:rsidP="00214EE0">
    <w:pPr>
      <w:pStyle w:val="FooterLandscape"/>
      <w:rPr>
        <w:rFonts w:ascii="Arial" w:hAnsi="Arial" w:cs="Arial"/>
        <w:b/>
        <w:sz w:val="48"/>
      </w:rPr>
    </w:pPr>
    <w:r w:rsidRPr="00214EE0">
      <w:rPr>
        <w:rFonts w:ascii="Arial" w:hAnsi="Arial" w:cs="Arial"/>
        <w:b/>
        <w:sz w:val="48"/>
      </w:rPr>
      <w:t>PL</w:t>
    </w:r>
    <w:r w:rsidRPr="00214EE0">
      <w:rPr>
        <w:rFonts w:ascii="Arial" w:hAnsi="Arial" w:cs="Arial"/>
        <w:b/>
        <w:sz w:val="48"/>
      </w:rPr>
      <w:tab/>
    </w:r>
    <w:r>
      <w:fldChar w:fldCharType="begin"/>
    </w:r>
    <w:r>
      <w:instrText xml:space="preserve"> PAGE  \* MERGEFORMAT </w:instrText>
    </w:r>
    <w:r>
      <w:fldChar w:fldCharType="separate"/>
    </w:r>
    <w:r>
      <w:rPr>
        <w:noProof/>
      </w:rPr>
      <w:t>49</w:t>
    </w:r>
    <w:r>
      <w:fldChar w:fldCharType="end"/>
    </w:r>
    <w:r>
      <w:tab/>
    </w:r>
    <w:fldSimple w:instr=" DOCVARIABLE &quot;LW_Confidence&quot; \* MERGEFORMAT ">
      <w:r>
        <w:t xml:space="preserve"> </w:t>
      </w:r>
    </w:fldSimple>
    <w:r w:rsidRPr="00214EE0">
      <w:tab/>
    </w:r>
    <w:r w:rsidRPr="00214EE0">
      <w:rPr>
        <w:rFonts w:ascii="Arial" w:hAnsi="Arial" w:cs="Arial"/>
        <w:b/>
        <w:sz w:val="48"/>
      </w:rPr>
      <w:t>PL</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EE0" w:rsidRPr="00214EE0" w:rsidRDefault="00214EE0" w:rsidP="00214EE0">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EE0" w:rsidRPr="00214EE0" w:rsidRDefault="00214EE0" w:rsidP="00214EE0">
    <w:pPr>
      <w:pStyle w:val="Footer"/>
      <w:rPr>
        <w:rFonts w:ascii="Arial" w:hAnsi="Arial" w:cs="Arial"/>
        <w:b/>
        <w:sz w:val="48"/>
      </w:rPr>
    </w:pPr>
    <w:r w:rsidRPr="00214EE0">
      <w:rPr>
        <w:rFonts w:ascii="Arial" w:hAnsi="Arial" w:cs="Arial"/>
        <w:b/>
        <w:sz w:val="48"/>
      </w:rPr>
      <w:t>PL</w:t>
    </w:r>
    <w:r w:rsidRPr="00214EE0">
      <w:rPr>
        <w:rFonts w:ascii="Arial" w:hAnsi="Arial" w:cs="Arial"/>
        <w:b/>
        <w:sz w:val="48"/>
      </w:rPr>
      <w:tab/>
    </w:r>
    <w:r>
      <w:fldChar w:fldCharType="begin"/>
    </w:r>
    <w:r>
      <w:instrText xml:space="preserve"> PAGE  \* MERGEFORMAT </w:instrText>
    </w:r>
    <w:r>
      <w:fldChar w:fldCharType="separate"/>
    </w:r>
    <w:r>
      <w:rPr>
        <w:noProof/>
      </w:rPr>
      <w:t>55</w:t>
    </w:r>
    <w:r>
      <w:fldChar w:fldCharType="end"/>
    </w:r>
    <w:r>
      <w:tab/>
    </w:r>
    <w:fldSimple w:instr=" DOCVARIABLE &quot;LW_Confidence&quot; \* MERGEFORMAT ">
      <w:r>
        <w:t xml:space="preserve"> </w:t>
      </w:r>
    </w:fldSimple>
    <w:r w:rsidRPr="00214EE0">
      <w:tab/>
    </w:r>
    <w:r w:rsidRPr="00214EE0">
      <w:rPr>
        <w:rFonts w:ascii="Arial" w:hAnsi="Arial" w:cs="Arial"/>
        <w:b/>
        <w:sz w:val="48"/>
      </w:rPr>
      <w:t>PL</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EE0" w:rsidRPr="00214EE0" w:rsidRDefault="00214EE0" w:rsidP="00214E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D8F" w:rsidRDefault="00214EE0">
      <w:pPr>
        <w:spacing w:before="0" w:after="0"/>
      </w:pPr>
      <w:r>
        <w:separator/>
      </w:r>
    </w:p>
  </w:footnote>
  <w:footnote w:type="continuationSeparator" w:id="0">
    <w:p w:rsidR="00731D8F" w:rsidRDefault="00214EE0">
      <w:pPr>
        <w:spacing w:before="0" w:after="0"/>
      </w:pPr>
      <w:r>
        <w:continuationSeparator/>
      </w:r>
    </w:p>
  </w:footnote>
  <w:footnote w:type="continuationNotice" w:id="1">
    <w:p w:rsidR="00731D8F" w:rsidRDefault="00731D8F">
      <w:pPr>
        <w:spacing w:before="0" w:after="0"/>
      </w:pPr>
    </w:p>
  </w:footnote>
  <w:footnote w:id="2">
    <w:p w:rsidR="00731D8F" w:rsidRDefault="00214EE0">
      <w:pPr>
        <w:pStyle w:val="FootnoteText"/>
      </w:pPr>
      <w:r>
        <w:rPr>
          <w:rStyle w:val="FootnoteReference"/>
        </w:rPr>
        <w:footnoteRef/>
      </w:r>
      <w:r>
        <w:tab/>
        <w:t xml:space="preserve">Sprawozdanie dla Parlamentu </w:t>
      </w:r>
      <w:r>
        <w:t xml:space="preserve">Europejskiego i Rady w sprawie oceny Systemu Informacyjnego </w:t>
      </w:r>
      <w:proofErr w:type="spellStart"/>
      <w:r>
        <w:t>Schengen</w:t>
      </w:r>
      <w:proofErr w:type="spellEnd"/>
      <w:r>
        <w:t xml:space="preserve"> drugiej generacji (SIS II) zgodnie z art. 24 ust. 5, art. 43 ust. 3 i art. 50 ust. 5 rozporządzenia (WE) nr 1987/2006 i art. 59 ust. 3 i art. 66 ust. 5 decyzji 2007/533/</w:t>
      </w:r>
      <w:proofErr w:type="spellStart"/>
      <w:r>
        <w:t>WSiSW</w:t>
      </w:r>
      <w:proofErr w:type="spellEnd"/>
      <w:r>
        <w:t xml:space="preserve"> oraz towarzy</w:t>
      </w:r>
      <w:r>
        <w:t>szący mu dokument roboczy służb Komisji (</w:t>
      </w:r>
      <w:proofErr w:type="spellStart"/>
      <w:r>
        <w:t>Dz.U</w:t>
      </w:r>
      <w:proofErr w:type="spellEnd"/>
      <w:r>
        <w:t>. …).</w:t>
      </w:r>
    </w:p>
  </w:footnote>
  <w:footnote w:id="3">
    <w:p w:rsidR="00731D8F" w:rsidRDefault="00214EE0">
      <w:pPr>
        <w:pStyle w:val="FootnoteText"/>
      </w:pPr>
      <w:r>
        <w:rPr>
          <w:rStyle w:val="FootnoteReference"/>
        </w:rPr>
        <w:footnoteRef/>
      </w:r>
      <w:r>
        <w:tab/>
        <w:t>Dyrektywa Parlamentu Europejskiego i Rady 2008/115/WE z dnia 16 grudnia 2008 r. w sprawie wspólnych norm i procedur stosowanych przez państwa członkowskie w odniesieniu do powrotów nielegalnie przebywają</w:t>
      </w:r>
      <w:r>
        <w:t>cych obywateli państw trzecich (</w:t>
      </w:r>
      <w:proofErr w:type="spellStart"/>
      <w:r>
        <w:t>Dz.U</w:t>
      </w:r>
      <w:proofErr w:type="spellEnd"/>
      <w:r>
        <w:t xml:space="preserve">. L 348 z 24.12.2008, </w:t>
      </w:r>
      <w:proofErr w:type="gramStart"/>
      <w:r>
        <w:t>s</w:t>
      </w:r>
      <w:proofErr w:type="gramEnd"/>
      <w:r>
        <w:t>. 98).</w:t>
      </w:r>
    </w:p>
  </w:footnote>
  <w:footnote w:id="4">
    <w:p w:rsidR="00731D8F" w:rsidRDefault="00214EE0">
      <w:pPr>
        <w:pStyle w:val="FootnoteText"/>
      </w:pPr>
      <w:r>
        <w:rPr>
          <w:rStyle w:val="FootnoteReference"/>
        </w:rPr>
        <w:footnoteRef/>
      </w:r>
      <w:r>
        <w:tab/>
        <w:t xml:space="preserve">COM(2016) 205 </w:t>
      </w:r>
      <w:proofErr w:type="spellStart"/>
      <w:r>
        <w:t>final</w:t>
      </w:r>
      <w:proofErr w:type="spellEnd"/>
      <w:r>
        <w:t xml:space="preserve"> z 6.4.2016.</w:t>
      </w:r>
    </w:p>
  </w:footnote>
  <w:footnote w:id="5">
    <w:p w:rsidR="00731D8F" w:rsidRDefault="00214EE0">
      <w:pPr>
        <w:pStyle w:val="FootnoteText"/>
      </w:pPr>
      <w:r>
        <w:rPr>
          <w:rStyle w:val="FootnoteReference"/>
        </w:rPr>
        <w:footnoteRef/>
      </w:r>
      <w:r>
        <w:tab/>
        <w:t>Decyzja Komisji 2016/C 257/03 z 17.6.2016.</w:t>
      </w:r>
    </w:p>
  </w:footnote>
  <w:footnote w:id="6">
    <w:p w:rsidR="00731D8F" w:rsidRDefault="00214EE0">
      <w:pPr>
        <w:pStyle w:val="FootnoteText"/>
      </w:pPr>
      <w:r>
        <w:rPr>
          <w:rStyle w:val="FootnoteReference"/>
        </w:rPr>
        <w:footnoteRef/>
      </w:r>
      <w:r>
        <w:tab/>
        <w:t>Rozporządzenie Parlamentu Europejskiego i Rady (UE) nr 1077/2011 z dnia 25 października 2011 r. ustanawiające</w:t>
      </w:r>
      <w:r>
        <w:t xml:space="preserve"> Europejską Agencję ds. Zarządzania Operacyjnego Wielkoskalowymi Systemami Informatycznymi w Przestrzeni Wolności, Bezpieczeństwa i Sprawiedliwości (</w:t>
      </w:r>
      <w:proofErr w:type="spellStart"/>
      <w:r>
        <w:t>Dz.U</w:t>
      </w:r>
      <w:proofErr w:type="spellEnd"/>
      <w:r>
        <w:t xml:space="preserve">. L 286 z 1.11.2011, </w:t>
      </w:r>
      <w:proofErr w:type="gramStart"/>
      <w:r>
        <w:t>s</w:t>
      </w:r>
      <w:proofErr w:type="gramEnd"/>
      <w:r>
        <w:t>. 1).</w:t>
      </w:r>
    </w:p>
  </w:footnote>
  <w:footnote w:id="7">
    <w:p w:rsidR="00731D8F" w:rsidRDefault="00214EE0">
      <w:pPr>
        <w:pStyle w:val="FootnoteText"/>
        <w:rPr>
          <w:lang w:val="pt-PT"/>
        </w:rPr>
      </w:pPr>
      <w:r>
        <w:rPr>
          <w:rStyle w:val="FootnoteReference"/>
        </w:rPr>
        <w:footnoteRef/>
      </w:r>
      <w:r>
        <w:rPr>
          <w:lang w:val="pt-PT"/>
        </w:rPr>
        <w:tab/>
      </w:r>
      <w:proofErr w:type="gramStart"/>
      <w:r>
        <w:rPr>
          <w:lang w:val="pt-PT"/>
        </w:rPr>
        <w:t>COM(2015</w:t>
      </w:r>
      <w:proofErr w:type="gramEnd"/>
      <w:r>
        <w:rPr>
          <w:lang w:val="pt-PT"/>
        </w:rPr>
        <w:t>) 240 final.</w:t>
      </w:r>
    </w:p>
  </w:footnote>
  <w:footnote w:id="8">
    <w:p w:rsidR="00731D8F" w:rsidRDefault="00214EE0">
      <w:pPr>
        <w:pStyle w:val="FootnoteText"/>
        <w:rPr>
          <w:lang w:val="pt-PT"/>
        </w:rPr>
      </w:pPr>
      <w:r>
        <w:rPr>
          <w:rStyle w:val="FootnoteReference"/>
        </w:rPr>
        <w:footnoteRef/>
      </w:r>
      <w:r>
        <w:rPr>
          <w:lang w:val="pt-PT"/>
        </w:rPr>
        <w:tab/>
      </w:r>
      <w:proofErr w:type="gramStart"/>
      <w:r>
        <w:rPr>
          <w:lang w:val="pt-PT"/>
        </w:rPr>
        <w:t>COM(2015</w:t>
      </w:r>
      <w:proofErr w:type="gramEnd"/>
      <w:r>
        <w:rPr>
          <w:lang w:val="pt-PT"/>
        </w:rPr>
        <w:t>) 453 final.</w:t>
      </w:r>
    </w:p>
  </w:footnote>
  <w:footnote w:id="9">
    <w:p w:rsidR="00731D8F" w:rsidRDefault="00214EE0">
      <w:pPr>
        <w:pStyle w:val="FootnoteText"/>
        <w:rPr>
          <w:lang w:val="pt-PT"/>
        </w:rPr>
      </w:pPr>
      <w:r>
        <w:rPr>
          <w:rStyle w:val="FootnoteReference"/>
        </w:rPr>
        <w:footnoteRef/>
      </w:r>
      <w:r>
        <w:rPr>
          <w:lang w:val="pt-PT"/>
        </w:rPr>
        <w:tab/>
      </w:r>
      <w:proofErr w:type="gramStart"/>
      <w:r>
        <w:rPr>
          <w:lang w:val="pt-PT"/>
        </w:rPr>
        <w:t>COM(2016</w:t>
      </w:r>
      <w:proofErr w:type="gramEnd"/>
      <w:r>
        <w:rPr>
          <w:lang w:val="pt-PT"/>
        </w:rPr>
        <w:t>) 205 final.</w:t>
      </w:r>
    </w:p>
  </w:footnote>
  <w:footnote w:id="10">
    <w:p w:rsidR="00731D8F" w:rsidRDefault="00214EE0">
      <w:pPr>
        <w:pStyle w:val="FootnoteText"/>
      </w:pPr>
      <w:r>
        <w:rPr>
          <w:rStyle w:val="FootnoteReference"/>
        </w:rPr>
        <w:footnoteRef/>
      </w:r>
      <w:r>
        <w:tab/>
      </w:r>
      <w:r>
        <w:t>Konkluzje Rady Europejskiej z dnia 25 i 26 czerwca 2015 r. (ST 22 2015 INIT).</w:t>
      </w:r>
    </w:p>
  </w:footnote>
  <w:footnote w:id="11">
    <w:p w:rsidR="00731D8F" w:rsidRDefault="00214EE0">
      <w:pPr>
        <w:pStyle w:val="FootnoteText"/>
        <w:jc w:val="left"/>
      </w:pPr>
      <w:r>
        <w:rPr>
          <w:rStyle w:val="FootnoteReference"/>
        </w:rPr>
        <w:footnoteRef/>
      </w:r>
      <w:r>
        <w:tab/>
        <w:t xml:space="preserve">Konkluzje Rady w sprawie dalszych perspektyw polityki </w:t>
      </w:r>
      <w:proofErr w:type="spellStart"/>
      <w:r>
        <w:t>powrotowej</w:t>
      </w:r>
      <w:proofErr w:type="spellEnd"/>
      <w:r>
        <w:t xml:space="preserve">, dostępne na stronie: </w:t>
      </w:r>
      <w:hyperlink r:id="rId1">
        <w:r>
          <w:rPr>
            <w:rStyle w:val="Hyperlink"/>
          </w:rPr>
          <w:t>http://www.consilium.europa.eu/press-releases-pdf/2015/10/40802203341_pl.pdf</w:t>
        </w:r>
      </w:hyperlink>
      <w:r>
        <w:t xml:space="preserve"> </w:t>
      </w:r>
    </w:p>
  </w:footnote>
  <w:footnote w:id="12">
    <w:p w:rsidR="00731D8F" w:rsidRDefault="00214EE0">
      <w:pPr>
        <w:pStyle w:val="FootnoteText"/>
      </w:pPr>
      <w:r>
        <w:rPr>
          <w:rStyle w:val="FootnoteReference"/>
        </w:rPr>
        <w:footnoteRef/>
      </w:r>
      <w:r>
        <w:tab/>
        <w:t xml:space="preserve">Dyrektywa Rady 2001/40/WE z dnia 28 maja 2001 r. w sprawie wzajemnego uznawania decyzji o wydalaniu obywateli państw trzecich, </w:t>
      </w:r>
      <w:proofErr w:type="spellStart"/>
      <w:r>
        <w:t>Dz.U</w:t>
      </w:r>
      <w:proofErr w:type="spellEnd"/>
      <w:r>
        <w:t xml:space="preserve">. L 149 z 2.6.2001, </w:t>
      </w:r>
      <w:proofErr w:type="gramStart"/>
      <w:r>
        <w:t>s</w:t>
      </w:r>
      <w:proofErr w:type="gramEnd"/>
      <w:r>
        <w:t>. 34; oraz decyzj</w:t>
      </w:r>
      <w:r>
        <w:t>a Rady 2004/191/WE z dnia 23 lutego 2004 r. określająca kryteria oraz uzgodnienia praktyczne dotyczące rekompensaty dysproporcji finansowych wynikających ze stosowania dyrektywy 2001/40/WE w sprawie wzajemnego uznawania decyzji o wydalaniu obywateli państw</w:t>
      </w:r>
      <w:r>
        <w:t xml:space="preserve"> trzecich, </w:t>
      </w:r>
      <w:proofErr w:type="spellStart"/>
      <w:r>
        <w:t>Dz.U</w:t>
      </w:r>
      <w:proofErr w:type="spellEnd"/>
      <w:r>
        <w:t xml:space="preserve">. L 60 z 27.2.2004, </w:t>
      </w:r>
      <w:proofErr w:type="gramStart"/>
      <w:r>
        <w:t>s</w:t>
      </w:r>
      <w:proofErr w:type="gramEnd"/>
      <w:r>
        <w:t>. 55.</w:t>
      </w:r>
    </w:p>
  </w:footnote>
  <w:footnote w:id="13">
    <w:p w:rsidR="00731D8F" w:rsidRDefault="00214EE0">
      <w:pPr>
        <w:pStyle w:val="FootnoteText"/>
      </w:pPr>
      <w:r>
        <w:rPr>
          <w:rStyle w:val="FootnoteReference"/>
        </w:rPr>
        <w:footnoteRef/>
      </w:r>
      <w:r>
        <w:tab/>
        <w:t>Rozporządzenie Parlamentu Europejskiego i Rady (UE) 2016/679 z dnia 27 kwietnia 2016 r. w sprawie ochrony osób fizycznych w związku z przetwarzaniem danych osobowych i w sprawie swobodnego przepływu takich danych</w:t>
      </w:r>
      <w:r>
        <w:t xml:space="preserve"> oraz uchylenia dyrektywy 95/46/WE (ogólne rozporządzenie o ochronie danych) (</w:t>
      </w:r>
      <w:proofErr w:type="spellStart"/>
      <w:r>
        <w:t>Dz.U</w:t>
      </w:r>
      <w:proofErr w:type="spellEnd"/>
      <w:r>
        <w:t xml:space="preserve">. L 119 z 4.5.2016, </w:t>
      </w:r>
      <w:proofErr w:type="gramStart"/>
      <w:r>
        <w:t>s</w:t>
      </w:r>
      <w:proofErr w:type="gramEnd"/>
      <w:r>
        <w:t>. 1).</w:t>
      </w:r>
    </w:p>
  </w:footnote>
  <w:footnote w:id="14">
    <w:p w:rsidR="00731D8F" w:rsidRDefault="00214EE0">
      <w:pPr>
        <w:pStyle w:val="FootnoteText"/>
      </w:pPr>
      <w:r>
        <w:rPr>
          <w:rStyle w:val="FootnoteReference"/>
        </w:rPr>
        <w:footnoteRef/>
      </w:r>
      <w:r>
        <w:tab/>
        <w:t xml:space="preserve">COM(2015) 670 </w:t>
      </w:r>
      <w:proofErr w:type="spellStart"/>
      <w:r>
        <w:t>final</w:t>
      </w:r>
      <w:proofErr w:type="spellEnd"/>
      <w:r>
        <w:t>.</w:t>
      </w:r>
    </w:p>
  </w:footnote>
  <w:footnote w:id="15">
    <w:p w:rsidR="00731D8F" w:rsidRDefault="00214EE0">
      <w:pPr>
        <w:pStyle w:val="FootnoteText"/>
      </w:pPr>
      <w:r>
        <w:rPr>
          <w:rStyle w:val="FootnoteReference"/>
        </w:rPr>
        <w:footnoteRef/>
      </w:r>
      <w:r>
        <w:tab/>
        <w:t>Rozporządzenie Parlamentu Europejskiego i Rady (UE) 2016/399 z dnia 9 marca 2016 r. w sprawie unijnego kodeksu zasad regul</w:t>
      </w:r>
      <w:r>
        <w:t xml:space="preserve">ujących przepływ osób przez granice (kodeks graniczny </w:t>
      </w:r>
      <w:proofErr w:type="spellStart"/>
      <w:r>
        <w:t>Schengen</w:t>
      </w:r>
      <w:proofErr w:type="spellEnd"/>
      <w:r>
        <w:t>) (</w:t>
      </w:r>
      <w:proofErr w:type="spellStart"/>
      <w:r>
        <w:t>Dz.U</w:t>
      </w:r>
      <w:proofErr w:type="spellEnd"/>
      <w:r>
        <w:t xml:space="preserve">. L 77 z 23.3.2016, </w:t>
      </w:r>
      <w:proofErr w:type="gramStart"/>
      <w:r>
        <w:t>s</w:t>
      </w:r>
      <w:proofErr w:type="gramEnd"/>
      <w:r>
        <w:t>. 1).</w:t>
      </w:r>
    </w:p>
  </w:footnote>
  <w:footnote w:id="16">
    <w:p w:rsidR="00731D8F" w:rsidRDefault="00214EE0">
      <w:pPr>
        <w:pStyle w:val="FootnoteText"/>
        <w:rPr>
          <w:lang w:val="pt-PT"/>
        </w:rPr>
      </w:pPr>
      <w:r>
        <w:rPr>
          <w:rStyle w:val="FootnoteReference"/>
        </w:rPr>
        <w:footnoteRef/>
      </w:r>
      <w:r>
        <w:rPr>
          <w:lang w:val="pt-PT"/>
        </w:rPr>
        <w:tab/>
      </w:r>
      <w:proofErr w:type="gramStart"/>
      <w:r>
        <w:rPr>
          <w:lang w:val="pt-PT"/>
        </w:rPr>
        <w:t>COM(2015</w:t>
      </w:r>
      <w:proofErr w:type="gramEnd"/>
      <w:r>
        <w:rPr>
          <w:lang w:val="pt-PT"/>
        </w:rPr>
        <w:t>) 240 final.</w:t>
      </w:r>
    </w:p>
  </w:footnote>
  <w:footnote w:id="17">
    <w:p w:rsidR="00731D8F" w:rsidRDefault="00214EE0">
      <w:pPr>
        <w:pStyle w:val="FootnoteText"/>
        <w:rPr>
          <w:lang w:val="pt-PT"/>
        </w:rPr>
      </w:pPr>
      <w:r>
        <w:rPr>
          <w:rStyle w:val="FootnoteReference"/>
        </w:rPr>
        <w:footnoteRef/>
      </w:r>
      <w:r>
        <w:rPr>
          <w:lang w:val="pt-PT"/>
        </w:rPr>
        <w:tab/>
      </w:r>
      <w:proofErr w:type="gramStart"/>
      <w:r>
        <w:rPr>
          <w:lang w:val="pt-PT"/>
        </w:rPr>
        <w:t>COM(2016</w:t>
      </w:r>
      <w:proofErr w:type="gramEnd"/>
      <w:r>
        <w:rPr>
          <w:lang w:val="pt-PT"/>
        </w:rPr>
        <w:t>) 272 final.</w:t>
      </w:r>
    </w:p>
  </w:footnote>
  <w:footnote w:id="18">
    <w:p w:rsidR="00731D8F" w:rsidRDefault="00214EE0">
      <w:pPr>
        <w:pStyle w:val="FootnoteText"/>
        <w:rPr>
          <w:lang w:val="pt-PT"/>
        </w:rPr>
      </w:pPr>
      <w:r>
        <w:rPr>
          <w:rStyle w:val="FootnoteReference"/>
        </w:rPr>
        <w:footnoteRef/>
      </w:r>
      <w:r>
        <w:rPr>
          <w:lang w:val="pt-PT"/>
        </w:rPr>
        <w:tab/>
      </w:r>
      <w:proofErr w:type="gramStart"/>
      <w:r>
        <w:rPr>
          <w:lang w:val="pt-PT"/>
        </w:rPr>
        <w:t>COM(2016</w:t>
      </w:r>
      <w:proofErr w:type="gramEnd"/>
      <w:r>
        <w:rPr>
          <w:lang w:val="pt-PT"/>
        </w:rPr>
        <w:t>) 194 final.</w:t>
      </w:r>
    </w:p>
  </w:footnote>
  <w:footnote w:id="19">
    <w:p w:rsidR="00731D8F" w:rsidRDefault="00214EE0">
      <w:pPr>
        <w:pStyle w:val="FootnoteText"/>
      </w:pPr>
      <w:r>
        <w:rPr>
          <w:rStyle w:val="FootnoteReference"/>
        </w:rPr>
        <w:footnoteRef/>
      </w:r>
      <w:r>
        <w:tab/>
        <w:t xml:space="preserve">COM(2016) 731 </w:t>
      </w:r>
      <w:proofErr w:type="spellStart"/>
      <w:r>
        <w:t>final</w:t>
      </w:r>
      <w:proofErr w:type="spellEnd"/>
      <w:r>
        <w:t>.</w:t>
      </w:r>
    </w:p>
    <w:p w:rsidR="00731D8F" w:rsidRDefault="00731D8F">
      <w:pPr>
        <w:pStyle w:val="FootnoteText"/>
      </w:pPr>
    </w:p>
  </w:footnote>
  <w:footnote w:id="20">
    <w:p w:rsidR="00731D8F" w:rsidRDefault="00214EE0">
      <w:pPr>
        <w:pStyle w:val="FootnoteText"/>
        <w:rPr>
          <w:szCs w:val="16"/>
        </w:rPr>
      </w:pPr>
      <w:r>
        <w:rPr>
          <w:rStyle w:val="FootnoteReference"/>
        </w:rPr>
        <w:footnoteRef/>
      </w:r>
      <w:r>
        <w:tab/>
        <w:t xml:space="preserve">Rozporządzenie (WE) nr 1987/2006 Parlamentu Europejskiego i Rady </w:t>
      </w:r>
      <w:r>
        <w:t xml:space="preserve">z dnia 20 grudnia 2006 r. w sprawie utworzenia, funkcjonowania i użytkowania Systemu Informacyjnego </w:t>
      </w:r>
      <w:proofErr w:type="spellStart"/>
      <w:r>
        <w:t>Schengen</w:t>
      </w:r>
      <w:proofErr w:type="spellEnd"/>
      <w:r>
        <w:t xml:space="preserve"> drugiej generacji (SIS II) (</w:t>
      </w:r>
      <w:proofErr w:type="spellStart"/>
      <w:r>
        <w:t>Dz.U</w:t>
      </w:r>
      <w:proofErr w:type="spellEnd"/>
      <w:r>
        <w:t xml:space="preserve">. L 381 z 28.12.2006, </w:t>
      </w:r>
      <w:proofErr w:type="gramStart"/>
      <w:r>
        <w:t>s</w:t>
      </w:r>
      <w:proofErr w:type="gramEnd"/>
      <w:r>
        <w:t>. 4).</w:t>
      </w:r>
    </w:p>
  </w:footnote>
  <w:footnote w:id="21">
    <w:p w:rsidR="00731D8F" w:rsidRDefault="00214EE0">
      <w:pPr>
        <w:pStyle w:val="FootnoteText"/>
        <w:rPr>
          <w:szCs w:val="16"/>
        </w:rPr>
      </w:pPr>
      <w:r>
        <w:rPr>
          <w:rStyle w:val="FootnoteReference"/>
        </w:rPr>
        <w:footnoteRef/>
      </w:r>
      <w:r>
        <w:tab/>
        <w:t>Decyzja Rady 2007/533/</w:t>
      </w:r>
      <w:proofErr w:type="spellStart"/>
      <w:r>
        <w:t>WSiSW</w:t>
      </w:r>
      <w:proofErr w:type="spellEnd"/>
      <w:r>
        <w:t xml:space="preserve"> z dnia 12 czerwca 2007 r. w sprawie utworzenia, funkcjon</w:t>
      </w:r>
      <w:r>
        <w:t xml:space="preserve">owania i użytkowania Systemu Informacyjnego </w:t>
      </w:r>
      <w:proofErr w:type="spellStart"/>
      <w:r>
        <w:t>Schengen</w:t>
      </w:r>
      <w:proofErr w:type="spellEnd"/>
      <w:r>
        <w:t xml:space="preserve"> drugiej generacji (SIS II) (</w:t>
      </w:r>
      <w:proofErr w:type="spellStart"/>
      <w:r>
        <w:t>Dz.U</w:t>
      </w:r>
      <w:proofErr w:type="spellEnd"/>
      <w:r>
        <w:t xml:space="preserve">. L 205 z 7.8.2007, </w:t>
      </w:r>
      <w:proofErr w:type="gramStart"/>
      <w:r>
        <w:t>s</w:t>
      </w:r>
      <w:proofErr w:type="gramEnd"/>
      <w:r>
        <w:t>. 63).</w:t>
      </w:r>
    </w:p>
  </w:footnote>
  <w:footnote w:id="22">
    <w:p w:rsidR="00731D8F" w:rsidRDefault="00214EE0">
      <w:pPr>
        <w:pStyle w:val="FootnoteText"/>
      </w:pPr>
      <w:r>
        <w:rPr>
          <w:rStyle w:val="FootnoteReference"/>
        </w:rPr>
        <w:footnoteRef/>
      </w:r>
      <w:r>
        <w:tab/>
        <w:t xml:space="preserve">COM(2014) 199 </w:t>
      </w:r>
      <w:proofErr w:type="spellStart"/>
      <w:r>
        <w:t>final</w:t>
      </w:r>
      <w:proofErr w:type="spellEnd"/>
      <w:r>
        <w:t>.</w:t>
      </w:r>
    </w:p>
  </w:footnote>
  <w:footnote w:id="23">
    <w:p w:rsidR="00731D8F" w:rsidRDefault="00214EE0">
      <w:pPr>
        <w:pStyle w:val="FootnoteText"/>
      </w:pPr>
      <w:r>
        <w:rPr>
          <w:rStyle w:val="FootnoteReference"/>
        </w:rPr>
        <w:footnoteRef/>
      </w:r>
      <w:r>
        <w:tab/>
        <w:t xml:space="preserve">Badanie wykonalności oraz skutków ustanowienia w ramach Systemu Informacyjnego </w:t>
      </w:r>
      <w:proofErr w:type="spellStart"/>
      <w:r>
        <w:t>Schengen</w:t>
      </w:r>
      <w:proofErr w:type="spellEnd"/>
      <w:r>
        <w:t xml:space="preserve"> </w:t>
      </w:r>
      <w:proofErr w:type="spellStart"/>
      <w:r>
        <w:t>ogólnounijnego</w:t>
      </w:r>
      <w:proofErr w:type="spellEnd"/>
      <w:r>
        <w:t xml:space="preserve"> systemu wymiany</w:t>
      </w:r>
      <w:r>
        <w:t xml:space="preserve"> danych dotyczących decyzji nakazujących powrót oraz monitorowania przestrzegania tych decyzji (</w:t>
      </w:r>
      <w:hyperlink r:id="rId2">
        <w:r>
          <w:rPr>
            <w:rStyle w:val="Hyperlink"/>
          </w:rPr>
          <w:t>https://bookshop.europa.eu/en/study-on-the-feasibility-and-implications-of-setting-up-within-the-framework-of-the-schengen-information-system-an-eu-wide-</w:t>
        </w:r>
        <w:r>
          <w:rPr>
            <w:rStyle w:val="Hyperlink"/>
          </w:rPr>
          <w:t>system-for-exchanging-data-on-and-monitoring-compliance-with-return-decisions-pbDR0116353/</w:t>
        </w:r>
      </w:hyperlink>
      <w:r>
        <w:t xml:space="preserve">). </w:t>
      </w:r>
    </w:p>
  </w:footnote>
  <w:footnote w:id="24">
    <w:p w:rsidR="00731D8F" w:rsidRDefault="00214EE0">
      <w:pPr>
        <w:pStyle w:val="FootnoteText"/>
      </w:pPr>
      <w:r>
        <w:rPr>
          <w:rStyle w:val="FootnoteReference"/>
        </w:rPr>
        <w:footnoteRef/>
      </w:r>
      <w:r>
        <w:tab/>
        <w:t>Rozporządzenie Parlamentu Europejskiego i Rady (UE) nr 515/2014 z dnia 16 kwietnia 2014 r. ustanawiające, w ramach Funduszu Bezpieczeństwa Wewnętrznego, instrum</w:t>
      </w:r>
      <w:r>
        <w:t>ent na rzecz wsparcia finansowego w zakresie granic zewnętrznych i wiz (</w:t>
      </w:r>
      <w:proofErr w:type="spellStart"/>
      <w:r>
        <w:t>Dz.U</w:t>
      </w:r>
      <w:proofErr w:type="spellEnd"/>
      <w:r>
        <w:t xml:space="preserve">. L 150 z 20.5.2014, </w:t>
      </w:r>
      <w:proofErr w:type="gramStart"/>
      <w:r>
        <w:t>s</w:t>
      </w:r>
      <w:proofErr w:type="gramEnd"/>
      <w:r>
        <w:t>. 143).</w:t>
      </w:r>
    </w:p>
  </w:footnote>
  <w:footnote w:id="25">
    <w:p w:rsidR="00731D8F" w:rsidRDefault="00214EE0">
      <w:pPr>
        <w:pStyle w:val="FootnoteText"/>
      </w:pPr>
      <w:r>
        <w:rPr>
          <w:rStyle w:val="FootnoteReference"/>
        </w:rPr>
        <w:footnoteRef/>
      </w:r>
      <w:r>
        <w:tab/>
        <w:t xml:space="preserve">Rozporządzenie (UE) 2018/…w sprawie utworzenia, użytkowania i funkcjonowania Systemu Informacyjnego </w:t>
      </w:r>
      <w:proofErr w:type="spellStart"/>
      <w:r>
        <w:t>Schengen</w:t>
      </w:r>
      <w:proofErr w:type="spellEnd"/>
      <w:r>
        <w:t xml:space="preserve"> (SIS) w dziedzinie odpraw granicznych (</w:t>
      </w:r>
      <w:proofErr w:type="spellStart"/>
      <w:r>
        <w:t>Dz.U</w:t>
      </w:r>
      <w:proofErr w:type="spellEnd"/>
      <w:r>
        <w:t>. …).</w:t>
      </w:r>
    </w:p>
  </w:footnote>
  <w:footnote w:id="26">
    <w:p w:rsidR="00731D8F" w:rsidRDefault="00214EE0">
      <w:pPr>
        <w:pStyle w:val="FootnoteText"/>
      </w:pPr>
      <w:r>
        <w:rPr>
          <w:rStyle w:val="FootnoteReference"/>
        </w:rPr>
        <w:footnoteRef/>
      </w:r>
      <w:r>
        <w:tab/>
        <w:t xml:space="preserve">Rozporządzenie (UE) 2018/…w sprawie utworzenia, użytkowania i funkcjonowania Systemu Informacyjnego </w:t>
      </w:r>
      <w:proofErr w:type="spellStart"/>
      <w:r>
        <w:t>Schengen</w:t>
      </w:r>
      <w:proofErr w:type="spellEnd"/>
      <w:r>
        <w:t xml:space="preserve"> (SIS) w dziedzinie współpracy policyjnej i współpracy wymiarów sprawiedliwości w sprawach karnych (</w:t>
      </w:r>
      <w:proofErr w:type="spellStart"/>
      <w:r>
        <w:t>Dz.U</w:t>
      </w:r>
      <w:proofErr w:type="spellEnd"/>
      <w:r>
        <w:t>. …).</w:t>
      </w:r>
    </w:p>
  </w:footnote>
  <w:footnote w:id="27">
    <w:p w:rsidR="00731D8F" w:rsidRDefault="00214EE0">
      <w:pPr>
        <w:pStyle w:val="FootnoteText"/>
      </w:pPr>
      <w:r>
        <w:rPr>
          <w:rStyle w:val="FootnoteReference"/>
        </w:rPr>
        <w:footnoteRef/>
      </w:r>
      <w:r>
        <w:tab/>
        <w:t>Decyzja ramowa Rady 2002</w:t>
      </w:r>
      <w:r>
        <w:t>/475/</w:t>
      </w:r>
      <w:proofErr w:type="spellStart"/>
      <w:r>
        <w:t>WSiSW</w:t>
      </w:r>
      <w:proofErr w:type="spellEnd"/>
      <w:r>
        <w:t xml:space="preserve"> z dnia 13 czerwca 2002 r. w sprawie zwalczania terroryzmu (</w:t>
      </w:r>
      <w:proofErr w:type="spellStart"/>
      <w:r>
        <w:t>Dz.U</w:t>
      </w:r>
      <w:proofErr w:type="spellEnd"/>
      <w:r>
        <w:t xml:space="preserve">. L 164 z 22.6.2002, </w:t>
      </w:r>
      <w:proofErr w:type="gramStart"/>
      <w:r>
        <w:t>s</w:t>
      </w:r>
      <w:proofErr w:type="gramEnd"/>
      <w:r>
        <w:t>. 3).</w:t>
      </w:r>
    </w:p>
  </w:footnote>
  <w:footnote w:id="28">
    <w:p w:rsidR="00731D8F" w:rsidRDefault="00214EE0">
      <w:pPr>
        <w:pStyle w:val="FootnoteText"/>
        <w:rPr>
          <w:szCs w:val="24"/>
        </w:rPr>
      </w:pPr>
      <w:r>
        <w:rPr>
          <w:rStyle w:val="FootnoteReference"/>
        </w:rPr>
        <w:footnoteRef/>
      </w:r>
      <w:r>
        <w:tab/>
        <w:t xml:space="preserve">Rozporządzenie Parlamentu Europejskiego i Rady (UE) 2016/399 z dnia 9 marca 2016 r. w sprawie unijnego kodeksu zasad regulujących przepływ osób przez </w:t>
      </w:r>
      <w:r>
        <w:t xml:space="preserve">granice (kodeks graniczny </w:t>
      </w:r>
      <w:proofErr w:type="spellStart"/>
      <w:r>
        <w:t>Schengen</w:t>
      </w:r>
      <w:proofErr w:type="spellEnd"/>
      <w:r>
        <w:t>) (</w:t>
      </w:r>
      <w:proofErr w:type="spellStart"/>
      <w:r>
        <w:t>Dz.U</w:t>
      </w:r>
      <w:proofErr w:type="spellEnd"/>
      <w:r>
        <w:t xml:space="preserve">. L 77 z 23.3.2016, </w:t>
      </w:r>
      <w:proofErr w:type="gramStart"/>
      <w:r>
        <w:t>s</w:t>
      </w:r>
      <w:proofErr w:type="gramEnd"/>
      <w:r>
        <w:t>. 1).</w:t>
      </w:r>
    </w:p>
  </w:footnote>
  <w:footnote w:id="29">
    <w:p w:rsidR="00731D8F" w:rsidRDefault="00214EE0">
      <w:pPr>
        <w:pStyle w:val="FootnoteText"/>
      </w:pPr>
      <w:r>
        <w:rPr>
          <w:rStyle w:val="FootnoteReference"/>
        </w:rPr>
        <w:footnoteRef/>
      </w:r>
      <w:r>
        <w:tab/>
        <w:t xml:space="preserve">Decyzja Rady 2000/365/WE z dnia 29 maja 2000 r. dotycząca wniosku Zjednoczonego Królestwa Wielkiej Brytanii i Irlandii Północnej o zastosowaniu wobec niego niektórych przepisów dorobku </w:t>
      </w:r>
      <w:proofErr w:type="spellStart"/>
      <w:r>
        <w:t>S</w:t>
      </w:r>
      <w:r>
        <w:t>chengen</w:t>
      </w:r>
      <w:proofErr w:type="spellEnd"/>
      <w:r>
        <w:t xml:space="preserve"> (</w:t>
      </w:r>
      <w:proofErr w:type="spellStart"/>
      <w:r>
        <w:t>Dz.U</w:t>
      </w:r>
      <w:proofErr w:type="spellEnd"/>
      <w:r>
        <w:t xml:space="preserve">. L 131 z 1.6.2000, </w:t>
      </w:r>
      <w:proofErr w:type="gramStart"/>
      <w:r>
        <w:t>s</w:t>
      </w:r>
      <w:proofErr w:type="gramEnd"/>
      <w:r>
        <w:t>. 43).</w:t>
      </w:r>
    </w:p>
  </w:footnote>
  <w:footnote w:id="30">
    <w:p w:rsidR="00731D8F" w:rsidRDefault="00214EE0">
      <w:pPr>
        <w:pStyle w:val="FootnoteText"/>
      </w:pPr>
      <w:r>
        <w:rPr>
          <w:rStyle w:val="FootnoteReference"/>
        </w:rPr>
        <w:footnoteRef/>
      </w:r>
      <w:r>
        <w:tab/>
        <w:t xml:space="preserve">Decyzja Rady 2002/192/WE z dnia 28 lutego 2002 r. dotycząca wniosku Irlandii o zastosowanie wobec niej niektórych przepisów dorobku </w:t>
      </w:r>
      <w:proofErr w:type="spellStart"/>
      <w:r>
        <w:t>Schengen</w:t>
      </w:r>
      <w:proofErr w:type="spellEnd"/>
      <w:r>
        <w:t xml:space="preserve"> (</w:t>
      </w:r>
      <w:proofErr w:type="spellStart"/>
      <w:r>
        <w:t>Dz.U</w:t>
      </w:r>
      <w:proofErr w:type="spellEnd"/>
      <w:r>
        <w:t xml:space="preserve">. L 64 z 7.3.2002, </w:t>
      </w:r>
      <w:proofErr w:type="gramStart"/>
      <w:r>
        <w:t>s</w:t>
      </w:r>
      <w:proofErr w:type="gramEnd"/>
      <w:r>
        <w:t>. 20).</w:t>
      </w:r>
    </w:p>
  </w:footnote>
  <w:footnote w:id="31">
    <w:p w:rsidR="00731D8F" w:rsidRDefault="00214EE0">
      <w:pPr>
        <w:pStyle w:val="FootnoteText"/>
      </w:pPr>
      <w:r>
        <w:rPr>
          <w:rStyle w:val="FootnoteReference"/>
        </w:rPr>
        <w:footnoteRef/>
      </w:r>
      <w:r>
        <w:tab/>
      </w:r>
      <w:proofErr w:type="spellStart"/>
      <w:r>
        <w:t>Dz.U</w:t>
      </w:r>
      <w:proofErr w:type="spellEnd"/>
      <w:r>
        <w:t xml:space="preserve">. L 176 z 10.7.1999, </w:t>
      </w:r>
      <w:proofErr w:type="gramStart"/>
      <w:r>
        <w:t>s</w:t>
      </w:r>
      <w:proofErr w:type="gramEnd"/>
      <w:r>
        <w:t>. 36.</w:t>
      </w:r>
    </w:p>
  </w:footnote>
  <w:footnote w:id="32">
    <w:p w:rsidR="00731D8F" w:rsidRDefault="00214EE0">
      <w:pPr>
        <w:pStyle w:val="FootnoteText"/>
        <w:rPr>
          <w:b/>
          <w:bCs/>
          <w:iCs/>
        </w:rPr>
      </w:pPr>
      <w:r>
        <w:rPr>
          <w:rStyle w:val="FootnoteReference"/>
        </w:rPr>
        <w:footnoteRef/>
      </w:r>
      <w:r>
        <w:tab/>
      </w:r>
      <w:r>
        <w:rPr>
          <w:rStyle w:val="DeltaViewInsertion"/>
          <w:b w:val="0"/>
          <w:i w:val="0"/>
        </w:rPr>
        <w:t xml:space="preserve">Decyzja Rady 1999/437/WE z dnia 17 maja 1999 r. w sprawie niektórych warunków stosowania Układu zawartego przez Radę Unii Europejskiej i Republikę Islandii oraz Królestwo Norwegii dotyczącego włączenia tych dwóch państw we wprowadzanie w życie, stosowanie </w:t>
      </w:r>
      <w:r>
        <w:rPr>
          <w:rStyle w:val="DeltaViewInsertion"/>
          <w:b w:val="0"/>
          <w:i w:val="0"/>
        </w:rPr>
        <w:t xml:space="preserve">i rozwój dorobku </w:t>
      </w:r>
      <w:proofErr w:type="spellStart"/>
      <w:r>
        <w:rPr>
          <w:rStyle w:val="DeltaViewInsertion"/>
          <w:b w:val="0"/>
          <w:i w:val="0"/>
        </w:rPr>
        <w:t>Schengen</w:t>
      </w:r>
      <w:proofErr w:type="spellEnd"/>
      <w:r>
        <w:rPr>
          <w:rStyle w:val="DeltaViewInsertion"/>
          <w:b w:val="0"/>
          <w:i w:val="0"/>
        </w:rPr>
        <w:t xml:space="preserve"> (</w:t>
      </w:r>
      <w:proofErr w:type="spellStart"/>
      <w:r>
        <w:t>Dz.U</w:t>
      </w:r>
      <w:proofErr w:type="spellEnd"/>
      <w:r>
        <w:t xml:space="preserve">. L 176 z 10.7.1999, </w:t>
      </w:r>
      <w:proofErr w:type="gramStart"/>
      <w:r>
        <w:t>s</w:t>
      </w:r>
      <w:proofErr w:type="gramEnd"/>
      <w:r>
        <w:t xml:space="preserve">. </w:t>
      </w:r>
      <w:r>
        <w:rPr>
          <w:rStyle w:val="DeltaViewInsertion"/>
          <w:b w:val="0"/>
          <w:i w:val="0"/>
        </w:rPr>
        <w:t>31).</w:t>
      </w:r>
    </w:p>
  </w:footnote>
  <w:footnote w:id="33">
    <w:p w:rsidR="00731D8F" w:rsidRDefault="00214EE0">
      <w:pPr>
        <w:pStyle w:val="FootnoteText"/>
      </w:pPr>
      <w:r>
        <w:rPr>
          <w:rStyle w:val="FootnoteReference"/>
        </w:rPr>
        <w:footnoteRef/>
      </w:r>
      <w:r>
        <w:tab/>
      </w:r>
      <w:proofErr w:type="spellStart"/>
      <w:r>
        <w:t>Dz.U</w:t>
      </w:r>
      <w:proofErr w:type="spellEnd"/>
      <w:r>
        <w:t xml:space="preserve">. L 53 z 27.2.2008, </w:t>
      </w:r>
      <w:proofErr w:type="gramStart"/>
      <w:r>
        <w:t>s</w:t>
      </w:r>
      <w:proofErr w:type="gramEnd"/>
      <w:r>
        <w:t>. 52.</w:t>
      </w:r>
    </w:p>
  </w:footnote>
  <w:footnote w:id="34">
    <w:p w:rsidR="00731D8F" w:rsidRDefault="00214EE0">
      <w:pPr>
        <w:pStyle w:val="FootnoteText"/>
      </w:pPr>
      <w:r>
        <w:rPr>
          <w:rStyle w:val="FootnoteReference"/>
        </w:rPr>
        <w:footnoteRef/>
      </w:r>
      <w:r>
        <w:tab/>
        <w:t>Decyzja Rady 2008/146/WE z dnia 28 stycznia 2008 r. w sprawie zawarcia w imieniu Wspólnoty Europejskiej Umowy między Unią Europejską, Wspólnotą Europejską i Konf</w:t>
      </w:r>
      <w:r>
        <w:t xml:space="preserve">ederacją Szwajcarską dotyczącej włączenia tego państwa we wprowadzanie w życie, stosowanie i rozwój dorobku </w:t>
      </w:r>
      <w:proofErr w:type="spellStart"/>
      <w:r>
        <w:t>Schengen</w:t>
      </w:r>
      <w:proofErr w:type="spellEnd"/>
      <w:r>
        <w:t xml:space="preserve"> (</w:t>
      </w:r>
      <w:proofErr w:type="spellStart"/>
      <w:r>
        <w:t>Dz.U</w:t>
      </w:r>
      <w:proofErr w:type="spellEnd"/>
      <w:r>
        <w:t xml:space="preserve">. L 53 z 27.2.2008, </w:t>
      </w:r>
      <w:proofErr w:type="gramStart"/>
      <w:r>
        <w:t>s</w:t>
      </w:r>
      <w:proofErr w:type="gramEnd"/>
      <w:r>
        <w:t>. 1).</w:t>
      </w:r>
    </w:p>
  </w:footnote>
  <w:footnote w:id="35">
    <w:p w:rsidR="00731D8F" w:rsidRDefault="00214EE0">
      <w:pPr>
        <w:pStyle w:val="FootnoteText"/>
      </w:pPr>
      <w:r>
        <w:rPr>
          <w:rStyle w:val="FootnoteReference"/>
        </w:rPr>
        <w:footnoteRef/>
      </w:r>
      <w:r>
        <w:tab/>
      </w:r>
      <w:proofErr w:type="spellStart"/>
      <w:r>
        <w:t>Dz.U</w:t>
      </w:r>
      <w:proofErr w:type="spellEnd"/>
      <w:r>
        <w:t xml:space="preserve">. L 160 z 18.6.2011, </w:t>
      </w:r>
      <w:proofErr w:type="gramStart"/>
      <w:r>
        <w:t>s</w:t>
      </w:r>
      <w:proofErr w:type="gramEnd"/>
      <w:r>
        <w:t>. 21.</w:t>
      </w:r>
    </w:p>
  </w:footnote>
  <w:footnote w:id="36">
    <w:p w:rsidR="00731D8F" w:rsidRDefault="00214EE0">
      <w:pPr>
        <w:pStyle w:val="FootnoteText"/>
      </w:pPr>
      <w:r>
        <w:rPr>
          <w:rStyle w:val="FootnoteReference"/>
        </w:rPr>
        <w:footnoteRef/>
      </w:r>
      <w:r>
        <w:tab/>
        <w:t>Decyzja Rady 2011/350/UE z dnia 7 marca 2011 r. w sprawie zawarcia w im</w:t>
      </w:r>
      <w:r>
        <w:t>ieniu Unii Europejskiej Protokołu między Unią Europejską, Wspólnotą Europejską, Konfederacją Szwajcarską i Księstwem Liechtensteinu w sprawie przystąpienia Księstwa Liechtensteinu do Umowy między Unią Europejską, Wspólnotą Europejską i Konfederacją Szwajca</w:t>
      </w:r>
      <w:r>
        <w:t xml:space="preserve">rską dotyczącej włączenia Konfederacji Szwajcarskiej we wprowadzanie w życie, stosowanie i rozwój dorobku </w:t>
      </w:r>
      <w:proofErr w:type="spellStart"/>
      <w:r>
        <w:t>Schengen</w:t>
      </w:r>
      <w:proofErr w:type="spellEnd"/>
      <w:r>
        <w:t>, odnoszącego się do zniesienia kontroli na granicach wewnętrznych i do przemieszczania się osób (</w:t>
      </w:r>
      <w:proofErr w:type="spellStart"/>
      <w:r>
        <w:t>Dz.U</w:t>
      </w:r>
      <w:proofErr w:type="spellEnd"/>
      <w:r>
        <w:t xml:space="preserve">. L 160 z 18.6.2011, </w:t>
      </w:r>
      <w:proofErr w:type="gramStart"/>
      <w:r>
        <w:t>s</w:t>
      </w:r>
      <w:proofErr w:type="gramEnd"/>
      <w:r>
        <w:t>. 19).</w:t>
      </w:r>
    </w:p>
  </w:footnote>
  <w:footnote w:id="37">
    <w:p w:rsidR="00731D8F" w:rsidRDefault="00214EE0">
      <w:pPr>
        <w:pStyle w:val="FootnoteText"/>
      </w:pPr>
      <w:r>
        <w:rPr>
          <w:rStyle w:val="FootnoteReference"/>
        </w:rPr>
        <w:footnoteRef/>
      </w:r>
      <w:r>
        <w:tab/>
        <w:t>Rozporząd</w:t>
      </w:r>
      <w:r>
        <w:t>zenie Parlamentu Europejskiego i Rady (UE) nr 1077/2011 z dnia 25 października 2011 r. ustanawiające Europejską Agencję ds. Zarządzania Operacyjnego Wielkoskalowymi Systemami Informatycznymi w Przestrzeni Wolności, Bezpieczeństwa i Sprawiedliwości (</w:t>
      </w:r>
      <w:proofErr w:type="spellStart"/>
      <w:r>
        <w:t>Dz.U</w:t>
      </w:r>
      <w:proofErr w:type="spellEnd"/>
      <w:r>
        <w:t>. L</w:t>
      </w:r>
      <w:r>
        <w:t xml:space="preserve"> 286 z 1.11.2011, </w:t>
      </w:r>
      <w:proofErr w:type="gramStart"/>
      <w:r>
        <w:t>s</w:t>
      </w:r>
      <w:proofErr w:type="gramEnd"/>
      <w:r>
        <w:t>. 1).</w:t>
      </w:r>
    </w:p>
  </w:footnote>
  <w:footnote w:id="38">
    <w:p w:rsidR="00731D8F" w:rsidRDefault="00214EE0">
      <w:pPr>
        <w:pStyle w:val="FootnoteText"/>
        <w:rPr>
          <w:szCs w:val="24"/>
        </w:rPr>
      </w:pPr>
      <w:r>
        <w:rPr>
          <w:rStyle w:val="FootnoteReference"/>
        </w:rPr>
        <w:footnoteRef/>
      </w:r>
      <w:r>
        <w:tab/>
        <w:t xml:space="preserve">ABM: </w:t>
      </w:r>
      <w:proofErr w:type="spellStart"/>
      <w:r>
        <w:rPr>
          <w:i/>
        </w:rPr>
        <w:t>activity-based</w:t>
      </w:r>
      <w:proofErr w:type="spellEnd"/>
      <w:r>
        <w:rPr>
          <w:i/>
        </w:rPr>
        <w:t xml:space="preserve"> management</w:t>
      </w:r>
      <w:r>
        <w:t xml:space="preserve">: zarządzanie kosztami działań; ABB: </w:t>
      </w:r>
      <w:proofErr w:type="spellStart"/>
      <w:r>
        <w:rPr>
          <w:i/>
        </w:rPr>
        <w:t>activity-based</w:t>
      </w:r>
      <w:proofErr w:type="spellEnd"/>
      <w:r>
        <w:rPr>
          <w:i/>
        </w:rPr>
        <w:t xml:space="preserve"> </w:t>
      </w:r>
      <w:proofErr w:type="spellStart"/>
      <w:r>
        <w:rPr>
          <w:i/>
        </w:rPr>
        <w:t>budgeting</w:t>
      </w:r>
      <w:proofErr w:type="spellEnd"/>
      <w:r>
        <w:t>: budżet zadaniowy.</w:t>
      </w:r>
    </w:p>
  </w:footnote>
  <w:footnote w:id="39">
    <w:p w:rsidR="00731D8F" w:rsidRDefault="00214EE0">
      <w:pPr>
        <w:pStyle w:val="FootnoteText"/>
        <w:rPr>
          <w:szCs w:val="24"/>
        </w:rPr>
      </w:pPr>
      <w:r>
        <w:rPr>
          <w:rStyle w:val="FootnoteReference"/>
        </w:rPr>
        <w:footnoteRef/>
      </w:r>
      <w:r>
        <w:tab/>
        <w:t>O którym mowa w art. 54 ust. 2 lit. a) lub b) rozporządzenia finansowego.</w:t>
      </w:r>
    </w:p>
  </w:footnote>
  <w:footnote w:id="40">
    <w:p w:rsidR="00731D8F" w:rsidRDefault="00214EE0">
      <w:pPr>
        <w:pStyle w:val="FootnoteText"/>
        <w:rPr>
          <w:lang w:val="pt-PT"/>
        </w:rPr>
      </w:pPr>
      <w:r>
        <w:rPr>
          <w:rStyle w:val="FootnoteReference"/>
        </w:rPr>
        <w:footnoteRef/>
      </w:r>
      <w:r>
        <w:rPr>
          <w:lang w:val="pt-PT"/>
        </w:rPr>
        <w:tab/>
      </w:r>
      <w:proofErr w:type="gramStart"/>
      <w:r>
        <w:rPr>
          <w:lang w:val="pt-PT"/>
        </w:rPr>
        <w:t>COM(2015</w:t>
      </w:r>
      <w:proofErr w:type="gramEnd"/>
      <w:r>
        <w:rPr>
          <w:lang w:val="pt-PT"/>
        </w:rPr>
        <w:t>) 453 final.</w:t>
      </w:r>
    </w:p>
  </w:footnote>
  <w:footnote w:id="41">
    <w:p w:rsidR="00731D8F" w:rsidRDefault="00214EE0">
      <w:pPr>
        <w:pStyle w:val="FootnoteText"/>
        <w:rPr>
          <w:lang w:val="pt-PT"/>
        </w:rPr>
      </w:pPr>
      <w:r>
        <w:rPr>
          <w:rStyle w:val="FootnoteReference"/>
        </w:rPr>
        <w:footnoteRef/>
      </w:r>
      <w:r>
        <w:rPr>
          <w:lang w:val="pt-PT"/>
        </w:rPr>
        <w:tab/>
      </w:r>
      <w:proofErr w:type="gramStart"/>
      <w:r>
        <w:rPr>
          <w:lang w:val="pt-PT"/>
        </w:rPr>
        <w:t>COM(2016</w:t>
      </w:r>
      <w:proofErr w:type="gramEnd"/>
      <w:r>
        <w:rPr>
          <w:lang w:val="pt-PT"/>
        </w:rPr>
        <w:t>) 205 fin</w:t>
      </w:r>
      <w:r>
        <w:rPr>
          <w:lang w:val="pt-PT"/>
        </w:rPr>
        <w:t>al.</w:t>
      </w:r>
    </w:p>
  </w:footnote>
  <w:footnote w:id="42">
    <w:p w:rsidR="00731D8F" w:rsidRDefault="00214EE0">
      <w:pPr>
        <w:pStyle w:val="FootnoteText"/>
        <w:rPr>
          <w:lang w:val="pt-PT"/>
        </w:rPr>
      </w:pPr>
      <w:r>
        <w:rPr>
          <w:rStyle w:val="FootnoteReference"/>
        </w:rPr>
        <w:footnoteRef/>
      </w:r>
      <w:r>
        <w:rPr>
          <w:lang w:val="pt-PT"/>
        </w:rPr>
        <w:tab/>
      </w:r>
      <w:proofErr w:type="gramStart"/>
      <w:r>
        <w:rPr>
          <w:lang w:val="pt-PT"/>
        </w:rPr>
        <w:t>COM(2015</w:t>
      </w:r>
      <w:proofErr w:type="gramEnd"/>
      <w:r>
        <w:rPr>
          <w:lang w:val="pt-PT"/>
        </w:rPr>
        <w:t>) 240 final.</w:t>
      </w:r>
    </w:p>
  </w:footnote>
  <w:footnote w:id="43">
    <w:p w:rsidR="00731D8F" w:rsidRDefault="00214EE0">
      <w:pPr>
        <w:pStyle w:val="FootnoteText"/>
      </w:pPr>
      <w:r>
        <w:rPr>
          <w:rStyle w:val="FootnoteReference"/>
        </w:rPr>
        <w:footnoteRef/>
      </w:r>
      <w:r>
        <w:tab/>
        <w:t xml:space="preserve">COM(2014) 199 </w:t>
      </w:r>
      <w:proofErr w:type="spellStart"/>
      <w:r>
        <w:t>final</w:t>
      </w:r>
      <w:proofErr w:type="spellEnd"/>
      <w:r>
        <w:t>.</w:t>
      </w:r>
    </w:p>
  </w:footnote>
  <w:footnote w:id="44">
    <w:p w:rsidR="00731D8F" w:rsidRDefault="00214EE0">
      <w:pPr>
        <w:pStyle w:val="FootnoteText"/>
      </w:pPr>
      <w:r>
        <w:rPr>
          <w:rStyle w:val="FootnoteReference"/>
        </w:rPr>
        <w:footnoteRef/>
      </w:r>
      <w:r>
        <w:tab/>
        <w:t>Ares(2016)2231546 – 12/05/2016.</w:t>
      </w:r>
    </w:p>
  </w:footnote>
  <w:footnote w:id="45">
    <w:p w:rsidR="00731D8F" w:rsidRDefault="00214EE0">
      <w:pPr>
        <w:pStyle w:val="FootnoteText"/>
      </w:pPr>
      <w:r>
        <w:rPr>
          <w:rStyle w:val="FootnoteReference"/>
        </w:rPr>
        <w:footnoteRef/>
      </w:r>
      <w:r>
        <w:tab/>
        <w:t>Dyrektywa Parlamentu Europejskiego i Rady 2008/115/WE z dnia 16 grudnia 2008 r. w sprawie wspólnych norm i procedur stosowanych przez państwa członkowskie w odniesieniu d</w:t>
      </w:r>
      <w:r>
        <w:t>o powrotów nielegalnie przebywających obywateli państw trzecich (</w:t>
      </w:r>
      <w:proofErr w:type="spellStart"/>
      <w:r>
        <w:t>Dz.U</w:t>
      </w:r>
      <w:proofErr w:type="spellEnd"/>
      <w:r>
        <w:t xml:space="preserve">. L 348 z 24.12.2008, </w:t>
      </w:r>
      <w:proofErr w:type="gramStart"/>
      <w:r>
        <w:t>s</w:t>
      </w:r>
      <w:proofErr w:type="gramEnd"/>
      <w:r>
        <w:t>. 98).</w:t>
      </w:r>
    </w:p>
  </w:footnote>
  <w:footnote w:id="46">
    <w:p w:rsidR="00731D8F" w:rsidRDefault="00214EE0">
      <w:pPr>
        <w:pStyle w:val="FootnoteText"/>
      </w:pPr>
      <w:r>
        <w:rPr>
          <w:rStyle w:val="FootnoteReference"/>
        </w:rPr>
        <w:footnoteRef/>
      </w:r>
      <w:r>
        <w:tab/>
        <w:t xml:space="preserve">Badanie wykonalności oraz skutków ustanowienia w ramach Systemu Informacyjnego </w:t>
      </w:r>
      <w:proofErr w:type="spellStart"/>
      <w:r>
        <w:t>Schengen</w:t>
      </w:r>
      <w:proofErr w:type="spellEnd"/>
      <w:r>
        <w:t xml:space="preserve"> </w:t>
      </w:r>
      <w:proofErr w:type="spellStart"/>
      <w:r>
        <w:t>ogólnounijnego</w:t>
      </w:r>
      <w:proofErr w:type="spellEnd"/>
      <w:r>
        <w:t xml:space="preserve"> systemu wymiany danych dotyczących decyzji nakazując</w:t>
      </w:r>
      <w:r>
        <w:t>ych powrót oraz monitorowania wykonywania tych decyzji (</w:t>
      </w:r>
      <w:hyperlink r:id="rId3">
        <w:r>
          <w:rPr>
            <w:rStyle w:val="Hyperlink"/>
          </w:rPr>
          <w:t>https://bookshop.europa.eu/en/study-on-the-feasibility-and-implications-of-setting-up-within-the-framework-of-the-schengen-information-system-an-eu-wide-system-for-exchanging-data-on-and-monito</w:t>
        </w:r>
        <w:r>
          <w:rPr>
            <w:rStyle w:val="Hyperlink"/>
          </w:rPr>
          <w:t>ring-compliance-with-return-decisions-pbDR0116353/</w:t>
        </w:r>
      </w:hyperlink>
      <w:r>
        <w:t>).</w:t>
      </w:r>
    </w:p>
  </w:footnote>
  <w:footnote w:id="47">
    <w:p w:rsidR="00731D8F" w:rsidRDefault="00214EE0">
      <w:pPr>
        <w:pStyle w:val="FootnoteText"/>
      </w:pPr>
      <w:r>
        <w:rPr>
          <w:rStyle w:val="FootnoteReference"/>
        </w:rPr>
        <w:footnoteRef/>
      </w:r>
      <w:r>
        <w:tab/>
        <w:t xml:space="preserve">COM(2015) 670 </w:t>
      </w:r>
      <w:proofErr w:type="spellStart"/>
      <w:r>
        <w:t>final</w:t>
      </w:r>
      <w:proofErr w:type="spellEnd"/>
      <w:r>
        <w:t>.</w:t>
      </w:r>
    </w:p>
  </w:footnote>
  <w:footnote w:id="48">
    <w:p w:rsidR="00731D8F" w:rsidRDefault="00214EE0">
      <w:pPr>
        <w:pStyle w:val="FootnoteText"/>
        <w:rPr>
          <w:szCs w:val="24"/>
        </w:rPr>
      </w:pPr>
      <w:r>
        <w:rPr>
          <w:rStyle w:val="FootnoteReference"/>
        </w:rPr>
        <w:footnoteRef/>
      </w:r>
      <w:r>
        <w:tab/>
        <w:t xml:space="preserve">Wyjaśnienia dotyczące trybów zarządzania oraz odniesienia do rozporządzenia finansowego znajdują się na następującej stronie: </w:t>
      </w:r>
      <w:hyperlink r:id="rId4">
        <w:r>
          <w:rPr>
            <w:rStyle w:val="Hyperlink"/>
            <w:sz w:val="18"/>
          </w:rPr>
          <w:t>http://www.cc.cec/budg/man/budgmanag/budgmanag_en.html</w:t>
        </w:r>
      </w:hyperlink>
    </w:p>
  </w:footnote>
  <w:footnote w:id="49">
    <w:p w:rsidR="00731D8F" w:rsidRDefault="00214EE0">
      <w:pPr>
        <w:pStyle w:val="FootnoteText"/>
      </w:pPr>
      <w:r>
        <w:rPr>
          <w:rStyle w:val="FootnoteReference"/>
        </w:rPr>
        <w:footnoteRef/>
      </w:r>
      <w:r>
        <w:tab/>
      </w:r>
      <w:proofErr w:type="spellStart"/>
      <w:r>
        <w:t>Dz.U</w:t>
      </w:r>
      <w:proofErr w:type="spellEnd"/>
      <w:r>
        <w:t xml:space="preserve">. </w:t>
      </w:r>
      <w:proofErr w:type="gramStart"/>
      <w:r>
        <w:t>L ...</w:t>
      </w:r>
      <w:proofErr w:type="gramEnd"/>
    </w:p>
  </w:footnote>
  <w:footnote w:id="50">
    <w:p w:rsidR="00731D8F" w:rsidRDefault="00214EE0">
      <w:pPr>
        <w:pStyle w:val="FootnoteText"/>
      </w:pPr>
      <w:r>
        <w:rPr>
          <w:rStyle w:val="FootnoteReference"/>
        </w:rPr>
        <w:footnoteRef/>
      </w:r>
      <w:r>
        <w:tab/>
      </w:r>
      <w:proofErr w:type="spellStart"/>
      <w:r>
        <w:t>Dz.U</w:t>
      </w:r>
      <w:proofErr w:type="spellEnd"/>
      <w:r>
        <w:t xml:space="preserve">. </w:t>
      </w:r>
      <w:proofErr w:type="gramStart"/>
      <w:r>
        <w:t>L ...</w:t>
      </w:r>
      <w:proofErr w:type="gramEnd"/>
    </w:p>
  </w:footnote>
  <w:footnote w:id="51">
    <w:p w:rsidR="00731D8F" w:rsidRDefault="00214EE0">
      <w:pPr>
        <w:pStyle w:val="FootnoteText"/>
        <w:rPr>
          <w:szCs w:val="24"/>
        </w:rPr>
      </w:pPr>
      <w:r>
        <w:rPr>
          <w:rStyle w:val="FootnoteReference"/>
        </w:rPr>
        <w:footnoteRef/>
      </w:r>
      <w:r>
        <w:tab/>
        <w:t>Środki zróżnicowane / środki niezróżnicowane.</w:t>
      </w:r>
    </w:p>
  </w:footnote>
  <w:footnote w:id="52">
    <w:p w:rsidR="00731D8F" w:rsidRDefault="00214EE0">
      <w:pPr>
        <w:pStyle w:val="FootnoteText"/>
        <w:rPr>
          <w:szCs w:val="24"/>
        </w:rPr>
      </w:pPr>
      <w:r>
        <w:rPr>
          <w:rStyle w:val="FootnoteReference"/>
        </w:rPr>
        <w:footnoteRef/>
      </w:r>
      <w:r>
        <w:tab/>
        <w:t xml:space="preserve">EFTA: Europejskie Stowarzyszenie Wolnego Handlu. </w:t>
      </w:r>
    </w:p>
  </w:footnote>
  <w:footnote w:id="53">
    <w:p w:rsidR="00731D8F" w:rsidRDefault="00214EE0">
      <w:pPr>
        <w:pStyle w:val="FootnoteText"/>
        <w:rPr>
          <w:szCs w:val="24"/>
        </w:rPr>
      </w:pPr>
      <w:r>
        <w:rPr>
          <w:rStyle w:val="FootnoteReference"/>
        </w:rPr>
        <w:footnoteRef/>
      </w:r>
      <w:r>
        <w:tab/>
        <w:t xml:space="preserve">Kraje kandydujące oraz w stosownych przypadkach </w:t>
      </w:r>
      <w:r>
        <w:t>potencjalne kraje kandydujące Bałkanów Zachodnich.</w:t>
      </w:r>
    </w:p>
  </w:footnote>
  <w:footnote w:id="54">
    <w:p w:rsidR="00731D8F" w:rsidRDefault="00214EE0">
      <w:pPr>
        <w:pStyle w:val="FootnoteText"/>
        <w:rPr>
          <w:szCs w:val="24"/>
        </w:rPr>
      </w:pPr>
      <w:r>
        <w:rPr>
          <w:rStyle w:val="FootnoteReference"/>
        </w:rPr>
        <w:footnoteRef/>
      </w:r>
      <w:r>
        <w:tab/>
        <w:t>Rok N jest rokiem, w którym rozpoczyna się wprowadzanie w życie wniosku/inicjatywy.</w:t>
      </w:r>
    </w:p>
  </w:footnote>
  <w:footnote w:id="55">
    <w:p w:rsidR="00731D8F" w:rsidRDefault="00214EE0">
      <w:pPr>
        <w:pStyle w:val="FootnoteText"/>
        <w:rPr>
          <w:szCs w:val="24"/>
        </w:rPr>
      </w:pPr>
      <w:r>
        <w:rPr>
          <w:rStyle w:val="FootnoteReference"/>
        </w:rPr>
        <w:footnoteRef/>
      </w:r>
      <w:r>
        <w:tab/>
        <w:t>Produkty odnoszą się do produktów i usług, które zostaną zapewnione (np. liczba sfinansowanych wymian studentów, licz</w:t>
      </w:r>
      <w:r>
        <w:t>ba kilometrów zbudowanych dróg itp.).</w:t>
      </w:r>
    </w:p>
  </w:footnote>
  <w:footnote w:id="56">
    <w:p w:rsidR="00731D8F" w:rsidRDefault="00214EE0">
      <w:pPr>
        <w:pStyle w:val="FootnoteText"/>
        <w:rPr>
          <w:szCs w:val="24"/>
        </w:rPr>
      </w:pPr>
      <w:r>
        <w:rPr>
          <w:rStyle w:val="FootnoteReference"/>
        </w:rPr>
        <w:footnoteRef/>
      </w:r>
      <w:r>
        <w:tab/>
        <w:t xml:space="preserve">Zgodnie z opisem w pkt 1.4.2. „Cel(-e) szczegółowy(-e)…”. </w:t>
      </w:r>
    </w:p>
  </w:footnote>
  <w:footnote w:id="57">
    <w:p w:rsidR="00731D8F" w:rsidRDefault="00214EE0">
      <w:pPr>
        <w:pStyle w:val="FootnoteText"/>
        <w:rPr>
          <w:szCs w:val="24"/>
        </w:rPr>
      </w:pPr>
      <w:r>
        <w:rPr>
          <w:rStyle w:val="FootnoteReference"/>
        </w:rPr>
        <w:footnoteRef/>
      </w:r>
      <w:r>
        <w:tab/>
        <w:t xml:space="preserve">CA = personel kontraktowy; LA = personel miejscowy; SNE = oddelegowany ekspert krajowy; INT = personel tymczasowy; JED = młodszy oddelegowany ekspert. </w:t>
      </w:r>
    </w:p>
  </w:footnote>
  <w:footnote w:id="58">
    <w:p w:rsidR="00731D8F" w:rsidRDefault="00214EE0">
      <w:pPr>
        <w:pStyle w:val="FootnoteText"/>
        <w:rPr>
          <w:szCs w:val="24"/>
        </w:rPr>
      </w:pPr>
      <w:r>
        <w:rPr>
          <w:rStyle w:val="FootnoteReference"/>
        </w:rPr>
        <w:footnoteRef/>
      </w:r>
      <w:r>
        <w:tab/>
        <w:t>W</w:t>
      </w:r>
      <w:r>
        <w:t xml:space="preserve"> ramach </w:t>
      </w:r>
      <w:proofErr w:type="spellStart"/>
      <w:r>
        <w:t>podpułapu</w:t>
      </w:r>
      <w:proofErr w:type="spellEnd"/>
      <w:r>
        <w:t xml:space="preserve"> na personel zewnętrzny ze środków operacyjnych (dawne linie „BA”).</w:t>
      </w:r>
    </w:p>
  </w:footnote>
  <w:footnote w:id="59">
    <w:p w:rsidR="00731D8F" w:rsidRDefault="00214EE0">
      <w:pPr>
        <w:pStyle w:val="FootnoteText"/>
        <w:rPr>
          <w:szCs w:val="24"/>
        </w:rPr>
      </w:pPr>
      <w:r>
        <w:rPr>
          <w:rStyle w:val="FootnoteReference"/>
        </w:rPr>
        <w:footnoteRef/>
      </w:r>
      <w:r>
        <w:tab/>
        <w:t xml:space="preserve">W przypadku tradycyjnych zasobów własnych (opłaty celne, opłaty wyrównawcze od cukru) należy wskazać kwoty netto, tzn. kwoty brutto po odliczeniu 25 % na poczet kosztów </w:t>
      </w:r>
      <w:r>
        <w:t>poboru.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EE0" w:rsidRPr="00214EE0" w:rsidRDefault="00214EE0" w:rsidP="00214E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EE0" w:rsidRPr="00214EE0" w:rsidRDefault="00214EE0" w:rsidP="00214E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EE0" w:rsidRPr="00214EE0" w:rsidRDefault="00214EE0" w:rsidP="00214EE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EE0" w:rsidRPr="00214EE0" w:rsidRDefault="00214EE0" w:rsidP="00214EE0">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EE0" w:rsidRPr="00214EE0" w:rsidRDefault="00214EE0" w:rsidP="00214EE0">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EE0" w:rsidRPr="00214EE0" w:rsidRDefault="00214EE0" w:rsidP="00214EE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EE0" w:rsidRPr="00214EE0" w:rsidRDefault="00214EE0" w:rsidP="00214E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A92D4D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A426BF0"/>
    <w:lvl w:ilvl="0">
      <w:start w:val="1"/>
      <w:numFmt w:val="decimal"/>
      <w:pStyle w:val="ListNumber3"/>
      <w:lvlText w:val="%1."/>
      <w:lvlJc w:val="left"/>
      <w:pPr>
        <w:tabs>
          <w:tab w:val="num" w:pos="926"/>
        </w:tabs>
        <w:ind w:left="926" w:hanging="360"/>
      </w:pPr>
    </w:lvl>
  </w:abstractNum>
  <w:abstractNum w:abstractNumId="2">
    <w:nsid w:val="FFFFFF7F"/>
    <w:multiLevelType w:val="singleLevel"/>
    <w:tmpl w:val="3932AC04"/>
    <w:lvl w:ilvl="0">
      <w:start w:val="1"/>
      <w:numFmt w:val="decimal"/>
      <w:pStyle w:val="ListNumber2"/>
      <w:lvlText w:val="%1."/>
      <w:lvlJc w:val="left"/>
      <w:pPr>
        <w:tabs>
          <w:tab w:val="num" w:pos="643"/>
        </w:tabs>
        <w:ind w:left="643" w:hanging="360"/>
      </w:pPr>
    </w:lvl>
  </w:abstractNum>
  <w:abstractNum w:abstractNumId="3">
    <w:nsid w:val="FFFFFF81"/>
    <w:multiLevelType w:val="singleLevel"/>
    <w:tmpl w:val="2730E97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0A40C7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2"/>
  </w:num>
  <w:num w:numId="5">
    <w:abstractNumId w:val="19"/>
  </w:num>
  <w:num w:numId="6">
    <w:abstractNumId w:val="23"/>
  </w:num>
  <w:num w:numId="7">
    <w:abstractNumId w:val="4"/>
  </w:num>
  <w:num w:numId="8">
    <w:abstractNumId w:val="3"/>
  </w:num>
  <w:num w:numId="9">
    <w:abstractNumId w:val="2"/>
  </w:num>
  <w:num w:numId="10">
    <w:abstractNumId w:val="1"/>
  </w:num>
  <w:num w:numId="11">
    <w:abstractNumId w:val="0"/>
  </w:num>
  <w:num w:numId="12">
    <w:abstractNumId w:val="18"/>
    <w:lvlOverride w:ilvl="0">
      <w:startOverride w:val="1"/>
    </w:lvlOverride>
  </w:num>
  <w:num w:numId="13">
    <w:abstractNumId w:val="16"/>
    <w:lvlOverride w:ilvl="0">
      <w:startOverride w:val="1"/>
    </w:lvlOverride>
  </w:num>
  <w:num w:numId="14">
    <w:abstractNumId w:val="18"/>
  </w:num>
  <w:num w:numId="15">
    <w:abstractNumId w:val="10"/>
  </w:num>
  <w:num w:numId="16">
    <w:abstractNumId w:val="21"/>
  </w:num>
  <w:num w:numId="17">
    <w:abstractNumId w:val="9"/>
  </w:num>
  <w:num w:numId="18">
    <w:abstractNumId w:val="11"/>
  </w:num>
  <w:num w:numId="19">
    <w:abstractNumId w:val="7"/>
  </w:num>
  <w:num w:numId="20">
    <w:abstractNumId w:val="20"/>
  </w:num>
  <w:num w:numId="21">
    <w:abstractNumId w:val="6"/>
  </w:num>
  <w:num w:numId="22">
    <w:abstractNumId w:val="12"/>
  </w:num>
  <w:num w:numId="23">
    <w:abstractNumId w:val="16"/>
  </w:num>
  <w:num w:numId="24">
    <w:abstractNumId w:val="17"/>
  </w:num>
  <w:num w:numId="25">
    <w:abstractNumId w:val="8"/>
  </w:num>
  <w:num w:numId="26">
    <w:abstractNumId w:val="15"/>
  </w:num>
  <w:num w:numId="27">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hideGrammaticalErrors/>
  <w:proofState w:spelling="clean" w:grammar="clean"/>
  <w:attachedTemplate r:id="rId1"/>
  <w:defaultTabStop w:val="720"/>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3-20 16:22:1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7"/>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6"/>
    <w:docVar w:name="DQCStatus" w:val="Yellow"/>
    <w:docVar w:name="DQCVersion" w:val="3"/>
    <w:docVar w:name="DQCWithWarnings" w:val="0"/>
    <w:docVar w:name="LW_CONFIDENCE" w:val=" "/>
    <w:docVar w:name="LW_CONST_RESTREINT_UE" w:val="RESTREINT UE/EU RESTRICTED"/>
    <w:docVar w:name="LW_CORRIGENDUM" w:val="&lt;UNUSED&gt;"/>
    <w:docVar w:name="LW_COVERPAGE_GUID" w:val="1B36C8DD77A9428E9EF41A9F484D5FC8"/>
    <w:docVar w:name="LW_CROSSREFERENCE" w:val="&lt;UNUSED&gt;"/>
    <w:docVar w:name="LW_DocType" w:val="COM"/>
    <w:docVar w:name="LW_EMISSION" w:val="21.12.2016"/>
    <w:docVar w:name="LW_EMISSION_ISODATE" w:val="2016-12-21"/>
    <w:docVar w:name="LW_EMISSION_LOCATION" w:val="BRX"/>
    <w:docVar w:name="LW_EMISSION_PREFIX" w:val="Bruksela, dnia "/>
    <w:docVar w:name="LW_EMISSION_SUFFIX" w:val=" r."/>
    <w:docVar w:name="LW_ID_DOCMODEL" w:val="SJ-023"/>
    <w:docVar w:name="LW_ID_DOCSIGNATURE" w:val="SJ-023"/>
    <w:docVar w:name="LW_ID_DOCSTRUCTURE" w:val="COM/PL/ORG"/>
    <w:docVar w:name="LW_ID_DOCTYPE" w:val="SJ-023"/>
    <w:docVar w:name="LW_ID_STATUT" w:val="SJ-023"/>
    <w:docVar w:name="LW_INTERETEEE.CP" w:val="&lt;UNUSED&gt;"/>
    <w:docVar w:name="LW_LANGUE" w:val="PL"/>
    <w:docVar w:name="LW_MARKING" w:val="&lt;UNUSED&gt;"/>
    <w:docVar w:name="LW_NOM.INST" w:val="KOMISJA EUROPEJSKA"/>
    <w:docVar w:name="LW_NOM.INST_JOINTDOC" w:val="&lt;EMPTY&gt;"/>
    <w:docVar w:name="LW_PART_NBR" w:val="1"/>
    <w:docVar w:name="LW_PART_NBR_TOTAL" w:val="1"/>
    <w:docVar w:name="LW_REF.II.NEW.CP" w:val="COD"/>
    <w:docVar w:name="LW_REF.II.NEW.CP_NUMBER" w:val="0407"/>
    <w:docVar w:name="LW_REF.II.NEW.CP_YEAR" w:val="2016"/>
    <w:docVar w:name="LW_REF.INST.NEW" w:val="COM"/>
    <w:docVar w:name="LW_REF.INST.NEW_ADOPTED" w:val="final"/>
    <w:docVar w:name="LW_REF.INST.NEW_TEXT" w:val="(2016) 881"/>
    <w:docVar w:name="LW_REF.INTERNE" w:val="&lt;UNUSED&gt;"/>
    <w:docVar w:name="LW_SOUS.TITRE.OBJ.CP" w:val="&lt;UNUSED&gt;"/>
    <w:docVar w:name="LW_STATUT.CP" w:val="Wniosek"/>
    <w:docVar w:name="LW_SUPERTITRE" w:val="&lt;UNUSED&gt;"/>
    <w:docVar w:name="LW_TITRE.OBJ.CP" w:val="w sprawie u\u380?ytkowania Systemu Informacyjnego Schengen do celów powrotu nielegalnie przebywaj\u261?cych obywateli pa\u324?stw trzecich "/>
    <w:docVar w:name="LW_TYPE.DOC.CP" w:val="ROZPORZ\u260?DZENIE PARLAMENTU EUROPEJSKIEGO I RADY"/>
  </w:docVars>
  <w:rsids>
    <w:rsidRoot w:val="00731D8F"/>
    <w:rsid w:val="00214EE0"/>
    <w:rsid w:val="00731D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pl-PL" w:bidi="pl-P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ltaViewInsertion">
    <w:name w:val="DeltaView Insertion"/>
    <w:uiPriority w:val="99"/>
    <w:rPr>
      <w:b/>
      <w:i/>
      <w:color w:val="000000"/>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pl-PL"/>
    </w:rPr>
  </w:style>
  <w:style w:type="paragraph" w:styleId="CommentSubject">
    <w:name w:val="annotation subject"/>
    <w:basedOn w:val="CommentText"/>
    <w:next w:val="CommentText"/>
    <w:link w:val="CommentSubjectChar"/>
    <w:rPr>
      <w:rFonts w:eastAsia="Times New Roman"/>
      <w:b/>
      <w:bCs/>
      <w:szCs w:val="22"/>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pl-PL" w:eastAsia="pl-PL"/>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pl-PL"/>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BodyText">
    <w:name w:val="Body Text"/>
    <w:basedOn w:val="Normal"/>
    <w:link w:val="BodyTextChar"/>
    <w:uiPriority w:val="1"/>
    <w:qFormat/>
    <w:pPr>
      <w:widowControl w:val="0"/>
      <w:spacing w:before="53" w:after="0"/>
      <w:ind w:left="1666" w:hanging="795"/>
      <w:jc w:val="left"/>
    </w:pPr>
    <w:rPr>
      <w:rFonts w:eastAsia="Times New Roman" w:cstheme="minorBidi"/>
      <w:sz w:val="23"/>
      <w:szCs w:val="23"/>
    </w:rPr>
  </w:style>
  <w:style w:type="character" w:customStyle="1" w:styleId="BodyTextChar">
    <w:name w:val="Body Text Char"/>
    <w:basedOn w:val="DefaultParagraphFont"/>
    <w:link w:val="BodyText"/>
    <w:uiPriority w:val="1"/>
    <w:rPr>
      <w:rFonts w:ascii="Times New Roman" w:eastAsia="Times New Roman" w:hAnsi="Times New Roman"/>
      <w:sz w:val="23"/>
      <w:szCs w:val="23"/>
    </w:rPr>
  </w:style>
  <w:style w:type="paragraph" w:styleId="ListParagraph">
    <w:name w:val="List Paragraph"/>
    <w:basedOn w:val="Normal"/>
    <w:uiPriority w:val="1"/>
    <w:qFormat/>
    <w:pPr>
      <w:widowControl w:val="0"/>
      <w:spacing w:before="0" w:after="0"/>
      <w:jc w:val="left"/>
    </w:pPr>
    <w:rPr>
      <w:rFonts w:asciiTheme="minorHAnsi" w:hAnsiTheme="minorHAnsi" w:cstheme="minorBidi"/>
      <w:sz w:val="22"/>
    </w:rPr>
  </w:style>
  <w:style w:type="paragraph" w:styleId="NormalWeb">
    <w:name w:val="Normal (Web)"/>
    <w:basedOn w:val="Normal"/>
    <w:uiPriority w:val="99"/>
    <w:semiHidden/>
    <w:unhideWhenUsed/>
    <w:rPr>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Header">
    <w:name w:val="header"/>
    <w:basedOn w:val="Normal"/>
    <w:link w:val="HeaderChar"/>
    <w:uiPriority w:val="99"/>
    <w:unhideWhenUsed/>
    <w:rsid w:val="00214EE0"/>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214EE0"/>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214EE0"/>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pl-PL" w:bidi="pl-P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ltaViewInsertion">
    <w:name w:val="DeltaView Insertion"/>
    <w:uiPriority w:val="99"/>
    <w:rPr>
      <w:b/>
      <w:i/>
      <w:color w:val="000000"/>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pl-PL"/>
    </w:rPr>
  </w:style>
  <w:style w:type="paragraph" w:styleId="CommentSubject">
    <w:name w:val="annotation subject"/>
    <w:basedOn w:val="CommentText"/>
    <w:next w:val="CommentText"/>
    <w:link w:val="CommentSubjectChar"/>
    <w:rPr>
      <w:rFonts w:eastAsia="Times New Roman"/>
      <w:b/>
      <w:bCs/>
      <w:szCs w:val="22"/>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pl-PL" w:eastAsia="pl-PL"/>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pl-PL"/>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BodyText">
    <w:name w:val="Body Text"/>
    <w:basedOn w:val="Normal"/>
    <w:link w:val="BodyTextChar"/>
    <w:uiPriority w:val="1"/>
    <w:qFormat/>
    <w:pPr>
      <w:widowControl w:val="0"/>
      <w:spacing w:before="53" w:after="0"/>
      <w:ind w:left="1666" w:hanging="795"/>
      <w:jc w:val="left"/>
    </w:pPr>
    <w:rPr>
      <w:rFonts w:eastAsia="Times New Roman" w:cstheme="minorBidi"/>
      <w:sz w:val="23"/>
      <w:szCs w:val="23"/>
    </w:rPr>
  </w:style>
  <w:style w:type="character" w:customStyle="1" w:styleId="BodyTextChar">
    <w:name w:val="Body Text Char"/>
    <w:basedOn w:val="DefaultParagraphFont"/>
    <w:link w:val="BodyText"/>
    <w:uiPriority w:val="1"/>
    <w:rPr>
      <w:rFonts w:ascii="Times New Roman" w:eastAsia="Times New Roman" w:hAnsi="Times New Roman"/>
      <w:sz w:val="23"/>
      <w:szCs w:val="23"/>
    </w:rPr>
  </w:style>
  <w:style w:type="paragraph" w:styleId="ListParagraph">
    <w:name w:val="List Paragraph"/>
    <w:basedOn w:val="Normal"/>
    <w:uiPriority w:val="1"/>
    <w:qFormat/>
    <w:pPr>
      <w:widowControl w:val="0"/>
      <w:spacing w:before="0" w:after="0"/>
      <w:jc w:val="left"/>
    </w:pPr>
    <w:rPr>
      <w:rFonts w:asciiTheme="minorHAnsi" w:hAnsiTheme="minorHAnsi" w:cstheme="minorBidi"/>
      <w:sz w:val="22"/>
    </w:rPr>
  </w:style>
  <w:style w:type="paragraph" w:styleId="NormalWeb">
    <w:name w:val="Normal (Web)"/>
    <w:basedOn w:val="Normal"/>
    <w:uiPriority w:val="99"/>
    <w:semiHidden/>
    <w:unhideWhenUsed/>
    <w:rPr>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Header">
    <w:name w:val="header"/>
    <w:basedOn w:val="Normal"/>
    <w:link w:val="HeaderChar"/>
    <w:uiPriority w:val="99"/>
    <w:unhideWhenUsed/>
    <w:rsid w:val="00214EE0"/>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214EE0"/>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214EE0"/>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52020">
      <w:bodyDiv w:val="1"/>
      <w:marLeft w:val="0"/>
      <w:marRight w:val="0"/>
      <w:marTop w:val="0"/>
      <w:marBottom w:val="0"/>
      <w:divBdr>
        <w:top w:val="none" w:sz="0" w:space="0" w:color="auto"/>
        <w:left w:val="none" w:sz="0" w:space="0" w:color="auto"/>
        <w:bottom w:val="none" w:sz="0" w:space="0" w:color="auto"/>
        <w:right w:val="none" w:sz="0" w:space="0" w:color="auto"/>
      </w:divBdr>
    </w:div>
    <w:div w:id="497887431">
      <w:bodyDiv w:val="1"/>
      <w:marLeft w:val="0"/>
      <w:marRight w:val="0"/>
      <w:marTop w:val="0"/>
      <w:marBottom w:val="0"/>
      <w:divBdr>
        <w:top w:val="none" w:sz="0" w:space="0" w:color="auto"/>
        <w:left w:val="none" w:sz="0" w:space="0" w:color="auto"/>
        <w:bottom w:val="none" w:sz="0" w:space="0" w:color="auto"/>
        <w:right w:val="none" w:sz="0" w:space="0" w:color="auto"/>
      </w:divBdr>
    </w:div>
    <w:div w:id="837497402">
      <w:bodyDiv w:val="1"/>
      <w:marLeft w:val="0"/>
      <w:marRight w:val="0"/>
      <w:marTop w:val="0"/>
      <w:marBottom w:val="0"/>
      <w:divBdr>
        <w:top w:val="none" w:sz="0" w:space="0" w:color="auto"/>
        <w:left w:val="none" w:sz="0" w:space="0" w:color="auto"/>
        <w:bottom w:val="none" w:sz="0" w:space="0" w:color="auto"/>
        <w:right w:val="none" w:sz="0" w:space="0" w:color="auto"/>
      </w:divBdr>
    </w:div>
    <w:div w:id="939993476">
      <w:bodyDiv w:val="1"/>
      <w:marLeft w:val="0"/>
      <w:marRight w:val="0"/>
      <w:marTop w:val="0"/>
      <w:marBottom w:val="0"/>
      <w:divBdr>
        <w:top w:val="none" w:sz="0" w:space="0" w:color="auto"/>
        <w:left w:val="none" w:sz="0" w:space="0" w:color="auto"/>
        <w:bottom w:val="none" w:sz="0" w:space="0" w:color="auto"/>
        <w:right w:val="none" w:sz="0" w:space="0" w:color="auto"/>
      </w:divBdr>
    </w:div>
    <w:div w:id="1071080881">
      <w:bodyDiv w:val="1"/>
      <w:marLeft w:val="0"/>
      <w:marRight w:val="0"/>
      <w:marTop w:val="0"/>
      <w:marBottom w:val="0"/>
      <w:divBdr>
        <w:top w:val="none" w:sz="0" w:space="0" w:color="auto"/>
        <w:left w:val="none" w:sz="0" w:space="0" w:color="auto"/>
        <w:bottom w:val="none" w:sz="0" w:space="0" w:color="auto"/>
        <w:right w:val="none" w:sz="0" w:space="0" w:color="auto"/>
      </w:divBdr>
    </w:div>
    <w:div w:id="1417555253">
      <w:bodyDiv w:val="1"/>
      <w:marLeft w:val="0"/>
      <w:marRight w:val="0"/>
      <w:marTop w:val="0"/>
      <w:marBottom w:val="0"/>
      <w:divBdr>
        <w:top w:val="none" w:sz="0" w:space="0" w:color="auto"/>
        <w:left w:val="none" w:sz="0" w:space="0" w:color="auto"/>
        <w:bottom w:val="none" w:sz="0" w:space="0" w:color="auto"/>
        <w:right w:val="none" w:sz="0" w:space="0" w:color="auto"/>
      </w:divBdr>
    </w:div>
    <w:div w:id="1477721895">
      <w:bodyDiv w:val="1"/>
      <w:marLeft w:val="0"/>
      <w:marRight w:val="0"/>
      <w:marTop w:val="0"/>
      <w:marBottom w:val="0"/>
      <w:divBdr>
        <w:top w:val="none" w:sz="0" w:space="0" w:color="auto"/>
        <w:left w:val="none" w:sz="0" w:space="0" w:color="auto"/>
        <w:bottom w:val="none" w:sz="0" w:space="0" w:color="auto"/>
        <w:right w:val="none" w:sz="0" w:space="0" w:color="auto"/>
      </w:divBdr>
    </w:div>
    <w:div w:id="1613435128">
      <w:bodyDiv w:val="1"/>
      <w:marLeft w:val="0"/>
      <w:marRight w:val="0"/>
      <w:marTop w:val="0"/>
      <w:marBottom w:val="0"/>
      <w:divBdr>
        <w:top w:val="none" w:sz="0" w:space="0" w:color="auto"/>
        <w:left w:val="none" w:sz="0" w:space="0" w:color="auto"/>
        <w:bottom w:val="none" w:sz="0" w:space="0" w:color="auto"/>
        <w:right w:val="none" w:sz="0" w:space="0" w:color="auto"/>
      </w:divBdr>
    </w:div>
    <w:div w:id="175624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oter" Target="footer9.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bookshop.europa.eu/en/study-on-the-feasibility-and-implications-of-setting-up-within-the-framework-of-the-schengen-information-system-an-eu-wide-system-for-exchanging-data-on-and-monitoring-compliance-with-return-decisions-pbDR0116353/" TargetMode="External"/><Relationship Id="rId2" Type="http://schemas.openxmlformats.org/officeDocument/2006/relationships/hyperlink" Target="https://bookshop.europa.eu/en/study-on-the-feasibility-and-implications-of-setting-up-within-the-framework-of-the-schengen-information-system-an-eu-wide-system-for-exchanging-data-on-and-monitoring-compliance-with-return-decisions-pbDR0116353/" TargetMode="External"/><Relationship Id="rId1" Type="http://schemas.openxmlformats.org/officeDocument/2006/relationships/hyperlink" Target="http://www.consilium.europa.eu/press-releases-pdf/2015/10/40802203341_pl.pdf" TargetMode="External"/><Relationship Id="rId4" Type="http://schemas.openxmlformats.org/officeDocument/2006/relationships/hyperlink" Target="http://www.cc.cec/budg/man/budgmanag/budgmanag_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81973b03-5a3a-432e-a4c9-6161e3b2d228" xsi:nil="true"/>
    <EC_Collab_Status xmlns="81973b03-5a3a-432e-a4c9-6161e3b2d228">Not Started</EC_Collab_Status>
    <_Status xmlns="http://schemas.microsoft.com/sharepoint/v3/fields">Not Started</_Status>
    <EC_Collab_DocumentLanguage xmlns="81973b03-5a3a-432e-a4c9-6161e3b2d228">EN</EC_Collab_DocumentLanguag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6324336372A8F742B8A865622A3EEA27" ma:contentTypeVersion="0" ma:contentTypeDescription="Create a new document in this library." ma:contentTypeScope="" ma:versionID="a24696251a194eae91972a8620f26bb7">
  <xsd:schema xmlns:xsd="http://www.w3.org/2001/XMLSchema" xmlns:xs="http://www.w3.org/2001/XMLSchema" xmlns:p="http://schemas.microsoft.com/office/2006/metadata/properties" xmlns:ns2="http://schemas.microsoft.com/sharepoint/v3/fields" xmlns:ns3="81973b03-5a3a-432e-a4c9-6161e3b2d228" targetNamespace="http://schemas.microsoft.com/office/2006/metadata/properties" ma:root="true" ma:fieldsID="74a939cb2d157c99daf5cae6c2bda7cd" ns2:_="" ns3:_="">
    <xsd:import namespace="http://schemas.microsoft.com/sharepoint/v3/fields"/>
    <xsd:import namespace="81973b03-5a3a-432e-a4c9-6161e3b2d228"/>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1973b03-5a3a-432e-a4c9-6161e3b2d22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091E9-FE8A-4320-A70F-6922088114AE}">
  <ds:schemaRefs>
    <ds:schemaRef ds:uri="http://schemas.microsoft.com/office/2006/metadata/properties"/>
    <ds:schemaRef ds:uri="http://purl.org/dc/elements/1.1/"/>
    <ds:schemaRef ds:uri="http://purl.org/dc/dcmitype/"/>
    <ds:schemaRef ds:uri="http://schemas.microsoft.com/sharepoint/v3/fields"/>
    <ds:schemaRef ds:uri="81973b03-5a3a-432e-a4c9-6161e3b2d228"/>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http://www.w3.org/XML/1998/namespace"/>
  </ds:schemaRefs>
</ds:datastoreItem>
</file>

<file path=customXml/itemProps2.xml><?xml version="1.0" encoding="utf-8"?>
<ds:datastoreItem xmlns:ds="http://schemas.openxmlformats.org/officeDocument/2006/customXml" ds:itemID="{78C0D347-A52E-48CD-A432-8EB713948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81973b03-5a3a-432e-a4c9-6161e3b2d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28BA6F-8B1B-4B7C-849D-895BF16FA05C}">
  <ds:schemaRefs>
    <ds:schemaRef ds:uri="http://schemas.microsoft.com/sharepoint/v3/contenttype/forms"/>
  </ds:schemaRefs>
</ds:datastoreItem>
</file>

<file path=customXml/itemProps4.xml><?xml version="1.0" encoding="utf-8"?>
<ds:datastoreItem xmlns:ds="http://schemas.openxmlformats.org/officeDocument/2006/customXml" ds:itemID="{CA28D1DB-0AB0-43B0-A0E5-B35262405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55</Pages>
  <Words>15369</Words>
  <Characters>104207</Characters>
  <Application>Microsoft Office Word</Application>
  <DocSecurity>0</DocSecurity>
  <Lines>2605</Lines>
  <Paragraphs>854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118722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19</cp:revision>
  <cp:lastPrinted>2016-12-16T16:22:00Z</cp:lastPrinted>
  <dcterms:created xsi:type="dcterms:W3CDTF">2017-03-20T15:21:00Z</dcterms:created>
  <dcterms:modified xsi:type="dcterms:W3CDTF">2017-04-03T12:44:00Z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ContentTypeId">
    <vt:lpwstr>0x010100258AA79CEB83498886A3A08681123250006324336372A8F742B8A865622A3EEA27</vt:lpwstr>
  </property>
  <property fmtid="{D5CDD505-2E9C-101B-9397-08002B2CF9AE}" pid="11" name="DQCStatus">
    <vt:lpwstr>Yellow (DQC version 03)</vt:lpwstr>
  </property>
</Properties>
</file>