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121C6F3834E4845ADB7BC05414211E0" style="width:450.45pt;height:361.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ind w:left="850" w:hanging="850"/>
      </w:pPr>
      <w:bookmarkStart w:id="1" w:name="_Toc290654962"/>
      <w:bookmarkStart w:id="2" w:name="_GoBack"/>
      <w:bookmarkEnd w:id="2"/>
      <w:r>
        <w:lastRenderedPageBreak/>
        <w:t>Uvod</w:t>
      </w:r>
      <w:bookmarkEnd w:id="1"/>
    </w:p>
    <w:p>
      <w:pPr>
        <w:rPr>
          <w:noProof/>
        </w:rPr>
      </w:pPr>
    </w:p>
    <w:p>
      <w:pPr>
        <w:spacing w:before="240" w:after="120" w:line="240" w:lineRule="auto"/>
        <w:jc w:val="both"/>
        <w:rPr>
          <w:rFonts w:ascii="Times New Roman" w:eastAsia="Times New Roman" w:hAnsi="Times New Roman" w:cs="EUAlbertina"/>
          <w:noProof/>
          <w:color w:val="000000"/>
          <w:sz w:val="24"/>
          <w:szCs w:val="24"/>
        </w:rPr>
      </w:pPr>
      <w:r>
        <w:rPr>
          <w:rFonts w:ascii="Times New Roman" w:hAnsi="Times New Roman"/>
          <w:noProof/>
          <w:color w:val="000000"/>
          <w:sz w:val="24"/>
        </w:rPr>
        <w:t>S tem poročilom se izpolnjujejo naslednje zahteve Direktive 2012/19/EU o odpadni električni in elektronski opremi(</w:t>
      </w:r>
      <w:r>
        <w:rPr>
          <w:rStyle w:val="FootnoteReference"/>
          <w:noProof/>
        </w:rPr>
        <w:footnoteReference w:id="1"/>
      </w:r>
      <w:r>
        <w:rPr>
          <w:rFonts w:ascii="Times New Roman" w:hAnsi="Times New Roman"/>
          <w:noProof/>
          <w:color w:val="000000"/>
          <w:sz w:val="24"/>
        </w:rPr>
        <w:t>) (v nadaljnjem besedilu: nova direktiva o OEEO):</w:t>
      </w:r>
    </w:p>
    <w:p>
      <w:pPr>
        <w:numPr>
          <w:ilvl w:val="0"/>
          <w:numId w:val="19"/>
        </w:numPr>
        <w:spacing w:before="120" w:after="120" w:line="240" w:lineRule="auto"/>
        <w:ind w:left="714" w:hanging="357"/>
        <w:jc w:val="both"/>
        <w:rPr>
          <w:rFonts w:ascii="Times New Roman" w:hAnsi="Times New Roman"/>
          <w:noProof/>
          <w:color w:val="000000"/>
          <w:sz w:val="24"/>
        </w:rPr>
      </w:pPr>
      <w:r>
        <w:rPr>
          <w:rFonts w:ascii="Times New Roman" w:hAnsi="Times New Roman"/>
          <w:noProof/>
          <w:color w:val="000000"/>
          <w:sz w:val="24"/>
        </w:rPr>
        <w:t>pregled področja uporabe nove direktive o OEEO, kot je določeno v točki (b) odstavka 1 člena 2. To vključuje parametre za razlikovanje med majhno in veliko opremo iz Priloge III (člen 2(5));</w:t>
      </w:r>
    </w:p>
    <w:p>
      <w:pPr>
        <w:numPr>
          <w:ilvl w:val="0"/>
          <w:numId w:val="19"/>
        </w:numPr>
        <w:spacing w:before="120" w:after="120" w:line="240" w:lineRule="auto"/>
        <w:ind w:left="714" w:hanging="357"/>
        <w:jc w:val="both"/>
        <w:rPr>
          <w:rFonts w:ascii="Times New Roman" w:hAnsi="Times New Roman"/>
          <w:noProof/>
          <w:color w:val="000000"/>
          <w:sz w:val="24"/>
        </w:rPr>
      </w:pPr>
      <w:r>
        <w:rPr>
          <w:rFonts w:ascii="Times New Roman" w:hAnsi="Times New Roman"/>
          <w:noProof/>
          <w:color w:val="000000"/>
          <w:sz w:val="24"/>
        </w:rPr>
        <w:t>ponovna proučitev rokov za dosego ciljnih stopenj zbiranja iz odstavka 1 člena 7 in morebitna določitev posameznih stopenj zbiranja ene ali več kategorij iz Priloge III, predvsem opreme za toplotno izmenjavo, fotonapetostnih panelov, majhne opreme, majhne opreme za IT in telekomunikacije ter sijalk, ki vsebujejo živo srebro (člen 7(6)).</w:t>
      </w:r>
    </w:p>
    <w:p>
      <w:pPr>
        <w:spacing w:before="240" w:after="120" w:line="240" w:lineRule="auto"/>
        <w:jc w:val="both"/>
        <w:rPr>
          <w:rFonts w:ascii="Times New Roman" w:eastAsia="Times New Roman" w:hAnsi="Times New Roman"/>
          <w:noProof/>
          <w:sz w:val="24"/>
          <w:szCs w:val="24"/>
        </w:rPr>
      </w:pPr>
      <w:r>
        <w:rPr>
          <w:rFonts w:ascii="Times New Roman" w:hAnsi="Times New Roman"/>
          <w:noProof/>
          <w:sz w:val="24"/>
        </w:rPr>
        <w:t>Namen tega poročila je obvestiti Evropski parlament in Svet o ukrepanju Komisije in ugotovitvah glede obeh vprašanj.</w:t>
      </w:r>
    </w:p>
    <w:p>
      <w:pPr>
        <w:pStyle w:val="Heading1"/>
        <w:spacing w:before="120"/>
        <w:ind w:left="0" w:firstLine="0"/>
      </w:pPr>
      <w:r>
        <w:br w:type="page"/>
        <w:t>1. Pregled področja uporabe nove direktive o OEEO, vključno s parametri za razlikovanje med veliko in majhno opremo</w:t>
      </w:r>
    </w:p>
    <w:p>
      <w:pPr>
        <w:pStyle w:val="Heading2"/>
        <w:spacing w:before="240" w:after="0"/>
        <w:ind w:left="851" w:hanging="851"/>
      </w:pPr>
      <w:r>
        <w:t>Uvod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Pregled področja uporabe nove direktive o OEEO, ki ga je treba izvesti v skladu členom 2(5), je bil podprt s študijo o </w:t>
      </w:r>
      <w:r>
        <w:rPr>
          <w:rFonts w:ascii="Times New Roman" w:hAnsi="Times New Roman"/>
          <w:i/>
          <w:noProof/>
          <w:sz w:val="24"/>
        </w:rPr>
        <w:t>pregledu področja uporabe Direktive 2012/19/EU</w:t>
      </w:r>
      <w:r>
        <w:rPr>
          <w:rFonts w:ascii="Times New Roman" w:hAnsi="Times New Roman"/>
          <w:noProof/>
          <w:sz w:val="24"/>
        </w:rPr>
        <w:t>, ki jo je opravila Komisija(</w:t>
      </w:r>
      <w:r>
        <w:rPr>
          <w:rStyle w:val="FootnoteReference"/>
          <w:noProof/>
        </w:rPr>
        <w:footnoteReference w:id="2"/>
      </w:r>
      <w:r>
        <w:rPr>
          <w:rFonts w:ascii="Times New Roman" w:hAnsi="Times New Roman"/>
          <w:noProof/>
          <w:sz w:val="24"/>
        </w:rPr>
        <w:t>). Opravljene so bile naslednje naloge:</w:t>
      </w:r>
    </w:p>
    <w:p>
      <w:pPr>
        <w:numPr>
          <w:ilvl w:val="0"/>
          <w:numId w:val="10"/>
        </w:numPr>
        <w:spacing w:before="60" w:after="60" w:line="240" w:lineRule="auto"/>
        <w:ind w:left="714" w:hanging="357"/>
        <w:jc w:val="both"/>
        <w:rPr>
          <w:rFonts w:ascii="Times New Roman" w:hAnsi="Times New Roman"/>
          <w:noProof/>
          <w:sz w:val="24"/>
          <w:szCs w:val="24"/>
        </w:rPr>
      </w:pPr>
      <w:r>
        <w:rPr>
          <w:rFonts w:ascii="Times New Roman" w:hAnsi="Times New Roman"/>
          <w:noProof/>
          <w:sz w:val="24"/>
        </w:rPr>
        <w:t>ugotavljanje sprememb področja uporabe nove direktive o OEEO zaradi spremembe kategorij električne in elektronske opreme (EEO) ter ocenjevanje, ali bo treba zaradi teh sprememb spremeniti področje uporabe nove direktive o OEEO;</w:t>
      </w:r>
    </w:p>
    <w:p>
      <w:pPr>
        <w:numPr>
          <w:ilvl w:val="0"/>
          <w:numId w:val="10"/>
        </w:numPr>
        <w:spacing w:before="60" w:after="60" w:line="240" w:lineRule="auto"/>
        <w:ind w:left="714" w:hanging="357"/>
        <w:jc w:val="both"/>
        <w:rPr>
          <w:rFonts w:ascii="Times New Roman" w:hAnsi="Times New Roman"/>
          <w:noProof/>
          <w:sz w:val="24"/>
          <w:szCs w:val="24"/>
        </w:rPr>
      </w:pPr>
      <w:r>
        <w:rPr>
          <w:rFonts w:ascii="Times New Roman" w:hAnsi="Times New Roman"/>
          <w:noProof/>
          <w:sz w:val="24"/>
        </w:rPr>
        <w:t>pregled parametrov za razlikovanje med majhno in veliko opremo;</w:t>
      </w:r>
    </w:p>
    <w:p>
      <w:pPr>
        <w:numPr>
          <w:ilvl w:val="0"/>
          <w:numId w:val="10"/>
        </w:numPr>
        <w:spacing w:before="60" w:after="60" w:line="240" w:lineRule="auto"/>
        <w:ind w:left="714" w:hanging="357"/>
        <w:jc w:val="both"/>
        <w:rPr>
          <w:rFonts w:ascii="Times New Roman" w:hAnsi="Times New Roman"/>
          <w:noProof/>
          <w:sz w:val="24"/>
          <w:szCs w:val="24"/>
        </w:rPr>
      </w:pPr>
      <w:r>
        <w:rPr>
          <w:rFonts w:ascii="Times New Roman" w:hAnsi="Times New Roman"/>
          <w:noProof/>
          <w:sz w:val="24"/>
        </w:rPr>
        <w:t>primerjanje morebitnih razlik med odprtim področjem uporabe nove direktive o OEEO in področjem uporabe direktive o omejevanju uporabe nekaterih nevarnih snovi(</w:t>
      </w:r>
      <w:r>
        <w:rPr>
          <w:rStyle w:val="FootnoteReference"/>
          <w:rFonts w:ascii="Times New Roman" w:hAnsi="Times New Roman"/>
          <w:noProof/>
          <w:sz w:val="24"/>
        </w:rPr>
        <w:footnoteReference w:id="3"/>
      </w:r>
      <w:r>
        <w:rPr>
          <w:rFonts w:ascii="Times New Roman" w:hAnsi="Times New Roman"/>
          <w:noProof/>
          <w:sz w:val="24"/>
        </w:rPr>
        <w:t>) ter ocenjevanje, ali bo treba zaradi teh razlik spremeniti področje uporabe nove direktive o OEEO;</w:t>
      </w:r>
    </w:p>
    <w:p>
      <w:pPr>
        <w:numPr>
          <w:ilvl w:val="0"/>
          <w:numId w:val="10"/>
        </w:numPr>
        <w:spacing w:before="60" w:after="60" w:line="240" w:lineRule="auto"/>
        <w:ind w:left="714" w:hanging="357"/>
        <w:jc w:val="both"/>
        <w:rPr>
          <w:rFonts w:ascii="Times New Roman" w:hAnsi="Times New Roman"/>
          <w:noProof/>
          <w:sz w:val="24"/>
          <w:szCs w:val="24"/>
        </w:rPr>
      </w:pPr>
      <w:r>
        <w:rPr>
          <w:rFonts w:ascii="Times New Roman" w:hAnsi="Times New Roman"/>
          <w:noProof/>
          <w:sz w:val="24"/>
        </w:rPr>
        <w:t>ocenjevanje morebitnih ekonomskih in socialnih učinkov kakršne koli morebitne spremembe področja uporabe nove direktive o OEEO ter njenih vplivov na okolje;</w:t>
      </w:r>
    </w:p>
    <w:p>
      <w:pPr>
        <w:numPr>
          <w:ilvl w:val="0"/>
          <w:numId w:val="10"/>
        </w:numPr>
        <w:spacing w:before="60" w:after="60" w:line="240" w:lineRule="auto"/>
        <w:ind w:left="714" w:hanging="357"/>
        <w:jc w:val="both"/>
        <w:rPr>
          <w:rFonts w:ascii="Times New Roman" w:hAnsi="Times New Roman"/>
          <w:noProof/>
          <w:sz w:val="24"/>
          <w:szCs w:val="24"/>
        </w:rPr>
      </w:pPr>
      <w:r>
        <w:rPr>
          <w:rFonts w:ascii="Times New Roman" w:hAnsi="Times New Roman"/>
          <w:noProof/>
          <w:sz w:val="24"/>
        </w:rPr>
        <w:t>če je ustrezno, predlaganje morebitnih potrebnih sprememb področja uporabe nove direktive o OEEO na podlagi te ocene.</w:t>
      </w:r>
    </w:p>
    <w:p>
      <w:pPr>
        <w:spacing w:before="120" w:after="120" w:line="240" w:lineRule="auto"/>
        <w:jc w:val="both"/>
        <w:rPr>
          <w:rFonts w:ascii="Times New Roman" w:hAnsi="Times New Roman"/>
          <w:noProof/>
          <w:sz w:val="24"/>
          <w:szCs w:val="24"/>
        </w:rPr>
      </w:pPr>
      <w:r>
        <w:rPr>
          <w:rFonts w:ascii="Times New Roman" w:hAnsi="Times New Roman"/>
          <w:noProof/>
          <w:sz w:val="24"/>
        </w:rPr>
        <w:t>Pregled je vključeval posvetovanje z zainteresiranimi stranmi in strokovnjaki v obliki ciljno usmerjenih razgovorov(</w:t>
      </w:r>
      <w:r>
        <w:rPr>
          <w:rStyle w:val="FootnoteReference"/>
          <w:rFonts w:ascii="Times New Roman" w:hAnsi="Times New Roman"/>
          <w:noProof/>
          <w:sz w:val="24"/>
        </w:rPr>
        <w:footnoteReference w:id="4"/>
      </w:r>
      <w:r>
        <w:rPr>
          <w:rFonts w:ascii="Times New Roman" w:hAnsi="Times New Roman"/>
          <w:noProof/>
          <w:sz w:val="24"/>
        </w:rPr>
        <w:t>) in analizo dokumentacije v zvezi s spremembo področja uporabe, zlasti z določanjem skupin proizvodov, ki spadajo na odprto področje uporabe nove direktive o OEEO.</w:t>
      </w:r>
    </w:p>
    <w:p>
      <w:pPr>
        <w:spacing w:before="120" w:after="120" w:line="240" w:lineRule="auto"/>
        <w:jc w:val="both"/>
        <w:rPr>
          <w:rFonts w:ascii="Times New Roman" w:hAnsi="Times New Roman"/>
          <w:noProof/>
          <w:sz w:val="24"/>
          <w:szCs w:val="24"/>
        </w:rPr>
      </w:pPr>
      <w:r>
        <w:rPr>
          <w:rFonts w:ascii="Times New Roman" w:hAnsi="Times New Roman"/>
          <w:noProof/>
          <w:sz w:val="24"/>
        </w:rPr>
        <w:t>V nadaljevanju so predstavljene ključne ugotovitve pregleda.</w:t>
      </w:r>
    </w:p>
    <w:p>
      <w:pPr>
        <w:spacing w:before="120" w:after="120" w:line="240" w:lineRule="auto"/>
        <w:jc w:val="both"/>
        <w:rPr>
          <w:rFonts w:ascii="Times New Roman" w:hAnsi="Times New Roman"/>
          <w:noProof/>
          <w:sz w:val="24"/>
          <w:szCs w:val="24"/>
        </w:rPr>
      </w:pPr>
    </w:p>
    <w:p>
      <w:pPr>
        <w:pStyle w:val="Heading2"/>
        <w:spacing w:before="360"/>
        <w:ind w:left="851" w:hanging="851"/>
      </w:pPr>
      <w:r>
        <w:t>Pregled področja uporabe</w:t>
      </w:r>
    </w:p>
    <w:p>
      <w:pPr>
        <w:jc w:val="both"/>
        <w:rPr>
          <w:rFonts w:ascii="Times New Roman" w:hAnsi="Times New Roman"/>
          <w:noProof/>
          <w:sz w:val="24"/>
          <w:szCs w:val="24"/>
        </w:rPr>
      </w:pPr>
      <w:r>
        <w:rPr>
          <w:rFonts w:ascii="Times New Roman" w:hAnsi="Times New Roman"/>
          <w:noProof/>
          <w:sz w:val="24"/>
        </w:rPr>
        <w:t>Študija je bila osredotočena na tri vidike področja uporabe nove direktive o OEEO:</w:t>
      </w:r>
    </w:p>
    <w:p>
      <w:pPr>
        <w:pStyle w:val="ListParagraph"/>
        <w:numPr>
          <w:ilvl w:val="0"/>
          <w:numId w:val="51"/>
        </w:numPr>
        <w:jc w:val="both"/>
        <w:rPr>
          <w:rFonts w:ascii="Times New Roman" w:hAnsi="Times New Roman"/>
          <w:noProof/>
          <w:sz w:val="24"/>
          <w:szCs w:val="24"/>
        </w:rPr>
      </w:pPr>
      <w:r>
        <w:rPr>
          <w:rFonts w:ascii="Times New Roman" w:hAnsi="Times New Roman"/>
          <w:noProof/>
          <w:sz w:val="24"/>
        </w:rPr>
        <w:t>spremembe njenega področja uporabe (iz sedanjih 10 kategorij v Prilogi I k novi direktivi o OEEO, ki se še vedno uporabljajo v prehodnem obdobju, na 6 novih kategorij v Prilogi III; te vključujejo dve „odprti“ kategoriji, in sicer veliko in majhno opremo);</w:t>
      </w:r>
    </w:p>
    <w:p>
      <w:pPr>
        <w:pStyle w:val="ListParagraph"/>
        <w:numPr>
          <w:ilvl w:val="0"/>
          <w:numId w:val="51"/>
        </w:numPr>
        <w:jc w:val="both"/>
        <w:rPr>
          <w:rFonts w:ascii="Times New Roman" w:hAnsi="Times New Roman"/>
          <w:noProof/>
          <w:sz w:val="24"/>
          <w:szCs w:val="24"/>
        </w:rPr>
      </w:pPr>
      <w:r>
        <w:rPr>
          <w:rFonts w:ascii="Times New Roman" w:hAnsi="Times New Roman"/>
          <w:noProof/>
          <w:sz w:val="24"/>
        </w:rPr>
        <w:t>razlikovanje med majhno in veliko opremo;</w:t>
      </w:r>
    </w:p>
    <w:p>
      <w:pPr>
        <w:pStyle w:val="ListParagraph"/>
        <w:numPr>
          <w:ilvl w:val="0"/>
          <w:numId w:val="51"/>
        </w:numPr>
        <w:jc w:val="both"/>
        <w:rPr>
          <w:rFonts w:ascii="Times New Roman" w:hAnsi="Times New Roman"/>
          <w:noProof/>
          <w:sz w:val="24"/>
          <w:szCs w:val="24"/>
        </w:rPr>
      </w:pPr>
      <w:r>
        <w:rPr>
          <w:rFonts w:ascii="Times New Roman" w:hAnsi="Times New Roman"/>
          <w:noProof/>
          <w:sz w:val="24"/>
        </w:rPr>
        <w:t>razlike med odprtim področjem uporabe nove direktive o OEEO in področjem uporabe direktive o omejevanju uporabe nekaterih nevarnih snovi.</w:t>
      </w:r>
    </w:p>
    <w:p>
      <w:pPr>
        <w:pStyle w:val="Heading3"/>
        <w:spacing w:before="240" w:after="0"/>
        <w:ind w:left="851" w:hanging="851"/>
        <w:rPr>
          <w:noProof/>
        </w:rPr>
      </w:pPr>
      <w:r>
        <w:rPr>
          <w:noProof/>
        </w:rPr>
        <w:t>Spremembe področja uporabe nove direktive o OEEO zaradi spremembe kategorij električne in elektronske opreme</w:t>
      </w:r>
    </w:p>
    <w:p>
      <w:pPr>
        <w:spacing w:before="120" w:after="0" w:line="240" w:lineRule="auto"/>
        <w:jc w:val="both"/>
        <w:rPr>
          <w:rFonts w:ascii="Times New Roman" w:hAnsi="Times New Roman"/>
          <w:noProof/>
          <w:sz w:val="24"/>
          <w:szCs w:val="24"/>
        </w:rPr>
      </w:pPr>
      <w:r>
        <w:rPr>
          <w:rFonts w:ascii="Times New Roman" w:hAnsi="Times New Roman"/>
          <w:noProof/>
          <w:sz w:val="24"/>
        </w:rPr>
        <w:t>Člen 2(1) v povezavi s prilogami I, II, III in IV določa področje uporabe nove direktive o OEEO.</w:t>
      </w:r>
    </w:p>
    <w:p>
      <w:pPr>
        <w:spacing w:before="120" w:after="0" w:line="240" w:lineRule="auto"/>
        <w:jc w:val="both"/>
        <w:rPr>
          <w:rFonts w:ascii="Times New Roman" w:hAnsi="Times New Roman"/>
          <w:noProof/>
          <w:sz w:val="24"/>
          <w:szCs w:val="24"/>
        </w:rPr>
      </w:pPr>
      <w:r>
        <w:rPr>
          <w:rFonts w:ascii="Times New Roman" w:hAnsi="Times New Roman"/>
          <w:noProof/>
          <w:sz w:val="24"/>
        </w:rPr>
        <w:t>V skladu z novo direktivo je v prehodnem obdobju od 13. avgusta 2012 do 14. avgusta 2018 njeno področje uporabe skoraj enako področju uporabe Direktive 2002/96/ES (v nadaljnjem besedilu: stara direktiva o OEEO)(</w:t>
      </w:r>
      <w:r>
        <w:rPr>
          <w:rStyle w:val="FootnoteReference"/>
          <w:rFonts w:ascii="Times New Roman" w:hAnsi="Times New Roman"/>
          <w:noProof/>
          <w:sz w:val="24"/>
        </w:rPr>
        <w:footnoteReference w:id="5"/>
      </w:r>
      <w:r>
        <w:rPr>
          <w:rFonts w:ascii="Times New Roman" w:hAnsi="Times New Roman"/>
          <w:noProof/>
          <w:sz w:val="24"/>
        </w:rPr>
        <w:t>). Edina sprememba je vključitev fotonapetostnih panelov v kategorijo 4. Ker je bila ta vključitev že ocenjena v oceni učinka, opravljeni pred prenovitvijo stare direktive(</w:t>
      </w:r>
      <w:r>
        <w:rPr>
          <w:rStyle w:val="FootnoteReference"/>
          <w:rFonts w:ascii="Times New Roman" w:hAnsi="Times New Roman"/>
          <w:noProof/>
          <w:sz w:val="24"/>
        </w:rPr>
        <w:footnoteReference w:id="6"/>
      </w:r>
      <w:r>
        <w:rPr>
          <w:rFonts w:ascii="Times New Roman" w:hAnsi="Times New Roman"/>
          <w:noProof/>
          <w:sz w:val="24"/>
        </w:rPr>
        <w:t>), ni bila nadalje analizirana v okviru te ocene.</w:t>
      </w:r>
    </w:p>
    <w:p>
      <w:pPr>
        <w:spacing w:before="120" w:after="120" w:line="240" w:lineRule="auto"/>
        <w:jc w:val="both"/>
        <w:rPr>
          <w:rFonts w:ascii="Times New Roman" w:hAnsi="Times New Roman"/>
          <w:noProof/>
          <w:sz w:val="24"/>
          <w:szCs w:val="24"/>
        </w:rPr>
      </w:pPr>
      <w:r>
        <w:rPr>
          <w:rFonts w:ascii="Times New Roman" w:hAnsi="Times New Roman"/>
          <w:noProof/>
          <w:sz w:val="24"/>
        </w:rPr>
        <w:t>Od 15. avgusta 2018 se bo uporabljajo „odprto področje uporabe“. Električna in elektronska oprema bo razvrščena v šest novih kategorij, določenih v prilogah III in IV k novi direktivi.(</w:t>
      </w:r>
      <w:r>
        <w:rPr>
          <w:rFonts w:ascii="Times New Roman" w:hAnsi="Times New Roman"/>
          <w:noProof/>
          <w:sz w:val="24"/>
          <w:vertAlign w:val="superscript"/>
        </w:rPr>
        <w:footnoteReference w:id="7"/>
      </w:r>
      <w:r>
        <w:rPr>
          <w:rFonts w:ascii="Times New Roman" w:hAnsi="Times New Roman"/>
          <w:noProof/>
          <w:sz w:val="24"/>
        </w:rPr>
        <w:t>) Te vključujejo dve „odprti“ kategoriji velike in majhne opreme, ki prej nista obstajali.</w:t>
      </w:r>
    </w:p>
    <w:p>
      <w:pPr>
        <w:spacing w:before="120" w:after="120" w:line="240" w:lineRule="auto"/>
        <w:jc w:val="both"/>
        <w:rPr>
          <w:rFonts w:ascii="Times New Roman" w:hAnsi="Times New Roman"/>
          <w:noProof/>
          <w:sz w:val="24"/>
          <w:szCs w:val="24"/>
        </w:rPr>
      </w:pPr>
      <w:r>
        <w:rPr>
          <w:rFonts w:ascii="Times New Roman" w:hAnsi="Times New Roman"/>
          <w:noProof/>
          <w:sz w:val="24"/>
        </w:rPr>
        <w:t>V študiji je bilo najprej analizirano, ali vsa oprema, ki jo zdaj vključuje nova direktiva o OEEO, ostaja v njenem področju uporabe. Ugotovljeno je bilo, da nova direktiva vključuje vse kategorije opreme, ki spadajo v področje uporabe stare direktive. Ugotovljeno je bilo tudi, da naj bi se z „odprtjem“ področja uporabe po pričakovanjih odpravile težave zaradi različne razvrstitve proizvodov s strani držav članic. S tem pa naj bi se povečali pravna varnost in usklajenost pri izvajanju nove direktive.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Električna in elektronska oprema, za katero bo nova direktiva veljala od leta 2018, je bila opredeljena kot gospodinjska razsvetljava in električna dvokolesna vozila brez homologacije. V študiji je bilo ugotovljeno, da bo imela vključitev teh kategorij proizvodov dodatne okoljske, upravne in gospodarske koristi, stroški izvajanja pa naj bi bili po pričakovanjih majhni.</w:t>
      </w:r>
    </w:p>
    <w:p>
      <w:pPr>
        <w:spacing w:before="120" w:after="120" w:line="240" w:lineRule="auto"/>
        <w:jc w:val="both"/>
        <w:rPr>
          <w:rFonts w:ascii="Times New Roman" w:eastAsia="Times New Roman" w:hAnsi="Times New Roman" w:cs="EUAlbertina"/>
          <w:noProof/>
          <w:color w:val="000000"/>
          <w:sz w:val="24"/>
          <w:szCs w:val="24"/>
        </w:rPr>
      </w:pPr>
      <w:r>
        <w:rPr>
          <w:rFonts w:ascii="Times New Roman" w:hAnsi="Times New Roman"/>
          <w:noProof/>
          <w:sz w:val="24"/>
        </w:rPr>
        <w:t xml:space="preserve">V študiji je bilo ugotovljeno tudi, da nova direktiva ne uvaja novih izvzetij. Izrecno potrjuje </w:t>
      </w:r>
      <w:r>
        <w:rPr>
          <w:rFonts w:ascii="Times New Roman" w:hAnsi="Times New Roman"/>
          <w:noProof/>
          <w:color w:val="000000"/>
          <w:sz w:val="24"/>
        </w:rPr>
        <w:t>izvzetja iz področja njene uporabe, ki jih večina držav članic že uporablja v praksi.S tem je zagotovljeno njeno usklajeno izvajanje</w:t>
      </w:r>
      <w:r>
        <w:rPr>
          <w:rFonts w:ascii="Times New Roman" w:hAnsi="Times New Roman"/>
          <w:noProof/>
          <w:sz w:val="24"/>
        </w:rPr>
        <w:t xml:space="preserve">. To je </w:t>
      </w:r>
      <w:r>
        <w:rPr>
          <w:rFonts w:ascii="Times New Roman" w:hAnsi="Times New Roman"/>
          <w:noProof/>
          <w:color w:val="000000"/>
          <w:sz w:val="24"/>
        </w:rPr>
        <w:t>v skladu s stališčem Komisije(</w:t>
      </w:r>
      <w:r>
        <w:rPr>
          <w:rStyle w:val="FootnoteReference"/>
          <w:rFonts w:ascii="Times New Roman" w:hAnsi="Times New Roman"/>
          <w:noProof/>
          <w:color w:val="000000"/>
          <w:sz w:val="24"/>
        </w:rPr>
        <w:footnoteReference w:id="8"/>
      </w:r>
      <w:r>
        <w:rPr>
          <w:rFonts w:ascii="Times New Roman" w:hAnsi="Times New Roman"/>
          <w:noProof/>
          <w:color w:val="000000"/>
          <w:sz w:val="24"/>
        </w:rPr>
        <w:t>), da oprema, ki spada v področje uporabe stare direktive, ne bi smela biti izključena iz področja uporabe Direktive v prihodnosti.</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Ugotovljeno je bilo, da je bilo s študijo potrjeno, da se zaradi spremembe kategorij električne in elektronske opreme ni znatno spremenilo področje uporabe nove direktive o OEEO. S prehodom z desetih kategorij na šest „odprtih“ kategorij naj bi se po pričakovanjih povečali pravna varnost in usklajenost pri izvajanju nove direktive.</w:t>
      </w:r>
    </w:p>
    <w:p>
      <w:pPr>
        <w:pStyle w:val="Heading3"/>
        <w:spacing w:before="360" w:after="0"/>
        <w:ind w:left="851" w:hanging="851"/>
        <w:rPr>
          <w:noProof/>
        </w:rPr>
      </w:pPr>
      <w:r>
        <w:rPr>
          <w:noProof/>
        </w:rPr>
        <w:t>Ocena parametrov za razlikovanje med majhno in veliko opremo</w:t>
      </w:r>
    </w:p>
    <w:p>
      <w:pPr>
        <w:spacing w:before="120" w:after="120" w:line="240" w:lineRule="auto"/>
        <w:jc w:val="both"/>
        <w:rPr>
          <w:rFonts w:ascii="Times New Roman" w:hAnsi="Times New Roman"/>
          <w:noProof/>
          <w:sz w:val="24"/>
          <w:szCs w:val="24"/>
        </w:rPr>
      </w:pPr>
      <w:r>
        <w:rPr>
          <w:rFonts w:ascii="Times New Roman" w:hAnsi="Times New Roman"/>
          <w:noProof/>
          <w:sz w:val="24"/>
        </w:rPr>
        <w:t>V študiji je bilo tudi proučeno, ali je razlikovanje med majhno in veliko opremo (tj. opremo s katero koli zunanjo dimenzijo manjšo oz. večjo od 50 cm) v direktivi o OEEO primerno.</w:t>
      </w:r>
    </w:p>
    <w:p>
      <w:pPr>
        <w:spacing w:before="120" w:after="360" w:line="240" w:lineRule="auto"/>
        <w:jc w:val="both"/>
        <w:rPr>
          <w:rFonts w:ascii="Times New Roman" w:hAnsi="Times New Roman"/>
          <w:noProof/>
          <w:sz w:val="24"/>
          <w:szCs w:val="24"/>
        </w:rPr>
      </w:pPr>
      <w:r>
        <w:rPr>
          <w:rFonts w:ascii="Times New Roman" w:hAnsi="Times New Roman"/>
          <w:noProof/>
          <w:sz w:val="24"/>
        </w:rPr>
        <w:t>V študiji je bilo sicer priznano, da nobeno merilo za razvrščanje ni popolno, vendar je bilo ugotovljeno, da je prag zunanje dimenzije 50 cm za razlikovanje med majhno in veliko opremo izvedljiv ter v skladu s praktičnimi omejitvami subjektov, ki se ukvarjajo z izrabljeno opremo. Zdi se, da je v zvezi z električno in elektronsko opremo merilo velikosti ključni dejavnik tudi pri zbiranju, ravnanju z odpadki in ravnanju z izrabljeno opremo. Sistemi zbiranja odpadkov in ravnanje z izrabljeno opremo ter s tem povezana infrastruktura se razlikujejo glede na velikost opreme, kar je še pomembnejši dejavnik kot teža.</w:t>
      </w:r>
    </w:p>
    <w:p>
      <w:pPr>
        <w:pStyle w:val="Heading3"/>
        <w:spacing w:before="240"/>
        <w:ind w:left="851" w:hanging="851"/>
        <w:rPr>
          <w:noProof/>
        </w:rPr>
      </w:pPr>
      <w:r>
        <w:rPr>
          <w:noProof/>
        </w:rPr>
        <w:t>Ocena razlik med področjem uporabe nove direktive o OEEO in področjem uporabe direktive o omejevanju uporabe nekaterih nevarnih snovi</w:t>
      </w:r>
    </w:p>
    <w:p>
      <w:pPr>
        <w:spacing w:before="120" w:after="120" w:line="240" w:lineRule="auto"/>
        <w:jc w:val="both"/>
        <w:rPr>
          <w:rFonts w:ascii="Times New Roman" w:hAnsi="Times New Roman"/>
          <w:noProof/>
          <w:sz w:val="24"/>
          <w:szCs w:val="24"/>
        </w:rPr>
      </w:pPr>
      <w:r>
        <w:rPr>
          <w:rFonts w:ascii="Times New Roman" w:hAnsi="Times New Roman"/>
          <w:noProof/>
          <w:sz w:val="24"/>
        </w:rPr>
        <w:t>Glavna razlika med direktivama je opredelitev električne in elektronske opreme: a) oprema, ki je odvisna od električnega toka ali elektromagnetnih polj za „katero koli predvideno funkcijo“ (direktiva o omejevanju uporabe nekaterih nevarnih snovi), ali b) oprema, ki je odvisna od električnega toka ali elektromagnetnih polj samo za „primarno (osnovno) funkcijo“ (direktiva o OEEO). To pomeni, da nekatere vrste opreme, ki zdaj spadajo v področje uporabe direktive o omejevanju uporabe nekaterih nevarnih snovi, ne spadajo v področje uporabe direktive o OEEO (npr. bencinske kosilnice, plinski štedilniki, ki imajo samo elektronski vžig).</w:t>
      </w:r>
    </w:p>
    <w:p>
      <w:pPr>
        <w:spacing w:before="120" w:after="120" w:line="240" w:lineRule="auto"/>
        <w:jc w:val="both"/>
        <w:rPr>
          <w:rFonts w:ascii="Times New Roman" w:hAnsi="Times New Roman"/>
          <w:noProof/>
          <w:sz w:val="24"/>
          <w:szCs w:val="24"/>
        </w:rPr>
      </w:pPr>
      <w:r>
        <w:rPr>
          <w:rFonts w:ascii="Times New Roman" w:hAnsi="Times New Roman"/>
          <w:noProof/>
          <w:sz w:val="24"/>
        </w:rPr>
        <w:t>Proučena je bila možnost uskladitve področja uporabe direktive o OEEO s področjem uporabe direktive o omejevanju uporabe nekaterih nevarnih snovi, pri čemer je bil uporabljen primer vrtne opreme z zgorevalnim motorjem. Ugotovljeno je bilo, da bi vključitev take opreme v področje uporabe direktive o OEEO imela omejene koristi za okolje. V praksi je namreč reciklirane že skoraj 80 % take opreme ob koncu njene življenjske dobe. Z gospodarskega vidika bi vključitev take opreme pomenila dodatne stroške za proizvajalce (npr. upravni stroški za vpis proizvajalcev v nacionalni register posamezne države članice, v kateri dajo električno in elektronsko opremo na trg).</w:t>
      </w:r>
    </w:p>
    <w:p>
      <w:pPr>
        <w:spacing w:before="120" w:after="120" w:line="240" w:lineRule="auto"/>
        <w:jc w:val="both"/>
        <w:rPr>
          <w:rFonts w:ascii="Times New Roman" w:hAnsi="Times New Roman"/>
          <w:noProof/>
          <w:sz w:val="24"/>
          <w:szCs w:val="24"/>
        </w:rPr>
      </w:pPr>
      <w:r>
        <w:rPr>
          <w:rFonts w:ascii="Times New Roman" w:hAnsi="Times New Roman"/>
          <w:noProof/>
          <w:sz w:val="24"/>
        </w:rPr>
        <w:t>Če povzamemo, slabosti vključitve opreme, pri kateri je električna energija potrebna samo za sekundarno funkcijo, v področje uporabe direktive o OEEO so večje od morebitnih prednosti. Različni cilji in različna narava direktiv utemeljujejo razliko med področjem uporabe direktive o OEEO in področjem uporabe direktive o omejevanju uporabe nekaterih nevarnih snovi. Nadaljnja uskladitev s področjem uporabe direktive o omejevanju uporabe nekaterih nevarnih snovi torej ni upravičena.</w:t>
      </w:r>
      <w:bookmarkStart w:id="3" w:name="_Toc290654978"/>
      <w:r>
        <w:rPr>
          <w:rFonts w:ascii="Times New Roman" w:hAnsi="Times New Roman"/>
          <w:noProof/>
          <w:sz w:val="24"/>
        </w:rPr>
        <w:t xml:space="preserve"> </w:t>
      </w:r>
    </w:p>
    <w:p>
      <w:pPr>
        <w:spacing w:before="120" w:after="120" w:line="240" w:lineRule="auto"/>
        <w:jc w:val="both"/>
        <w:rPr>
          <w:rFonts w:ascii="Times New Roman" w:hAnsi="Times New Roman"/>
          <w:noProof/>
          <w:sz w:val="24"/>
          <w:szCs w:val="24"/>
        </w:rPr>
      </w:pPr>
    </w:p>
    <w:p>
      <w:pPr>
        <w:pStyle w:val="Heading2"/>
        <w:spacing w:before="360"/>
        <w:ind w:left="851" w:hanging="851"/>
      </w:pPr>
      <w:r>
        <w:t>Sklep</w:t>
      </w:r>
      <w:bookmarkEnd w:id="3"/>
      <w:r>
        <w:t xml:space="preserve"> o morebitnem zakonodajnem predlogu</w:t>
      </w:r>
    </w:p>
    <w:p>
      <w:pPr>
        <w:pStyle w:val="Point1number"/>
        <w:numPr>
          <w:ilvl w:val="0"/>
          <w:numId w:val="0"/>
        </w:numPr>
        <w:spacing w:before="0"/>
        <w:rPr>
          <w:noProof/>
          <w:szCs w:val="24"/>
        </w:rPr>
      </w:pPr>
      <w:r>
        <w:rPr>
          <w:noProof/>
        </w:rPr>
        <w:t>Glede na ključne ugotovitve študije, opravljene za morebitni pregled področja uporabe nove direktive o OEEO, nadaljnje spremembe področja uporabe niso upravičene. Spremembe bi tudi povzročile težave v času, ko so države članice še v prehodnem obdobju in se prilagajajo na nove opredelitve in področje uporabe direktive o OEEO.</w:t>
      </w:r>
    </w:p>
    <w:p>
      <w:pPr>
        <w:pStyle w:val="ColorfulList-Accent11"/>
        <w:keepNext/>
        <w:numPr>
          <w:ilvl w:val="0"/>
          <w:numId w:val="1"/>
        </w:numPr>
        <w:tabs>
          <w:tab w:val="clear" w:pos="850"/>
          <w:tab w:val="num" w:pos="426"/>
        </w:tabs>
        <w:spacing w:before="120" w:after="120" w:line="240" w:lineRule="auto"/>
        <w:ind w:left="426" w:hanging="426"/>
        <w:jc w:val="both"/>
        <w:outlineLvl w:val="1"/>
        <w:rPr>
          <w:rFonts w:ascii="Times New Roman" w:eastAsia="Times New Roman" w:hAnsi="Times New Roman"/>
          <w:b/>
          <w:bCs/>
          <w:noProof/>
          <w:sz w:val="24"/>
          <w:szCs w:val="28"/>
        </w:rPr>
      </w:pPr>
      <w:r>
        <w:rPr>
          <w:noProof/>
        </w:rPr>
        <w:br w:type="page"/>
      </w:r>
      <w:r>
        <w:rPr>
          <w:rFonts w:ascii="Times New Roman" w:hAnsi="Times New Roman"/>
          <w:b/>
          <w:noProof/>
          <w:sz w:val="24"/>
        </w:rPr>
        <w:t>Ponovna preučitev rokov za dosego ciljnih stopenj zbiranja iz člena 7(1) nove direktive o OEEO in morebitna določitev posameznih stopenj zbiranja ene ali več kategorij električne in elektronske opreme iz Priloge III k novi direktivi o OEEO</w:t>
      </w:r>
    </w:p>
    <w:p>
      <w:pPr>
        <w:pStyle w:val="Heading2"/>
        <w:spacing w:before="360" w:after="0"/>
        <w:ind w:left="851" w:hanging="851"/>
      </w:pPr>
      <w:r>
        <w:t>Uvod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Za pripravo tega poročila, ki ga je treba pripraviti v skladu s členom 7(6) nove direktive o OEEO, je Komisija najela neodvisne svetovalce za pregled ustreznih statističnih podatkov, literature in tehničnih informacij. Z vsemi glavnimi zainteresiranimi stranmi (države članice, panožna združenja, sistemi razširjene odgovornosti proizvajalca, nevladne organizacije in neodvisni strokovnjaki) je opravila posvetovanja, ki so vključevala tudi delavnico.(</w:t>
      </w:r>
      <w:r>
        <w:rPr>
          <w:rStyle w:val="FootnoteReference"/>
          <w:noProof/>
        </w:rPr>
        <w:footnoteReference w:id="9"/>
      </w:r>
      <w:r>
        <w:rPr>
          <w:rFonts w:ascii="Times New Roman" w:hAnsi="Times New Roman"/>
          <w:noProof/>
          <w:sz w:val="24"/>
        </w:rPr>
        <w:t>) Opravljene so bile naslednje naloge:</w:t>
      </w:r>
    </w:p>
    <w:p>
      <w:pPr>
        <w:numPr>
          <w:ilvl w:val="1"/>
          <w:numId w:val="44"/>
        </w:numPr>
        <w:tabs>
          <w:tab w:val="left" w:pos="-480"/>
        </w:tabs>
        <w:spacing w:after="0" w:line="240" w:lineRule="auto"/>
        <w:ind w:left="720"/>
        <w:jc w:val="both"/>
        <w:rPr>
          <w:rFonts w:ascii="Times New Roman" w:hAnsi="Times New Roman"/>
          <w:noProof/>
          <w:sz w:val="24"/>
          <w:szCs w:val="24"/>
        </w:rPr>
      </w:pPr>
      <w:r>
        <w:rPr>
          <w:rFonts w:ascii="Times New Roman" w:hAnsi="Times New Roman"/>
          <w:noProof/>
          <w:sz w:val="24"/>
        </w:rPr>
        <w:t>opis težav, ki bi jih države članice lahko imele pri doseganju ciljnih stopenj zbiranja iz člena 7(1) nove direktive o OEEO;</w:t>
      </w:r>
    </w:p>
    <w:p>
      <w:pPr>
        <w:numPr>
          <w:ilvl w:val="1"/>
          <w:numId w:val="44"/>
        </w:numPr>
        <w:tabs>
          <w:tab w:val="left" w:pos="-480"/>
        </w:tabs>
        <w:spacing w:after="0" w:line="240" w:lineRule="auto"/>
        <w:ind w:left="720"/>
        <w:jc w:val="both"/>
        <w:rPr>
          <w:rFonts w:ascii="Times New Roman" w:hAnsi="Times New Roman"/>
          <w:noProof/>
          <w:sz w:val="24"/>
          <w:szCs w:val="24"/>
        </w:rPr>
      </w:pPr>
      <w:r>
        <w:rPr>
          <w:rFonts w:ascii="Times New Roman" w:hAnsi="Times New Roman"/>
          <w:noProof/>
          <w:sz w:val="24"/>
        </w:rPr>
        <w:t>analiza verjetnega učinka morebitnih sprememb rokov za doseganje ciljnih stopenj zbiranja iz člena 7(1);</w:t>
      </w:r>
    </w:p>
    <w:p>
      <w:pPr>
        <w:numPr>
          <w:ilvl w:val="1"/>
          <w:numId w:val="44"/>
        </w:numPr>
        <w:tabs>
          <w:tab w:val="left" w:pos="-480"/>
        </w:tabs>
        <w:spacing w:after="0" w:line="240" w:lineRule="auto"/>
        <w:ind w:left="720"/>
        <w:jc w:val="both"/>
        <w:rPr>
          <w:rFonts w:ascii="Times New Roman" w:hAnsi="Times New Roman"/>
          <w:noProof/>
          <w:sz w:val="24"/>
          <w:szCs w:val="24"/>
        </w:rPr>
      </w:pPr>
      <w:r>
        <w:rPr>
          <w:rFonts w:ascii="Times New Roman" w:hAnsi="Times New Roman"/>
          <w:noProof/>
          <w:sz w:val="24"/>
        </w:rPr>
        <w:t>analiza verjetnega učinka revizije ciljnih stopenj zbiranja na podlagi količine nastale OEEO, kot je predlagano v členu 7(7);</w:t>
      </w:r>
    </w:p>
    <w:p>
      <w:pPr>
        <w:numPr>
          <w:ilvl w:val="1"/>
          <w:numId w:val="44"/>
        </w:numPr>
        <w:tabs>
          <w:tab w:val="left" w:pos="-480"/>
        </w:tabs>
        <w:spacing w:after="0" w:line="240" w:lineRule="auto"/>
        <w:ind w:left="720"/>
        <w:jc w:val="both"/>
        <w:rPr>
          <w:rFonts w:ascii="Times New Roman" w:hAnsi="Times New Roman"/>
          <w:noProof/>
          <w:sz w:val="24"/>
          <w:szCs w:val="24"/>
        </w:rPr>
      </w:pPr>
      <w:r>
        <w:rPr>
          <w:rFonts w:ascii="Times New Roman" w:hAnsi="Times New Roman"/>
          <w:noProof/>
          <w:sz w:val="24"/>
        </w:rPr>
        <w:t>analiza morebitne določitve posameznih stopenj zbiranja ene ali več kategorij električne in elektronske opreme iz Priloge III k novi direktivi o OEEO in po potrebi predložitve predlogov za ta namen.</w:t>
      </w:r>
    </w:p>
    <w:p>
      <w:pPr>
        <w:spacing w:before="120" w:after="120" w:line="240" w:lineRule="auto"/>
        <w:jc w:val="both"/>
        <w:rPr>
          <w:rFonts w:ascii="Times New Roman" w:hAnsi="Times New Roman"/>
          <w:noProof/>
          <w:sz w:val="24"/>
          <w:szCs w:val="24"/>
        </w:rPr>
      </w:pPr>
      <w:r>
        <w:rPr>
          <w:rFonts w:ascii="Times New Roman" w:hAnsi="Times New Roman"/>
          <w:noProof/>
          <w:sz w:val="24"/>
        </w:rPr>
        <w:t>V nadaljevanju so predstavljene ključne ugotovitve ocene.</w:t>
      </w:r>
    </w:p>
    <w:p>
      <w:pPr>
        <w:pStyle w:val="Heading2"/>
        <w:spacing w:before="480"/>
        <w:ind w:left="851" w:hanging="851"/>
      </w:pPr>
      <w:r>
        <w:t>Ponovna preučitev rokov za doseganje stopenj zbiranja</w:t>
      </w:r>
    </w:p>
    <w:p>
      <w:pPr>
        <w:spacing w:before="120" w:after="120" w:line="240" w:lineRule="auto"/>
        <w:jc w:val="both"/>
        <w:rPr>
          <w:rFonts w:ascii="Times New Roman" w:hAnsi="Times New Roman"/>
          <w:noProof/>
          <w:sz w:val="24"/>
          <w:szCs w:val="24"/>
        </w:rPr>
      </w:pPr>
      <w:r>
        <w:rPr>
          <w:rFonts w:ascii="Times New Roman" w:hAnsi="Times New Roman"/>
          <w:noProof/>
          <w:sz w:val="24"/>
        </w:rPr>
        <w:t>Posvetovanje z glavnimi zainteresiranimi stranmi in ocena stopnje zbiranja, o kateri so države članice poročale za zadnja leta(</w:t>
      </w:r>
      <w:r>
        <w:rPr>
          <w:rStyle w:val="FootnoteReference"/>
          <w:rFonts w:ascii="Times New Roman" w:hAnsi="Times New Roman"/>
          <w:noProof/>
          <w:sz w:val="24"/>
        </w:rPr>
        <w:footnoteReference w:id="10"/>
      </w:r>
      <w:r>
        <w:rPr>
          <w:rFonts w:ascii="Times New Roman" w:hAnsi="Times New Roman"/>
          <w:noProof/>
          <w:sz w:val="24"/>
        </w:rPr>
        <w:t>), kažejo, da bodo imele nekatere države članice morda težave z doseganjem ciljnih stopenj zbiranja za leto 2019. To se bo zgodilo, če se ohranijo trenutna hitrost in prakse zbiranja. Za prepoznavanje držav članic, ki so v nevarnosti, da ne bodo dosegle ciljne stopnje zbiranja OEEO, sta bili upoštevani oddaljenost od cilja in hitrost napredovanja.</w:t>
      </w:r>
    </w:p>
    <w:p>
      <w:pPr>
        <w:spacing w:before="120" w:after="120" w:line="240" w:lineRule="auto"/>
        <w:jc w:val="both"/>
        <w:rPr>
          <w:rFonts w:ascii="Times New Roman" w:hAnsi="Times New Roman"/>
          <w:noProof/>
          <w:sz w:val="24"/>
          <w:szCs w:val="24"/>
        </w:rPr>
      </w:pPr>
      <w:r>
        <w:rPr>
          <w:noProof/>
        </w:rPr>
        <w:t>Težava, o kateri poročajo države članice in ključne zainteresirane strani, je visoka stopnja zbiranja, ki se ne evidentira v statistiki zbiranja OEEO.To zlasti velja, kadar se zbiranje izvaja izven okvira sistemov skladnosti z razširjeno odgovornostjo proizvajalcev ali kadar z OEEO ne ravnajo pooblaščeni izvajalci recikliranja OEEO.Omejene zmožnosti izvrševanja in spremljanja v državah članicah poslabšujejo to stanje.Ugotovljeno je bilo, da so dodatne ovire za dosego ciljev velika raznolika skupina oseb, ki se ukvarjajo z različnimi dejavnostmi ravnanja z OEEO, omejena osveščenost javnosti in nezadostna infrastruktura za zbiranje.</w:t>
      </w:r>
    </w:p>
    <w:p>
      <w:pPr>
        <w:spacing w:before="120" w:after="120" w:line="240" w:lineRule="auto"/>
        <w:jc w:val="both"/>
        <w:rPr>
          <w:rFonts w:ascii="Times New Roman" w:hAnsi="Times New Roman"/>
          <w:noProof/>
          <w:sz w:val="24"/>
          <w:szCs w:val="24"/>
        </w:rPr>
      </w:pPr>
      <w:r>
        <w:rPr>
          <w:rFonts w:ascii="Times New Roman" w:hAnsi="Times New Roman"/>
          <w:noProof/>
          <w:sz w:val="24"/>
        </w:rPr>
        <w:t>Za reševanje težav, ki jih imajo nekatere države članice pri doseganju stopnje zbiranja za leto 2019, sta bili proučeni dve prilagoditvi:</w:t>
      </w:r>
    </w:p>
    <w:p>
      <w:pPr>
        <w:numPr>
          <w:ilvl w:val="0"/>
          <w:numId w:val="26"/>
        </w:numPr>
        <w:spacing w:before="120" w:after="0" w:line="240" w:lineRule="auto"/>
        <w:ind w:left="714" w:hanging="357"/>
        <w:jc w:val="both"/>
        <w:rPr>
          <w:rFonts w:ascii="Times New Roman" w:hAnsi="Times New Roman"/>
          <w:noProof/>
          <w:sz w:val="24"/>
          <w:szCs w:val="24"/>
        </w:rPr>
      </w:pPr>
      <w:r>
        <w:rPr>
          <w:rFonts w:ascii="Times New Roman" w:hAnsi="Times New Roman"/>
          <w:noProof/>
          <w:sz w:val="24"/>
        </w:rPr>
        <w:t>podaljšanje roka, ki je leto 2019, da bodo imele države članice več časa za dosego ciljne stopnje zbiranja, brez poseganja v obstoječa odstopanja(</w:t>
      </w:r>
      <w:r>
        <w:rPr>
          <w:rStyle w:val="FootnoteReference"/>
          <w:rFonts w:ascii="Times New Roman" w:hAnsi="Times New Roman"/>
          <w:noProof/>
          <w:sz w:val="24"/>
        </w:rPr>
        <w:footnoteReference w:id="11"/>
      </w:r>
      <w:r>
        <w:rPr>
          <w:rFonts w:ascii="Times New Roman" w:hAnsi="Times New Roman"/>
          <w:noProof/>
          <w:sz w:val="24"/>
        </w:rPr>
        <w:t>);</w:t>
      </w:r>
    </w:p>
    <w:p>
      <w:pPr>
        <w:numPr>
          <w:ilvl w:val="0"/>
          <w:numId w:val="26"/>
        </w:numPr>
        <w:spacing w:after="120" w:line="240" w:lineRule="auto"/>
        <w:ind w:left="714" w:hanging="357"/>
        <w:jc w:val="both"/>
        <w:rPr>
          <w:rFonts w:ascii="Times New Roman" w:hAnsi="Times New Roman"/>
          <w:noProof/>
          <w:sz w:val="24"/>
          <w:szCs w:val="24"/>
        </w:rPr>
      </w:pPr>
      <w:r>
        <w:rPr>
          <w:rFonts w:ascii="Times New Roman" w:hAnsi="Times New Roman"/>
          <w:noProof/>
          <w:sz w:val="24"/>
        </w:rPr>
        <w:t>znižanje ciljne stopnje zbiranja v višini 85 % nastale OEEO brez spremembe roka.</w:t>
      </w:r>
    </w:p>
    <w:p>
      <w:pPr>
        <w:spacing w:before="120" w:after="120" w:line="240" w:lineRule="auto"/>
        <w:jc w:val="both"/>
        <w:rPr>
          <w:rFonts w:ascii="Times New Roman" w:hAnsi="Times New Roman"/>
          <w:noProof/>
          <w:sz w:val="24"/>
          <w:szCs w:val="24"/>
        </w:rPr>
      </w:pPr>
      <w:r>
        <w:rPr>
          <w:rFonts w:ascii="Times New Roman" w:hAnsi="Times New Roman"/>
          <w:noProof/>
          <w:sz w:val="24"/>
        </w:rPr>
        <w:t>S podaljšanjem roka bi imele države članice več časa za vzpostavitev infrastrukture, potrebne za zbiranje in obdelavo OEEO. To bi lahko storile s povečanjem števila zbirnih mest, optimizacijo logistike med zbirnimi centri in centri za obdelavo, razvojem zmogljivosti za obdelavo dragocenih materialov in največji možni izkoristek ter povečanjem spremljanja toka zbrane opreme. Vendar je ocena učinka, opravljena leta 2008(</w:t>
      </w:r>
      <w:r>
        <w:rPr>
          <w:rStyle w:val="FootnoteReference"/>
          <w:rFonts w:ascii="Times New Roman" w:hAnsi="Times New Roman"/>
          <w:noProof/>
          <w:sz w:val="24"/>
        </w:rPr>
        <w:footnoteReference w:id="12"/>
      </w:r>
      <w:r>
        <w:rPr>
          <w:rFonts w:ascii="Times New Roman" w:hAnsi="Times New Roman"/>
          <w:noProof/>
          <w:sz w:val="24"/>
        </w:rPr>
        <w:t>) za pregled stare direktive o OEEO, pokazala, da je stopnjo zbiranja v višini 65 % za električno in elektronsko opremo, dano na trg, mogoče doseči do leta 2016. Zato podaljšanje trenutnega roka ne bi bilo ustrezno.</w:t>
      </w:r>
    </w:p>
    <w:p>
      <w:pPr>
        <w:spacing w:before="120" w:after="120" w:line="240" w:lineRule="auto"/>
        <w:jc w:val="both"/>
        <w:rPr>
          <w:rFonts w:ascii="Times New Roman" w:hAnsi="Times New Roman"/>
          <w:noProof/>
          <w:sz w:val="24"/>
          <w:szCs w:val="24"/>
        </w:rPr>
      </w:pPr>
      <w:r>
        <w:rPr>
          <w:rFonts w:ascii="Times New Roman" w:hAnsi="Times New Roman"/>
          <w:noProof/>
          <w:sz w:val="24"/>
        </w:rPr>
        <w:t>Kar zadeva morebitno revizijo ciljne stopnje zbiranja v višini 85 % za nastalo OEEO, so bile upoštevane stopnje zbiranja, ki so jih sporočile države članice za zadnja leta, in hitrost napredovanja k doseganju ciljnih stopenj. Ugotovljeno je bilo, da bi morale države članice začeti reševati težavo zaradi neporočanih količin neuradno zbrane OEEO, ker je to pomemben dejavnik pri doseganju cilja. Revizija ciljne stopnje zbiranja brez točnih podatkov o neporočanih količinah OEEO torej ne bi bila ustrezna.(</w:t>
      </w:r>
      <w:r>
        <w:rPr>
          <w:rStyle w:val="FootnoteReference"/>
          <w:rFonts w:ascii="Times New Roman" w:hAnsi="Times New Roman"/>
          <w:noProof/>
          <w:sz w:val="24"/>
        </w:rPr>
        <w:footnoteReference w:id="13"/>
      </w:r>
      <w:r>
        <w:rPr>
          <w:rFonts w:ascii="Times New Roman" w:hAnsi="Times New Roman"/>
          <w:noProof/>
          <w:sz w:val="24"/>
        </w:rPr>
        <w:t>) Podaljšanje roka ali znižanje ciljne stopnje zbiranja bi tudi ogrozilo doseganje ciljev nove direktive o OEEO ter povzročilo znatno izgubo virov in prihodka od recikliranja dragocenih materialov. Vendar bi se z znižanjem ciljne stopnje zbiranja znižali stroški obdelave OEEO. Bilo bi namreč manj OEEO za obdelavo in ta bi lahko vključevala odpadke, ki jih je lažje obdelati in reciklirati. Vendar ni pričakovati, da bi se celotni stroški obdelave zelo razlikovali zaradi stalne potrebe po vlaganju za stalno spremljanje tehnološkega razvoja in ekonomiji obsega, s katero je te stroške mogoče nadomestiti.</w:t>
      </w:r>
    </w:p>
    <w:p>
      <w:pPr>
        <w:spacing w:before="120" w:after="120" w:line="240" w:lineRule="auto"/>
        <w:jc w:val="both"/>
        <w:rPr>
          <w:rFonts w:ascii="Times New Roman" w:hAnsi="Times New Roman"/>
          <w:noProof/>
          <w:sz w:val="24"/>
          <w:szCs w:val="24"/>
        </w:rPr>
      </w:pPr>
      <w:r>
        <w:rPr>
          <w:rFonts w:ascii="Times New Roman" w:hAnsi="Times New Roman"/>
          <w:noProof/>
          <w:sz w:val="24"/>
        </w:rPr>
        <w:t>Z analizo je bilo torej ugotovljeno, da bi se z znižanjem ciljnih stopenj zbiranja ali podaljšanjem roka znatno zmanjšale gospodarske in okoljske koristi. Čeprav je ciljna stopnja zbiranja za leto 2019 ambiciozna, je izvedljiva, če države članice storijo več za postopno reševanje ugotovljenih težav, zlasti v zvezi z neporočanimi količinami OEEO, zbranimi po vseh kanalih, ter pomanjkanjem zmogljivosti za učinkovito izvrševanje in spremljanje. To dokazuje napredek nekaterih držav članic, ki so že dosegle visoke stopnje zbiranja. Nacionalni ukrepi za vzpostavitev dejavnosti v zvezi z ravnanjem z OEEO v celotnem procesu, kot so obvezno poročanje v skladu s členom 16 direktive o OEEO in redna preverjanja, ki jih izvajajo nacionalni organi, so bistveni za dosego cilja.</w:t>
      </w:r>
    </w:p>
    <w:p>
      <w:pPr>
        <w:spacing w:before="120" w:after="120" w:line="240" w:lineRule="auto"/>
        <w:jc w:val="both"/>
        <w:rPr>
          <w:rFonts w:ascii="Times New Roman" w:hAnsi="Times New Roman"/>
          <w:noProof/>
          <w:sz w:val="24"/>
          <w:szCs w:val="24"/>
        </w:rPr>
      </w:pPr>
    </w:p>
    <w:p>
      <w:pPr>
        <w:spacing w:before="120" w:after="120" w:line="240" w:lineRule="auto"/>
        <w:jc w:val="both"/>
        <w:rPr>
          <w:rFonts w:ascii="Times New Roman" w:hAnsi="Times New Roman"/>
          <w:noProof/>
          <w:sz w:val="24"/>
          <w:szCs w:val="24"/>
        </w:rPr>
      </w:pPr>
      <w:r>
        <w:rPr>
          <w:rFonts w:ascii="Times New Roman" w:hAnsi="Times New Roman"/>
          <w:noProof/>
          <w:sz w:val="24"/>
        </w:rPr>
        <w:t>Komisija bo državam članicam zagotovila podporo in smernice pri reševanju vprašanj, ki so razlog za njihove težave pri doseganju ciljev. To bo del usmerjene pobude za spodbujanje držav članic k zagotavljanju skladnosti z direktivo o OEEO, ki se bo začela izvajati hkrati s tem poročilom in bo osredotočena na ključne zahteve nove direktive.</w:t>
      </w:r>
    </w:p>
    <w:p>
      <w:pPr>
        <w:spacing w:before="120" w:after="120" w:line="240" w:lineRule="auto"/>
        <w:jc w:val="both"/>
        <w:rPr>
          <w:noProof/>
        </w:rPr>
      </w:pPr>
      <w:r>
        <w:rPr>
          <w:rFonts w:ascii="Times New Roman" w:hAnsi="Times New Roman"/>
          <w:noProof/>
          <w:sz w:val="24"/>
        </w:rPr>
        <w:t>Na podlagi opravljene ocene Komisija ugotavlja, da ni utemeljenega razloga za revizijo rokov za doseganje obstoječe ciljne stopnje zbiranja iz direktive o OEEO ali za spremembo ciljne stopnje zbiranja na podlagi količine nastale OEEO. Ob tem času, ko bi morali biti osredotočeni na izvajanje nove direktive, bi takšna revizija nove direktive o OEEO povzročila tudi znatno upravno breme.</w:t>
      </w:r>
    </w:p>
    <w:p>
      <w:pPr>
        <w:pStyle w:val="Heading2"/>
        <w:spacing w:before="360"/>
        <w:ind w:left="851" w:hanging="851"/>
      </w:pPr>
      <w:r>
        <w:t>Proučitev morebitne določitve posameznih stopenj zbiranja ene ali več kategorij električne in elektronske opreme</w:t>
      </w:r>
    </w:p>
    <w:p>
      <w:pPr>
        <w:spacing w:after="0" w:line="240" w:lineRule="auto"/>
        <w:jc w:val="both"/>
        <w:rPr>
          <w:rFonts w:ascii="Times New Roman" w:hAnsi="Times New Roman"/>
          <w:noProof/>
          <w:sz w:val="24"/>
          <w:szCs w:val="24"/>
        </w:rPr>
      </w:pPr>
      <w:r>
        <w:rPr>
          <w:rFonts w:ascii="Times New Roman" w:hAnsi="Times New Roman"/>
          <w:noProof/>
          <w:sz w:val="24"/>
        </w:rPr>
        <w:t>Pri ocenjevanju učinkov in izvedljivosti določitve posameznih stopenj zbiranja ene ali več od šestih kategorij električne in elektronske opreme iz Priloge III k novi direktivi o OEEO sta bila preučena dva scenarija. Osnovni scenarij, ki odraža določbe nove direktive, je vključeval določitev splošne ciljne stopnje zbiranja v višini 85 % teže nastale OEEO, ki se bo uporabljala od leta 2019, brez posameznih stopenj zbiranja za posamezno kategorijo električne in elektronske opreme. Predpostavljeno je, da bo splošna ciljna stopnja zbiranja v višini 85 % dosežena predvsem s povečanjem zbiranja težke in lahko dostopne OEEO, ki ima pozitivno ekonomsko vrednost in je cenejša (ali bolj dobičkonosna) za obdelavo. Pri drugem scenariju so bile proučene posamezne ciljne stopnje zbiranja v višini 85 % teže nastale OEEO v posamezni kategoriji električne in elektronske opreme.</w:t>
      </w:r>
    </w:p>
    <w:p>
      <w:pPr>
        <w:spacing w:before="120" w:after="120" w:line="240" w:lineRule="auto"/>
        <w:jc w:val="both"/>
        <w:rPr>
          <w:rFonts w:ascii="Times New Roman" w:hAnsi="Times New Roman"/>
          <w:noProof/>
          <w:sz w:val="24"/>
          <w:szCs w:val="24"/>
        </w:rPr>
      </w:pPr>
      <w:r>
        <w:rPr>
          <w:rFonts w:ascii="Times New Roman" w:hAnsi="Times New Roman"/>
          <w:noProof/>
          <w:sz w:val="24"/>
        </w:rPr>
        <w:t>Namen analize je bil določiti ekonomske in socialne učinke različnih količin OEEO, zbranih v posameznih kategorijah v okviru teh dveh scenarijev, ter njihove vplive na okolje. Ugotovljeno je bilo, da lahko določitev posameznih stopenj zbiranja sicer prinese nekaj gospodarskih, okoljskih in socialnih koristi, vendar je težko sklepati o izvedljivosti določanja takih ciljev na ravni EU. Razmere so po državah članicah različne. V nekaterih primerih je oddaljenost od ciljne stopnje zbiranja v višini 85 % nastale OEEO v posamezni kategoriji znatna. Zainteresirane strani in države članice bi imele tudi dodatne obveznosti (npr. poročanje, spremljanje) ter precej večje upravno breme. Sprememba obstoječega cilja na tej točki bi lahko imela nasprotni učinek in povzročila zmedo.</w:t>
      </w:r>
    </w:p>
    <w:p>
      <w:pPr>
        <w:spacing w:before="120" w:after="120" w:line="240" w:lineRule="auto"/>
        <w:jc w:val="both"/>
        <w:rPr>
          <w:noProof/>
          <w:sz w:val="24"/>
          <w:szCs w:val="24"/>
        </w:rPr>
      </w:pPr>
      <w:r>
        <w:rPr>
          <w:rFonts w:ascii="Times New Roman" w:hAnsi="Times New Roman"/>
          <w:noProof/>
          <w:sz w:val="24"/>
        </w:rPr>
        <w:t>Glede na ključne ugotovitve ocenjevanja Komisija ugotavlja, da v tej fazi ni primerno določiti posameznih stopenj zbiranja v direktivi o OEEO.</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8" w:bottom="1134" w:left="1418"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jc w:val="both"/>
        <w:rPr>
          <w:rFonts w:ascii="Times New Roman" w:hAnsi="Times New Roman"/>
          <w:i/>
        </w:rPr>
      </w:pPr>
      <w:r>
        <w:rPr>
          <w:rStyle w:val="FootnoteReference"/>
          <w:i/>
        </w:rPr>
        <w:footnoteRef/>
      </w:r>
      <w:r>
        <w:rPr>
          <w:i/>
        </w:rPr>
        <w:t xml:space="preserve"> </w:t>
      </w:r>
      <w:r>
        <w:rPr>
          <w:rStyle w:val="Emphasis"/>
          <w:i w:val="0"/>
          <w:sz w:val="18"/>
        </w:rPr>
        <w:t>UL L 197, 24.7.2012, str. 38.</w:t>
      </w:r>
    </w:p>
  </w:footnote>
  <w:footnote w:id="2">
    <w:p>
      <w:pPr>
        <w:pStyle w:val="FootnoteText"/>
        <w:spacing w:after="120" w:line="240" w:lineRule="auto"/>
        <w:jc w:val="both"/>
        <w:rPr>
          <w:rFonts w:ascii="Times New Roman" w:hAnsi="Times New Roman"/>
          <w:b/>
          <w:bCs/>
          <w:sz w:val="18"/>
          <w:szCs w:val="18"/>
        </w:rPr>
      </w:pPr>
      <w:r>
        <w:rPr>
          <w:rStyle w:val="FootnoteReference"/>
          <w:rFonts w:ascii="Arial" w:hAnsi="Arial"/>
          <w:sz w:val="18"/>
        </w:rPr>
        <w:footnoteRef/>
      </w:r>
      <w:r>
        <w:rPr>
          <w:rFonts w:ascii="Arial" w:hAnsi="Arial"/>
          <w:sz w:val="18"/>
        </w:rPr>
        <w:t xml:space="preserve"> </w:t>
      </w:r>
      <w:r>
        <w:rPr>
          <w:rStyle w:val="Emphasis"/>
          <w:i w:val="0"/>
          <w:sz w:val="18"/>
        </w:rPr>
        <w:t xml:space="preserve">Končno poročilo je na voljo na spletni strani Komisije: </w:t>
      </w:r>
      <w:hyperlink r:id="rId1">
        <w:r>
          <w:rPr>
            <w:rStyle w:val="Hyperlink"/>
            <w:rFonts w:ascii="Times New Roman" w:hAnsi="Times New Roman"/>
            <w:sz w:val="18"/>
          </w:rPr>
          <w:t>http://ec.europa.eu/environment/waste/weee/events_weee_en.htm</w:t>
        </w:r>
      </w:hyperlink>
      <w:r>
        <w:rPr>
          <w:rStyle w:val="Emphasis"/>
          <w:i w:val="0"/>
          <w:sz w:val="18"/>
        </w:rPr>
        <w:t>.</w:t>
      </w:r>
    </w:p>
  </w:footnote>
  <w:footnote w:id="3">
    <w:p>
      <w:pPr>
        <w:pStyle w:val="FootnoteText"/>
        <w:spacing w:after="120" w:line="240" w:lineRule="auto"/>
        <w:jc w:val="both"/>
      </w:pPr>
      <w:r>
        <w:rPr>
          <w:rStyle w:val="FootnoteReference"/>
        </w:rPr>
        <w:footnoteRef/>
      </w:r>
      <w:r>
        <w:t xml:space="preserve"> </w:t>
      </w:r>
      <w:r>
        <w:rPr>
          <w:rFonts w:ascii="Times New Roman" w:hAnsi="Times New Roman"/>
          <w:sz w:val="18"/>
        </w:rPr>
        <w:t>Direktiva 2011/65/EU o omejevanju uporabe nekaterih nevarnih snovi v električni in elektronski opremi (UL L 174, 1.7.2011, str. 88).</w:t>
      </w:r>
    </w:p>
  </w:footnote>
  <w:footnote w:id="4">
    <w:p>
      <w:pPr>
        <w:pStyle w:val="FootnoteText"/>
        <w:spacing w:after="0" w:line="240" w:lineRule="auto"/>
        <w:jc w:val="both"/>
        <w:rPr>
          <w:rFonts w:ascii="Times New Roman" w:hAnsi="Times New Roman"/>
          <w:bCs/>
          <w:i/>
          <w:iCs/>
          <w:sz w:val="18"/>
          <w:szCs w:val="18"/>
        </w:rPr>
      </w:pPr>
      <w:r>
        <w:rPr>
          <w:rStyle w:val="FootnoteReference"/>
        </w:rPr>
        <w:footnoteRef/>
      </w:r>
      <w:r>
        <w:rPr>
          <w:rStyle w:val="FootnoteReference"/>
        </w:rPr>
        <w:t xml:space="preserve"> </w:t>
      </w:r>
      <w:r>
        <w:rPr>
          <w:rFonts w:ascii="Times New Roman" w:hAnsi="Times New Roman"/>
          <w:sz w:val="18"/>
        </w:rPr>
        <w:t>Na primer, razgovori s strokovnjaki iz držav članic (npr. ADEME – francoska agencija za okolje in francosko ministrstvo za okolje), strokovnjaki iz združenja za sisteme razširjene odgovornosti proizvajalca (tj. WEEE Forum), strokovnjaki iz evropske mreže registrov OEEO (European WEEE Registers Network) in zainteresirane strani, specializirane za skupine proizvodov, na katere je bila študija osredotočena (zlasti gospodinjska razsvetljava, vrtna oprema in električna kolesa).</w:t>
      </w:r>
    </w:p>
  </w:footnote>
  <w:footnote w:id="5">
    <w:p>
      <w:pPr>
        <w:pStyle w:val="FootnoteText"/>
        <w:spacing w:after="120" w:line="240" w:lineRule="auto"/>
        <w:jc w:val="both"/>
      </w:pPr>
      <w:r>
        <w:rPr>
          <w:rStyle w:val="FootnoteReference"/>
        </w:rPr>
        <w:footnoteRef/>
      </w:r>
      <w:r>
        <w:t xml:space="preserve"> </w:t>
      </w:r>
      <w:r>
        <w:rPr>
          <w:rStyle w:val="Emphasis"/>
          <w:i w:val="0"/>
          <w:sz w:val="18"/>
        </w:rPr>
        <w:t>Stara direktiva o OEEO se je uporabljala za naslednje kategorije električne in elektronske opreme: 1) velike gospodinjske aparate, 2) male gospodinjske aparate, 3) opremo za IT in telekomunikacije, 4) opremo za zabavno elektroniko, 5) opremo za razsvetljavo, 6) električno in elektronsko orodje (razen velikih nepremičnih industrijskih orodij), 7) igrače, opremo za prosti čas in šport, 8) medicinske pripomočke (razen vseh vsajenih in inficiranih proizvodov), 9) instrumente za spremljanje in nadzor ter 10) avtomate.</w:t>
      </w:r>
    </w:p>
  </w:footnote>
  <w:footnote w:id="6">
    <w:p>
      <w:pPr>
        <w:pStyle w:val="FootnoteText"/>
        <w:spacing w:after="120" w:line="240" w:lineRule="auto"/>
        <w:rPr>
          <w:rStyle w:val="FootnoteReference"/>
          <w:iCs/>
        </w:rPr>
      </w:pPr>
      <w:r>
        <w:rPr>
          <w:rStyle w:val="FootnoteReference"/>
        </w:rPr>
        <w:footnoteRef/>
      </w:r>
      <w:r>
        <w:rPr>
          <w:rStyle w:val="FootnoteReference"/>
        </w:rPr>
        <w:t xml:space="preserve"> </w:t>
      </w:r>
      <w:r>
        <w:rPr>
          <w:rStyle w:val="Emphasis"/>
          <w:i w:val="0"/>
          <w:sz w:val="18"/>
          <w:szCs w:val="18"/>
        </w:rPr>
        <w:t xml:space="preserve">Študija o fotonapetostnih panelih: dopolnitev ocene učinka za prenovitev direktive o OEEO (2011).Končno poročilo je objavljeno na spletnem naslovu: </w:t>
      </w:r>
      <w:hyperlink r:id="rId2">
        <w:r>
          <w:rPr>
            <w:rStyle w:val="Hyperlink"/>
            <w:rFonts w:ascii="Times New Roman" w:hAnsi="Times New Roman"/>
            <w:sz w:val="18"/>
          </w:rPr>
          <w:t>http://ec.europa.eu/environment/waste/weee/pdf/Study%20on%20PVs%20Bio%20final.pdf</w:t>
        </w:r>
      </w:hyperlink>
      <w:r>
        <w:rPr>
          <w:rFonts w:ascii="Times New Roman" w:hAnsi="Times New Roman"/>
          <w:sz w:val="18"/>
        </w:rPr>
        <w:t>.</w:t>
      </w:r>
    </w:p>
  </w:footnote>
  <w:footnote w:id="7">
    <w:p>
      <w:pPr>
        <w:pStyle w:val="FootnoteText"/>
        <w:spacing w:after="12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Te kategorije so: 1) oprema za toplotno izmenjavo, 2) zasloni, monitorji in oprema z zasloni, katerih površina je večja od 100 cm</w:t>
      </w:r>
      <w:r>
        <w:rPr>
          <w:rFonts w:ascii="Times New Roman" w:hAnsi="Times New Roman"/>
          <w:sz w:val="18"/>
          <w:vertAlign w:val="superscript"/>
        </w:rPr>
        <w:t>2</w:t>
      </w:r>
      <w:r>
        <w:rPr>
          <w:rFonts w:ascii="Times New Roman" w:hAnsi="Times New Roman"/>
          <w:sz w:val="18"/>
        </w:rPr>
        <w:t>, 3) sijalke, 4) velika oprema (katera koli zunanja dimenzija večja od 50 cm), 5) majhna oprema (nobena zunanja dimenzija ni večja od 50 cm), 6) majhna oprema za IT in telekomunikacije (nobena zunanja dimenzija ni večja od 50 cm).</w:t>
      </w:r>
    </w:p>
  </w:footnote>
  <w:footnote w:id="8">
    <w:p>
      <w:pPr>
        <w:pStyle w:val="FootnoteText"/>
        <w:spacing w:after="0" w:line="240" w:lineRule="auto"/>
        <w:rPr>
          <w:rStyle w:val="Emphasis"/>
          <w:sz w:val="18"/>
          <w:szCs w:val="18"/>
        </w:rPr>
      </w:pPr>
      <w:r>
        <w:rPr>
          <w:rStyle w:val="FootnoteReference"/>
        </w:rPr>
        <w:footnoteRef/>
      </w:r>
      <w:r>
        <w:t xml:space="preserve"> </w:t>
      </w:r>
      <w:r>
        <w:rPr>
          <w:rStyle w:val="Emphasis"/>
          <w:i w:val="0"/>
          <w:sz w:val="18"/>
        </w:rPr>
        <w:t>COM(2011) 478 final (11. avgust 2011).</w:t>
      </w:r>
    </w:p>
  </w:footnote>
  <w:footnote w:id="9">
    <w:p>
      <w:pPr>
        <w:pStyle w:val="FootnoteText"/>
        <w:spacing w:after="120" w:line="240" w:lineRule="auto"/>
        <w:rPr>
          <w:rStyle w:val="Emphasis"/>
          <w:i w:val="0"/>
          <w:sz w:val="18"/>
          <w:szCs w:val="18"/>
        </w:rPr>
      </w:pPr>
      <w:r>
        <w:rPr>
          <w:rStyle w:val="FootnoteReference"/>
          <w:rFonts w:ascii="Times New Roman" w:hAnsi="Times New Roman"/>
          <w:sz w:val="18"/>
        </w:rPr>
        <w:footnoteRef/>
      </w:r>
      <w:r>
        <w:rPr>
          <w:rFonts w:ascii="Times New Roman" w:hAnsi="Times New Roman"/>
          <w:sz w:val="18"/>
        </w:rPr>
        <w:t xml:space="preserve"> </w:t>
      </w:r>
      <w:r>
        <w:rPr>
          <w:rStyle w:val="Emphasis"/>
          <w:i w:val="0"/>
          <w:sz w:val="18"/>
        </w:rPr>
        <w:t>Študija o stopnjah zbiranja OEEO:</w:t>
      </w:r>
      <w:r>
        <w:rPr>
          <w:rFonts w:ascii="Times New Roman" w:hAnsi="Times New Roman"/>
          <w:sz w:val="18"/>
        </w:rPr>
        <w:t xml:space="preserve"> </w:t>
      </w:r>
      <w:hyperlink r:id="rId3">
        <w:r>
          <w:rPr>
            <w:rStyle w:val="Hyperlink"/>
            <w:rFonts w:ascii="Times New Roman" w:hAnsi="Times New Roman"/>
            <w:sz w:val="18"/>
          </w:rPr>
          <w:t>http://ec.europa.eu/environment/waste/weee/events_weee_en.htm</w:t>
        </w:r>
      </w:hyperlink>
      <w:r>
        <w:rPr>
          <w:rStyle w:val="Emphasis"/>
          <w:i w:val="0"/>
          <w:sz w:val="18"/>
        </w:rPr>
        <w:t>.</w:t>
      </w:r>
    </w:p>
  </w:footnote>
  <w:footnote w:id="10">
    <w:p>
      <w:pPr>
        <w:pStyle w:val="FootnoteText"/>
        <w:spacing w:after="120" w:line="240" w:lineRule="auto"/>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4">
        <w:r>
          <w:rPr>
            <w:rStyle w:val="Hyperlink"/>
            <w:rFonts w:ascii="Times New Roman" w:hAnsi="Times New Roman"/>
            <w:sz w:val="18"/>
          </w:rPr>
          <w:t>http://ec.europa.eu/eurostat/web/waste/key-waste-streams/weee</w:t>
        </w:r>
      </w:hyperlink>
      <w:r>
        <w:rPr>
          <w:rFonts w:ascii="Times New Roman" w:hAnsi="Times New Roman"/>
          <w:sz w:val="18"/>
        </w:rPr>
        <w:t>.</w:t>
      </w:r>
    </w:p>
  </w:footnote>
  <w:footnote w:id="11">
    <w:p>
      <w:pPr>
        <w:pStyle w:val="FootnoteText"/>
        <w:spacing w:after="0" w:line="240" w:lineRule="auto"/>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Ker Bolgarija, Češka, Latvija, Litva, Madžarska, Malta, Poljska, Romunija, Slovenija in Slovaška nimajo potrebne infrastrukture in imajo nizko stopnjo porabe električne in elektronske opreme, se lahko v skladu s členom 7(3) z odstopanjem odločijo:</w:t>
      </w:r>
    </w:p>
    <w:p>
      <w:pPr>
        <w:pStyle w:val="FootnoteText"/>
        <w:numPr>
          <w:ilvl w:val="0"/>
          <w:numId w:val="49"/>
        </w:numPr>
        <w:spacing w:after="0" w:line="240" w:lineRule="auto"/>
        <w:jc w:val="both"/>
        <w:rPr>
          <w:rFonts w:ascii="Times New Roman" w:hAnsi="Times New Roman"/>
          <w:sz w:val="18"/>
          <w:szCs w:val="18"/>
        </w:rPr>
      </w:pPr>
      <w:r>
        <w:rPr>
          <w:rFonts w:ascii="Times New Roman" w:hAnsi="Times New Roman"/>
          <w:sz w:val="18"/>
        </w:rPr>
        <w:t>od 14. avgusta 2016 doseči nižjo stopnjo od 45 %, vendar višjo od 40 % povprečne teže električne in elektronske opreme, dane na trg v treh predhodnih letih, in</w:t>
      </w:r>
    </w:p>
    <w:p>
      <w:pPr>
        <w:pStyle w:val="FootnoteText"/>
        <w:numPr>
          <w:ilvl w:val="0"/>
          <w:numId w:val="49"/>
        </w:numPr>
        <w:spacing w:after="0" w:line="240" w:lineRule="auto"/>
        <w:jc w:val="both"/>
        <w:rPr>
          <w:rFonts w:ascii="Times New Roman" w:hAnsi="Times New Roman"/>
          <w:sz w:val="18"/>
          <w:szCs w:val="18"/>
        </w:rPr>
      </w:pPr>
      <w:r>
        <w:rPr>
          <w:rFonts w:ascii="Times New Roman" w:hAnsi="Times New Roman"/>
          <w:sz w:val="18"/>
        </w:rPr>
        <w:t>odložiti doseganje ciljne stopnje zbiranja za leto 2019 do datuma po lastni izbiri, vendar najpozneje do 14. avgusta 2021.</w:t>
      </w:r>
    </w:p>
    <w:p>
      <w:pPr>
        <w:pStyle w:val="FootnoteText"/>
        <w:spacing w:after="120" w:line="240" w:lineRule="auto"/>
        <w:jc w:val="both"/>
        <w:rPr>
          <w:rFonts w:ascii="Times New Roman" w:hAnsi="Times New Roman"/>
          <w:sz w:val="18"/>
          <w:szCs w:val="18"/>
        </w:rPr>
      </w:pPr>
      <w:r>
        <w:rPr>
          <w:rFonts w:ascii="Times New Roman" w:hAnsi="Times New Roman"/>
          <w:sz w:val="18"/>
        </w:rPr>
        <w:t>Češka, Latvija, Poljska, Romunija, Slovaška in Slovenija so to odstopanje uporabile.</w:t>
      </w:r>
    </w:p>
  </w:footnote>
  <w:footnote w:id="12">
    <w:p>
      <w:pPr>
        <w:spacing w:after="120" w:line="240" w:lineRule="auto"/>
        <w:jc w:val="both"/>
        <w:rPr>
          <w:rFonts w:ascii="Times New Roman" w:hAnsi="Times New Roman"/>
          <w:sz w:val="18"/>
          <w:szCs w:val="18"/>
          <w:lang w:val="sv-SE"/>
        </w:rPr>
      </w:pPr>
      <w:r>
        <w:rPr>
          <w:rStyle w:val="FootnoteReference"/>
          <w:rFonts w:ascii="Times New Roman" w:hAnsi="Times New Roman"/>
          <w:sz w:val="18"/>
        </w:rPr>
        <w:footnoteRef/>
      </w:r>
      <w:r>
        <w:rPr>
          <w:rFonts w:ascii="Times New Roman" w:hAnsi="Times New Roman"/>
          <w:sz w:val="18"/>
        </w:rPr>
        <w:t xml:space="preserve"> Ocena učinka predlagane direktive o odpadni električni in elektronski opremi (december 2008) (SEC(2008) 2933).</w:t>
      </w:r>
    </w:p>
  </w:footnote>
  <w:footnote w:id="13">
    <w:p>
      <w:pPr>
        <w:pStyle w:val="FootnoteText"/>
        <w:spacing w:after="0" w:line="240" w:lineRule="auto"/>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V skladu s členom 16(4) države članice zbirajo informacije o količinah in kategorijah električne in elektronske opreme, dane na njihove trge in zbrane po vseh kanalih. Zato države članice zbirajo informacije o OEEO, zbrani na vse načine.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127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2">
    <w:nsid w:val="0E533045"/>
    <w:multiLevelType w:val="hybridMultilevel"/>
    <w:tmpl w:val="077EC450"/>
    <w:lvl w:ilvl="0" w:tplc="28AA7C44">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B2648C"/>
    <w:multiLevelType w:val="hybridMultilevel"/>
    <w:tmpl w:val="B10A5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3C78B8"/>
    <w:multiLevelType w:val="multilevel"/>
    <w:tmpl w:val="634E0C06"/>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nsid w:val="29962CBF"/>
    <w:multiLevelType w:val="hybridMultilevel"/>
    <w:tmpl w:val="C6F095A6"/>
    <w:lvl w:ilvl="0" w:tplc="28AA7C44">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CC3B58"/>
    <w:multiLevelType w:val="hybridMultilevel"/>
    <w:tmpl w:val="D0FCE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AD41693"/>
    <w:multiLevelType w:val="hybridMultilevel"/>
    <w:tmpl w:val="8158A3C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E5A4321"/>
    <w:multiLevelType w:val="hybridMultilevel"/>
    <w:tmpl w:val="2D184998"/>
    <w:lvl w:ilvl="0" w:tplc="08090001">
      <w:start w:val="1"/>
      <w:numFmt w:val="bullet"/>
      <w:lvlText w:val=""/>
      <w:lvlJc w:val="left"/>
      <w:pPr>
        <w:ind w:left="-60" w:hanging="360"/>
      </w:pPr>
      <w:rPr>
        <w:rFonts w:ascii="Symbol" w:hAnsi="Symbol"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9">
    <w:nsid w:val="405367C7"/>
    <w:multiLevelType w:val="hybridMultilevel"/>
    <w:tmpl w:val="FB42B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830D1D"/>
    <w:multiLevelType w:val="hybridMultilevel"/>
    <w:tmpl w:val="BC34A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7548EC"/>
    <w:multiLevelType w:val="hybridMultilevel"/>
    <w:tmpl w:val="72824204"/>
    <w:lvl w:ilvl="0" w:tplc="28AA7C4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ADC0B8D"/>
    <w:multiLevelType w:val="hybridMultilevel"/>
    <w:tmpl w:val="9308072C"/>
    <w:lvl w:ilvl="0" w:tplc="BDA4B2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DE0758"/>
    <w:multiLevelType w:val="hybridMultilevel"/>
    <w:tmpl w:val="C54479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140A1A"/>
    <w:multiLevelType w:val="hybridMultilevel"/>
    <w:tmpl w:val="936043FA"/>
    <w:lvl w:ilvl="0" w:tplc="0809001B">
      <w:start w:val="1"/>
      <w:numFmt w:val="lowerRoman"/>
      <w:lvlText w:val="%1."/>
      <w:lvlJc w:val="righ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15">
    <w:nsid w:val="51BD10B4"/>
    <w:multiLevelType w:val="hybridMultilevel"/>
    <w:tmpl w:val="FED4AFBC"/>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5FC70B6"/>
    <w:multiLevelType w:val="hybridMultilevel"/>
    <w:tmpl w:val="9A98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472D38"/>
    <w:multiLevelType w:val="hybridMultilevel"/>
    <w:tmpl w:val="8CE6E60E"/>
    <w:lvl w:ilvl="0" w:tplc="28AA7C4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A12FA4"/>
    <w:multiLevelType w:val="multilevel"/>
    <w:tmpl w:val="1602AF8C"/>
    <w:name w:val="Heading"/>
    <w:lvl w:ilvl="0">
      <w:start w:val="1"/>
      <w:numFmt w:val="decimal"/>
      <w:lvlRestart w:val="0"/>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581AC1"/>
    <w:multiLevelType w:val="hybridMultilevel"/>
    <w:tmpl w:val="12AE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44742A"/>
    <w:multiLevelType w:val="hybridMultilevel"/>
    <w:tmpl w:val="906C1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035D51"/>
    <w:multiLevelType w:val="hybridMultilevel"/>
    <w:tmpl w:val="832C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7339D1"/>
    <w:multiLevelType w:val="hybridMultilevel"/>
    <w:tmpl w:val="29865154"/>
    <w:lvl w:ilvl="0" w:tplc="BDA4B2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FC36D4"/>
    <w:multiLevelType w:val="hybridMultilevel"/>
    <w:tmpl w:val="936043FA"/>
    <w:lvl w:ilvl="0" w:tplc="0809001B">
      <w:start w:val="1"/>
      <w:numFmt w:val="lowerRoman"/>
      <w:lvlText w:val="%1."/>
      <w:lvlJc w:val="righ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num w:numId="1">
    <w:abstractNumId w:val="1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
  </w:num>
  <w:num w:numId="25">
    <w:abstractNumId w:val="6"/>
  </w:num>
  <w:num w:numId="26">
    <w:abstractNumId w:val="13"/>
  </w:num>
  <w:num w:numId="27">
    <w:abstractNumId w:val="18"/>
  </w:num>
  <w:num w:numId="28">
    <w:abstractNumId w:val="20"/>
  </w:num>
  <w:num w:numId="29">
    <w:abstractNumId w:val="3"/>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0"/>
  </w:num>
  <w:num w:numId="42">
    <w:abstractNumId w:val="18"/>
  </w:num>
  <w:num w:numId="43">
    <w:abstractNumId w:val="15"/>
  </w:num>
  <w:num w:numId="44">
    <w:abstractNumId w:val="7"/>
  </w:num>
  <w:num w:numId="45">
    <w:abstractNumId w:val="23"/>
  </w:num>
  <w:num w:numId="46">
    <w:abstractNumId w:val="18"/>
  </w:num>
  <w:num w:numId="47">
    <w:abstractNumId w:val="18"/>
  </w:num>
  <w:num w:numId="48">
    <w:abstractNumId w:val="18"/>
  </w:num>
  <w:num w:numId="49">
    <w:abstractNumId w:val="12"/>
  </w:num>
  <w:num w:numId="50">
    <w:abstractNumId w:val="22"/>
  </w:num>
  <w:num w:numId="51">
    <w:abstractNumId w:val="16"/>
  </w:num>
  <w:num w:numId="52">
    <w:abstractNumId w:val="10"/>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121C6F3834E4845ADB7BC05414211E0"/>
    <w:docVar w:name="LW_CROSSREFERENCE" w:val="&lt;UNUSED&gt;"/>
    <w:docVar w:name="LW_DocType" w:val="NORMAL"/>
    <w:docVar w:name="LW_EMISSION" w:val="18.4.2017"/>
    <w:docVar w:name="LW_EMISSION_ISODATE" w:val="2017-04-18"/>
    <w:docVar w:name="LW_EMISSION_LOCATION" w:val="BRX"/>
    <w:docVar w:name="LW_EMISSION_PREFIX" w:val="Bruselj, "/>
    <w:docVar w:name="LW_EMISSION_SUFFIX" w:val=" "/>
    <w:docVar w:name="LW_ID_DOCTYPE_NONLW" w:val="CP-006"/>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7) 171"/>
    <w:docVar w:name="LW_REF.INTERNE" w:val="&lt;UNUSED&gt;"/>
    <w:docVar w:name="LW_SOUS.TITRE.OBJ.CP" w:val="&lt;UNUSED&gt;"/>
    <w:docVar w:name="LW_SUPERTITRE" w:val="&lt;UNUSED&gt;"/>
    <w:docVar w:name="LW_TITRE.OBJ.CP" w:val="o pregledu podro\u269?ja uporabe Direktive 2012/19/EU o odpadni elektri\u269?ni in elektronski opremi (nova direktiva o OEEO)_x000b_in_x000b_o ponovni prou\u269?itvi rokov za dosego ciljnih stopenj zbiranja iz \u269?lena 7(1) nove direktive o OEEO in morebitni dolo\u269?itvi posameznih stopenj zbiranja ene ali ve\u269? kategorij elektri\u269?ne in elektronske opreme iz Priloge III k Direktivi"/>
    <w:docVar w:name="LW_TYPE.DOC.CP" w:val="PORO\u268?ILO KOMISIJE EVROPSKEMU PARLAMENTU IN SVETU"/>
    <w:docVar w:name="Stamp" w:val="\\dossiers.dgt.cec.eu.int\dossiers\ENV\ENV-2016-00684\ENV-2016-00684-00-01-EN-REV-00.201609281058289339339.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360" w:after="120" w:line="240" w:lineRule="auto"/>
      <w:ind w:left="284" w:hanging="284"/>
      <w:jc w:val="both"/>
      <w:outlineLvl w:val="0"/>
    </w:pPr>
    <w:rPr>
      <w:rFonts w:ascii="Times New Roman" w:eastAsia="Times New Roman" w:hAnsi="Times New Roman"/>
      <w:b/>
      <w:bCs/>
      <w:smallCaps/>
      <w:noProof/>
      <w:sz w:val="24"/>
      <w:szCs w:val="28"/>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b/>
      <w:bCs/>
      <w:noProof/>
      <w:sz w:val="24"/>
      <w:szCs w:val="26"/>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sl-S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sl-SI"/>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Times New Roman" w:eastAsia="Times New Roman" w:hAnsi="Times New Roman"/>
      <w:b/>
      <w:bCs/>
      <w:smallCaps/>
      <w:noProof/>
      <w:sz w:val="24"/>
      <w:szCs w:val="28"/>
    </w:rPr>
  </w:style>
  <w:style w:type="character" w:customStyle="1" w:styleId="Heading2Char">
    <w:name w:val="Heading 2 Char"/>
    <w:link w:val="Heading2"/>
    <w:uiPriority w:val="9"/>
    <w:rPr>
      <w:rFonts w:ascii="Times New Roman" w:eastAsia="Times New Roman" w:hAnsi="Times New Roman"/>
      <w:b/>
      <w:bCs/>
      <w:noProof/>
      <w:sz w:val="24"/>
      <w:szCs w:val="26"/>
      <w:lang w:eastAsia="sl-SI"/>
    </w:rPr>
  </w:style>
  <w:style w:type="character" w:customStyle="1" w:styleId="Heading3Char">
    <w:name w:val="Heading 3 Char"/>
    <w:link w:val="Heading3"/>
    <w:uiPriority w:val="9"/>
    <w:rPr>
      <w:rFonts w:ascii="Times New Roman" w:eastAsia="Times New Roman" w:hAnsi="Times New Roman"/>
      <w:bCs/>
      <w:i/>
      <w:sz w:val="24"/>
      <w:szCs w:val="22"/>
      <w:lang w:eastAsia="sl-SI"/>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paragraph" w:styleId="FootnoteText">
    <w:name w:val="footnote text"/>
    <w:basedOn w:val="Normal"/>
    <w:unhideWhenUsed/>
    <w:rPr>
      <w:sz w:val="20"/>
      <w:szCs w:val="20"/>
    </w:rPr>
  </w:style>
  <w:style w:type="character" w:customStyle="1" w:styleId="FootnoteTextChar">
    <w:name w:val="Footnote Text Char"/>
    <w:rPr>
      <w:lang w:eastAsia="sl-SI"/>
    </w:rPr>
  </w:style>
  <w:style w:type="character" w:styleId="FootnoteReference">
    <w:name w:val="footnote reference"/>
    <w:aliases w:val="EN Footnote Reference,Times 10 Point,Exposant 3 Point,Footnote symbol,Footnote reference number,note TESI,stylish"/>
    <w:uiPriority w:val="99"/>
    <w:unhideWhenUsed/>
    <w:rPr>
      <w:shd w:val="clear" w:color="auto" w:fill="auto"/>
      <w:vertAlign w:val="superscript"/>
    </w:rPr>
  </w:style>
  <w:style w:type="paragraph" w:customStyle="1" w:styleId="Point0number">
    <w:name w:val="Point 0 (number)"/>
    <w:basedOn w:val="Normal"/>
    <w:pPr>
      <w:numPr>
        <w:numId w:val="2"/>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
      </w:numPr>
      <w:spacing w:before="120" w:after="120" w:line="240" w:lineRule="auto"/>
      <w:jc w:val="both"/>
    </w:pPr>
    <w:rPr>
      <w:rFonts w:ascii="Times New Roman" w:eastAsia="Times New Roman" w:hAnsi="Times New Roman"/>
      <w:sz w:val="24"/>
    </w:rPr>
  </w:style>
  <w:style w:type="character" w:styleId="Emphasis">
    <w:name w:val="Emphasis"/>
    <w:uiPriority w:val="20"/>
    <w:qFormat/>
    <w:rPr>
      <w:rFonts w:ascii="Times New Roman" w:hAnsi="Times New Roman" w:cs="Times New Roman" w:hint="default"/>
      <w:i/>
      <w:iCs/>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sz w:val="24"/>
      <w:szCs w:val="24"/>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Corbel" w:hAnsi="Corbel" w:cs="Corbel"/>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l-SI"/>
    </w:rPr>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l-SI"/>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sl-SI"/>
    </w:rPr>
  </w:style>
  <w:style w:type="paragraph" w:customStyle="1" w:styleId="ColorfulShading-Accent11">
    <w:name w:val="Colorful Shading - Accent 11"/>
    <w:hidden/>
    <w:uiPriority w:val="99"/>
    <w:semiHidden/>
    <w:rPr>
      <w:sz w:val="22"/>
      <w:szCs w:val="22"/>
    </w:rPr>
  </w:style>
  <w:style w:type="paragraph" w:customStyle="1" w:styleId="ColorfulList-Accent11">
    <w:name w:val="Colorful List - Accent 11"/>
    <w:basedOn w:val="Normal"/>
    <w:uiPriority w:val="34"/>
    <w:qFormat/>
    <w:pPr>
      <w:ind w:left="720"/>
    </w:pPr>
  </w:style>
  <w:style w:type="paragraph" w:styleId="ListNumber">
    <w:name w:val="List Number"/>
    <w:aliases w:val="List Number Justified"/>
    <w:basedOn w:val="Normal"/>
    <w:pPr>
      <w:numPr>
        <w:numId w:val="24"/>
      </w:numPr>
      <w:spacing w:after="0" w:line="240" w:lineRule="auto"/>
      <w:jc w:val="both"/>
    </w:pPr>
    <w:rPr>
      <w:rFonts w:ascii="Verdana" w:eastAsia="Times New Roman" w:hAnsi="Verdana"/>
      <w:color w:val="333333"/>
      <w:sz w:val="20"/>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sl-SI"/>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styleId="Revision">
    <w:name w:val="Revision"/>
    <w:hidden/>
    <w:uiPriority w:val="71"/>
    <w:rPr>
      <w:sz w:val="22"/>
      <w:szCs w:val="22"/>
    </w:rPr>
  </w:style>
  <w:style w:type="paragraph" w:customStyle="1" w:styleId="norm">
    <w:name w:val="norm"/>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boldface">
    <w:name w:val="boldface"/>
    <w:basedOn w:val="DefaultParagraphFont"/>
  </w:style>
  <w:style w:type="paragraph" w:customStyle="1" w:styleId="List1">
    <w:name w:val="List1"/>
    <w:basedOn w:val="Normal"/>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360" w:after="120" w:line="240" w:lineRule="auto"/>
      <w:ind w:left="284" w:hanging="284"/>
      <w:jc w:val="both"/>
      <w:outlineLvl w:val="0"/>
    </w:pPr>
    <w:rPr>
      <w:rFonts w:ascii="Times New Roman" w:eastAsia="Times New Roman" w:hAnsi="Times New Roman"/>
      <w:b/>
      <w:bCs/>
      <w:smallCaps/>
      <w:noProof/>
      <w:sz w:val="24"/>
      <w:szCs w:val="28"/>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b/>
      <w:bCs/>
      <w:noProof/>
      <w:sz w:val="24"/>
      <w:szCs w:val="26"/>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sl-S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sl-SI"/>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Times New Roman" w:eastAsia="Times New Roman" w:hAnsi="Times New Roman"/>
      <w:b/>
      <w:bCs/>
      <w:smallCaps/>
      <w:noProof/>
      <w:sz w:val="24"/>
      <w:szCs w:val="28"/>
    </w:rPr>
  </w:style>
  <w:style w:type="character" w:customStyle="1" w:styleId="Heading2Char">
    <w:name w:val="Heading 2 Char"/>
    <w:link w:val="Heading2"/>
    <w:uiPriority w:val="9"/>
    <w:rPr>
      <w:rFonts w:ascii="Times New Roman" w:eastAsia="Times New Roman" w:hAnsi="Times New Roman"/>
      <w:b/>
      <w:bCs/>
      <w:noProof/>
      <w:sz w:val="24"/>
      <w:szCs w:val="26"/>
      <w:lang w:eastAsia="sl-SI"/>
    </w:rPr>
  </w:style>
  <w:style w:type="character" w:customStyle="1" w:styleId="Heading3Char">
    <w:name w:val="Heading 3 Char"/>
    <w:link w:val="Heading3"/>
    <w:uiPriority w:val="9"/>
    <w:rPr>
      <w:rFonts w:ascii="Times New Roman" w:eastAsia="Times New Roman" w:hAnsi="Times New Roman"/>
      <w:bCs/>
      <w:i/>
      <w:sz w:val="24"/>
      <w:szCs w:val="22"/>
      <w:lang w:eastAsia="sl-SI"/>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paragraph" w:styleId="FootnoteText">
    <w:name w:val="footnote text"/>
    <w:basedOn w:val="Normal"/>
    <w:unhideWhenUsed/>
    <w:rPr>
      <w:sz w:val="20"/>
      <w:szCs w:val="20"/>
    </w:rPr>
  </w:style>
  <w:style w:type="character" w:customStyle="1" w:styleId="FootnoteTextChar">
    <w:name w:val="Footnote Text Char"/>
    <w:rPr>
      <w:lang w:eastAsia="sl-SI"/>
    </w:rPr>
  </w:style>
  <w:style w:type="character" w:styleId="FootnoteReference">
    <w:name w:val="footnote reference"/>
    <w:aliases w:val="EN Footnote Reference,Times 10 Point,Exposant 3 Point,Footnote symbol,Footnote reference number,note TESI,stylish"/>
    <w:uiPriority w:val="99"/>
    <w:unhideWhenUsed/>
    <w:rPr>
      <w:shd w:val="clear" w:color="auto" w:fill="auto"/>
      <w:vertAlign w:val="superscript"/>
    </w:rPr>
  </w:style>
  <w:style w:type="paragraph" w:customStyle="1" w:styleId="Point0number">
    <w:name w:val="Point 0 (number)"/>
    <w:basedOn w:val="Normal"/>
    <w:pPr>
      <w:numPr>
        <w:numId w:val="2"/>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
      </w:numPr>
      <w:spacing w:before="120" w:after="120" w:line="240" w:lineRule="auto"/>
      <w:jc w:val="both"/>
    </w:pPr>
    <w:rPr>
      <w:rFonts w:ascii="Times New Roman" w:eastAsia="Times New Roman" w:hAnsi="Times New Roman"/>
      <w:sz w:val="24"/>
    </w:rPr>
  </w:style>
  <w:style w:type="character" w:styleId="Emphasis">
    <w:name w:val="Emphasis"/>
    <w:uiPriority w:val="20"/>
    <w:qFormat/>
    <w:rPr>
      <w:rFonts w:ascii="Times New Roman" w:hAnsi="Times New Roman" w:cs="Times New Roman" w:hint="default"/>
      <w:i/>
      <w:iCs/>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sz w:val="24"/>
      <w:szCs w:val="24"/>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Corbel" w:hAnsi="Corbel" w:cs="Corbel"/>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l-SI"/>
    </w:rPr>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l-SI"/>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sl-SI"/>
    </w:rPr>
  </w:style>
  <w:style w:type="paragraph" w:customStyle="1" w:styleId="ColorfulShading-Accent11">
    <w:name w:val="Colorful Shading - Accent 11"/>
    <w:hidden/>
    <w:uiPriority w:val="99"/>
    <w:semiHidden/>
    <w:rPr>
      <w:sz w:val="22"/>
      <w:szCs w:val="22"/>
    </w:rPr>
  </w:style>
  <w:style w:type="paragraph" w:customStyle="1" w:styleId="ColorfulList-Accent11">
    <w:name w:val="Colorful List - Accent 11"/>
    <w:basedOn w:val="Normal"/>
    <w:uiPriority w:val="34"/>
    <w:qFormat/>
    <w:pPr>
      <w:ind w:left="720"/>
    </w:pPr>
  </w:style>
  <w:style w:type="paragraph" w:styleId="ListNumber">
    <w:name w:val="List Number"/>
    <w:aliases w:val="List Number Justified"/>
    <w:basedOn w:val="Normal"/>
    <w:pPr>
      <w:numPr>
        <w:numId w:val="24"/>
      </w:numPr>
      <w:spacing w:after="0" w:line="240" w:lineRule="auto"/>
      <w:jc w:val="both"/>
    </w:pPr>
    <w:rPr>
      <w:rFonts w:ascii="Verdana" w:eastAsia="Times New Roman" w:hAnsi="Verdana"/>
      <w:color w:val="333333"/>
      <w:sz w:val="20"/>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sl-SI"/>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styleId="Revision">
    <w:name w:val="Revision"/>
    <w:hidden/>
    <w:uiPriority w:val="71"/>
    <w:rPr>
      <w:sz w:val="22"/>
      <w:szCs w:val="22"/>
    </w:rPr>
  </w:style>
  <w:style w:type="paragraph" w:customStyle="1" w:styleId="norm">
    <w:name w:val="norm"/>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boldface">
    <w:name w:val="boldface"/>
    <w:basedOn w:val="DefaultParagraphFont"/>
  </w:style>
  <w:style w:type="paragraph" w:customStyle="1" w:styleId="List1">
    <w:name w:val="List1"/>
    <w:basedOn w:val="Normal"/>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7144">
      <w:bodyDiv w:val="1"/>
      <w:marLeft w:val="0"/>
      <w:marRight w:val="0"/>
      <w:marTop w:val="0"/>
      <w:marBottom w:val="0"/>
      <w:divBdr>
        <w:top w:val="none" w:sz="0" w:space="0" w:color="auto"/>
        <w:left w:val="none" w:sz="0" w:space="0" w:color="auto"/>
        <w:bottom w:val="none" w:sz="0" w:space="0" w:color="auto"/>
        <w:right w:val="none" w:sz="0" w:space="0" w:color="auto"/>
      </w:divBdr>
      <w:divsChild>
        <w:div w:id="251940369">
          <w:marLeft w:val="0"/>
          <w:marRight w:val="0"/>
          <w:marTop w:val="0"/>
          <w:marBottom w:val="0"/>
          <w:divBdr>
            <w:top w:val="none" w:sz="0" w:space="0" w:color="auto"/>
            <w:left w:val="none" w:sz="0" w:space="0" w:color="auto"/>
            <w:bottom w:val="none" w:sz="0" w:space="0" w:color="auto"/>
            <w:right w:val="none" w:sz="0" w:space="0" w:color="auto"/>
          </w:divBdr>
          <w:divsChild>
            <w:div w:id="1646200909">
              <w:marLeft w:val="0"/>
              <w:marRight w:val="0"/>
              <w:marTop w:val="0"/>
              <w:marBottom w:val="0"/>
              <w:divBdr>
                <w:top w:val="none" w:sz="0" w:space="0" w:color="auto"/>
                <w:left w:val="none" w:sz="0" w:space="0" w:color="auto"/>
                <w:bottom w:val="none" w:sz="0" w:space="0" w:color="auto"/>
                <w:right w:val="none" w:sz="0" w:space="0" w:color="auto"/>
              </w:divBdr>
              <w:divsChild>
                <w:div w:id="1684934086">
                  <w:marLeft w:val="0"/>
                  <w:marRight w:val="0"/>
                  <w:marTop w:val="0"/>
                  <w:marBottom w:val="0"/>
                  <w:divBdr>
                    <w:top w:val="none" w:sz="0" w:space="0" w:color="auto"/>
                    <w:left w:val="none" w:sz="0" w:space="0" w:color="auto"/>
                    <w:bottom w:val="none" w:sz="0" w:space="0" w:color="auto"/>
                    <w:right w:val="none" w:sz="0" w:space="0" w:color="auto"/>
                  </w:divBdr>
                  <w:divsChild>
                    <w:div w:id="1179126944">
                      <w:marLeft w:val="0"/>
                      <w:marRight w:val="0"/>
                      <w:marTop w:val="0"/>
                      <w:marBottom w:val="0"/>
                      <w:divBdr>
                        <w:top w:val="none" w:sz="0" w:space="0" w:color="auto"/>
                        <w:left w:val="none" w:sz="0" w:space="0" w:color="auto"/>
                        <w:bottom w:val="none" w:sz="0" w:space="0" w:color="auto"/>
                        <w:right w:val="none" w:sz="0" w:space="0" w:color="auto"/>
                      </w:divBdr>
                      <w:divsChild>
                        <w:div w:id="24403186">
                          <w:marLeft w:val="0"/>
                          <w:marRight w:val="0"/>
                          <w:marTop w:val="0"/>
                          <w:marBottom w:val="0"/>
                          <w:divBdr>
                            <w:top w:val="none" w:sz="0" w:space="0" w:color="auto"/>
                            <w:left w:val="none" w:sz="0" w:space="0" w:color="auto"/>
                            <w:bottom w:val="none" w:sz="0" w:space="0" w:color="auto"/>
                            <w:right w:val="none" w:sz="0" w:space="0" w:color="auto"/>
                          </w:divBdr>
                          <w:divsChild>
                            <w:div w:id="672300511">
                              <w:marLeft w:val="0"/>
                              <w:marRight w:val="0"/>
                              <w:marTop w:val="0"/>
                              <w:marBottom w:val="0"/>
                              <w:divBdr>
                                <w:top w:val="none" w:sz="0" w:space="0" w:color="auto"/>
                                <w:left w:val="none" w:sz="0" w:space="0" w:color="auto"/>
                                <w:bottom w:val="none" w:sz="0" w:space="0" w:color="auto"/>
                                <w:right w:val="none" w:sz="0" w:space="0" w:color="auto"/>
                              </w:divBdr>
                              <w:divsChild>
                                <w:div w:id="599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195814">
      <w:bodyDiv w:val="1"/>
      <w:marLeft w:val="0"/>
      <w:marRight w:val="0"/>
      <w:marTop w:val="0"/>
      <w:marBottom w:val="0"/>
      <w:divBdr>
        <w:top w:val="none" w:sz="0" w:space="0" w:color="auto"/>
        <w:left w:val="none" w:sz="0" w:space="0" w:color="auto"/>
        <w:bottom w:val="none" w:sz="0" w:space="0" w:color="auto"/>
        <w:right w:val="none" w:sz="0" w:space="0" w:color="auto"/>
      </w:divBdr>
    </w:div>
    <w:div w:id="811479238">
      <w:bodyDiv w:val="1"/>
      <w:marLeft w:val="0"/>
      <w:marRight w:val="0"/>
      <w:marTop w:val="0"/>
      <w:marBottom w:val="0"/>
      <w:divBdr>
        <w:top w:val="none" w:sz="0" w:space="0" w:color="auto"/>
        <w:left w:val="none" w:sz="0" w:space="0" w:color="auto"/>
        <w:bottom w:val="none" w:sz="0" w:space="0" w:color="auto"/>
        <w:right w:val="none" w:sz="0" w:space="0" w:color="auto"/>
      </w:divBdr>
      <w:divsChild>
        <w:div w:id="883908340">
          <w:marLeft w:val="240"/>
          <w:marRight w:val="0"/>
          <w:marTop w:val="0"/>
          <w:marBottom w:val="0"/>
          <w:divBdr>
            <w:top w:val="none" w:sz="0" w:space="0" w:color="auto"/>
            <w:left w:val="none" w:sz="0" w:space="0" w:color="auto"/>
            <w:bottom w:val="none" w:sz="0" w:space="0" w:color="auto"/>
            <w:right w:val="none" w:sz="0" w:space="0" w:color="auto"/>
          </w:divBdr>
        </w:div>
        <w:div w:id="1332416621">
          <w:marLeft w:val="240"/>
          <w:marRight w:val="0"/>
          <w:marTop w:val="0"/>
          <w:marBottom w:val="0"/>
          <w:divBdr>
            <w:top w:val="none" w:sz="0" w:space="0" w:color="auto"/>
            <w:left w:val="none" w:sz="0" w:space="0" w:color="auto"/>
            <w:bottom w:val="none" w:sz="0" w:space="0" w:color="auto"/>
            <w:right w:val="none" w:sz="0" w:space="0" w:color="auto"/>
          </w:divBdr>
        </w:div>
        <w:div w:id="717751422">
          <w:marLeft w:val="240"/>
          <w:marRight w:val="0"/>
          <w:marTop w:val="0"/>
          <w:marBottom w:val="0"/>
          <w:divBdr>
            <w:top w:val="none" w:sz="0" w:space="0" w:color="auto"/>
            <w:left w:val="none" w:sz="0" w:space="0" w:color="auto"/>
            <w:bottom w:val="none" w:sz="0" w:space="0" w:color="auto"/>
            <w:right w:val="none" w:sz="0" w:space="0" w:color="auto"/>
          </w:divBdr>
        </w:div>
        <w:div w:id="1413239468">
          <w:marLeft w:val="240"/>
          <w:marRight w:val="0"/>
          <w:marTop w:val="0"/>
          <w:marBottom w:val="0"/>
          <w:divBdr>
            <w:top w:val="none" w:sz="0" w:space="0" w:color="auto"/>
            <w:left w:val="none" w:sz="0" w:space="0" w:color="auto"/>
            <w:bottom w:val="none" w:sz="0" w:space="0" w:color="auto"/>
            <w:right w:val="none" w:sz="0" w:space="0" w:color="auto"/>
          </w:divBdr>
        </w:div>
      </w:divsChild>
    </w:div>
    <w:div w:id="906771273">
      <w:bodyDiv w:val="1"/>
      <w:marLeft w:val="0"/>
      <w:marRight w:val="0"/>
      <w:marTop w:val="0"/>
      <w:marBottom w:val="0"/>
      <w:divBdr>
        <w:top w:val="none" w:sz="0" w:space="0" w:color="auto"/>
        <w:left w:val="none" w:sz="0" w:space="0" w:color="auto"/>
        <w:bottom w:val="none" w:sz="0" w:space="0" w:color="auto"/>
        <w:right w:val="none" w:sz="0" w:space="0" w:color="auto"/>
      </w:divBdr>
      <w:divsChild>
        <w:div w:id="857887357">
          <w:marLeft w:val="0"/>
          <w:marRight w:val="0"/>
          <w:marTop w:val="0"/>
          <w:marBottom w:val="0"/>
          <w:divBdr>
            <w:top w:val="none" w:sz="0" w:space="0" w:color="auto"/>
            <w:left w:val="none" w:sz="0" w:space="0" w:color="auto"/>
            <w:bottom w:val="none" w:sz="0" w:space="0" w:color="auto"/>
            <w:right w:val="none" w:sz="0" w:space="0" w:color="auto"/>
          </w:divBdr>
          <w:divsChild>
            <w:div w:id="2119137066">
              <w:marLeft w:val="0"/>
              <w:marRight w:val="0"/>
              <w:marTop w:val="0"/>
              <w:marBottom w:val="0"/>
              <w:divBdr>
                <w:top w:val="none" w:sz="0" w:space="0" w:color="auto"/>
                <w:left w:val="none" w:sz="0" w:space="0" w:color="auto"/>
                <w:bottom w:val="none" w:sz="0" w:space="0" w:color="auto"/>
                <w:right w:val="none" w:sz="0" w:space="0" w:color="auto"/>
              </w:divBdr>
              <w:divsChild>
                <w:div w:id="716588494">
                  <w:marLeft w:val="0"/>
                  <w:marRight w:val="0"/>
                  <w:marTop w:val="0"/>
                  <w:marBottom w:val="0"/>
                  <w:divBdr>
                    <w:top w:val="none" w:sz="0" w:space="0" w:color="auto"/>
                    <w:left w:val="none" w:sz="0" w:space="0" w:color="auto"/>
                    <w:bottom w:val="none" w:sz="0" w:space="0" w:color="auto"/>
                    <w:right w:val="none" w:sz="0" w:space="0" w:color="auto"/>
                  </w:divBdr>
                  <w:divsChild>
                    <w:div w:id="544492464">
                      <w:marLeft w:val="0"/>
                      <w:marRight w:val="0"/>
                      <w:marTop w:val="0"/>
                      <w:marBottom w:val="0"/>
                      <w:divBdr>
                        <w:top w:val="none" w:sz="0" w:space="0" w:color="auto"/>
                        <w:left w:val="none" w:sz="0" w:space="0" w:color="auto"/>
                        <w:bottom w:val="none" w:sz="0" w:space="0" w:color="auto"/>
                        <w:right w:val="none" w:sz="0" w:space="0" w:color="auto"/>
                      </w:divBdr>
                      <w:divsChild>
                        <w:div w:id="863522228">
                          <w:marLeft w:val="0"/>
                          <w:marRight w:val="0"/>
                          <w:marTop w:val="0"/>
                          <w:marBottom w:val="0"/>
                          <w:divBdr>
                            <w:top w:val="none" w:sz="0" w:space="0" w:color="auto"/>
                            <w:left w:val="none" w:sz="0" w:space="0" w:color="auto"/>
                            <w:bottom w:val="none" w:sz="0" w:space="0" w:color="auto"/>
                            <w:right w:val="none" w:sz="0" w:space="0" w:color="auto"/>
                          </w:divBdr>
                          <w:divsChild>
                            <w:div w:id="1396662033">
                              <w:marLeft w:val="0"/>
                              <w:marRight w:val="0"/>
                              <w:marTop w:val="0"/>
                              <w:marBottom w:val="0"/>
                              <w:divBdr>
                                <w:top w:val="none" w:sz="0" w:space="0" w:color="auto"/>
                                <w:left w:val="none" w:sz="0" w:space="0" w:color="auto"/>
                                <w:bottom w:val="none" w:sz="0" w:space="0" w:color="auto"/>
                                <w:right w:val="none" w:sz="0" w:space="0" w:color="auto"/>
                              </w:divBdr>
                              <w:divsChild>
                                <w:div w:id="668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086449">
      <w:bodyDiv w:val="1"/>
      <w:marLeft w:val="0"/>
      <w:marRight w:val="0"/>
      <w:marTop w:val="0"/>
      <w:marBottom w:val="0"/>
      <w:divBdr>
        <w:top w:val="none" w:sz="0" w:space="0" w:color="auto"/>
        <w:left w:val="none" w:sz="0" w:space="0" w:color="auto"/>
        <w:bottom w:val="none" w:sz="0" w:space="0" w:color="auto"/>
        <w:right w:val="none" w:sz="0" w:space="0" w:color="auto"/>
      </w:divBdr>
      <w:divsChild>
        <w:div w:id="1640381339">
          <w:marLeft w:val="240"/>
          <w:marRight w:val="0"/>
          <w:marTop w:val="0"/>
          <w:marBottom w:val="0"/>
          <w:divBdr>
            <w:top w:val="none" w:sz="0" w:space="0" w:color="auto"/>
            <w:left w:val="none" w:sz="0" w:space="0" w:color="auto"/>
            <w:bottom w:val="none" w:sz="0" w:space="0" w:color="auto"/>
            <w:right w:val="none" w:sz="0" w:space="0" w:color="auto"/>
          </w:divBdr>
        </w:div>
        <w:div w:id="1366760103">
          <w:marLeft w:val="240"/>
          <w:marRight w:val="0"/>
          <w:marTop w:val="0"/>
          <w:marBottom w:val="0"/>
          <w:divBdr>
            <w:top w:val="none" w:sz="0" w:space="0" w:color="auto"/>
            <w:left w:val="none" w:sz="0" w:space="0" w:color="auto"/>
            <w:bottom w:val="none" w:sz="0" w:space="0" w:color="auto"/>
            <w:right w:val="none" w:sz="0" w:space="0" w:color="auto"/>
          </w:divBdr>
        </w:div>
        <w:div w:id="17052108">
          <w:marLeft w:val="240"/>
          <w:marRight w:val="0"/>
          <w:marTop w:val="0"/>
          <w:marBottom w:val="0"/>
          <w:divBdr>
            <w:top w:val="none" w:sz="0" w:space="0" w:color="auto"/>
            <w:left w:val="none" w:sz="0" w:space="0" w:color="auto"/>
            <w:bottom w:val="none" w:sz="0" w:space="0" w:color="auto"/>
            <w:right w:val="none" w:sz="0" w:space="0" w:color="auto"/>
          </w:divBdr>
        </w:div>
        <w:div w:id="127627724">
          <w:marLeft w:val="240"/>
          <w:marRight w:val="0"/>
          <w:marTop w:val="0"/>
          <w:marBottom w:val="0"/>
          <w:divBdr>
            <w:top w:val="none" w:sz="0" w:space="0" w:color="auto"/>
            <w:left w:val="none" w:sz="0" w:space="0" w:color="auto"/>
            <w:bottom w:val="none" w:sz="0" w:space="0" w:color="auto"/>
            <w:right w:val="none" w:sz="0" w:space="0" w:color="auto"/>
          </w:divBdr>
        </w:div>
      </w:divsChild>
    </w:div>
    <w:div w:id="1702048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waste/weee/events_weee_en.htm" TargetMode="External"/><Relationship Id="rId2" Type="http://schemas.openxmlformats.org/officeDocument/2006/relationships/hyperlink" Target="http://ec.europa.eu/environment/waste/weee/pdf/Study%20on%20PVs%20Bio%20final.pdf" TargetMode="External"/><Relationship Id="rId1" Type="http://schemas.openxmlformats.org/officeDocument/2006/relationships/hyperlink" Target="http://ec.europa.eu/environment/waste/weee/events_weee_en.htm" TargetMode="External"/><Relationship Id="rId4" Type="http://schemas.openxmlformats.org/officeDocument/2006/relationships/hyperlink" Target="http://ec.europa.eu/eurostat/web/waste/key-waste-streams/w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A606-AFD2-4297-B92C-76B17236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2463</Words>
  <Characters>14165</Characters>
  <Application>Microsoft Office Word</Application>
  <DocSecurity>0</DocSecurity>
  <Lines>224</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16559</CharactersWithSpaces>
  <SharedDoc>false</SharedDoc>
  <HLinks>
    <vt:vector size="30" baseType="variant">
      <vt:variant>
        <vt:i4>3866676</vt:i4>
      </vt:variant>
      <vt:variant>
        <vt:i4>0</vt:i4>
      </vt:variant>
      <vt:variant>
        <vt:i4>0</vt:i4>
      </vt:variant>
      <vt:variant>
        <vt:i4>5</vt:i4>
      </vt:variant>
      <vt:variant>
        <vt:lpwstr>http://ec.europa.eu/environment/waste/weee/events_weee_en.htm</vt:lpwstr>
      </vt:variant>
      <vt:variant>
        <vt:lpwstr/>
      </vt:variant>
      <vt:variant>
        <vt:i4>6029382</vt:i4>
      </vt:variant>
      <vt:variant>
        <vt:i4>9</vt:i4>
      </vt:variant>
      <vt:variant>
        <vt:i4>0</vt:i4>
      </vt:variant>
      <vt:variant>
        <vt:i4>5</vt:i4>
      </vt:variant>
      <vt:variant>
        <vt:lpwstr>http://eur-lex.europa.eu/legal-content/EN/TXT/PDF/?uri=CELEX:52008SC2933&amp;from=EN</vt:lpwstr>
      </vt:variant>
      <vt:variant>
        <vt:lpwstr/>
      </vt:variant>
      <vt:variant>
        <vt:i4>3866676</vt:i4>
      </vt:variant>
      <vt:variant>
        <vt:i4>6</vt:i4>
      </vt:variant>
      <vt:variant>
        <vt:i4>0</vt:i4>
      </vt:variant>
      <vt:variant>
        <vt:i4>5</vt:i4>
      </vt:variant>
      <vt:variant>
        <vt:lpwstr>http://ec.europa.eu/environment/waste/weee/events_weee_en.htm</vt:lpwstr>
      </vt:variant>
      <vt:variant>
        <vt:lpwstr/>
      </vt:variant>
      <vt:variant>
        <vt:i4>4325384</vt:i4>
      </vt:variant>
      <vt:variant>
        <vt:i4>3</vt:i4>
      </vt:variant>
      <vt:variant>
        <vt:i4>0</vt:i4>
      </vt:variant>
      <vt:variant>
        <vt:i4>5</vt:i4>
      </vt:variant>
      <vt:variant>
        <vt:lpwstr>http://eur-lex.europa.eu/legal-content/EN/TXT/?uri=CELEX:52011PC0478</vt:lpwstr>
      </vt:variant>
      <vt:variant>
        <vt:lpwstr/>
      </vt:variant>
      <vt:variant>
        <vt:i4>3866676</vt:i4>
      </vt:variant>
      <vt:variant>
        <vt:i4>0</vt:i4>
      </vt:variant>
      <vt:variant>
        <vt:i4>0</vt:i4>
      </vt:variant>
      <vt:variant>
        <vt:i4>5</vt:i4>
      </vt:variant>
      <vt:variant>
        <vt:lpwstr>http://ec.europa.eu/environment/waste/weee/events_weee_en.htm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2016-10-24T14:13:00Z</cp:lastPrinted>
  <dcterms:created xsi:type="dcterms:W3CDTF">2016-12-16T10:21:00Z</dcterms:created>
  <dcterms:modified xsi:type="dcterms:W3CDTF">2017-04-06T07:44:00Z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