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alt="AA04F4CEA63A4222A6E6251CAC40318E" style="width:450.75pt;height:321pt">
            <v:imagedata r:id="rId9" o:title=""/>
          </v:shape>
        </w:pict>
      </w:r>
    </w:p>
    <w:bookmarkEnd w:id="0"/>
    <w:p>
      <w:pPr>
        <w:spacing w:after="120"/>
        <w:rPr>
          <w:rFonts w:ascii="Times New Roman" w:hAnsi="Times New Roman" w:cs="Times New Roman"/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bookmarkStart w:id="1" w:name="_GoBack"/>
      <w:bookmarkEnd w:id="1"/>
    </w:p>
    <w:sdt>
      <w:sdtPr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id w:val="-1287807646"/>
        <w:docPartObj>
          <w:docPartGallery w:val="Table of Contents"/>
          <w:docPartUnique/>
        </w:docPartObj>
      </w:sdtPr>
      <w:sdtEndPr>
        <w:rPr>
          <w:bCs/>
        </w:rPr>
      </w:sdtEndPr>
      <w:sdtContent>
        <w:p>
          <w:pPr>
            <w:pStyle w:val="TOCHeading"/>
            <w:rPr>
              <w:noProof/>
            </w:rPr>
          </w:pPr>
          <w:r>
            <w:rPr>
              <w:noProof/>
            </w:rPr>
            <w:t>Съдържание</w:t>
          </w:r>
        </w:p>
        <w:p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en-GB" w:eastAsia="en-GB" w:bidi="ar-SA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482188571" w:history="1">
            <w:r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Въведение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en-GB" w:eastAsia="en-GB" w:bidi="ar-SA"/>
            </w:rPr>
          </w:pPr>
          <w:hyperlink w:anchor="_Toc482188572" w:history="1">
            <w:r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Промяна на условията в Африка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en-GB" w:eastAsia="en-GB" w:bidi="ar-SA"/>
            </w:rPr>
          </w:pPr>
          <w:hyperlink w:anchor="_Toc482188573" w:history="1">
            <w:r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Стратегически цели на ЕС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en-GB" w:eastAsia="en-GB" w:bidi="ar-SA"/>
            </w:rPr>
          </w:pPr>
          <w:hyperlink w:anchor="_Toc482188574" w:history="1">
            <w:r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По-тесни политически отношения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  <w:lang w:val="en-GB" w:eastAsia="en-GB" w:bidi="ar-SA"/>
            </w:rPr>
          </w:pPr>
          <w:hyperlink w:anchor="_Toc482188575" w:history="1">
            <w:r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caps w:val="0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Превръщане на стратегическите цели в 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76" w:history="1">
            <w:r>
              <w:rPr>
                <w:rStyle w:val="Hyperlink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По-устойчиви държави и общества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77" w:history="1">
            <w:r>
              <w:rPr>
                <w:rStyle w:val="Hyperlink"/>
                <w:noProof/>
              </w:rPr>
              <w:t>А.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Предотвратяване на конфликти, решаване на кризи и укрепване на мира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78" w:history="1">
            <w:r>
              <w:rPr>
                <w:rStyle w:val="Hyperlink"/>
                <w:noProof/>
              </w:rPr>
              <w:t>Б.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Укрепване на системите за управление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79" w:history="1">
            <w:r>
              <w:rPr>
                <w:rStyle w:val="Hyperlink"/>
                <w:noProof/>
              </w:rPr>
              <w:t>В.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Управление на миграцията и мобилността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left" w:pos="107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80" w:history="1">
            <w:r>
              <w:rPr>
                <w:rStyle w:val="Hyperlink"/>
                <w:noProof/>
              </w:rPr>
              <w:t>5.2.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Повече и по-добри работни места, особено за младите хора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81" w:history="1">
            <w:r>
              <w:rPr>
                <w:rStyle w:val="Hyperlink"/>
                <w:noProof/>
              </w:rPr>
              <w:t>А.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Привличане на отговорни и устойчиви инвестиции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82" w:history="1">
            <w:r>
              <w:rPr>
                <w:rStyle w:val="Hyperlink"/>
                <w:noProof/>
              </w:rPr>
              <w:t>Б.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Снабдяване на Африка с енергия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83" w:history="1">
            <w:r>
              <w:rPr>
                <w:rStyle w:val="Hyperlink"/>
                <w:noProof/>
              </w:rPr>
              <w:t>В.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Трансформиране на африканското селско стопанство и селскостопанския бизнес и неговата синя икономика, включително рибарството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left" w:pos="19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188584" w:history="1">
            <w:r>
              <w:rPr>
                <w:rStyle w:val="Hyperlink"/>
                <w:noProof/>
              </w:rPr>
              <w:t>Г.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>
              <w:rPr>
                <w:rStyle w:val="Hyperlink"/>
                <w:noProof/>
              </w:rPr>
              <w:t>Усъвършенстване на знанията и уменията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_Toc482188584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>
          <w:pPr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>
      <w:pPr>
        <w:keepNext/>
        <w:spacing w:after="120"/>
        <w:ind w:left="1920" w:hanging="360"/>
        <w:jc w:val="both"/>
        <w:outlineLvl w:val="2"/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</w:pPr>
      <w:r>
        <w:rPr>
          <w:noProof/>
        </w:rPr>
        <w:br w:type="page"/>
      </w:r>
    </w:p>
    <w:p>
      <w:pPr>
        <w:pStyle w:val="Heading1"/>
        <w:spacing w:before="0" w:after="120" w:line="276" w:lineRule="auto"/>
        <w:rPr>
          <w:noProof/>
          <w:szCs w:val="24"/>
        </w:rPr>
      </w:pPr>
      <w:bookmarkStart w:id="2" w:name="_Toc480319522"/>
      <w:bookmarkStart w:id="3" w:name="_Toc482188571"/>
      <w:r>
        <w:rPr>
          <w:noProof/>
        </w:rPr>
        <w:t>Въведение</w:t>
      </w:r>
      <w:bookmarkEnd w:id="2"/>
      <w:bookmarkEnd w:id="3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2017 година е от решаващо значение за партньорството между Европа и Африка. В бързо променящия се глобален контекст Африка преживява дълбоки икономически, политически и обществени промени и нейното значение за вътрешните и външните измерения на сигурността и просперитета на Европа става все по-очевидно. Европа и Африка могат да извлекат значителни ползи от задълбочените политически и икономически връзки, но и много да загубят, ако не успеят да предприемат действия.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Петата среща на високо равнище ЕС—Африка, която предстои да бъде проведена през ноември 2017 г., предоставя възможност от критично значение за африканските и европейските лидери да реагират на тези променящи се обстоятелства и да претворят и задълбочат партньорството между Африка и ЕС.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настоящото съобщение се предлага обновена рамка за съвместни действия, която ЕС и неговите държави членки биха могли да предложат на срещата на високо равнище и която би могла да бъде отразена в пътна карта за периода 2018—2020 г. В него се предвижда по-силно, по-задълбочено и ориентирано към действието стратегическо партньорство за осигуряване на по-голямо благоденствие и стабилност в двата континента. В него се определят приоритетите на политиката и първоначален набор от конкретни инициативи за периода 2018—2020 г. и след това, които да бъдат координирани и укрепени с държавите — членки на ЕС, и допълнително разработени съвместно с африканските партньори в отговор на собствената програма на Африка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 2063</w:t>
      </w:r>
      <w:r>
        <w:rPr>
          <w:rStyle w:val="FootnoteReference"/>
          <w:rFonts w:ascii="Times New Roman" w:hAnsi="Times New Roman"/>
          <w:i/>
          <w:noProof/>
          <w:color w:val="000000" w:themeColor="text1"/>
          <w:sz w:val="24"/>
        </w:rPr>
        <w:footnoteReference w:id="1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и се опира на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Глобалната стратегия за външната политика и политиката на сигурност на ЕС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footnoteReference w:id="2"/>
      </w:r>
      <w:r>
        <w:rPr>
          <w:rFonts w:ascii="Times New Roman" w:hAnsi="Times New Roman"/>
          <w:noProof/>
          <w:color w:val="000000" w:themeColor="text1"/>
          <w:sz w:val="24"/>
        </w:rPr>
        <w:t xml:space="preserve">. В него се обръща особено внимание на стремежите и нуждите на младежта, чието участие ще бъде силно насърчавано в целия процес.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pacing w:val="-4"/>
          <w:sz w:val="24"/>
        </w:rPr>
        <w:t xml:space="preserve">То допринася за текущото обсъждане, стартирало чрез Съвместно съобщение относно </w:t>
      </w:r>
      <w:r>
        <w:rPr>
          <w:rFonts w:ascii="Times New Roman" w:hAnsi="Times New Roman"/>
          <w:i/>
          <w:noProof/>
          <w:color w:val="000000" w:themeColor="text1"/>
          <w:spacing w:val="-4"/>
          <w:sz w:val="24"/>
        </w:rPr>
        <w:t>Подновено партньорство с държавите от Африка, Карибите и Тихоокеанския басейн</w:t>
      </w:r>
      <w:r>
        <w:rPr>
          <w:rFonts w:ascii="Times New Roman" w:hAnsi="Times New Roman"/>
          <w:noProof/>
          <w:color w:val="000000" w:themeColor="text1"/>
          <w:spacing w:val="-4"/>
          <w:sz w:val="24"/>
          <w:vertAlign w:val="superscript"/>
        </w:rPr>
        <w:footnoteReference w:id="3"/>
      </w:r>
      <w:r>
        <w:rPr>
          <w:rFonts w:ascii="Times New Roman" w:hAnsi="Times New Roman"/>
          <w:noProof/>
          <w:color w:val="000000" w:themeColor="text1"/>
          <w:spacing w:val="-4"/>
          <w:sz w:val="24"/>
        </w:rPr>
        <w:t>, с което ще се осигури информация за преговорите, които ще започнат през 2018 г. с цел подновяване на дълготрайното партньорство на ЕС с държавите от Африка, Карибите и Тихоокеанския басейн, по-специално африканския стълб.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Водеща роля за него имат международни рамки като Програмата на ООН до 2030 г. за устойчиво развитие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4"/>
      </w:r>
      <w:r>
        <w:rPr>
          <w:rFonts w:ascii="Times New Roman" w:hAnsi="Times New Roman"/>
          <w:noProof/>
          <w:color w:val="000000" w:themeColor="text1"/>
          <w:sz w:val="24"/>
        </w:rPr>
        <w:t>, Програмата на ООН за действие от Адис Абеба (ПДАА) относно финансиране на развитието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5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и Парижкото споразумение относно изменението на климата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6"/>
      </w:r>
      <w:r>
        <w:rPr>
          <w:rFonts w:ascii="Times New Roman" w:hAnsi="Times New Roman"/>
          <w:noProof/>
          <w:color w:val="000000" w:themeColor="text1"/>
          <w:sz w:val="24"/>
        </w:rPr>
        <w:t>. То е съгласувано с други приложими политики на ЕС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7"/>
      </w:r>
      <w:r>
        <w:rPr>
          <w:noProof/>
        </w:rPr>
        <w:t>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>
      <w:pPr>
        <w:pStyle w:val="Heading1"/>
        <w:spacing w:before="0" w:after="120" w:line="276" w:lineRule="auto"/>
        <w:rPr>
          <w:noProof/>
          <w:szCs w:val="24"/>
        </w:rPr>
      </w:pPr>
      <w:bookmarkStart w:id="4" w:name="_Toc480319523"/>
      <w:bookmarkStart w:id="5" w:name="_Toc482188572"/>
      <w:r>
        <w:rPr>
          <w:noProof/>
        </w:rPr>
        <w:t>Промяна на условията в Африка</w:t>
      </w:r>
      <w:bookmarkEnd w:id="4"/>
      <w:bookmarkEnd w:id="5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С цялото си разнообразие Африка присъства на международната сцена с повече увереност, динамика и оптимизъм, отколкото преди.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През последните две десетилетия Африка показва впечатляващ икономически напредък. В редица държави се осъществяват положителни трансформации. Все по-голям брой африкански правителства и регионални организации поемат водеща роля при справянето с предизвикателствата, свързани със сигурността, политиката и намаляването на бедността в рамките на своите граници и извън тях, както и като участват по-активно в насърчаването на доброто управление и върховенството на закона. В редица държави това даде възможност на държавата и обществото да станат по-устойчиви, като увеличи политическото участие на гражданите и напредъка към структурна трансформация.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Тези окуражаващи тенденции обаче често са крехки и все още недостатъчно приобщаващи или устойчиви, за да предложат по-добри перспективи за голяма част от населението и особено за нарастващия брой млади хора в Африка. Отварящото се политическо пространство в някои държави се противопоставя на регресивните тенденции в други. Няколко държави не успяха да се реформират и да се възстановят от конфликтите в необходимата степен или темпове и затова изпитват несигурност. Много държави все още се сблъскват със сериозни ограничения пред устойчивото си икономическо развитие и зависят в голяма степен от използването на природните ресурси. Действително цялостният икономически растеж на африканския континент в момента се забавя. Освен местните фактори, заплаха за регионалната стабилност и устойчивото развитие представляват транснационалните предизвикателства за сигурността, по-специално организираната престъпност, както и трафикът на хора и тероризмът. Влошаването на състоянието на околната среда на сушата и морето, последиците от изменението на климата и епидемиите от инфекциозни заболявания като ебола също заплашват напредъка. Избухването на глад в Южен Судан, в Нигерия и в Сомалия подчертава ефекта и взаимосвързаността на несигурността, изменението на климата и недостига на храна и вода. Тези предизвикателства доведоха до безпрецедентни нива на принудително разселване в Африка. Те допринасят също така за увеличаване на незаконната миграция преди всичко в Африка, но и към Европа, което от своя страна увеличава натиска върху политическото ръководство и системите за управление във всички засегнати държави.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Демографската динамика ще бъде една от най-значимите структурни промени в света през 21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t>ви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век. До 2050 г. населението на Африка ще бъде 2,4 милиарда от предимно млади хора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8"/>
      </w:r>
      <w:r>
        <w:rPr>
          <w:rFonts w:ascii="Times New Roman" w:hAnsi="Times New Roman"/>
          <w:noProof/>
          <w:color w:val="000000" w:themeColor="text1"/>
          <w:sz w:val="24"/>
        </w:rPr>
        <w:t xml:space="preserve">. Начинът, по който тези промени ще бъдат управлявани на политическо равнище и ще бъдат пригодени на икономическо ниво, ще определи бъдещето на Европа и на други части на света.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От една страна, демографските прогнози в Африка не оставят съмнение относно изключителната необходимост от създаване на милиони нови работни места. Според прогнозите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footnoteReference w:id="9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в Африка на юг от Сахара е необходимо да се създават 18 милиона нови работни места всяка година до 2035 г., за да се осигури заетост на новите участници на пазара на труда, в сравнение с 3 милиона официални работни места, създавани днес. Освен това, като се има предвид малкият размер на официалния сектор и липсата на системи за социална закрила в повечето държави, мнозинството от младите хора ще продължат да прибягват до неформалната икономика, включително селското стопанство, като начин на оцеляване.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От друга страна, подобно нарастване на населението предлага значителни потенциални икономически възможности. Общото частно потребление, движено от нововъзникващата средна класа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0"/>
      </w:r>
      <w:r>
        <w:rPr>
          <w:rFonts w:ascii="Times New Roman" w:hAnsi="Times New Roman"/>
          <w:noProof/>
          <w:color w:val="000000" w:themeColor="text1"/>
          <w:sz w:val="24"/>
        </w:rPr>
        <w:t>, се очаква да достигне 2 трилиона евро годишно през 2025 г.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1"/>
      </w:r>
      <w:r>
        <w:rPr>
          <w:rFonts w:ascii="Times New Roman" w:hAnsi="Times New Roman"/>
          <w:noProof/>
          <w:color w:val="000000" w:themeColor="text1"/>
          <w:sz w:val="24"/>
        </w:rPr>
        <w:t xml:space="preserve">, а дружествата в Африка се очаква да предлагат още по-голям пазар, като до 2025 г. прогнозните нива на разходите се очаква да достигнат 3,3 трилиона евро годишно.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>
      <w:pPr>
        <w:pStyle w:val="Heading1"/>
        <w:spacing w:before="0" w:after="120" w:line="276" w:lineRule="auto"/>
        <w:rPr>
          <w:noProof/>
          <w:szCs w:val="24"/>
        </w:rPr>
      </w:pPr>
      <w:bookmarkStart w:id="6" w:name="_Toc480319524"/>
      <w:bookmarkStart w:id="7" w:name="_Toc482188573"/>
      <w:r>
        <w:rPr>
          <w:noProof/>
        </w:rPr>
        <w:t>Стратегически цели на ЕС</w:t>
      </w:r>
      <w:bookmarkEnd w:id="6"/>
      <w:bookmarkEnd w:id="7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 този променящ се и глобален контекст е ясно, че стратегическият интерес на ЕС е да задълбочава и адаптира дълготрайното си партньорство с Африка.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През последните 10 години ЕС и Африка изградиха по-силно политическо партньорство въз основа на споделени ценности и интереси, залегнали в съвместната стратегия Африка — ЕС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footnoteReference w:id="12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(JAES). Днес ЕС е основният чуждестранен инвеститор на Африка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3"/>
      </w:r>
      <w:r>
        <w:rPr>
          <w:rFonts w:ascii="Times New Roman" w:hAnsi="Times New Roman"/>
          <w:noProof/>
          <w:color w:val="000000" w:themeColor="text1"/>
          <w:sz w:val="24"/>
        </w:rPr>
        <w:t>, неин основен търговски партньор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4"/>
      </w:r>
      <w:r>
        <w:rPr>
          <w:rFonts w:ascii="Times New Roman" w:hAnsi="Times New Roman"/>
          <w:noProof/>
          <w:color w:val="000000" w:themeColor="text1"/>
          <w:sz w:val="24"/>
        </w:rPr>
        <w:t>, основен фактор за сигурността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5"/>
      </w:r>
      <w:r>
        <w:rPr>
          <w:rFonts w:ascii="Times New Roman" w:hAnsi="Times New Roman"/>
          <w:noProof/>
          <w:color w:val="000000" w:themeColor="text1"/>
          <w:sz w:val="24"/>
        </w:rPr>
        <w:t>, основен източник на парични преводи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16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и първи партньор в развитието и хуманитарната помощ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footnoteReference w:id="17"/>
      </w:r>
      <w:r>
        <w:rPr>
          <w:rFonts w:ascii="Times New Roman" w:hAnsi="Times New Roman"/>
          <w:noProof/>
          <w:color w:val="000000" w:themeColor="text1"/>
          <w:sz w:val="24"/>
        </w:rPr>
        <w:t>. Все по-тясната мрежа от човешки контакти и обмен укрепва връзките между народите от двата континента.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Като се опира на JAES, ЕС следва да се стреми към три взаимосвързани цели:</w:t>
      </w:r>
    </w:p>
    <w:p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По-силна взаимна ангажираност и засилено сътрудничество на международната сцена, основано на общи ценности и общи интереси, включително в двустранните отношения;</w:t>
      </w:r>
    </w:p>
    <w:p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Сигурността на сушата и морето и борбата срещу транснационалните заплахи като инвестиция в сигурността и на двата континента; </w:t>
      </w:r>
    </w:p>
    <w:p>
      <w:pPr>
        <w:pStyle w:val="ListParagraph"/>
        <w:numPr>
          <w:ilvl w:val="0"/>
          <w:numId w:val="25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Устойчиво и приобщаващо икономическо развитие в Африка за създаване на работните места, от които се нуждае континентът, и за използване на възможностите, които предлага на Европа.</w:t>
      </w:r>
    </w:p>
    <w:p>
      <w:pPr>
        <w:spacing w:after="120"/>
        <w:rPr>
          <w:rFonts w:ascii="Times New Roman" w:hAnsi="Times New Roman" w:cs="Times New Roman"/>
          <w:noProof/>
          <w:color w:val="000000" w:themeColor="text1"/>
          <w:szCs w:val="24"/>
        </w:rPr>
      </w:pPr>
    </w:p>
    <w:p>
      <w:pPr>
        <w:pStyle w:val="Heading1"/>
        <w:spacing w:before="0" w:after="120" w:line="276" w:lineRule="auto"/>
        <w:rPr>
          <w:noProof/>
          <w:szCs w:val="24"/>
        </w:rPr>
      </w:pPr>
      <w:bookmarkStart w:id="8" w:name="_Toc480319525"/>
      <w:bookmarkStart w:id="9" w:name="_Toc482188574"/>
      <w:r>
        <w:rPr>
          <w:noProof/>
        </w:rPr>
        <w:t>По-тесни политически отношения</w:t>
      </w:r>
      <w:bookmarkEnd w:id="8"/>
      <w:bookmarkEnd w:id="9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Изготвянето на амбициозна обща програма изисква преди всичко инвестиции на политическо равнище за издигане на съществуващите политически отношения с Африка на по-висок стратегически етап. Това може да се постигне чрез:</w:t>
      </w:r>
    </w:p>
    <w:p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Засилване на коалициите по въпросите на глобалното управление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>чрез търсене на задълбочен диалог и ефективно сътрудничество в рамките на международните форуми. Африканският съюз (АС) и африканската група в ООН са стратегически партньори и ключови съюзници за укрепване на ролята на ООН и на основания на правила глобален ред, който е от съществено значение за бъдещия мир и просперитет. Всички партньори участват в повишаването на ефективността, отчетността и представителността на цялата система на ООН, включително на Съвета за сигурност. Това сътрудничество следва да има за цел да реформира и укрепва многостранните институции и да разработва споразумения, норми и действия в отговор на глобални предизвикателства като изменението на климата, епидемиите, натиска върху природните ресурси, както и миграцията, мобилността и хуманитарните кризи. То ще служи също така за насърчаване и подкрепа на върховенството на закона и правосъдието на международно равнище, включително за осигуряване на справедливост и отговорност за най-тежките престъпления в съответствие с принципите, изложени в Римския статут на Международния наказателен съд;</w:t>
      </w:r>
    </w:p>
    <w:p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Засилване на сътрудничеството по общите интереси и въз основа на чести политически взаимодействия,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>като се използва пълният потенциал на JAES и другите съществуващи рамки и споразумения за сътрудничество на най-подходящото ниво (многостранно, континентално, регионално, национално, местно) въз основа на принципите на субсидиарността. По-специално партньорите от ЕС и Африка следва да активизират отново политическия диалог на министерско равнище, не само по външнополитически въпроси, но и по инициативи и партньорства в секторните политики;</w:t>
      </w:r>
    </w:p>
    <w:p>
      <w:pPr>
        <w:numPr>
          <w:ilvl w:val="0"/>
          <w:numId w:val="24"/>
        </w:num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Създаване на партньорство, насочено към хората,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чрез укрепване на контактите между хората и контактите между предприятията, както и чрез обмен на усилия, и по-специално чрез засилване на ангажираността на местните власти, частния сектор и гражданското общество. Това се оказа предизвикателство и налага подновяване на съвместните усилия. Диалогът с всички тези участници ще бъде насърчаван в подготовката за срещата на високо равнище, както и след това.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>
      <w:pPr>
        <w:pStyle w:val="Heading1"/>
        <w:spacing w:before="0" w:after="120" w:line="276" w:lineRule="auto"/>
        <w:rPr>
          <w:noProof/>
          <w:szCs w:val="24"/>
        </w:rPr>
      </w:pPr>
      <w:bookmarkStart w:id="10" w:name="_Toc480319526"/>
      <w:bookmarkStart w:id="11" w:name="_Toc482188575"/>
      <w:r>
        <w:rPr>
          <w:noProof/>
        </w:rPr>
        <w:t>Превръщане на стратегическите цели в действия</w:t>
      </w:r>
      <w:bookmarkEnd w:id="10"/>
      <w:bookmarkEnd w:id="11"/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Рамката на външната политика на ЕС и собствената програма на Африка за реформи до 2063 г. предоставят правилните насоки за превръщането на тези цели в трансформираща програма, структурирана около две основни направления: </w:t>
      </w:r>
    </w:p>
    <w:p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Изграждане на по-устойчиви държави и общества;</w:t>
      </w:r>
    </w:p>
    <w:p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Създаване на повече и по-добри работни места,</w:t>
      </w:r>
      <w:r>
        <w:rPr>
          <w:noProof/>
        </w:rPr>
        <w:t xml:space="preserve"> особено за младите хора.</w:t>
      </w:r>
    </w:p>
    <w:p>
      <w:pPr>
        <w:pStyle w:val="Heading2"/>
        <w:spacing w:after="120" w:line="276" w:lineRule="auto"/>
        <w:rPr>
          <w:noProof/>
          <w:szCs w:val="24"/>
        </w:rPr>
      </w:pPr>
      <w:bookmarkStart w:id="12" w:name="_Toc477101461"/>
      <w:bookmarkStart w:id="13" w:name="_Toc477190352"/>
      <w:bookmarkStart w:id="14" w:name="_Toc477101462"/>
      <w:bookmarkStart w:id="15" w:name="_Toc477190353"/>
      <w:bookmarkStart w:id="16" w:name="_Toc477101463"/>
      <w:bookmarkStart w:id="17" w:name="_Toc477190354"/>
      <w:bookmarkStart w:id="18" w:name="_Toc477101464"/>
      <w:bookmarkStart w:id="19" w:name="_Toc477190355"/>
      <w:bookmarkStart w:id="20" w:name="_Toc477101465"/>
      <w:bookmarkStart w:id="21" w:name="_Toc477190356"/>
      <w:bookmarkStart w:id="22" w:name="_Toc477350629"/>
      <w:bookmarkStart w:id="23" w:name="_Toc477356042"/>
      <w:bookmarkStart w:id="24" w:name="_Toc477350630"/>
      <w:bookmarkStart w:id="25" w:name="_Toc477356043"/>
      <w:bookmarkStart w:id="26" w:name="_Toc477350631"/>
      <w:bookmarkStart w:id="27" w:name="_Toc477356044"/>
      <w:bookmarkStart w:id="28" w:name="_Toc477350632"/>
      <w:bookmarkStart w:id="29" w:name="_Toc477356045"/>
      <w:bookmarkStart w:id="30" w:name="_Toc477350633"/>
      <w:bookmarkStart w:id="31" w:name="_Toc477356046"/>
      <w:bookmarkStart w:id="32" w:name="_Toc480319527"/>
      <w:bookmarkStart w:id="33" w:name="_Toc48218857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noProof/>
        </w:rPr>
        <w:t>По-устойчиви държави и общества</w:t>
      </w:r>
      <w:bookmarkEnd w:id="32"/>
      <w:bookmarkEnd w:id="33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 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предвижда мирен, сигурен и проспериращ континент, Африка на доброто управление, демокрацията, зачитането на правата на човека, справедливостта и върховенството на закона и Африка, в която развитието е насочено към хората, която разгръща потенциала на своите млади хора — по-специално на младите жени — без да изоставя никого.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Тези стремежи изцяло задоволяват собствените ценности и цели на ЕС, особено когато несигурността извън неговите граници застрашава всички негови жизненоважни интереси.</w:t>
      </w:r>
    </w:p>
    <w:p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</w:rPr>
      </w:pPr>
      <w:bookmarkStart w:id="34" w:name="_Toc480319528"/>
      <w:bookmarkStart w:id="35" w:name="_Toc482188577"/>
      <w:r>
        <w:rPr>
          <w:noProof/>
        </w:rPr>
        <w:t>Предотвратяване на конфликти, решаване на кризи и укрепване на мира</w:t>
      </w:r>
      <w:bookmarkEnd w:id="34"/>
      <w:bookmarkEnd w:id="35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Никога преди интересите на ЕС в областта на сигурността не са били толкова обвързани с Африка. Пряката връзка между Либия и Сахел, между Африканския рог и Персийския залив изисква по-стратегически подход, който да надхвърля установените формати. Заплахите за морската сигурност в Червено море, Индийския океан и Гвинейския залив засягат пряко европейската икономика.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Тероризмът, яростният екстремизъм и транснационалните организирани престъпления, като трафика на хора, както и по-традиционните заплахи за мира и стабилността (вътрешнодържавни конфликти, местни конфликти за ресурси, насилие по време на избори, въоръжен грабеж и пиратство и други), представляват симптоми на по-дълбока структурна нестабилност и несигурност. 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 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се стреми към мирен и сигурен континент. С приемането на Африканската архитектура за мир и сигурност (APSA) Африка има амбициите за укрепване на механизмите за осигуряване на мир и помирение на всички равнища, за справяне с възникващите заплахи за мира и сигурността на африканския континент, както и да въведе стратегии, чрез които континентът да финансира нуждите си за сигурност. Докладът на Пол Кагаме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Императивът за укрепване на нашия съюз</w:t>
      </w:r>
      <w:r>
        <w:rPr>
          <w:rFonts w:ascii="Times New Roman" w:hAnsi="Times New Roman"/>
          <w:noProof/>
          <w:color w:val="000000" w:themeColor="text1"/>
          <w:sz w:val="24"/>
        </w:rPr>
        <w:t>“ и докладът на Донал Каберука относно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Осигуряване на предвидимо и устойчиво финансиране на мира в Африка</w:t>
      </w:r>
      <w:r>
        <w:rPr>
          <w:rFonts w:ascii="Times New Roman" w:hAnsi="Times New Roman"/>
          <w:i/>
          <w:noProof/>
          <w:color w:val="000000" w:themeColor="text1"/>
          <w:sz w:val="24"/>
          <w:vertAlign w:val="superscript"/>
        </w:rPr>
        <w:footnoteReference w:id="18"/>
      </w:r>
      <w:r>
        <w:rPr>
          <w:rFonts w:ascii="Times New Roman" w:hAnsi="Times New Roman"/>
          <w:noProof/>
          <w:color w:val="000000" w:themeColor="text1"/>
          <w:sz w:val="24"/>
        </w:rPr>
        <w:t>“ са важни стъпки за по-нататъшно укрепване на този процес.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Африка остава един от центровете на тежестта на действията на ЕС в областта на сигурността. От 33 завършени или текущи цивилни и военни операции, ръководени от ЕС, 19 бяха разположени в Африка, а днес в Африка са разположени 5 от 6 текущи военни операции, ръководени от ЕС. Само чрез Механизма за подкрепа на мира в Африка (APF) ЕС е отпуснал значително количество средства от над 2 милиарда евро от 2004 г. насам. Това е в допълнение към</w:t>
      </w:r>
      <w:r>
        <w:rPr>
          <w:rFonts w:ascii="Times New Roman" w:hAnsi="Times New Roman"/>
          <w:noProof/>
          <w:sz w:val="24"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>важните програми за подпомагане на сигурността/борбата с тероризма/радикализацията на национално равнище и други дейности, извършвани от ЕС и отделни държави членки. В съответствие с глобалната си стратегия ЕС иска отново да потвърди позицията си на фактор за сигурността и ключов партньор на Африка за практическото прилагане на APSA и подкрепата за регионалните стратегии, като по този начин допринася за продължаващите усилия на Африка за намиране на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африкански решения на африканските проблеми</w:t>
      </w:r>
      <w:r>
        <w:rPr>
          <w:rFonts w:ascii="Times New Roman" w:hAnsi="Times New Roman"/>
          <w:noProof/>
          <w:color w:val="000000" w:themeColor="text1"/>
          <w:sz w:val="24"/>
        </w:rPr>
        <w:t>“.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предлага да се премине към следващата стъпка на партньорството, като насърчава усилията за:</w:t>
      </w:r>
    </w:p>
    <w:p>
      <w:pPr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 xml:space="preserve">i) По-нататъшно засилване на координацията и диалога чрез: 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pacing w:val="-4"/>
          <w:szCs w:val="24"/>
        </w:rPr>
      </w:pPr>
      <w:r>
        <w:rPr>
          <w:noProof/>
          <w:color w:val="000000" w:themeColor="text1"/>
          <w:spacing w:val="-4"/>
        </w:rPr>
        <w:t>Създаване на платформа за сътрудничество, обединяваща европейски и африкански партньори, както и ООН и международни участници за изграждане на по-голяма устойчивост срещу целия спектър от заплахи и предизвикване на кризи;</w:t>
      </w:r>
    </w:p>
    <w:p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ii) Предотвратяване на конфликти чрез: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подкрепата за цялостното практическо прилагане на APSA и изграждането на капацитета на Африка;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spacing w:val="-4"/>
          <w:szCs w:val="24"/>
        </w:rPr>
      </w:pPr>
      <w:r>
        <w:rPr>
          <w:noProof/>
          <w:spacing w:val="-4"/>
        </w:rPr>
        <w:t>Подобряване на инициативите за изграждане на капацитет за реформи в сектора за сигурност, по-специално чрез мисии по линия на ОПСО</w:t>
      </w:r>
      <w:r>
        <w:rPr>
          <w:rStyle w:val="FootnoteReference"/>
          <w:noProof/>
          <w:spacing w:val="-4"/>
        </w:rPr>
        <w:footnoteReference w:id="19"/>
      </w:r>
      <w:r>
        <w:rPr>
          <w:noProof/>
          <w:spacing w:val="-4"/>
        </w:rPr>
        <w:t xml:space="preserve"> и чрез допълнителна подкрепа за изграждане на капацитет в подкрепа на сигурността и развитието;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гражданския принцип на правовата държава и правомощията за правоприлагане, както и способностите на африканските държави да се борят ефективно с тероризма, пиратството, водещата до насилие радикализация и организираната престъпност, включително трафика на хора;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ефективното изпълнение на съответните резолюции, политики и конвенции на Съвета за сигурност на Организацията на обединените нации (СС на ООН) чрез предоставяне на съответния експертен опит;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Увеличаване на наличието на експертно сътрудничество с отделни африкански партньори, включително чрез проекти за изграждане на капацитет за повишаване на морската и авиационната сигурност, например чрез инструмента, допринасящ за стабилността и мира</w:t>
      </w:r>
      <w:r>
        <w:rPr>
          <w:rStyle w:val="FootnoteReference"/>
          <w:noProof/>
          <w:color w:val="000000" w:themeColor="text1"/>
        </w:rPr>
        <w:footnoteReference w:id="20"/>
      </w:r>
      <w:r>
        <w:rPr>
          <w:noProof/>
          <w:color w:val="000000" w:themeColor="text1"/>
        </w:rPr>
        <w:t>;</w:t>
      </w:r>
    </w:p>
    <w:p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pacing w:val="-4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pacing w:val="-4"/>
          <w:sz w:val="24"/>
          <w:u w:val="single"/>
        </w:rPr>
        <w:t>iii) Преодоляване на кризи и подобряване на управлението на конфликти чрез:</w:t>
      </w:r>
    </w:p>
    <w:p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Продължаване на подпомагането на Африканския съюз, подрегионалните организации и държавите в операции за поддържане на мира чрез специфичните инструменти на ЕС като APF и чрез операции по линия на ОПСО, по тяхно искане и когато това се счита за подходящо. Дейностите биха могли също </w:t>
      </w:r>
      <w:r>
        <w:rPr>
          <w:noProof/>
        </w:rPr>
        <w:t>да включват началните стъпки в усилията за укрепване на мира след конфликт, като например разоръжаване, демобилизация и реинтеграция.</w:t>
      </w:r>
      <w:r>
        <w:rPr>
          <w:noProof/>
          <w:color w:val="000000" w:themeColor="text1"/>
        </w:rPr>
        <w:t xml:space="preserve">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pacing w:val="-6"/>
          <w:szCs w:val="24"/>
        </w:rPr>
      </w:pPr>
      <w:r>
        <w:rPr>
          <w:b/>
          <w:noProof/>
          <w:spacing w:val="-6"/>
        </w:rPr>
        <w:t>Създаване на платформа за сътрудничество, обединяваща ООН, европейски, африкански и други международни партньори</w:t>
      </w:r>
      <w:r>
        <w:rPr>
          <w:noProof/>
          <w:spacing w:val="-6"/>
        </w:rPr>
        <w:t xml:space="preserve"> за засилване на политическия диалог, стратегическите дискусии и съвместните действия в областта на предотвратяването на конфликти, укрепването на мира и развитието.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b/>
          <w:noProof/>
          <w:color w:val="000000" w:themeColor="text1"/>
        </w:rPr>
        <w:t>Осигуряване на първоначален принос към Фонда за мир на АС</w:t>
      </w:r>
      <w:r>
        <w:rPr>
          <w:noProof/>
          <w:color w:val="000000" w:themeColor="text1"/>
        </w:rPr>
        <w:t>, при условие че е налице негова структура на управление и продължава да работи с АС и ООН за изпълнението плана на АС/Каберука относно възможностите за финансова устойчивост.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b/>
          <w:noProof/>
        </w:rPr>
        <w:t>Подкрепа за африканските инициативи в областта на морската сигурност</w:t>
      </w:r>
      <w:r>
        <w:rPr>
          <w:rStyle w:val="FootnoteReference"/>
          <w:b/>
          <w:noProof/>
          <w:color w:val="000000" w:themeColor="text1"/>
        </w:rPr>
        <w:footnoteReference w:id="21"/>
      </w:r>
      <w:r>
        <w:rPr>
          <w:noProof/>
        </w:rPr>
        <w:t xml:space="preserve"> чрез подобряване на стратегиите за осведоменост по проблемите, свързани с морето, на инструментите и на информационните мрежи, както и на полицейските и съдебните системи.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Cs w:val="24"/>
        </w:rPr>
      </w:pPr>
    </w:p>
    <w:p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</w:rPr>
      </w:pPr>
      <w:bookmarkStart w:id="36" w:name="_Toc480319529"/>
      <w:bookmarkStart w:id="37" w:name="_Toc482188578"/>
      <w:r>
        <w:rPr>
          <w:noProof/>
        </w:rPr>
        <w:t>Укрепване на системите за управление</w:t>
      </w:r>
      <w:bookmarkEnd w:id="36"/>
      <w:bookmarkEnd w:id="37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Управлението, развитието и сигурността са тясно свързани. Устойчивите общества с отговорни, демократични, ефективни и прозрачни институции на всички равнища, които функционират в стабилна и предвидима макроикономическа рамка и в които се зачитат човешките права, са в основата на устойчивото развитие и стабилността. Тези общества са също най-добре подготвени да се адаптират, да реагират и да управляват правилно промените във външната икономическа среда и вътрешните промени, включително чрез ефективно предоставяне на услуги на нарастващото население.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color w:val="000000" w:themeColor="text1"/>
          <w:sz w:val="24"/>
        </w:rPr>
        <w:t>Напредъкът в управлението е неравномерен. Демокрацията постига успехи, но трябва да бъде подхранвана, тъй като ненарушимостта на изборния процес често се оспорва и се правят конституционни промени или опити за такива промени, с цел да се разреши на действащите лица да останат на власт. Напредъкът в насърчаването и защитата на правата на човека продължава да бъде неравномерен и променлив поради недостатъчно управление, нестабилност и конфликти.</w:t>
      </w:r>
      <w:r>
        <w:rPr>
          <w:rFonts w:ascii="Times New Roman" w:hAnsi="Times New Roman"/>
          <w:noProof/>
        </w:rPr>
        <w:t xml:space="preserve">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Приобщаващото участие на гражданите в процеса на вземане на решения в обществото, и по-специално участието на младите хора и жените в официалните политически процеси ще увеличи доверието в държавните институции. Тези институции често нямат капацитет да функционират ефективно, например в области като управлението на публичните финанси, прозрачността на обществените поръчки и разходите, борбата с корупцията и измамите. По-специално мобилизирането на вътрешните приходи, предпоставка за възможността държавата да изпълнява задълженията си, често е под необходимите нива и се подкопава от незаконни финансови потоци</w:t>
      </w:r>
      <w:r>
        <w:rPr>
          <w:rFonts w:ascii="Times New Roman" w:hAnsi="Times New Roman"/>
          <w:noProof/>
          <w:color w:val="000000" w:themeColor="text1"/>
          <w:sz w:val="24"/>
          <w:vertAlign w:val="superscript"/>
        </w:rPr>
        <w:footnoteReference w:id="22"/>
      </w:r>
      <w:r>
        <w:rPr>
          <w:rFonts w:ascii="Times New Roman" w:hAnsi="Times New Roman"/>
          <w:noProof/>
          <w:color w:val="000000" w:themeColor="text1"/>
          <w:sz w:val="24"/>
        </w:rPr>
        <w:t>. Най-малко 50 милиарда щатски долара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23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се изнасят от континента годишно чрез незаконни финансови потоци, което до голяма степен надхвърля общия размер на официалната помощ за развитие (ОПР).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Във всички области на управление, от участие и овластяване до прозрачност, отчетност и качество на предоставяните обществени услуги, цифровите услуги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24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и технологии могат да играят — и вече играят — важна роля. Както ЕС, така и Африка може да се възползва и да се учи от опита си.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 Програма 2063 Африка се стреми да бъде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континент, в който са залегнали демократичните ценности, култура, практики, универсални принципи на правата на човека, равенството между половете, справедливостта и върховенството на закона</w:t>
      </w:r>
      <w:r>
        <w:rPr>
          <w:rFonts w:ascii="Times New Roman" w:hAnsi="Times New Roman"/>
          <w:noProof/>
          <w:color w:val="000000" w:themeColor="text1"/>
          <w:sz w:val="24"/>
        </w:rPr>
        <w:t>“ и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има способни институции и трансформиращо управление на всички равнища</w:t>
      </w:r>
      <w:r>
        <w:rPr>
          <w:rFonts w:ascii="Times New Roman" w:hAnsi="Times New Roman"/>
          <w:noProof/>
          <w:color w:val="000000" w:themeColor="text1"/>
          <w:sz w:val="24"/>
        </w:rPr>
        <w:t>“. В нея се предвижда развитие, насочено към хората, в което гражданите участват активно в социалното, икономическото и политическото развитие и в което институциите са отговорни и предоставят ефективни и ефикасни услуги с компетентни професионалисти. С Африканската архитектурата на управление континентът разполага с важна рамка за координация и изграждане на демокрация. Африканският механизъм за партньорски проверки, уникален инструмент на Африка, е основен стълб на тази архитектура.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pacing w:val="-2"/>
          <w:sz w:val="24"/>
        </w:rPr>
        <w:t>ЕС е основният партньор на Африка в управлението, демокрацията, върховенството на закона и правата на човека, със силен и дългогодишен ангажимент на национално, регионално и континентално равнище като основен елемент от отношенията му</w:t>
      </w:r>
      <w:r>
        <w:rPr>
          <w:rStyle w:val="FootnoteReference"/>
          <w:rFonts w:ascii="Times New Roman" w:hAnsi="Times New Roman"/>
          <w:noProof/>
          <w:color w:val="000000" w:themeColor="text1"/>
          <w:spacing w:val="-2"/>
          <w:sz w:val="24"/>
        </w:rPr>
        <w:footnoteReference w:id="25"/>
      </w:r>
      <w:r>
        <w:rPr>
          <w:rFonts w:ascii="Times New Roman" w:hAnsi="Times New Roman"/>
          <w:noProof/>
          <w:color w:val="000000" w:themeColor="text1"/>
          <w:spacing w:val="-2"/>
          <w:sz w:val="24"/>
        </w:rPr>
        <w:t>. С повечето африкански държави се провеждат структурни политически диалози в съответствие с текстовете относно политическия диалог от съответното споразумение за асоцииране, например член 8 от Споразумението от Котону за африканските държави от АКТБ. Освен това ЕС предоставя значителна подкрепа за изпълнението на африканските ангажименти за управление чрез програми с национални, регионални и континентални институции, допълнена от действия, насочени към укрепване на местните власти и участие на гражданското общество в политическия диалог. ЕС подкрепя също така усилията на африканските държави да мобилизират повече вътрешни ресурси, да подобряват управлението на публичните финанси и да гарантират устойчивост на дълга, по-специално чрез прилагането на подхода „Collect More, Spend Better“ („Повече приходи, по-разумни разходи“)</w:t>
      </w:r>
      <w:r>
        <w:rPr>
          <w:rStyle w:val="FootnoteReference"/>
          <w:rFonts w:ascii="Times New Roman" w:hAnsi="Times New Roman"/>
          <w:noProof/>
          <w:color w:val="000000" w:themeColor="text1"/>
          <w:spacing w:val="-2"/>
          <w:sz w:val="24"/>
        </w:rPr>
        <w:footnoteReference w:id="26"/>
      </w:r>
      <w:r>
        <w:rPr>
          <w:rFonts w:ascii="Times New Roman" w:hAnsi="Times New Roman"/>
          <w:noProof/>
          <w:color w:val="000000" w:themeColor="text1"/>
          <w:spacing w:val="-2"/>
          <w:sz w:val="24"/>
        </w:rPr>
        <w:t xml:space="preserve"> въз основа на Програмата за действие от Адис Абеба.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Като се опира на своя опит, ЕС предлага да се премине към следващата стъпка на партньорството, като насърчава усилията за:</w:t>
      </w:r>
    </w:p>
    <w:p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 xml:space="preserve">i) Подкрепа на демокрацията и насърчаване на правата на човека и върховенството на закона чрез: 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Укрепване и разширяване на политическия диалог с държавите партньори, като се използват всички разпоредби на съществуващите рамки и споразумения; 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ратифицирането и прилагането на международните инструменти и на собствените инструменти на АС за правата на човека на национално равнище;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По-нататъшно укрепване на доверието в демократичните процеси чрез засилено сътрудничество в областта на наблюдението на избори, по-специално с АС, включително последващи действия по отношение на препоръките за наблюдение на избори;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Подсилване на диалога и обмена на информация, извличане на поуки и най-добри практики от мисиите за наблюдение на избори, които са сътрудничили на място в миналото, програми за сътрудничество за изграждането на демокрация и подкрепа за Африканската архитектурата на управление чрез създаване на контакти и съвместни събития с всички заинтересовани страни, включително правителства, политически партии, парламенти и гражданско общество, с цел споделяне на опит и експертни познания и определяне на начини за укрепване на демокрацията в двата континента.</w:t>
      </w:r>
    </w:p>
    <w:p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ii) Насърчаване на отговорно, прозрачно и отзивчиво управление чрез: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 капацитета на институциите да предоставят възможности все повече млади хора за участие на всички равнища в обществото;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Увеличаване на участието на гражданите в процесите на вземане на решения, повишаване на прозрачността и отчетността на публичната администрация, както и ефективността и качеството при предоставянето на обществени услуги, по-специално чрез внедряването на услуги за електронно управление, като същевременно се гарантира зачитане на личния живот и висока степен на защита на личните данни;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Укрепване на съвместните усилия за улесняване, запазване и разширяване на пространството за ангажиране на гражданското общество в застъпничеството и оформянето на политиките;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 засилване на ролята и капацитета на местните власти, по-специално за справяне с предизвикателствата, свързани с бързата урбанизация, а именно чрез подкрепа на изпълнението на Африканската харта за местно управление и AHCLA</w:t>
      </w:r>
      <w:r>
        <w:rPr>
          <w:rStyle w:val="FootnoteReference"/>
          <w:noProof/>
          <w:color w:val="000000" w:themeColor="text1"/>
        </w:rPr>
        <w:footnoteReference w:id="27"/>
      </w:r>
      <w:r>
        <w:rPr>
          <w:noProof/>
          <w:color w:val="000000" w:themeColor="text1"/>
        </w:rPr>
        <w:t xml:space="preserve"> и чрез улесняване на проектите за „туининг“;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овластяването на жените, младите хора, както и уязвимите хора чрез целенасочени програми, насърчаващи участието им в процесите на вземане на решения и осигуряване на равен достъп за всички до качествено образование и професионално обучение, адекватна и устойчива социална закрила, както и универсално здравеопазване, включително ваксинация, грижи за репродуктивното здраве и превенция на заразните болести;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сътрудничеството в управлението на публичните финанси, включително съсредоточаване върху проактивни политики/инструменти за борба с корупцията и измамите, както и осигуряване на ефективни системи за контрол на публичните финанси чрез подкрепяне на развитието на капацитет в области като реформи в данъчната политика, данъчната администрация и управлението на приходите от природни ресурси, както и за борба с незаконните финансови потоци като последващи действия в рамките на Програмата за действие от Адис Абеба;</w:t>
      </w:r>
    </w:p>
    <w:p>
      <w:pPr>
        <w:keepNext/>
        <w:keepLines/>
        <w:spacing w:after="120"/>
        <w:rPr>
          <w:rFonts w:ascii="Times New Roman" w:hAnsi="Times New Roman" w:cs="Times New Roman"/>
          <w:b/>
          <w:noProof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iii) Изграждане на устойчивост по отношение на влошаването на състоянието на околната среда и хуманитарните кризи чрез: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Увеличаване на усилията за подпомагане на инвестициите на правителствата за намаляване на риска от бедствия, изграждане на капацитет за действия на ранен етап, продължителни кризи на изселване и удовлетворяване на основните потребности с цел по-добро издържане на стрес, адаптиране към стрес и възстановяване от стрес, шокове и травми, включително в градска среда;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Помагане на африканските партньори да се справят с уязвимостта към епидемии от болести и други заплахи за здравето, по-специално чрез укрепване на системите за здравеопазване и изграждане на капацитет за готовност и реагиране при спешни ситуации</w:t>
      </w:r>
      <w:r>
        <w:rPr>
          <w:rStyle w:val="FootnoteReference"/>
          <w:noProof/>
          <w:color w:val="000000" w:themeColor="text1"/>
        </w:rPr>
        <w:footnoteReference w:id="28"/>
      </w:r>
      <w:r>
        <w:rPr>
          <w:noProof/>
          <w:color w:val="000000" w:themeColor="text1"/>
        </w:rPr>
        <w:t>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Укрепване на собствения капацитет на Африка за управление на екологичните и социалните предизвикателства чрез използване на космическите технологии и информация, включително данни и услуги, предоставени в рамките на Европейската програма за наблюдение на Земята „Коперник“;</w:t>
      </w:r>
    </w:p>
    <w:p>
      <w:pPr>
        <w:pStyle w:val="ListParagraph"/>
        <w:numPr>
          <w:ilvl w:val="0"/>
          <w:numId w:val="27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Улесняване на подобряването на социалните и екологичните условия във връзка с експлоатацията на природните ресурси, включително в процеса на добив, преработка и рециклиране на полезни изкопаеми.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pacing w:val="-6"/>
          <w:szCs w:val="24"/>
        </w:rPr>
      </w:pPr>
      <w:r>
        <w:rPr>
          <w:noProof/>
          <w:color w:val="000000" w:themeColor="text1"/>
          <w:spacing w:val="-6"/>
        </w:rPr>
        <w:t xml:space="preserve">Подсилване на диалога и обмена на информация относно подкрепата за изграждане на демокрация, като се започне със </w:t>
      </w:r>
      <w:r>
        <w:rPr>
          <w:b/>
          <w:noProof/>
          <w:color w:val="000000" w:themeColor="text1"/>
          <w:spacing w:val="-6"/>
        </w:rPr>
        <w:t>Съвместна конференция между ЕС и ЕС на високо равнище относно изборния процес, демокрацията и управлението в Африка и Европа</w:t>
      </w:r>
      <w:r>
        <w:rPr>
          <w:noProof/>
          <w:color w:val="000000" w:themeColor="text1"/>
          <w:spacing w:val="-6"/>
        </w:rPr>
        <w:t>; в съответствие с африканските и европейските политики, като бъдат включени съответните институции като Панафриканския и Европейския парламент, както и гражданското общество и академичните среди;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b/>
          <w:noProof/>
          <w:color w:val="000000" w:themeColor="text1"/>
        </w:rPr>
        <w:t>Двойна подкрепа за мобилизиране на вътрешните ресурси до 2020 г.</w:t>
      </w:r>
      <w:r>
        <w:rPr>
          <w:noProof/>
        </w:rPr>
        <w:t xml:space="preserve"> в съответствие с Данъчната инициатива от Адис Абеба;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noProof/>
          <w:color w:val="000000" w:themeColor="text1"/>
          <w:spacing w:val="-4"/>
          <w:szCs w:val="24"/>
        </w:rPr>
      </w:pPr>
      <w:r>
        <w:rPr>
          <w:b/>
          <w:noProof/>
          <w:spacing w:val="-4"/>
        </w:rPr>
        <w:t>Съвместно действие за укрепване на устойчивото управление на природните ресурси,</w:t>
      </w:r>
      <w:r>
        <w:rPr>
          <w:noProof/>
          <w:spacing w:val="-4"/>
        </w:rPr>
        <w:t xml:space="preserve"> по-специално чрез изработването на обща харта между ЕС и Африка.</w:t>
      </w:r>
    </w:p>
    <w:p>
      <w:pPr>
        <w:spacing w:after="120"/>
        <w:rPr>
          <w:rFonts w:ascii="Times New Roman" w:hAnsi="Times New Roman" w:cs="Times New Roman"/>
          <w:noProof/>
        </w:rPr>
      </w:pPr>
    </w:p>
    <w:p>
      <w:pPr>
        <w:pStyle w:val="Heading3"/>
        <w:numPr>
          <w:ilvl w:val="0"/>
          <w:numId w:val="30"/>
        </w:numPr>
        <w:spacing w:after="120" w:line="276" w:lineRule="auto"/>
        <w:rPr>
          <w:noProof/>
          <w:szCs w:val="24"/>
        </w:rPr>
      </w:pPr>
      <w:bookmarkStart w:id="38" w:name="_Toc480319530"/>
      <w:bookmarkStart w:id="39" w:name="_Toc482188579"/>
      <w:r>
        <w:rPr>
          <w:noProof/>
        </w:rPr>
        <w:t>Управление на миграцията и мобилността</w:t>
      </w:r>
      <w:bookmarkEnd w:id="38"/>
      <w:bookmarkEnd w:id="39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Мобилността и миграцията представляват важни икономически, свързани със сигурността и социални въпроси както в Африка, така и в Европа. Те могат да обогатяват и укрепват обществата, но и да ги дестабилизират, ако не бъдат управлявани правилно. При наличието на потоци на миграция и мобилност — включително принудително изселване — с рекордно високи нива в Африка и при едновременно нарастващия брой на мигрантите и търсещите убежище лица, пристигащи в Европа от Африка, и двата континента признаха, че е необходимо да се направи повече, по-специално с цел предотвратяване на опасни пътувания, намаляване на броя на смъртните случаи и задълбочаване на практическото сътрудничество. Африка и Европа имат споделен интерес и споделена отговорност, като призовават и за глобални решения, основани на принципа на солидарност и споделяне на отговорностите. В Декларацията от Ню Йорк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29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се предоставя много добра политическа рамка за справяне с големите движения на бежанци и мигранти.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Програма 2063 има за цел да осигури на Африка динамични и взаимноизгодни връзки с нейната диаспора и да бъде континент с безпроблемни граници, да се сложи край на изтичането на мозъци, както и на всички форми на </w:t>
      </w:r>
      <w:r>
        <w:rPr>
          <w:rFonts w:ascii="Times New Roman" w:hAnsi="Times New Roman"/>
          <w:i/>
          <w:noProof/>
          <w:color w:val="000000" w:themeColor="text1"/>
          <w:sz w:val="24"/>
        </w:rPr>
        <w:t>„незаконна миграция и трафик на млади хора“</w:t>
      </w:r>
      <w:r>
        <w:rPr>
          <w:rFonts w:ascii="Times New Roman" w:hAnsi="Times New Roman"/>
          <w:noProof/>
          <w:color w:val="000000" w:themeColor="text1"/>
          <w:sz w:val="24"/>
        </w:rPr>
        <w:t>, като същевременно се търси по-голяма мобилност, например представители на академичните среди, изследователски персонал и студенти — например, като се подчертава значението на мобилността на младите хора в рамките на Африка. Другите приоритети включват подобрения в механизмите на паричните преводи и отговорни политики за трудова миграция.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Освен това Африка се стреми да бъде континент без трафик на хора, където е премахната организираната престъпност и другите форми на престъпни мрежи. 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ЕС разглежда миграцията в дух на партньорство и взаимно доверие чрез непрекъснат диалог и сътрудничество с африканските си партньори. Вече съществуват важни рамки за диалог, например Диалога за миграцията и мобилността (ММД) между Африка и ЕС. Европейските правителства и институции се обединяват от допълнителни инициативи със своите колеги от Централна, Западна и Северна Африка („процеса от Рабат“), както и от Северна и Източна Африка („процеса от Хартум“). През ноември 2015 г. във Валета лидерите от 31 европейски и 35 африкански държави, участващи в тези два процеса на диалог, се ангажираха с амбициозен план за действие. </w:t>
      </w:r>
    </w:p>
    <w:p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Най-амбициозният и иновативен подход на ЕС за ефективно управление на миграцията е </w:t>
      </w:r>
      <w:r>
        <w:rPr>
          <w:rFonts w:ascii="Times New Roman" w:hAnsi="Times New Roman"/>
          <w:i/>
          <w:noProof/>
          <w:color w:val="000000"/>
          <w:sz w:val="24"/>
        </w:rPr>
        <w:t>Рамката за партньорство</w:t>
      </w:r>
      <w:r>
        <w:rPr>
          <w:rStyle w:val="FootnoteReference"/>
          <w:rFonts w:ascii="Times New Roman" w:hAnsi="Times New Roman"/>
          <w:noProof/>
          <w:color w:val="000000"/>
          <w:sz w:val="24"/>
        </w:rPr>
        <w:footnoteReference w:id="30"/>
      </w:r>
      <w:r>
        <w:rPr>
          <w:rFonts w:ascii="Times New Roman" w:hAnsi="Times New Roman"/>
          <w:noProof/>
          <w:color w:val="000000"/>
          <w:sz w:val="24"/>
        </w:rPr>
        <w:t xml:space="preserve">, която осигурява обединение за практическо сътрудничество между ЕС и третите държави на произход и на транзит за справяне с първопричините за миграцията и управлението ѝ, като напълно се зачитат хуманитарните задължения и задълженията, свързани с правата на човека. В духа на рамката за партньорство ЕС и неговите държави членки неотдавна увеличиха усилията си по отношение на своите партньори в Северна Африка, за да спасят живота на повече хора в Средиземно море и да управляват по-ефективно миграционните потоци. Това доведе до съвместното съобщение: </w:t>
      </w:r>
      <w:r>
        <w:rPr>
          <w:rFonts w:ascii="Times New Roman" w:hAnsi="Times New Roman"/>
          <w:i/>
          <w:noProof/>
          <w:color w:val="000000"/>
          <w:sz w:val="24"/>
        </w:rPr>
        <w:t>Миграцията по маршрута през Централното Средиземноморие. Управление на потоците, спасяване на човешки живот</w:t>
      </w:r>
      <w:r>
        <w:rPr>
          <w:rFonts w:ascii="Times New Roman" w:hAnsi="Times New Roman"/>
          <w:i/>
          <w:noProof/>
          <w:color w:val="000000"/>
          <w:sz w:val="24"/>
          <w:vertAlign w:val="superscript"/>
        </w:rPr>
        <w:footnoteReference w:id="31"/>
      </w:r>
      <w:r>
        <w:rPr>
          <w:rFonts w:ascii="Times New Roman" w:hAnsi="Times New Roman"/>
          <w:i/>
          <w:noProof/>
          <w:color w:val="000000"/>
          <w:sz w:val="24"/>
        </w:rPr>
        <w:t xml:space="preserve"> </w:t>
      </w:r>
      <w:r>
        <w:rPr>
          <w:rFonts w:ascii="Times New Roman" w:hAnsi="Times New Roman"/>
          <w:noProof/>
          <w:color w:val="000000"/>
          <w:sz w:val="24"/>
        </w:rPr>
        <w:t>и беше потвърдена отново от Европейския съвет, в Декларацията от Малта</w:t>
      </w:r>
      <w:r>
        <w:rPr>
          <w:rFonts w:ascii="Times New Roman" w:hAnsi="Times New Roman"/>
          <w:noProof/>
          <w:color w:val="000000"/>
          <w:sz w:val="24"/>
          <w:vertAlign w:val="superscript"/>
        </w:rPr>
        <w:footnoteReference w:id="32"/>
      </w:r>
      <w:r>
        <w:rPr>
          <w:rFonts w:ascii="Times New Roman" w:hAnsi="Times New Roman"/>
          <w:noProof/>
          <w:color w:val="000000"/>
          <w:sz w:val="24"/>
        </w:rPr>
        <w:t xml:space="preserve"> относно овладяване на маршрута през Централното Средиземноморие. </w:t>
      </w:r>
    </w:p>
    <w:p>
      <w:pPr>
        <w:spacing w:after="120"/>
        <w:jc w:val="both"/>
        <w:rPr>
          <w:rFonts w:ascii="Times New Roman" w:hAnsi="Times New Roman" w:cs="Times New Roman"/>
          <w:noProof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noProof/>
          <w:color w:val="000000"/>
          <w:spacing w:val="-4"/>
          <w:sz w:val="24"/>
        </w:rPr>
        <w:t>Извънредният доверителен фонд на ЕС за стабилност и преодоляване на първопричините за незаконната миграция и разселването на хора в Африка</w:t>
      </w:r>
      <w:r>
        <w:rPr>
          <w:rStyle w:val="FootnoteReference"/>
          <w:rFonts w:ascii="Times New Roman" w:hAnsi="Times New Roman"/>
          <w:noProof/>
          <w:color w:val="000000"/>
          <w:spacing w:val="-4"/>
          <w:sz w:val="24"/>
        </w:rPr>
        <w:footnoteReference w:id="33"/>
      </w:r>
      <w:r>
        <w:rPr>
          <w:rFonts w:ascii="Times New Roman" w:hAnsi="Times New Roman"/>
          <w:noProof/>
          <w:color w:val="000000"/>
          <w:spacing w:val="-4"/>
          <w:sz w:val="24"/>
        </w:rPr>
        <w:t xml:space="preserve"> (EUTF Africa) е ключов инструмент за изпълнение на ангажиментите, поети във Валета, и остава от първостепенно значение за подхода на Рамката за партньорство. На стойност над 2,6 милиарда евро</w:t>
      </w:r>
      <w:r>
        <w:rPr>
          <w:rStyle w:val="FootnoteReference"/>
          <w:rFonts w:ascii="Times New Roman" w:hAnsi="Times New Roman"/>
          <w:noProof/>
          <w:color w:val="000000"/>
          <w:spacing w:val="-4"/>
          <w:sz w:val="24"/>
        </w:rPr>
        <w:footnoteReference w:id="34"/>
      </w:r>
      <w:r>
        <w:rPr>
          <w:rFonts w:ascii="Times New Roman" w:hAnsi="Times New Roman"/>
          <w:noProof/>
          <w:color w:val="000000"/>
          <w:spacing w:val="-4"/>
          <w:sz w:val="24"/>
        </w:rPr>
        <w:t xml:space="preserve"> и като обхваща региона Сахел и езерото Чад, Африканския рог и Северна Африка, EUTF Africa е насочен към основните причини за дестабилизация, незаконна миграция, принудително изселване</w:t>
      </w:r>
      <w:r>
        <w:rPr>
          <w:rStyle w:val="FootnoteReference"/>
          <w:rFonts w:ascii="Times New Roman" w:hAnsi="Times New Roman"/>
          <w:noProof/>
          <w:color w:val="000000"/>
          <w:spacing w:val="-4"/>
          <w:sz w:val="24"/>
        </w:rPr>
        <w:footnoteReference w:id="35"/>
      </w:r>
      <w:r>
        <w:rPr>
          <w:rFonts w:ascii="Times New Roman" w:hAnsi="Times New Roman"/>
          <w:noProof/>
          <w:color w:val="000000"/>
          <w:spacing w:val="-4"/>
          <w:sz w:val="24"/>
        </w:rPr>
        <w:t xml:space="preserve"> и трафик на хора чрез подкрепа за създаване на работни места и икономическо развитие, устойчивост, управление на миграцията, както и за стабилност и управление.</w:t>
      </w:r>
    </w:p>
    <w:p>
      <w:pPr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</w:rPr>
        <w:t>Освен тези процеси и инициативи, предложеният европейски план за външни инвестиции</w:t>
      </w:r>
      <w:r>
        <w:rPr>
          <w:rStyle w:val="FootnoteReference"/>
          <w:rFonts w:ascii="Times New Roman" w:hAnsi="Times New Roman"/>
          <w:noProof/>
          <w:color w:val="000000"/>
          <w:sz w:val="24"/>
        </w:rPr>
        <w:footnoteReference w:id="36"/>
      </w:r>
      <w:r>
        <w:rPr>
          <w:rFonts w:ascii="Times New Roman" w:hAnsi="Times New Roman"/>
          <w:noProof/>
          <w:color w:val="000000"/>
          <w:sz w:val="24"/>
        </w:rPr>
        <w:t xml:space="preserve"> (ПВИ) ще бъде най-мощното средство на ЕС за насърчаване на инвестициите и създаването на работни места в Африка — допринасящ за устойчив растеж и насочен пряко към коренните причини за миграцията и принудителното изселване.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тези съществуващи рамки ЕС предлага да се премине към следващата стъпка на партньорството чрез продължаване на усилията съгласно подхода на Рамката за партньорство, както и: 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i) Справяне с регионалните миграционни потоци и свързаните с тях трансгранични предизвикателства чрез:</w:t>
      </w:r>
    </w:p>
    <w:p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 приемането и интернализирането на регулаторни рамки, благоприятстващи законната миграция и мобилността в Африка;</w:t>
      </w:r>
    </w:p>
    <w:p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Справяне с принудителното изселване и насърчаване на международната закрила, основана на принципа на споделяне на отговорността, като се спомогне за запазване и увеличаване на човешкия капитал на принудените да напуснат домовете си, за осигуряване на тяхната защита и в крайна сметка за създаване на ползи за развитието на разселените и приемащите ги; </w:t>
      </w:r>
    </w:p>
    <w:p>
      <w:pPr>
        <w:pStyle w:val="ListParagraph"/>
        <w:numPr>
          <w:ilvl w:val="0"/>
          <w:numId w:val="3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Укрепване на сътрудничеството в управлението на границите, включително чрез концепцията за интегрирано управление на границите;</w:t>
      </w:r>
    </w:p>
    <w:p>
      <w:pPr>
        <w:pStyle w:val="ListParagraph"/>
        <w:numPr>
          <w:ilvl w:val="0"/>
          <w:numId w:val="36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Съвместна работа за финализиране през 2018 г. на глобалните пактове и тясно сътрудничество със съответните международни организации;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 xml:space="preserve">ii) Увеличаване на ползите от законната миграция и мобилност и нейния потенциал като двигател за развитие чрез: </w:t>
      </w:r>
    </w:p>
    <w:p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pacing w:val="-6"/>
          <w:szCs w:val="24"/>
        </w:rPr>
      </w:pPr>
      <w:r>
        <w:rPr>
          <w:noProof/>
          <w:color w:val="000000" w:themeColor="text1"/>
          <w:spacing w:val="-6"/>
        </w:rPr>
        <w:t>По-нататъшна подкрепа за работата на Африканския институт за парични преводи;</w:t>
      </w:r>
    </w:p>
    <w:p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Подобряване на знанията, функционирането и капацитета на африканската диаспора като участник в развитието;</w:t>
      </w:r>
    </w:p>
    <w:p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По-нататъшна подкрепа за инвестициите и предприемачеството на диаспората в държавите на произход;</w:t>
      </w:r>
    </w:p>
    <w:p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По-нататъшно увеличаване на мобилността на студентите и изследователите.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iii)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Повишаване на сътрудничеството относно незаконната миграция</w:t>
      </w:r>
      <w:r>
        <w:rPr>
          <w:rFonts w:ascii="Times New Roman" w:hAnsi="Times New Roman"/>
          <w:b/>
          <w:noProof/>
          <w:color w:val="000000" w:themeColor="text1"/>
          <w:sz w:val="24"/>
        </w:rPr>
        <w:t>,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чрез </w:t>
      </w:r>
    </w:p>
    <w:p>
      <w:pPr>
        <w:pStyle w:val="ListParagraph"/>
        <w:numPr>
          <w:ilvl w:val="0"/>
          <w:numId w:val="43"/>
        </w:numPr>
        <w:spacing w:after="120"/>
        <w:ind w:left="351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Подпомагане на прилагането на цялостни законодателни рамки, обхващащи всички аспекти на трафика и контрабандата на хора в съответствие с Конвенцията на ООН срещу транснационалната организирана престъпност и придружаващите я протоколи, включително чрез засилване на сътрудничеството за борба с мрежите за трафик и контрабанда;</w:t>
      </w:r>
    </w:p>
    <w:p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ind w:left="351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Прилагане на подходящи мерки за управление на входящи, изходящи и транзитни миграционни потоци, включително чрез насърчаването на създаването на надеждни системи за гражданска регистрация и биометрични данни, както и процедури за гарантиране на зачитането на правата на мигрантите и на принципа на забрана за връщане;</w:t>
      </w:r>
    </w:p>
    <w:p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/>
        <w:ind w:left="351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Предотвратяване и възпиране на използването на незаконни канали за миграция и</w:t>
      </w:r>
      <w:r>
        <w:rPr>
          <w:noProof/>
        </w:rPr>
        <w:t xml:space="preserve"> </w:t>
      </w:r>
      <w:r>
        <w:rPr>
          <w:noProof/>
          <w:color w:val="000000" w:themeColor="text1"/>
        </w:rPr>
        <w:t xml:space="preserve">засилване на сътрудничеството за улесняване на връщането и трайната повторна интеграция на незаконните мигранти, като същевременно се насърчават възможностите за законна миграция и мобилност. </w:t>
      </w:r>
    </w:p>
    <w:p>
      <w:pPr>
        <w:pStyle w:val="ListParagraph"/>
        <w:autoSpaceDE w:val="0"/>
        <w:autoSpaceDN w:val="0"/>
        <w:adjustRightInd w:val="0"/>
        <w:spacing w:before="60" w:afterLines="60" w:after="144"/>
        <w:ind w:left="357"/>
        <w:rPr>
          <w:noProof/>
          <w:color w:val="000000" w:themeColor="text1"/>
          <w:szCs w:val="24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b/>
          <w:smallCaps/>
          <w:noProof/>
          <w:color w:val="000000" w:themeColor="text1"/>
          <w:szCs w:val="24"/>
        </w:rPr>
      </w:pPr>
      <w:r>
        <w:rPr>
          <w:b/>
          <w:noProof/>
          <w:color w:val="000000" w:themeColor="text1"/>
        </w:rPr>
        <w:t xml:space="preserve">Подкрепа за африканските инициативи за законна миграция и мобилност между африканските държави, </w:t>
      </w:r>
      <w:r>
        <w:rPr>
          <w:noProof/>
          <w:color w:val="000000" w:themeColor="text1"/>
        </w:rPr>
        <w:t>включително подкрепа за разработването на Протокола за свободно движение на хора в Африка и на Протокола относно специфичното право на гражданство и недопускане на липса на гражданство в Африка; подкрепа за схеми за социална закрила, включително преносимост на социални права; механизми за преносимост и признаване на умения и квалификации.</w:t>
      </w:r>
      <w:r>
        <w:rPr>
          <w:b/>
          <w:noProof/>
        </w:rPr>
        <w:t xml:space="preserve"> </w:t>
      </w:r>
    </w:p>
    <w:p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 w:val="0"/>
        <w:rPr>
          <w:b/>
          <w:smallCaps/>
          <w:noProof/>
          <w:color w:val="000000" w:themeColor="text1"/>
          <w:szCs w:val="24"/>
        </w:rPr>
      </w:pPr>
      <w:r>
        <w:rPr>
          <w:b/>
          <w:noProof/>
        </w:rPr>
        <w:t>Засилване на сътрудничеството между Африка и ЕС в борбата с мрежите за трафик и контрабанда</w:t>
      </w:r>
      <w:r>
        <w:rPr>
          <w:noProof/>
          <w:color w:val="000000" w:themeColor="text1"/>
        </w:rPr>
        <w:t>, включително подкрепа за присъединяването и прилагането от страна на африканските държави на Конвенцията на ООН срещу транснационалната организирана престъпност и придружаващите я протоколи.</w:t>
      </w:r>
    </w:p>
    <w:p>
      <w:pPr>
        <w:spacing w:after="120"/>
        <w:rPr>
          <w:rFonts w:ascii="Times New Roman" w:hAnsi="Times New Roman" w:cs="Times New Roman"/>
          <w:noProof/>
        </w:rPr>
      </w:pPr>
    </w:p>
    <w:p>
      <w:pPr>
        <w:pStyle w:val="Heading2"/>
        <w:spacing w:after="120" w:line="276" w:lineRule="auto"/>
        <w:rPr>
          <w:noProof/>
          <w:szCs w:val="24"/>
        </w:rPr>
      </w:pPr>
      <w:bookmarkStart w:id="40" w:name="_Toc480319531"/>
      <w:bookmarkStart w:id="41" w:name="_Toc482188580"/>
      <w:r>
        <w:rPr>
          <w:noProof/>
        </w:rPr>
        <w:t>Повече и по-добри работни места, особено за младите хора</w:t>
      </w:r>
      <w:bookmarkEnd w:id="40"/>
      <w:bookmarkEnd w:id="41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 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предвижда промяна на парадигмата, която създава възможност за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проспериращ континент със средствата и ресурсите, които да стимулират собственото му развитие, и в който икономиките преминават структурна трансформация чрез индустриализация, производство и добавена стойност с цел създаване на общ растеж чрез развитие на частния сектор, предприемачество и достойни работни места за всички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“.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С цел превръщането на тази промяна на парадигмата в реалност ЕС лансира индустриализацията на Африка с крайната цел за създаване на богатство чрез повече и по-добри работни места, като се съсредоточава върху повишаването на производителността на труда и качествените инвестиции в сектори с добавена стойност и трудоемки сектори, по-специално сектора на хранително-вкусовата промишленост, по отношение на </w:t>
      </w:r>
      <w:r>
        <w:rPr>
          <w:rFonts w:ascii="Times New Roman" w:hAnsi="Times New Roman"/>
          <w:noProof/>
          <w:sz w:val="24"/>
        </w:rPr>
        <w:t>международно приети трудови права и достойни условия на труд, както и овластяването на жените</w:t>
      </w:r>
      <w:r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В същото време е от решаващо значение да се гарантира, че при икономическата трансформация се вземат под внимание предизвикателствата и възможностите, свързани с изменението на климата и екологичната устойчивост.</w:t>
      </w:r>
    </w:p>
    <w:p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</w:rPr>
      </w:pPr>
      <w:bookmarkStart w:id="42" w:name="_Toc477190362"/>
      <w:bookmarkStart w:id="43" w:name="_Toc480319532"/>
      <w:bookmarkStart w:id="44" w:name="_Toc482188581"/>
      <w:r>
        <w:rPr>
          <w:noProof/>
        </w:rPr>
        <w:t>Привличане на отговорни и устойчиви инвестиции</w:t>
      </w:r>
      <w:bookmarkEnd w:id="42"/>
      <w:bookmarkEnd w:id="43"/>
      <w:bookmarkEnd w:id="44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Макроикономическата стабилност, създаването на регионални пазари, подходящият инвестиционен климат и разнообразната икономика с добавена стойност са от съществено значение за икономическото развитие и създаването на достойни работни места.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Частният сектор има най-голям потенциал за генериране на работни места и поради това е от съществено значение за привличане на отговорни частни — национални и чуждестранни — инвестиции в Африка. Това налага разработването на стабилни и отворени финансови системи за увеличаване на кредитирането на частния сектор и създаване на благоприятен инвестиционен климат, като същевременно се насърчава отговорното поведение на инвеститорите със спазване на социалните и екологичните стандарти и доброто корпоративно управление.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 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се стреми да се превърне в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континент, в който свободата на хората, капиталите, стоките и услугите ще доведе до значително увеличение на търговията и инвестициите</w:t>
      </w:r>
      <w:r>
        <w:rPr>
          <w:rFonts w:ascii="Times New Roman" w:hAnsi="Times New Roman"/>
          <w:noProof/>
          <w:color w:val="000000" w:themeColor="text1"/>
          <w:sz w:val="24"/>
        </w:rPr>
        <w:t>“. Това се изразява в необходимостта от насърчаване на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макроикономическите политики, които улесняват растежа, създаването на работни места, инвестициите и индустриализацията“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и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развиват африканския частен сектор чрез ангажираност и благоприятен климат, насърчавайки панафриканските предприятия чрез растежа на регионалните производствени центрове и разширяването на вътрешноафриканската търговия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“. 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ЕС работи задълбочено с африканските партньори, за да развива бизнес средата и инвестиционния климат, да насърчава процеса на икономическа интеграция на Африка на национално, регионално и континентално равнище, както и за да привлича публични и частни инвестиции на континента. Насърчаването, по-специално на частните инвестиции в допълнение към оскъдните публични ресурси, е абсолютно наложително и е в основата на ПВИ.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ЕС предлага да се премине към следващата стъпка на партньорство, като: </w:t>
      </w:r>
    </w:p>
    <w:p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i) Насърчаване на мащабни отговорни и устойчиви инвестиции в Африка,</w:t>
      </w:r>
      <w:r>
        <w:rPr>
          <w:rFonts w:ascii="Times New Roman" w:hAnsi="Times New Roman"/>
          <w:noProof/>
          <w:color w:val="000000" w:themeColor="text1"/>
          <w:sz w:val="24"/>
          <w:u w:val="single"/>
        </w:rPr>
        <w:t xml:space="preserve"> по-специално в контекста на предложения план за външни инвестиции чрез: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Подпомагане на предвидим и благоприятен инвестиционен климат в Африка за отговорни и устойчиви инвестиции чрез диалог с африканските държави и частния сектор; 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Подпомагане на основни помощни инфраструктури, по-специално в сектори, включващи устойчива енергия, водоснабдяване, транспорт, информационни и комуникационни технологии, околна среда, устойчиво използване на природните ресурси и син растеж, социална инфраструктура, човешки капитал; това ще включва предлагане на партньорства с промишлеността на ЕС, по-специално със сектори, в които Съюзът е световен лидер; 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szCs w:val="24"/>
          <w:u w:val="single"/>
        </w:rPr>
      </w:pPr>
      <w:r>
        <w:rPr>
          <w:noProof/>
          <w:color w:val="000000" w:themeColor="text1"/>
        </w:rPr>
        <w:t>Подпомагане на предприемачите, малките и средните предприятия и стартиращи предприятия от Африка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 xml:space="preserve">чрез специализирани структури и услуги за подкрепа на местния бизнес; 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b/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Работа с международни финансови институции</w:t>
      </w:r>
      <w:r>
        <w:rPr>
          <w:noProof/>
          <w:color w:val="1F497D"/>
        </w:rPr>
        <w:t xml:space="preserve"> и банки за развитие</w:t>
      </w:r>
      <w:r>
        <w:rPr>
          <w:noProof/>
        </w:rPr>
        <w:t xml:space="preserve"> за оползотворяване на ресурсите от капиталовите пазари</w:t>
      </w:r>
      <w:r>
        <w:rPr>
          <w:b/>
          <w:noProof/>
          <w:color w:val="000000" w:themeColor="text1"/>
        </w:rPr>
        <w:t xml:space="preserve"> </w:t>
      </w:r>
      <w:r>
        <w:rPr>
          <w:noProof/>
        </w:rPr>
        <w:t>с акцент върху секторите с добавена стойност и с най-голям потенциал за устойчиво създаване на работни места и развитие с ниски въглеродни емисии, както и възползване от възможностите, предлагани от зелената, синята и кръговата икономика;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корпоративната социална отговорност, социалното предприемачество и рамките за отговорно бизнес поведение;</w:t>
      </w:r>
    </w:p>
    <w:p>
      <w:pPr>
        <w:keepNext/>
        <w:keepLines/>
        <w:tabs>
          <w:tab w:val="left" w:pos="2302"/>
        </w:tabs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ii) Насърчаване на бизнес отношенията между Европа и Африка: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Установяване на структуриран диалог с европейския и африканския частен сектор чрез платформата „Устойчив бизнес за Африка“ (SB4A) в рамките на ЕПВИ, бизнес форуми и „мисии за икономическа дипломация“ на европейските инвеститори в Африка;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szCs w:val="24"/>
          <w:u w:val="single"/>
        </w:rPr>
      </w:pPr>
      <w:r>
        <w:rPr>
          <w:noProof/>
          <w:color w:val="000000" w:themeColor="text1"/>
        </w:rPr>
        <w:t>По-нататъшно укрепване на търговските отношения между ЕС и Африка,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като се гарантира, че партньорите могат да се възползват в пълна степен от стабилната и предвидима рамка, осигурена от споразуменията за икономическо партньорство (СИП), споразуменията за свободна търговия и други полезни търговски режими</w:t>
      </w:r>
      <w:r>
        <w:rPr>
          <w:noProof/>
        </w:rPr>
        <w:t>, в контекста на засилена</w:t>
      </w:r>
      <w:r>
        <w:rPr>
          <w:noProof/>
          <w:color w:val="000000" w:themeColor="text1"/>
        </w:rPr>
        <w:t xml:space="preserve"> </w:t>
      </w:r>
      <w:r>
        <w:rPr>
          <w:rStyle w:val="Emphasis"/>
          <w:i w:val="0"/>
          <w:noProof/>
        </w:rPr>
        <w:t>многостранна търговска</w:t>
      </w:r>
      <w:r>
        <w:rPr>
          <w:rStyle w:val="st"/>
          <w:noProof/>
        </w:rPr>
        <w:t xml:space="preserve"> система. Те ще се възползват и от преразгледаната стратегия на ЕС за подпомагане на търговията;</w:t>
      </w:r>
    </w:p>
    <w:p>
      <w:pPr>
        <w:pStyle w:val="ListParagraph"/>
        <w:keepNext/>
        <w:keepLines/>
        <w:tabs>
          <w:tab w:val="left" w:pos="2302"/>
        </w:tabs>
        <w:spacing w:after="120" w:line="276" w:lineRule="auto"/>
        <w:ind w:left="0"/>
        <w:contextualSpacing w:val="0"/>
        <w:rPr>
          <w:noProof/>
          <w:szCs w:val="24"/>
          <w:u w:val="single"/>
        </w:rPr>
      </w:pPr>
      <w:r>
        <w:rPr>
          <w:b/>
          <w:noProof/>
          <w:color w:val="000000" w:themeColor="text1"/>
          <w:u w:val="single"/>
        </w:rPr>
        <w:t>iii) Подкрепа за</w:t>
      </w:r>
      <w:r>
        <w:rPr>
          <w:b/>
          <w:noProof/>
          <w:u w:val="single"/>
        </w:rPr>
        <w:t xml:space="preserve"> амбицията на Африка да изгради истински вътрешноафрикански пазар</w:t>
      </w:r>
      <w:r>
        <w:rPr>
          <w:noProof/>
          <w:u w:val="single"/>
        </w:rPr>
        <w:t xml:space="preserve"> </w:t>
      </w:r>
      <w:r>
        <w:rPr>
          <w:b/>
          <w:noProof/>
          <w:u w:val="single"/>
        </w:rPr>
        <w:t>чрез: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Улесняване на търговията чрез устойчива митническа реформа и подкрепа за модернизация;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ind w:left="357" w:hanging="357"/>
        <w:contextualSpacing w:val="0"/>
        <w:rPr>
          <w:b/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По-нататъшно укрепване на „панафриканската група по качеството (PAQI)“</w:t>
      </w:r>
      <w:r>
        <w:rPr>
          <w:rStyle w:val="FootnoteReference"/>
          <w:noProof/>
          <w:color w:val="000000" w:themeColor="text1"/>
        </w:rPr>
        <w:footnoteReference w:id="37"/>
      </w:r>
      <w:r>
        <w:rPr>
          <w:noProof/>
          <w:color w:val="000000" w:themeColor="text1"/>
        </w:rPr>
        <w:t xml:space="preserve"> със специален акцент върху въвеждането на панафриканска система за стандартизация, вдъхновена от най-добрите практики на единния пазар на ЕС;</w:t>
      </w:r>
    </w:p>
    <w:p>
      <w:pPr>
        <w:pStyle w:val="ListParagraph"/>
        <w:numPr>
          <w:ilvl w:val="0"/>
          <w:numId w:val="32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pacing w:val="-4"/>
          <w:szCs w:val="24"/>
        </w:rPr>
      </w:pPr>
      <w:r>
        <w:rPr>
          <w:noProof/>
          <w:color w:val="000000" w:themeColor="text1"/>
          <w:spacing w:val="-4"/>
        </w:rPr>
        <w:t xml:space="preserve">Подкрепа за подготовката за „Континентална зона за свободна търговия“ (CFTA).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4"/>
      </w:tblGrid>
      <w:tr>
        <w:tc>
          <w:tcPr>
            <w:tcW w:w="8834" w:type="dxa"/>
          </w:tcPr>
          <w:p>
            <w:pPr>
              <w:spacing w:after="120" w:line="276" w:lineRule="auto"/>
              <w:jc w:val="center"/>
              <w:rPr>
                <w:b/>
                <w:i/>
                <w:noProof/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noProof/>
                <w:color w:val="000000" w:themeColor="text1"/>
                <w:sz w:val="24"/>
              </w:rPr>
              <w:t>Водещи инициативи</w:t>
            </w:r>
          </w:p>
          <w:p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</w:rPr>
              <w:t>Генериране на мащабни европейски инвестиции в Африка чрез предложения ЕПВИ</w:t>
            </w:r>
            <w:r>
              <w:rPr>
                <w:noProof/>
                <w:color w:val="000000" w:themeColor="text1"/>
              </w:rPr>
              <w:t>, който се очаква да привлече инвестиции в размер на 44 милиарда евро до 2020 г., с подкрепата на структуриран диалог с европейския и африканския частен сектор в рамките на платформата „Устойчив бизнес за Африка“ (SB4A). Ще се търсят полезни взаимодействия с подобни национални инициативи на държавите — членки на ЕС, и на многостранно равнище, по-специално с „Пакта за Африка“ на Г-20.</w:t>
            </w:r>
          </w:p>
          <w:p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b/>
                <w:noProof/>
                <w:color w:val="000000" w:themeColor="text1"/>
                <w:szCs w:val="24"/>
              </w:rPr>
            </w:pPr>
            <w:r>
              <w:rPr>
                <w:b/>
                <w:noProof/>
                <w:color w:val="000000" w:themeColor="text1"/>
              </w:rPr>
              <w:t xml:space="preserve">Подкрепа за по-предсказуем и благоприятен инвестиционен климат в Африка, </w:t>
            </w:r>
            <w:r>
              <w:rPr>
                <w:noProof/>
                <w:color w:val="000000" w:themeColor="text1"/>
              </w:rPr>
              <w:t>по-специално чрез одобряване на ръководните принципи на Африка и ЕС за изготвяне на инвестиционна политика.</w:t>
            </w:r>
          </w:p>
          <w:p>
            <w:pPr>
              <w:pStyle w:val="ListParagraph"/>
              <w:numPr>
                <w:ilvl w:val="0"/>
                <w:numId w:val="33"/>
              </w:numPr>
              <w:spacing w:after="120" w:line="276" w:lineRule="auto"/>
              <w:contextualSpacing w:val="0"/>
              <w:rPr>
                <w:b/>
                <w:noProof/>
                <w:color w:val="000000" w:themeColor="text1"/>
                <w:spacing w:val="-6"/>
                <w:szCs w:val="24"/>
              </w:rPr>
            </w:pPr>
            <w:r>
              <w:rPr>
                <w:b/>
                <w:noProof/>
                <w:color w:val="000000" w:themeColor="text1"/>
                <w:spacing w:val="-6"/>
              </w:rPr>
              <w:t xml:space="preserve">Подкрепа за цифровата програма на Африка, </w:t>
            </w:r>
            <w:r>
              <w:rPr>
                <w:noProof/>
                <w:color w:val="000000" w:themeColor="text1"/>
                <w:spacing w:val="-6"/>
              </w:rPr>
              <w:t>насочена към внедряването на услуги за електронно управление, инициативи и инвестиции, които улесняват развитието на селскостопанския бизнес чрез достъп и използване на пазарни, климатични и екологични данни, както и към развитието на отворена цифрова среда за научни изследвания с цел насърчаване на придобиването на умения и знания.</w:t>
            </w:r>
          </w:p>
        </w:tc>
      </w:tr>
    </w:tbl>
    <w:p>
      <w:pPr>
        <w:spacing w:after="120"/>
        <w:rPr>
          <w:rFonts w:ascii="Times New Roman" w:hAnsi="Times New Roman" w:cs="Times New Roman"/>
          <w:noProof/>
        </w:rPr>
      </w:pPr>
      <w:bookmarkStart w:id="45" w:name="_Toc477190363"/>
    </w:p>
    <w:p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</w:rPr>
      </w:pPr>
      <w:bookmarkStart w:id="46" w:name="_Toc480319533"/>
      <w:bookmarkStart w:id="47" w:name="_Toc482188582"/>
      <w:r>
        <w:rPr>
          <w:noProof/>
        </w:rPr>
        <w:t>Снабдяване на Африка с енергия</w:t>
      </w:r>
      <w:bookmarkEnd w:id="45"/>
      <w:bookmarkEnd w:id="46"/>
      <w:bookmarkEnd w:id="47"/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Осигуряването на универсален достъп до достъпна, надеждна, устойчива и модерна енергетика в Африка, включително в селските райони, е също така възможност и за двата континента за генериране на приобщаващо развитие и работни места, съобразени с предизвикателствата, свързани с климата. От общ интерес е да се засили сътрудничеството, основано на общите ценности на прехода към чиста енергия, в който ЕС има водеща роля в световен мащаб.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До 2030 г.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38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се очаква с растежа на икономиките, увеличаването на населението и урбанизацията търсенето на електроснабдяване в Африка да се утрои. Около 700 милиона жители, предимно в Африка на юг от Сахара, днес нямат достъп до модерни форми на енергетика и нито сегашните нива на електрификация, нито годишният растеж на БВП са достатъчни, за да гарантират универсален достъп до енергия. При все това богатите африкански устойчиви енергийни ресурси значително надхвърлят сегашните и бъдещите нужди на континента. Реализирането на потенциала на Африка зависи от повишеното производство и ефективното използване на енергия, по-добрите трансгранични междусистемни връзки, включително с Европа, и правилната политическа рамка за управление на енергийния сектор. Публичното финансиране не би могло да осигури само по себе си необходимите инвестиции за посрещане на това търсене. 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Африка е решена да участва в глобалните усилия за смекчаване на изменението на климата, които подкрепят и разширяват политическото пространство за устойчиво развитие на континента. Тези усилия включват мерки, установени в национално определените приноси на африканските държави във връзка с изменението на климата. 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Програмата 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възнамерява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да впрегне всички африкански енергийни ресурси за осигуряване на модерна, ефективна, надеждна, рентабилна и екологосъобразна енергия от възобновяеми енергийни източници за всички африкански домакинства, индустрии и институции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“. 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си партнира с Африка в областта на енергетиката в продължение на много години и ръководи усилията в рамките на Десетилетието на устойчивата енергия за всички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39"/>
      </w:r>
      <w:r>
        <w:rPr>
          <w:rFonts w:ascii="Times New Roman" w:hAnsi="Times New Roman"/>
          <w:noProof/>
          <w:color w:val="000000" w:themeColor="text1"/>
          <w:sz w:val="24"/>
        </w:rPr>
        <w:t xml:space="preserve"> с цел увеличаване на производството и разпределението на електроенергия чрез повишаване на дела на енергията от възобновяеми източници и намаляване на дела на изкопаемите горива в общото производство на енергия.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си е поставил амбициозни цели за устойчиво енергийно сътрудничество с Африка на юг от Сахара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40"/>
      </w:r>
      <w:r>
        <w:rPr>
          <w:rFonts w:ascii="Times New Roman" w:hAnsi="Times New Roman"/>
          <w:noProof/>
          <w:color w:val="000000" w:themeColor="text1"/>
          <w:sz w:val="24"/>
        </w:rPr>
        <w:t xml:space="preserve">, като също допринесе за целите от 21-та среща на Конференция на страните (COP21): до 2020 г. ЕС ще подкрепя създаването на достъп до устойчива енергия за 30 милиона души, осигурявайки 5 GW капацитет за производство на енергия от възобновяеми източници и спестявайки 11 милиона тона CO2 годишно в подкрепа на Африканската инициатива за енергия от възобновяеми източници (AREI).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случая със Северна Африка партньорството в областта на енергетиката продължава да се развива на регионално равнище в рамките на Съюза за Средиземноморието. На двустранно равнище ЕС работи с държавите от Северна Африка с широк портфейл от програми за финансова и техническа помощ, а в конкретния случай на ключов доставчик на енергия като Алжир — чрез стратегическо партньорство в областта на енергетиката. 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ЕС предлага да се премине към следващата стъпка на партньорството, като насърчава усилията за: 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i) Стимулиране на публичните и частните инвестиции в областта на енергията от възобновяеми източници в Африка</w:t>
      </w:r>
      <w:r>
        <w:rPr>
          <w:rFonts w:ascii="Times New Roman" w:hAnsi="Times New Roman"/>
          <w:noProof/>
          <w:color w:val="000000" w:themeColor="text1"/>
          <w:sz w:val="24"/>
          <w:u w:val="single"/>
        </w:rPr>
        <w:t>, по-специално в контекста на предложения Европейския план за външни инвестиции (ЕПВИ) чрез</w:t>
      </w:r>
      <w:r>
        <w:rPr>
          <w:rFonts w:ascii="Times New Roman" w:hAnsi="Times New Roman"/>
          <w:noProof/>
          <w:color w:val="000000" w:themeColor="text1"/>
          <w:sz w:val="24"/>
        </w:rPr>
        <w:t>:</w:t>
      </w:r>
    </w:p>
    <w:p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Улесняване на сътрудничеството между публичния и частния сектор посредтсвом платформа на високо равнище за създаване на силен икономически казус за ускорени инвестиции на частния сектор в Африка;</w:t>
      </w:r>
    </w:p>
    <w:p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Поемане на ролята на катализатор чрез подпомагане на африканските правителства да подобряват благоприятната среда за енергийния сектор. Въз основа на цялостната си политическа рамка за енергетиката и климата, включително най-новия пакет „Чиста енергия за всички европейци“</w:t>
      </w:r>
      <w:r>
        <w:rPr>
          <w:rStyle w:val="FootnoteReference"/>
          <w:noProof/>
          <w:color w:val="000000" w:themeColor="text1"/>
        </w:rPr>
        <w:footnoteReference w:id="41"/>
      </w:r>
      <w:r>
        <w:rPr>
          <w:noProof/>
          <w:color w:val="000000" w:themeColor="text1"/>
        </w:rPr>
        <w:t>, ЕС може да споделя с африканските партньори богат и уникален опит, знания и най-добри практики в политическия анализ и регулирането с цел постигане на устойчиво производство на енергия и модернизация на енергийната система, и когато е приложимо, регионална интеграция на пазара;</w:t>
      </w:r>
    </w:p>
    <w:p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Подпомагане на създаването на регионална интеграция на енергийните пазари в Африка чрез хармонизиране на регулаторните инструменти за електроенергията; </w:t>
      </w:r>
    </w:p>
    <w:p>
      <w:pPr>
        <w:pStyle w:val="ListParagraph"/>
        <w:numPr>
          <w:ilvl w:val="0"/>
          <w:numId w:val="39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трансграничните междусистемни връзки, включително с Европа, за гарантиране на надеждни и достъпни енергийни доставки;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 xml:space="preserve">ii) Задълбочаване на стратегическите обединения и сътрудничеството чрез: </w:t>
      </w:r>
    </w:p>
    <w:p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pacing w:val="-4"/>
          <w:szCs w:val="24"/>
        </w:rPr>
      </w:pPr>
      <w:r>
        <w:rPr>
          <w:noProof/>
          <w:color w:val="000000" w:themeColor="text1"/>
          <w:spacing w:val="-4"/>
        </w:rPr>
        <w:t>Засилване на диалога и координацията в рамките на енергийното партньорство Африка—ЕС, с държавите — членки на ЕС, чрез Енергийната инициатива на ЕС, както и с ключови партньори и инициативи като Г-20, Г-7, SE4ALL (инициатива за устойчива енергия за всички) и Power Africa на Американската агенция за международно развитие (USAID) за насърчаване на сътрудничеството;</w:t>
      </w:r>
    </w:p>
    <w:p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Партньорство с местните власти в преход отдолу нагоре към глобална икономика и общество с ниски въглеродни емисии и устойчивост на изменението на климата, включително чрез инициативи като Конвента на кметовете (който се основава на успешния Конвент на кметовете на ЕС) и допълнително разширяване на неговите регионални компоненти в Африка; </w:t>
      </w:r>
    </w:p>
    <w:p>
      <w:pPr>
        <w:pStyle w:val="ListParagraph"/>
        <w:numPr>
          <w:ilvl w:val="0"/>
          <w:numId w:val="40"/>
        </w:numPr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сътрудничеството между изследователи и иноватори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 xml:space="preserve">в рамките на политическия диалог на високо равнище между ЕС и Африка в областта на науката, технологиите и иновациите. </w:t>
      </w:r>
    </w:p>
    <w:p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Реализиране на приноса на ЕС към AREI и достигане на 5 GW капацитет за производство на енергия от възобновяеми източници до 2020 г., като същевременно се осигурява достъп до устойчива енергия на 30 милиона души в Африка и се спестяват 11 милиона тона CO2 годишно.</w:t>
      </w:r>
    </w:p>
    <w:p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 xml:space="preserve">Стартиране на нова инициатива за улесняване на публично-частното сътрудничество между ЕС и Африка за увеличаване на инвестициите в сектора на устойчивата енергетика на Африка чрез платформа на високо равнище </w:t>
      </w:r>
      <w:r>
        <w:rPr>
          <w:rFonts w:ascii="Times New Roman" w:hAnsi="Times New Roman"/>
          <w:noProof/>
          <w:color w:val="000000" w:themeColor="text1"/>
          <w:sz w:val="24"/>
        </w:rPr>
        <w:t>с цел подобряване на инвестиционния климат и премахване на риска при частните инвестиции, улесняване на споделянето на знания относно иновативни модели на бизнес и финансиране и най-добри практики за привличане на публични финанси.</w:t>
      </w:r>
    </w:p>
    <w:p>
      <w:pPr>
        <w:pStyle w:val="ListParagraph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contextualSpacing w:val="0"/>
        <w:rPr>
          <w:b/>
          <w:bCs/>
          <w:noProof/>
          <w:color w:val="000000" w:themeColor="text1"/>
          <w:szCs w:val="24"/>
        </w:rPr>
      </w:pPr>
      <w:r>
        <w:rPr>
          <w:b/>
          <w:noProof/>
          <w:color w:val="000000" w:themeColor="text1"/>
        </w:rPr>
        <w:t>Стартиране на ново партньорство между ЕС и Африка в областта на научните изследвания и иновациите по отношение на изменението на климата и устойчивата енергетика</w:t>
      </w:r>
      <w:r>
        <w:rPr>
          <w:noProof/>
        </w:rPr>
        <w:t>, насочено към внедряването</w:t>
      </w:r>
      <w:r>
        <w:rPr>
          <w:rStyle w:val="FootnoteReference"/>
          <w:noProof/>
        </w:rPr>
        <w:footnoteReference w:id="42"/>
      </w:r>
      <w:r>
        <w:rPr>
          <w:noProof/>
        </w:rPr>
        <w:t>, както и към изграждането на капацитет в областта на енергийната ефективност и възобновяемите енергийни източници</w:t>
      </w:r>
      <w:r>
        <w:rPr>
          <w:noProof/>
          <w:color w:val="000000" w:themeColor="text1"/>
        </w:rPr>
        <w:t xml:space="preserve"> и услугите, свързани с климата. </w:t>
      </w:r>
    </w:p>
    <w:p>
      <w:pPr>
        <w:pStyle w:val="Header"/>
        <w:spacing w:after="120" w:line="276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</w:rPr>
      </w:pPr>
      <w:bookmarkStart w:id="48" w:name="_Toc480319534"/>
      <w:bookmarkStart w:id="49" w:name="_Toc482188583"/>
      <w:bookmarkStart w:id="50" w:name="_Toc477190364"/>
      <w:r>
        <w:rPr>
          <w:noProof/>
        </w:rPr>
        <w:t>Трансформиране на африканското селско стопанство и селскостопанския бизнес и неговата синя икономика, включително рибарството</w:t>
      </w:r>
      <w:bookmarkEnd w:id="48"/>
      <w:bookmarkEnd w:id="49"/>
      <w:r>
        <w:rPr>
          <w:noProof/>
        </w:rPr>
        <w:t xml:space="preserve"> </w:t>
      </w:r>
      <w:bookmarkEnd w:id="50"/>
    </w:p>
    <w:p>
      <w:pPr>
        <w:tabs>
          <w:tab w:val="left" w:pos="2302"/>
        </w:tabs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Селското стопанство, включително животновъдството, рибарството и аквакултурите са жизненоважни за Африка. Те представляват основният източник на доходи за около 90 % от селското население на континента и осигуряват средствата за издръжка на около 75 % от работната сила, половината от която се състои от жени. Производителността остава ниска и се основава на дребномащабно земеделие за собствени нужди и традиционен риболов. Липсата на капитал, неустойчивото управление на ресурсите, проблемите с поземлената собственост и морската несигурност са основните пречки пред необходимия растеж. Африка губи няколко милиарда евро поради прекомерно експлоатираните рибни запаси и неоптималното управление на рибарството. Освен това въздействията от изменението на климата — настоящи и очаквани — оказват допълнителен натиск върху секторите. </w:t>
      </w:r>
    </w:p>
    <w:p>
      <w:pPr>
        <w:tabs>
          <w:tab w:val="left" w:pos="2302"/>
        </w:tabs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Отключването на потенциала на секторите за производство на храни изглежда един от най-ефективните начини за преодоляване на продоволствената несигурност, създаване на възможности за заетост и доходи и овластяване на стотици милиони африканци, по-специално младите хора.</w:t>
      </w:r>
    </w:p>
    <w:p>
      <w:pPr>
        <w:keepNext/>
        <w:keepLines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 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предвижда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да трансформира, развива и индустриализира своите икономики, включително чрез добавяне на стойност чрез природни ресурси, планове за производителност и регионални вериги за създаване на стойност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, като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насърчава прилагането на индустриалните политики на всички равнища, като се акцентира върху ММСП</w:t>
      </w:r>
      <w:r>
        <w:rPr>
          <w:rStyle w:val="FootnoteReference"/>
          <w:rFonts w:ascii="Times New Roman" w:hAnsi="Times New Roman"/>
          <w:i/>
          <w:noProof/>
          <w:color w:val="000000" w:themeColor="text1"/>
          <w:sz w:val="24"/>
        </w:rPr>
        <w:footnoteReference w:id="43"/>
      </w:r>
      <w:r>
        <w:rPr>
          <w:rFonts w:ascii="Times New Roman" w:hAnsi="Times New Roman"/>
          <w:i/>
          <w:noProof/>
          <w:color w:val="000000" w:themeColor="text1"/>
          <w:sz w:val="24"/>
        </w:rPr>
        <w:t xml:space="preserve"> и агробизнеса и стратегии за стратегии за развитие на африканските сини/океански и зелени икономики</w:t>
      </w:r>
      <w:r>
        <w:rPr>
          <w:rFonts w:ascii="Times New Roman" w:hAnsi="Times New Roman"/>
          <w:noProof/>
          <w:color w:val="000000" w:themeColor="text1"/>
          <w:sz w:val="24"/>
        </w:rPr>
        <w:t>“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44"/>
      </w:r>
      <w:r>
        <w:rPr>
          <w:rFonts w:ascii="Times New Roman" w:hAnsi="Times New Roman"/>
          <w:noProof/>
          <w:color w:val="000000" w:themeColor="text1"/>
          <w:sz w:val="24"/>
        </w:rPr>
        <w:t>.</w:t>
      </w:r>
    </w:p>
    <w:p>
      <w:pPr>
        <w:keepNext/>
        <w:keepLines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е един от основните партньори на Африка за развитието на селското стопанство и синята икономика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45"/>
      </w:r>
      <w:r>
        <w:rPr>
          <w:noProof/>
        </w:rPr>
        <w:t>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Действията му имат за цел да засилят ролята на отговорните вериги за създаване на стойност в програмите за развитие на селските райони и морското дело и да укрепят съпътстващата регулаторна и политическа рамка, като същевременно управляват ценни ресурси като вода и земя по устойчив начин.</w:t>
      </w:r>
    </w:p>
    <w:p>
      <w:pPr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възнамерява да се премине към следващата стъпка на партньорството, като насърчава усилията за:</w:t>
      </w:r>
    </w:p>
    <w:p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i) Стимулиране на отговорното и устойчиво развитие на веригата за създаване на стойност:</w:t>
      </w:r>
    </w:p>
    <w:p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b/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Улесняване на развитието на инвестициите на частния сектор и на веригите на стойността в производството на селскостопански храни въз основа на инициативи като Инструмента за финансиране на селското стопанство (AgriFI), предложените насоки от Европейския план за външни инвестиции (ПВИ) и Организацията на ООН за прехрана и земеделие — Организацията за икономическо сътрудничество и развитие (ФАО-ОИСР) за отговорните вериги за доставка на селскостопански продукти;</w:t>
      </w:r>
    </w:p>
    <w:p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 xml:space="preserve">Подпомагане на Африка да се възползва от възможностите на пазара за произведени на африканския континент храни. </w:t>
      </w:r>
      <w:r>
        <w:rPr>
          <w:noProof/>
        </w:rPr>
        <w:t xml:space="preserve">Споразуменията за икономическо партньорство (СИП) предлагат големи възможности, включително свободен достъп до ЕС, гъвкави правила за привличане на ресурси, диалог и сътрудничество в областта на селското стопанство, както и планове за прилагане на СИП. За най-слабо развитите държави без СИП свободният достъп до пазара се предоставя на принципа „Всичко освен оръжие“. </w:t>
      </w:r>
      <w:r>
        <w:rPr>
          <w:noProof/>
          <w:color w:val="000000" w:themeColor="text1"/>
        </w:rPr>
        <w:t>ЕС ще продължи да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подкрепя развитието на капацитета на Африка да спазва стандартите за безопасност и качество, включително по санитарни и фитосанитарни въпроси;</w:t>
      </w:r>
    </w:p>
    <w:p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</w:t>
      </w:r>
      <w:r>
        <w:rPr>
          <w:noProof/>
        </w:rPr>
        <w:t xml:space="preserve">величаване на устойчивата производителност на сектора на рибарството в Африка чрез </w:t>
      </w:r>
      <w:r>
        <w:rPr>
          <w:noProof/>
          <w:color w:val="000000" w:themeColor="text1"/>
        </w:rPr>
        <w:t xml:space="preserve">съответно разширяване на мрежата от споразумения за партньорство за устойчиво рибарство между ЕС и африканските държави и </w:t>
      </w:r>
      <w:r>
        <w:rPr>
          <w:noProof/>
        </w:rPr>
        <w:t xml:space="preserve">подобряване на капацитета на африканските партньори за устойчиво управление на рибарството и борбата срещу незаконния, недеклариран и нерегулиран риболов (ННН) </w:t>
      </w:r>
      <w:r>
        <w:rPr>
          <w:noProof/>
          <w:color w:val="000000" w:themeColor="text1"/>
        </w:rPr>
        <w:t>чрез сътрудничество и диалог съгласно Регламента на ЕС за ННН риболов</w:t>
      </w:r>
      <w:r>
        <w:rPr>
          <w:rStyle w:val="FootnoteReference"/>
          <w:noProof/>
          <w:color w:val="000000" w:themeColor="text1"/>
        </w:rPr>
        <w:footnoteReference w:id="46"/>
      </w:r>
      <w:r>
        <w:rPr>
          <w:noProof/>
          <w:color w:val="000000" w:themeColor="text1"/>
        </w:rPr>
        <w:t xml:space="preserve">; </w:t>
      </w:r>
    </w:p>
    <w:p>
      <w:pPr>
        <w:pStyle w:val="ListParagraph"/>
        <w:numPr>
          <w:ilvl w:val="0"/>
          <w:numId w:val="38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изпълнението на действия в областта на климата в африканското селско стопанство, както е заложено в национално определения принос (НОП) на африканските държави;</w:t>
      </w:r>
    </w:p>
    <w:p>
      <w:pPr>
        <w:pStyle w:val="ListParagraph"/>
        <w:numPr>
          <w:ilvl w:val="0"/>
          <w:numId w:val="38"/>
        </w:numPr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Насърчаване на ефективното интегриране на адаптирането към изменението на климата, опазването и възстановяването на биоразнообразието и намаляването на риска от бедствия в рамките на африканските политики за селско стопанство, включително чрез възстановяване на екосистемите и приородосъобразни решения;</w:t>
      </w:r>
    </w:p>
    <w:p>
      <w:pPr>
        <w:pStyle w:val="ListParagraph"/>
        <w:tabs>
          <w:tab w:val="left" w:pos="2302"/>
        </w:tabs>
        <w:spacing w:after="120" w:line="276" w:lineRule="auto"/>
        <w:ind w:left="360"/>
        <w:contextualSpacing w:val="0"/>
        <w:rPr>
          <w:noProof/>
          <w:color w:val="000000" w:themeColor="text1"/>
          <w:szCs w:val="24"/>
        </w:rPr>
      </w:pPr>
    </w:p>
    <w:p>
      <w:pPr>
        <w:keepNext/>
        <w:keepLines/>
        <w:tabs>
          <w:tab w:val="left" w:pos="2302"/>
        </w:tabs>
        <w:spacing w:after="120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ii) Поощряване на умения, иновации и съвместни научни изследвания чрез:</w:t>
      </w:r>
    </w:p>
    <w:p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Укрепване на мобилизирането на европейските и африканските експертни познания в областта на научните изследвания и иновациите, по-специално чрез засилване на прилагането на пътната карта на Африка—ЕС в областта на продоволствената сигурност и сигурността на храните и устойчивото селско стопанство</w:t>
      </w:r>
      <w:r>
        <w:rPr>
          <w:rStyle w:val="FootnoteReference"/>
          <w:noProof/>
          <w:color w:val="000000" w:themeColor="text1"/>
        </w:rPr>
        <w:footnoteReference w:id="47"/>
      </w:r>
      <w:r>
        <w:rPr>
          <w:noProof/>
          <w:color w:val="000000" w:themeColor="text1"/>
        </w:rPr>
        <w:t xml:space="preserve"> (FNSSA), предстоящото партньорство в областта на научните изследвания и иновациите в региона на Средиземноморието (PRIMA) и Съюз в областта на научните изследвания и иновациите за Атлантическия океан (All Atlantic Ocean Research and Innovation Alliance);</w:t>
      </w:r>
    </w:p>
    <w:p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Подобряване на професионалното обучение и образованието в селското стопанство и предприемаческите дейности в производството на селскостопански храни, като се използва предишната и настоящата подкрепа на организациите на земеделските стопани;</w:t>
      </w:r>
    </w:p>
    <w:p>
      <w:pPr>
        <w:pStyle w:val="ListParagraph"/>
        <w:numPr>
          <w:ilvl w:val="0"/>
          <w:numId w:val="37"/>
        </w:numPr>
        <w:tabs>
          <w:tab w:val="left" w:pos="2302"/>
        </w:tabs>
        <w:spacing w:after="120" w:line="276" w:lineRule="auto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Увеличаване на подкрепата за достъп до финансиране, достъп до свързаност за дребните земеделски стопани и използване на цифровите услуги за електронно селско стопанство с цел повишаване на производителността и доходите.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Стимулиране на веригата за създаване на стойност чрез улесняване на отговорните инвестиции за устойчив селскостопански бизнес и синя икономика,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color w:val="000000" w:themeColor="text1"/>
          <w:sz w:val="24"/>
        </w:rPr>
        <w:t>като се използва набор от инструменти, включващи AgriFI и предложения европейски план за външни инвестиции.</w:t>
      </w:r>
      <w:r>
        <w:rPr>
          <w:rFonts w:ascii="Times New Roman" w:hAnsi="Times New Roman"/>
          <w:b/>
          <w:noProof/>
          <w:color w:val="000000" w:themeColor="text1"/>
          <w:sz w:val="24"/>
        </w:rPr>
        <w:t xml:space="preserve"> </w:t>
      </w:r>
    </w:p>
    <w:p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 xml:space="preserve">Генериране на инвестиции от ЕС и Африка за подпомагане на научните изследвания и иновациите </w:t>
      </w:r>
      <w:r>
        <w:rPr>
          <w:rFonts w:ascii="Times New Roman" w:hAnsi="Times New Roman"/>
          <w:noProof/>
          <w:color w:val="000000" w:themeColor="text1"/>
          <w:sz w:val="24"/>
        </w:rPr>
        <w:t>в селското стопанство чрез партньорство между ЕС и Африка за научни изследвания и иновации в областта на продоволствената сигурност и сигурността на храните и устойчивото селско стопанство (FNSSA) и увеличаване на използването на нови технологии от местните общности за по-добри доходи и хранене в селското стопанство.</w:t>
      </w:r>
    </w:p>
    <w:p>
      <w:pPr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57" w:hanging="357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</w:rPr>
        <w:t>Разширяване на мрежата от споразумения за партньорство за устойчиво рибарство между ЕС и африканските държави.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Cs w:val="24"/>
        </w:rPr>
      </w:pPr>
      <w:bookmarkStart w:id="51" w:name="_Toc477190365"/>
    </w:p>
    <w:p>
      <w:pPr>
        <w:pStyle w:val="Heading3"/>
        <w:numPr>
          <w:ilvl w:val="0"/>
          <w:numId w:val="29"/>
        </w:numPr>
        <w:spacing w:after="120" w:line="276" w:lineRule="auto"/>
        <w:rPr>
          <w:noProof/>
          <w:szCs w:val="24"/>
        </w:rPr>
      </w:pPr>
      <w:bookmarkStart w:id="52" w:name="_Toc480319535"/>
      <w:bookmarkStart w:id="53" w:name="_Toc482188584"/>
      <w:r>
        <w:rPr>
          <w:noProof/>
        </w:rPr>
        <w:t>Усъвършенстване на знанията и уменията</w:t>
      </w:r>
      <w:bookmarkEnd w:id="51"/>
      <w:bookmarkEnd w:id="52"/>
      <w:bookmarkEnd w:id="53"/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Въпреки че участието в образованието в повечето африкански държави значително се е увеличило през последните десетилетия, все още над 20 % от африканските деца, по-специално момичетата, не завършват основно образование; около 50 % нямат достъп до средно образование и само 7 % имат достъп до висше образование. Съществуващите нива на основно обучение, което е необходимо на младите хора, за да продължат образованието си чрез професионално образование и обучение (ПОО) и висше образование, са все още много ниски. Много млади хора, които успяват да завършат основно и средно образование, нямат необходимите знания и умения, от които се нуждаят за по-нататъшно обучение, както и за да бъдат активни, отговорни и продуктивни граждани.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Съществува несъответствие между уменията, които младите хора получават чрез ПОО и висшето образование, и онези, които са необходими за трудовия им живот. Системите за образование и обучение трябва да бъдат по-подходящи за нуждите на пазара на труда, по-тясно свързани със социалното и индустриалното развитие, по-иновативни и с по-високо качество. </w:t>
      </w:r>
      <w:r>
        <w:rPr>
          <w:rFonts w:ascii="Times New Roman" w:hAnsi="Times New Roman"/>
          <w:noProof/>
          <w:sz w:val="24"/>
        </w:rPr>
        <w:t>Тъй като много млади хора работят в неформалния сектор или трябва да създават собствени средства за препитание, от жизненоважно значение е да имат достъп до образование и обучение по предприемачество и услуги за подкрепа на бизнеса, за да могат да се интегрират в официалния сектор.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По-доброто свързване на образованието, иновациите и научните изследвания ще увеличи приноса на образованието за работните места и устойчивото развитие по-специално в областта на </w:t>
      </w:r>
      <w:r>
        <w:rPr>
          <w:rFonts w:ascii="Times New Roman" w:hAnsi="Times New Roman"/>
          <w:noProof/>
          <w:sz w:val="24"/>
        </w:rPr>
        <w:t>дистанционното и отвореното обучение.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Визията на Африка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В </w:t>
      </w:r>
      <w:r>
        <w:rPr>
          <w:rFonts w:ascii="Times New Roman" w:hAnsi="Times New Roman"/>
          <w:i/>
          <w:noProof/>
          <w:color w:val="000000" w:themeColor="text1"/>
          <w:sz w:val="24"/>
        </w:rPr>
        <w:t>Програма 2063</w:t>
      </w:r>
      <w:r>
        <w:rPr>
          <w:rFonts w:ascii="Times New Roman" w:hAnsi="Times New Roman"/>
          <w:noProof/>
          <w:color w:val="000000" w:themeColor="text1"/>
          <w:sz w:val="24"/>
        </w:rPr>
        <w:t xml:space="preserve"> Африка възнамерява да „</w:t>
      </w:r>
      <w:r>
        <w:rPr>
          <w:rFonts w:ascii="Times New Roman" w:hAnsi="Times New Roman"/>
          <w:i/>
          <w:noProof/>
          <w:color w:val="000000" w:themeColor="text1"/>
          <w:sz w:val="24"/>
        </w:rPr>
        <w:t>катализира революцията в образованието и уменията и активно да насърчава науката, технологиите, научните изследвания и иновациите, да изгражда знания, човешки капитал, способности и умения, необходими за стимулиране на иновациите</w:t>
      </w:r>
      <w:r>
        <w:rPr>
          <w:rFonts w:ascii="Times New Roman" w:hAnsi="Times New Roman"/>
          <w:noProof/>
          <w:color w:val="000000" w:themeColor="text1"/>
          <w:sz w:val="24"/>
        </w:rPr>
        <w:t>“.</w:t>
      </w:r>
    </w:p>
    <w:p>
      <w:pPr>
        <w:keepNext/>
        <w:keepLine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Действия на ЕС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е дългогодишен партньор на Африка в областта на образованието, от образование в ранна детска възраст и начално образование до висше образование, включително професионално образование и обучение и предприемаческо обучение</w:t>
      </w:r>
      <w:r>
        <w:rPr>
          <w:rStyle w:val="FootnoteReference"/>
          <w:rFonts w:ascii="Times New Roman" w:hAnsi="Times New Roman"/>
          <w:noProof/>
          <w:color w:val="000000" w:themeColor="text1"/>
          <w:sz w:val="24"/>
        </w:rPr>
        <w:footnoteReference w:id="48"/>
      </w:r>
      <w:r>
        <w:rPr>
          <w:rFonts w:ascii="Times New Roman" w:hAnsi="Times New Roman"/>
          <w:noProof/>
          <w:color w:val="000000" w:themeColor="text1"/>
          <w:sz w:val="24"/>
        </w:rPr>
        <w:t>, както и в областта на научните изследвания и иновациите.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pacing w:val="-2"/>
          <w:sz w:val="24"/>
        </w:rPr>
        <w:t xml:space="preserve">ЕС насърчава равните възможности, намаляването на неравенствата и увеличаването пригодността за заетост чрез социално сближаване, равнопоставеност, разнообразие, приобщаване и премахване на различията между половете. </w:t>
      </w:r>
    </w:p>
    <w:p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ЕС предлага да се премине към следващата стъпка на партньорството, като насърчава усилията за:</w:t>
      </w:r>
    </w:p>
    <w:p>
      <w:pPr>
        <w:keepNext/>
        <w:keepLines/>
        <w:tabs>
          <w:tab w:val="left" w:pos="2302"/>
        </w:tabs>
        <w:spacing w:after="120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i) Подкрепа на качественото образование на всички нива чрез: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bCs/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Увеличаване на съвместните усилия за улесняване на достъпа и завършване на основно и средно образование за всички деца, особено за момичетата, чрез двустранни програми и Световното партньорство за образование;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pacing w:val="-4"/>
          <w:szCs w:val="24"/>
        </w:rPr>
      </w:pPr>
      <w:r>
        <w:rPr>
          <w:noProof/>
          <w:color w:val="000000" w:themeColor="text1"/>
          <w:spacing w:val="-4"/>
        </w:rPr>
        <w:t>Обръщане на внимание на пола и образованието, включително на насилието, основано на пола, в рамките на Инициативата на ЕС за равенство между половете;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По-нататъшно насърчаване на участието на африканските държави в програмата „Еразъм +“, повишаване на мобилността на персонала и студентите и академичното сътрудничество, като по този начин се подобрят уменията на студентите и качеството и приложимостта на образованието;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По-нататъшно подпомагане на регионалната мобилност и увеличаване на подкрепата за хармонизирането на висшето образование чрез трансгранични програми, признаване на квалификациите, по-добро осигуряване на качеството, иновациите и подобрен проект „Тунинг“;</w:t>
      </w:r>
    </w:p>
    <w:p>
      <w:pPr>
        <w:keepNext/>
        <w:keepLines/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ii) Разширяване на подкрепата за професионално образование и обучение и предприемачество чрез: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bCs/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Стартиране на механизъм на ЕС за ПОО, който ще осигурява експертни знания на високо ниво на заинтересованите страни в държавите в подкрепа на процесите на преход към системи за ПОО, които са съобразени с търсенето, адаптирани към нуждите и възможностите на пазара на труда;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pacing w:val="-2"/>
          <w:szCs w:val="24"/>
        </w:rPr>
      </w:pPr>
      <w:r>
        <w:rPr>
          <w:noProof/>
          <w:color w:val="000000" w:themeColor="text1"/>
          <w:spacing w:val="-2"/>
        </w:rPr>
        <w:t>Подкрепа за мобилността и изграждането на капацитет във висшето образование чрез програмата „Еразъм +“ и разработване на пилотни проекти за разширяване на схемите за мобилност на ПОО по линия на „Еразъм +“ в Африка;</w:t>
      </w:r>
    </w:p>
    <w:p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 проекти за изграждане на капацитет, които насърчават активното участие на жените и младите хора в обществото и икономиката, по-специално чрез подобряване на неформалното учене и засилване на полезните взаимодействия между образователните системи и пазара на труда;</w:t>
      </w:r>
    </w:p>
    <w:p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</w:t>
      </w:r>
      <w:r>
        <w:rPr>
          <w:b/>
          <w:noProof/>
          <w:color w:val="000000" w:themeColor="text1"/>
        </w:rPr>
        <w:t xml:space="preserve"> </w:t>
      </w:r>
      <w:r>
        <w:rPr>
          <w:noProof/>
          <w:color w:val="000000" w:themeColor="text1"/>
        </w:rPr>
        <w:t>развитието на цифровите умения и грамотността и използването на цифрови технологии и услуги за осигуряване на перспективно, приобщаващо и висококачествено образование.</w:t>
      </w:r>
      <w:r>
        <w:rPr>
          <w:noProof/>
        </w:rPr>
        <w:t xml:space="preserve"> </w:t>
      </w:r>
      <w:r>
        <w:rPr>
          <w:noProof/>
          <w:color w:val="000000" w:themeColor="text1"/>
        </w:rPr>
        <w:t>Това означава също така подкрепа на капацитета и уменията на предприемачите, включително жени, да използват цифровите технологии за изграждане на бизнеса;</w:t>
      </w:r>
    </w:p>
    <w:p>
      <w:pPr>
        <w:keepNext/>
        <w:keepLines/>
        <w:spacing w:after="12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color w:val="000000" w:themeColor="text1"/>
          <w:sz w:val="24"/>
          <w:u w:val="single"/>
        </w:rPr>
        <w:t>iii) Засилване на сътрудничеството между ЕС и Африка в областта на научните изследвания чрез:</w:t>
      </w:r>
    </w:p>
    <w:p>
      <w:pPr>
        <w:pStyle w:val="ListParagraph"/>
        <w:numPr>
          <w:ilvl w:val="0"/>
          <w:numId w:val="34"/>
        </w:numPr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Засилване на сътрудничеството между изследователи и иноватори от Африка и Европа, включително чрез увеличаване на възможностите за професионално развитие на изследователите чрез дейностите „Мария Склодовска-Кюри“ и други видове проекти от типа на „Хоризонт 2020“;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pacing w:val="-6"/>
          <w:szCs w:val="24"/>
        </w:rPr>
      </w:pPr>
      <w:r>
        <w:rPr>
          <w:noProof/>
          <w:color w:val="000000" w:themeColor="text1"/>
          <w:spacing w:val="-6"/>
        </w:rPr>
        <w:t>Подкрепа за изграждане на капацитет за научни изследвания в Африка чрез програми като безвъзмездни средства на Африканския съюз за научни изследвания;</w:t>
      </w:r>
    </w:p>
    <w:p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ind w:left="425" w:hanging="425"/>
        <w:contextualSpacing w:val="0"/>
        <w:rPr>
          <w:noProof/>
          <w:color w:val="000000" w:themeColor="text1"/>
          <w:szCs w:val="24"/>
        </w:rPr>
      </w:pPr>
      <w:r>
        <w:rPr>
          <w:noProof/>
          <w:color w:val="000000" w:themeColor="text1"/>
        </w:rPr>
        <w:t>Подкрепа за отворена среда за цифрови изследвания за университетите и научноизследователските организации в Африка.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noProof/>
          <w:color w:val="000000" w:themeColor="text1"/>
          <w:sz w:val="24"/>
        </w:rPr>
        <w:t>Водещи инициативи</w:t>
      </w:r>
    </w:p>
    <w:p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hanging="720"/>
        <w:contextualSpacing w:val="0"/>
        <w:rPr>
          <w:noProof/>
          <w:color w:val="000000" w:themeColor="text1"/>
          <w:szCs w:val="24"/>
        </w:rPr>
      </w:pPr>
      <w:r>
        <w:rPr>
          <w:b/>
          <w:noProof/>
          <w:color w:val="000000" w:themeColor="text1"/>
        </w:rPr>
        <w:t xml:space="preserve">Стартиране на механизъм за младите хора в Африка, който разширява обхвата на програма „Еразъм+“ </w:t>
      </w:r>
      <w:r>
        <w:rPr>
          <w:noProof/>
          <w:color w:val="000000" w:themeColor="text1"/>
        </w:rPr>
        <w:t xml:space="preserve">чрез 3 отделни инициативи: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А. Програма „Овластяване на младите хора“ за развиване на капацитета на младежките организации и насърчаване на мобилността между младите хора и младите предприемачи в Африка и Европа.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 xml:space="preserve">Б. Пилотен проект за мобилност на ПОО.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ind w:firstLine="720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</w:rPr>
        <w:t>В. Укрепване на африканското направление на Асоциацията на студенти и възпитаници по линия на програма „Еразъм +“.</w:t>
      </w:r>
    </w:p>
    <w:p>
      <w:pPr>
        <w:pStyle w:val="ListParagraph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hanging="720"/>
        <w:contextualSpacing w:val="0"/>
        <w:rPr>
          <w:noProof/>
          <w:color w:val="000000" w:themeColor="text1"/>
          <w:szCs w:val="24"/>
        </w:rPr>
      </w:pPr>
      <w:r>
        <w:rPr>
          <w:b/>
          <w:noProof/>
        </w:rPr>
        <w:t>Създаване на инструмент на ЕС за ПОО</w:t>
      </w:r>
      <w:r>
        <w:rPr>
          <w:noProof/>
        </w:rPr>
        <w:t xml:space="preserve"> за укрепване на значението на ПОО за пазара на труда и насърчаване на включването на уязвими групи.</w:t>
      </w:r>
    </w:p>
    <w:p>
      <w:pPr>
        <w:spacing w:after="120"/>
        <w:rPr>
          <w:rFonts w:ascii="Times New Roman" w:hAnsi="Times New Roman" w:cs="Times New Roman"/>
          <w:noProof/>
        </w:rPr>
      </w:pPr>
    </w:p>
    <w:sectPr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0" w:right="1701" w:bottom="1020" w:left="1587" w:header="601" w:footer="1077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28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824324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Африкански съюз, </w:t>
      </w:r>
      <w:hyperlink r:id="rId1">
        <w:r>
          <w:rPr>
            <w:rStyle w:val="Hyperlink"/>
          </w:rPr>
          <w:t>Програма 2063</w:t>
        </w:r>
      </w:hyperlink>
      <w:r>
        <w:t>, 2015 г.</w:t>
      </w:r>
    </w:p>
  </w:footnote>
  <w:footnote w:id="2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2">
        <w:r>
          <w:rPr>
            <w:rStyle w:val="Hyperlink"/>
          </w:rPr>
          <w:t>Глобалната стратегия за външната политика и политиката на сигурност на ЕС</w:t>
        </w:r>
      </w:hyperlink>
      <w:r>
        <w:t>, 2016 г. — наричана по-нататък Глобалната стратегия на ЕС.</w:t>
      </w:r>
    </w:p>
  </w:footnote>
  <w:footnote w:id="3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3">
        <w:r>
          <w:rPr>
            <w:rStyle w:val="Hyperlink"/>
          </w:rPr>
          <w:t>Съвместно съобщение относно подновено партньорство с държавите от Африка, Карибите и Тихоокеанския басейн</w:t>
        </w:r>
      </w:hyperlink>
      <w:r>
        <w:t xml:space="preserve">, </w:t>
      </w:r>
      <w:r>
        <w:rPr>
          <w:rStyle w:val="Hyperlink"/>
        </w:rPr>
        <w:t>JOIN(2016) 52 final</w:t>
      </w:r>
    </w:p>
  </w:footnote>
  <w:footnote w:id="4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Организация на обединените нации (ООН), </w:t>
      </w:r>
      <w:hyperlink r:id="rId4">
        <w:r>
          <w:rPr>
            <w:rStyle w:val="Hyperlink"/>
          </w:rPr>
          <w:t>Програма до 2030 г. за устойчиво развитие</w:t>
        </w:r>
      </w:hyperlink>
      <w:r>
        <w:t>, 2015 г.</w:t>
      </w:r>
    </w:p>
  </w:footnote>
  <w:footnote w:id="5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ООН, </w:t>
      </w:r>
      <w:hyperlink r:id="rId5">
        <w:r>
          <w:rPr>
            <w:rStyle w:val="Hyperlink"/>
          </w:rPr>
          <w:t>Програма за действие от Адис Абеба</w:t>
        </w:r>
      </w:hyperlink>
      <w:r>
        <w:rPr>
          <w:rStyle w:val="Emphasis"/>
        </w:rPr>
        <w:t xml:space="preserve">, </w:t>
      </w:r>
      <w:r>
        <w:rPr>
          <w:rStyle w:val="Emphasis"/>
          <w:i w:val="0"/>
        </w:rPr>
        <w:t>2015 г.</w:t>
      </w:r>
    </w:p>
  </w:footnote>
  <w:footnote w:id="6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ООН, </w:t>
      </w:r>
      <w:hyperlink r:id="rId6">
        <w:r>
          <w:rPr>
            <w:rStyle w:val="Hyperlink"/>
          </w:rPr>
          <w:t>Парижко споразумение</w:t>
        </w:r>
      </w:hyperlink>
      <w:r>
        <w:t>, 2015 г.</w:t>
      </w:r>
    </w:p>
  </w:footnote>
  <w:footnote w:id="7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Посочените включват по-специално предложения нов европейски консенсус за развитие, европейската политика за съседство и европейската програма за миграцията и плана за действие от Валета, Плана за действие на ЕС относно правата на човека и демокрацията, съществуващите правно обвързващи споразумения с различните държави от Северна Африка (с изключение на Либия) и Групата страни от Африка, Карибите и Тихоокеанския басейн (АКТБ).</w:t>
      </w:r>
    </w:p>
  </w:footnote>
  <w:footnote w:id="8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ООН, </w:t>
      </w:r>
      <w:hyperlink r:id="rId7">
        <w:r>
          <w:rPr>
            <w:rStyle w:val="Hyperlink"/>
          </w:rPr>
          <w:t>Перспективи за световното население</w:t>
        </w:r>
      </w:hyperlink>
      <w:r>
        <w:t>, 2015 г. Например, до 2050 г. се очаква населението на ЕС да намалее на 500 милиона с нарастващ дял на възрастните хора.</w:t>
      </w:r>
    </w:p>
  </w:footnote>
  <w:footnote w:id="9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Международен валутен фонд (МВФ), </w:t>
      </w:r>
      <w:hyperlink r:id="rId8">
        <w:r>
          <w:rPr>
            <w:rStyle w:val="Hyperlink"/>
          </w:rPr>
          <w:t>Regional economic outlook (Регионални икономически перспективи)</w:t>
        </w:r>
      </w:hyperlink>
      <w:r>
        <w:t>, 2015 г.</w:t>
      </w:r>
    </w:p>
  </w:footnote>
  <w:footnote w:id="10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Африканска банка за развитие (AfDB), </w:t>
      </w:r>
      <w:hyperlink r:id="rId9">
        <w:r>
          <w:rPr>
            <w:rStyle w:val="Hyperlink"/>
          </w:rPr>
          <w:t>Tracking Africa’s Progress in Figures (Проследяване на напредъка на Африка в цифри)</w:t>
        </w:r>
      </w:hyperlink>
      <w:r>
        <w:t>, 2014</w:t>
      </w:r>
    </w:p>
  </w:footnote>
  <w:footnote w:id="11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McKinsey Global Institute, </w:t>
      </w:r>
      <w:hyperlink r:id="rId10">
        <w:r>
          <w:rPr>
            <w:rStyle w:val="Hyperlink"/>
          </w:rPr>
          <w:t xml:space="preserve">Lions on the move II (Лъвове в движение II) </w:t>
        </w:r>
      </w:hyperlink>
      <w:r>
        <w:t>, 2016 г.</w:t>
      </w:r>
    </w:p>
  </w:footnote>
  <w:footnote w:id="12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11">
        <w:r>
          <w:rPr>
            <w:rStyle w:val="Hyperlink"/>
          </w:rPr>
          <w:t>Съвместна стратегия Африка — ЕС</w:t>
        </w:r>
      </w:hyperlink>
      <w:r>
        <w:t>, 2007 г.</w:t>
      </w:r>
    </w:p>
  </w:footnote>
  <w:footnote w:id="13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През 2015 г. преки чуждестранни инвестиции (ПЧИ) в размер на 32 милиарда евро от ЕС се вливат в Африка (33 % от общите потоци на ПЧИ към Африка); През 2016 г. делът на ЕС в африканския внос възлиза на 33,5 % и на 41 % от африканския износ. Европейската инвестиционна банка (ЕИБ) също осигурява над 2 милиарда евро годишно финансиране в Африка.</w:t>
      </w:r>
    </w:p>
  </w:footnote>
  <w:footnote w:id="14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Съюзът предлага свободен достъп до пазара на ЕС за всички продукти чрез споразуменията за икономическо партньорство (СИП) и инициативата „Всичко освен оръжия“ за най-слабо развитите държави, както и за много продукти по споразуменията за свободна търговия с Алжир, Египет, Мароко и Тунис и съгласно общата схема за преференции на Съюза.</w:t>
      </w:r>
    </w:p>
  </w:footnote>
  <w:footnote w:id="15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Само чрез Механизма за подкрепа на мира в Африка ЕС е отпуснал средства от над 2 милиарда евро от 2004 г. насам. Понастоящем ЕС има 7 разгърнати мисии по линия на общата политика за сигурност и отбрана (ОПСО) в Африка, както цивилни, така и военни, включително операция „Аталанта“.</w:t>
      </w:r>
    </w:p>
  </w:footnote>
  <w:footnote w:id="16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През 2015 г. от ЕС в Африка са изпратени парични преводи в размер на 21 милиарда евро (36 % от общите потоци към Африка).</w:t>
      </w:r>
    </w:p>
  </w:footnote>
  <w:footnote w:id="17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Общата официална помощ за развитие (ОПР) (ЕС и неговите държави членки) през 2015 г. е в размер на 21 милиарда евро (50 % от общата ОПР за Африка).</w:t>
      </w:r>
    </w:p>
  </w:footnote>
  <w:footnote w:id="18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В него се предвижда по-специално да се осигури финансиране за АС чрез налог от 0,2 % върху вноса в африканските държави. Това следва да даде възможност на държавите — членки на АС, да финансират изцяло функционирането на Комисията на АС и да обхванат 75 % от програмите.</w:t>
      </w:r>
    </w:p>
  </w:footnote>
  <w:footnote w:id="19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rPr>
          <w:rStyle w:val="Emphasis"/>
          <w:i w:val="0"/>
        </w:rPr>
        <w:t>Обща политика за сигурност и отбрана.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Регламент (ЕС) № 230/2014, ОВ L77, 15.3.2014 г.</w:t>
      </w:r>
    </w:p>
  </w:footnote>
  <w:footnote w:id="21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Кодекс за поведение от Яунде, Кодекс за поведение от Джибути, Хартата от Ломе.</w:t>
      </w:r>
    </w:p>
  </w:footnote>
  <w:footnote w:id="22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Недекларирани капиталови потоци, получени от корупция, престъпна дейност, укриване на данъци и изпиране на пари посредством търговски сделки.</w:t>
      </w:r>
    </w:p>
  </w:footnote>
  <w:footnote w:id="23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12">
        <w:r>
          <w:rPr>
            <w:rStyle w:val="Hyperlink"/>
          </w:rPr>
          <w:t>Report of the High Level Panel on Illicit Financial Flows from Africa (Доклад на Групата на високо равнище по незаконните финансови потоци от Африка)</w:t>
        </w:r>
      </w:hyperlink>
      <w:r>
        <w:t>, 2014 г.</w:t>
      </w:r>
    </w:p>
  </w:footnote>
  <w:footnote w:id="24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Работен документ на службите на Комисията „Цифровизация за развитие“, SWD (2017).</w:t>
      </w:r>
    </w:p>
  </w:footnote>
  <w:footnote w:id="25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За периода 2014—2020 г. ЕС предвижда повече от 3,3 милиарда евро. </w:t>
      </w:r>
    </w:p>
  </w:footnote>
  <w:footnote w:id="26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Работен документ на службите на Комисията, </w:t>
      </w:r>
      <w:hyperlink r:id="rId13">
        <w:r>
          <w:rPr>
            <w:rStyle w:val="Hyperlink"/>
          </w:rPr>
          <w:t>„Collect More, Spend Better“ („Повече приходи, по-разумни разходи“)</w:t>
        </w:r>
      </w:hyperlink>
      <w:r>
        <w:t>, SWD(2015) 198.</w:t>
      </w:r>
    </w:p>
  </w:footnote>
  <w:footnote w:id="27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Върховен съвет на Африканския съюз за местните власти.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Това включва работа </w:t>
      </w:r>
      <w:r>
        <w:rPr>
          <w:color w:val="000000" w:themeColor="text1"/>
        </w:rPr>
        <w:t>посредством Партньорската програма за клинични изпитвания между европейските и развиващите се страни (EDCTP2) в областта на свързаните с бедността инфекциозни заболявания.</w:t>
      </w:r>
      <w:r>
        <w:t xml:space="preserve"> </w:t>
      </w:r>
    </w:p>
  </w:footnote>
  <w:footnote w:id="29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Декларация от Ню Йорк за бежанците и мигрантите, приета на 19 септември 2016 г. от Общото събрание на Организацията на обединените нации.</w:t>
      </w:r>
    </w:p>
  </w:footnote>
  <w:footnote w:id="30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Съобщение на Комисията до Европейския парламент, Европейския съвет, Съвета и Европейската инвестиционна банка относно създаването на нова рамка за партньорство с трети държави в рамките на европейската програма за миграцията </w:t>
      </w:r>
      <w:hyperlink r:id="rId14">
        <w:r>
          <w:rPr>
            <w:rStyle w:val="Hyperlink"/>
          </w:rPr>
          <w:t>COM(2016) 385 final</w:t>
        </w:r>
      </w:hyperlink>
      <w:r>
        <w:rPr>
          <w:rStyle w:val="Hyperlink"/>
        </w:rPr>
        <w:t>.</w:t>
      </w:r>
    </w:p>
  </w:footnote>
  <w:footnote w:id="31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Съвместно съобщение до Европейския парламент, Европейския съвет и Съвета Миграцията по маршрута през Централното Средиземноморие. Управление на потоците, спасяване на човешки живот JOIN(2017) 4.</w:t>
      </w:r>
    </w:p>
  </w:footnote>
  <w:footnote w:id="32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http://www.consilium.europa.eu/bg/press/press-releases/2017/01/03-malta-declaration/</w:t>
      </w:r>
    </w:p>
  </w:footnote>
  <w:footnote w:id="33">
    <w:p>
      <w:pPr>
        <w:pStyle w:val="Default"/>
        <w:spacing w:after="120"/>
        <w:rPr>
          <w:rFonts w:eastAsiaTheme="minorHAnsi"/>
          <w:sz w:val="20"/>
          <w:szCs w:val="20"/>
          <w:lang w:eastAsia="en-US"/>
        </w:rPr>
      </w:pPr>
      <w:r>
        <w:rPr>
          <w:rStyle w:val="FootnoteReference"/>
          <w:sz w:val="20"/>
        </w:rPr>
        <w:footnoteRef/>
      </w:r>
      <w:r>
        <w:rPr>
          <w:sz w:val="20"/>
        </w:rPr>
        <w:t xml:space="preserve"> Решение на Комисията </w:t>
      </w:r>
      <w:hyperlink r:id="rId15">
        <w:r>
          <w:rPr>
            <w:rStyle w:val="Hyperlink"/>
            <w:rFonts w:eastAsiaTheme="minorHAnsi"/>
            <w:sz w:val="20"/>
          </w:rPr>
          <w:t>C(2015)7293</w:t>
        </w:r>
      </w:hyperlink>
      <w:r>
        <w:rPr>
          <w:rFonts w:eastAsiaTheme="minorHAnsi"/>
          <w:sz w:val="20"/>
        </w:rPr>
        <w:t xml:space="preserve"> final от 20 октомври 2015 г. </w:t>
      </w:r>
    </w:p>
  </w:footnote>
  <w:footnote w:id="34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С Европейския фонд за развитие като основен източник на финансиране и обещания принос от държавите членки и други донори. </w:t>
      </w:r>
      <w:r>
        <w:rPr>
          <w:color w:val="000000"/>
        </w:rPr>
        <w:t>През 2017 г. той обяви допълнителни 200 милиона за частта за Северна Африка от Доверителния фонд на ЕС за стабилност и преодоляване на първопричините за незаконната миграция и разселването на хора в Африка с приоритетна насоченост към проекти, свързани с миграцията, свързани с Либия.</w:t>
      </w:r>
    </w:p>
  </w:footnote>
  <w:footnote w:id="35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Съобщение на Комисията до Европейския парламент, Съвета, Европейския икономически и социален комитет и Комитета на регионите, Достоен начин на живот: от зависимост от помощи към самостоятелност. Принудителното разселване и развитието </w:t>
      </w:r>
      <w:hyperlink r:id="rId16">
        <w:r>
          <w:rPr>
            <w:rStyle w:val="Hyperlink"/>
          </w:rPr>
          <w:t>COM(2016)234</w:t>
        </w:r>
      </w:hyperlink>
      <w:r>
        <w:rPr>
          <w:rStyle w:val="Hyperlink"/>
        </w:rPr>
        <w:t>.</w:t>
      </w:r>
    </w:p>
  </w:footnote>
  <w:footnote w:id="36">
    <w:p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  <w:rFonts w:ascii="Times New Roman" w:hAnsi="Times New Roman"/>
          <w:sz w:val="20"/>
        </w:rPr>
        <w:footnoteRef/>
      </w:r>
      <w:r>
        <w:rPr>
          <w:rFonts w:ascii="Times New Roman" w:hAnsi="Times New Roman"/>
          <w:sz w:val="20"/>
        </w:rPr>
        <w:t xml:space="preserve"> Предложение на Комисията за Регламент относно Европейския фонд за устойчиво развитие (ЕФУР) и за създаване на гаранция от ЕФУР и на гаранционен фонд на ЕФУР (СОМ(2016)586)</w:t>
      </w:r>
      <w:r>
        <w:t xml:space="preserve">; </w:t>
      </w:r>
      <w:r>
        <w:rPr>
          <w:rFonts w:ascii="Times New Roman" w:hAnsi="Times New Roman"/>
          <w:sz w:val="20"/>
        </w:rPr>
        <w:t xml:space="preserve">Съобщение на Комисията до Европейския парламент, Съвета, Европейската централна банка, Европейския икономически и социален комитет, Комитета на регионите и Европейската инвестиционна банка, „Засилване на европейските инвестиции за създаване на заетост и растеж: към втора фаза на Европейския фонд за стратегически инвестиции и нов Европейски план за външни инвестиции“. Брюксел, 14.9.2016 г., </w:t>
      </w:r>
      <w:hyperlink r:id="rId17">
        <w:r>
          <w:rPr>
            <w:rStyle w:val="Hyperlink"/>
            <w:rFonts w:ascii="Times New Roman" w:hAnsi="Times New Roman"/>
            <w:sz w:val="20"/>
          </w:rPr>
          <w:t>COM(2016) 581 final</w:t>
        </w:r>
      </w:hyperlink>
      <w:r>
        <w:rPr>
          <w:rFonts w:ascii="Times New Roman" w:hAnsi="Times New Roman"/>
          <w:sz w:val="20"/>
        </w:rPr>
        <w:t>.</w:t>
      </w:r>
    </w:p>
  </w:footnote>
  <w:footnote w:id="37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PAQI, официално създадена през 2013 г., </w:t>
      </w:r>
      <w:r>
        <w:rPr>
          <w:color w:val="000000"/>
        </w:rPr>
        <w:t>има за цел да укрепи разработването и прилагането на</w:t>
      </w:r>
      <w:r>
        <w:t xml:space="preserve"> африканските политики за стандарти, измерване, оценка на съответствието и акредитация.</w:t>
      </w:r>
    </w:p>
  </w:footnote>
  <w:footnote w:id="38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Международна агенция за възобновяема енергия (IRENA), 2015 г.</w:t>
      </w:r>
    </w:p>
  </w:footnote>
  <w:footnote w:id="39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През 2012 г. Общото събрание на Организацията на обединените нации обяви периода 2014—2024 г. за Десетилетие на устойчивата енергия за всички.</w:t>
      </w:r>
    </w:p>
  </w:footnote>
  <w:footnote w:id="40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ЕС предвижда повече от 2,7 милиарда евро за периода 2014—2020 г.</w:t>
      </w:r>
    </w:p>
  </w:footnote>
  <w:footnote w:id="41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18">
        <w:r>
          <w:rPr>
            <w:rStyle w:val="Hyperlink"/>
          </w:rPr>
          <w:t>COM(2016) 860 final</w:t>
        </w:r>
      </w:hyperlink>
    </w:p>
  </w:footnote>
  <w:footnote w:id="42">
    <w:p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В съответствие с COM (2016) 763</w:t>
      </w:r>
      <w:r>
        <w:rPr>
          <w:lang w:val="pt-PT"/>
        </w:rPr>
        <w:t>.</w:t>
      </w:r>
    </w:p>
  </w:footnote>
  <w:footnote w:id="43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r>
        <w:rPr>
          <w:rStyle w:val="st"/>
        </w:rPr>
        <w:t>Микро, малки и средни предприятия.</w:t>
      </w:r>
    </w:p>
  </w:footnote>
  <w:footnote w:id="44">
    <w:p>
      <w:pPr>
        <w:pStyle w:val="FootnoteText"/>
        <w:ind w:left="0" w:firstLine="0"/>
      </w:pPr>
      <w:r>
        <w:rPr>
          <w:rStyle w:val="FootnoteReference"/>
        </w:rPr>
        <w:footnoteRef/>
      </w:r>
      <w:r>
        <w:t xml:space="preserve"> Преобразуването на африканското селско стопанство е залегнало в Цялостната програма за развитие на селското стопанство в Африка (ЦПРССА). Декларацията от Малабо на Африканския съюз от 2014 г. относно ускорен селскостопански растеж и преобразуване за споделено благоденствие и подобрено препитаване предоставя допълнителен тласък на ЦПРССА и насока за селското стопанство на континента през следващите 10 години.</w:t>
      </w:r>
    </w:p>
  </w:footnote>
  <w:footnote w:id="45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За периода 2014—2020 г. от ЕС са предвидени над 4,2 милиарда евро за подкрепа на действия, свързани със сигурността на храните и храненето, както и устойчивото селско стопанство и рибарство в Африка.</w:t>
      </w:r>
    </w:p>
  </w:footnote>
  <w:footnote w:id="46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</w:t>
      </w:r>
      <w:hyperlink r:id="rId19">
        <w:r>
          <w:rPr>
            <w:rStyle w:val="Hyperlink"/>
          </w:rPr>
          <w:t>Регламент (ЕО) № 1005/2008 — система на ЕС за предотвратяване, възпиране и премахване на незаконния, недеклариран и нерегулиран риболов</w:t>
        </w:r>
      </w:hyperlink>
      <w:r>
        <w:rPr>
          <w:rStyle w:val="Hyperlink"/>
        </w:rPr>
        <w:t>.</w:t>
      </w:r>
    </w:p>
  </w:footnote>
  <w:footnote w:id="47">
    <w:p>
      <w:pPr>
        <w:pStyle w:val="PlainText"/>
        <w:spacing w:after="12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0">
        <w:r>
          <w:rPr>
            <w:rStyle w:val="Hyperlink"/>
            <w:rFonts w:ascii="Times New Roman" w:hAnsi="Times New Roman"/>
          </w:rPr>
          <w:t>Пътна карта към съвместно финансирано партньорство между ЕС и Африка за научни изследвания и иновации в областта на продоволствената сигурност и сигурността на храните и устойчивото селско стопанство</w:t>
        </w:r>
      </w:hyperlink>
      <w:r>
        <w:rPr>
          <w:rFonts w:ascii="Times New Roman" w:hAnsi="Times New Roman"/>
        </w:rPr>
        <w:t>. Адис Абеба, 4—5 април 2016 г.</w:t>
      </w:r>
    </w:p>
  </w:footnote>
  <w:footnote w:id="48">
    <w:p>
      <w:pPr>
        <w:pStyle w:val="FootnoteText"/>
        <w:spacing w:after="120"/>
        <w:ind w:left="0" w:firstLine="0"/>
      </w:pPr>
      <w:r>
        <w:rPr>
          <w:rStyle w:val="FootnoteReference"/>
        </w:rPr>
        <w:footnoteRef/>
      </w:r>
      <w:r>
        <w:t xml:space="preserve"> В настоящия програмен период (2014—2020 г.) ЕС подкрепя двустранните програми за образование и професионално образование и обучение (ПОО) в Африка с приблизително 1,34 милиарда евро. През същия период ЕС подкрепя също така образованието чрез глобални инициативи като Световното партньорство за образование (СПО) с 375 милиона евро.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8DE61A8"/>
    <w:multiLevelType w:val="hybridMultilevel"/>
    <w:tmpl w:val="686A40CA"/>
    <w:name w:val="LegalNumParListTemplate3"/>
    <w:lvl w:ilvl="0" w:tplc="A588FCC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811DF"/>
    <w:multiLevelType w:val="hybridMultilevel"/>
    <w:tmpl w:val="0C0EF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7E0BB9"/>
    <w:multiLevelType w:val="multilevel"/>
    <w:tmpl w:val="157CB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F734306"/>
    <w:multiLevelType w:val="multilevel"/>
    <w:tmpl w:val="0EA63D16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F856F97"/>
    <w:multiLevelType w:val="hybridMultilevel"/>
    <w:tmpl w:val="64FA5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9B4E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37C01BF"/>
    <w:multiLevelType w:val="hybridMultilevel"/>
    <w:tmpl w:val="336E7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364F63"/>
    <w:multiLevelType w:val="hybridMultilevel"/>
    <w:tmpl w:val="A9DC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240A9"/>
    <w:multiLevelType w:val="hybridMultilevel"/>
    <w:tmpl w:val="0288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0D3D20"/>
    <w:multiLevelType w:val="hybridMultilevel"/>
    <w:tmpl w:val="DA5A2B3E"/>
    <w:lvl w:ilvl="0" w:tplc="7346E85A">
      <w:start w:val="1"/>
      <w:numFmt w:val="upperLetter"/>
      <w:pStyle w:val="Heading3"/>
      <w:lvlText w:val="%1."/>
      <w:lvlJc w:val="left"/>
      <w:pPr>
        <w:ind w:left="108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>
    <w:nsid w:val="2B772C4A"/>
    <w:multiLevelType w:val="hybridMultilevel"/>
    <w:tmpl w:val="B59C9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34D81030"/>
    <w:multiLevelType w:val="hybridMultilevel"/>
    <w:tmpl w:val="638A1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DF0CAD"/>
    <w:multiLevelType w:val="hybridMultilevel"/>
    <w:tmpl w:val="07F46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5734C1A"/>
    <w:multiLevelType w:val="hybridMultilevel"/>
    <w:tmpl w:val="9DAEAA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>
    <w:nsid w:val="3BA2733B"/>
    <w:multiLevelType w:val="hybridMultilevel"/>
    <w:tmpl w:val="FA146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5954AA"/>
    <w:multiLevelType w:val="hybridMultilevel"/>
    <w:tmpl w:val="A830D0F2"/>
    <w:lvl w:ilvl="0" w:tplc="3BDCCD7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24471"/>
    <w:multiLevelType w:val="hybridMultilevel"/>
    <w:tmpl w:val="E6FE2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>
    <w:nsid w:val="47EF72BF"/>
    <w:multiLevelType w:val="hybridMultilevel"/>
    <w:tmpl w:val="72A0E002"/>
    <w:lvl w:ilvl="0" w:tplc="3BDCCD7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91C1F"/>
    <w:multiLevelType w:val="hybridMultilevel"/>
    <w:tmpl w:val="36386B08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1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5BED5DF5"/>
    <w:multiLevelType w:val="hybridMultilevel"/>
    <w:tmpl w:val="904AE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6">
    <w:nsid w:val="679808B0"/>
    <w:multiLevelType w:val="hybridMultilevel"/>
    <w:tmpl w:val="64EC4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1128A1"/>
    <w:multiLevelType w:val="hybridMultilevel"/>
    <w:tmpl w:val="CC383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034F85"/>
    <w:multiLevelType w:val="hybridMultilevel"/>
    <w:tmpl w:val="AF806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7455FD"/>
    <w:multiLevelType w:val="hybridMultilevel"/>
    <w:tmpl w:val="1B7CA774"/>
    <w:lvl w:ilvl="0" w:tplc="73CE33E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2131BA"/>
    <w:multiLevelType w:val="hybridMultilevel"/>
    <w:tmpl w:val="F9003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7"/>
  </w:num>
  <w:num w:numId="5">
    <w:abstractNumId w:val="14"/>
  </w:num>
  <w:num w:numId="6">
    <w:abstractNumId w:val="23"/>
  </w:num>
  <w:num w:numId="7">
    <w:abstractNumId w:val="35"/>
  </w:num>
  <w:num w:numId="8">
    <w:abstractNumId w:val="38"/>
  </w:num>
  <w:num w:numId="9">
    <w:abstractNumId w:val="18"/>
  </w:num>
  <w:num w:numId="10">
    <w:abstractNumId w:val="34"/>
  </w:num>
  <w:num w:numId="11">
    <w:abstractNumId w:val="33"/>
  </w:num>
  <w:num w:numId="12">
    <w:abstractNumId w:val="28"/>
  </w:num>
  <w:num w:numId="13">
    <w:abstractNumId w:val="31"/>
  </w:num>
  <w:num w:numId="14">
    <w:abstractNumId w:val="9"/>
  </w:num>
  <w:num w:numId="15">
    <w:abstractNumId w:val="22"/>
  </w:num>
  <w:num w:numId="16">
    <w:abstractNumId w:val="5"/>
  </w:num>
  <w:num w:numId="17">
    <w:abstractNumId w:val="16"/>
  </w:num>
  <w:num w:numId="18">
    <w:abstractNumId w:val="39"/>
  </w:num>
  <w:num w:numId="19">
    <w:abstractNumId w:val="17"/>
  </w:num>
  <w:num w:numId="20">
    <w:abstractNumId w:val="13"/>
  </w:num>
  <w:num w:numId="21">
    <w:abstractNumId w:val="42"/>
  </w:num>
  <w:num w:numId="22">
    <w:abstractNumId w:val="30"/>
  </w:num>
  <w:num w:numId="23">
    <w:abstractNumId w:val="15"/>
  </w:num>
  <w:num w:numId="24">
    <w:abstractNumId w:val="4"/>
  </w:num>
  <w:num w:numId="25">
    <w:abstractNumId w:val="21"/>
  </w:num>
  <w:num w:numId="26">
    <w:abstractNumId w:val="12"/>
  </w:num>
  <w:num w:numId="27">
    <w:abstractNumId w:val="41"/>
  </w:num>
  <w:num w:numId="28">
    <w:abstractNumId w:val="8"/>
  </w:num>
  <w:num w:numId="29">
    <w:abstractNumId w:val="29"/>
  </w:num>
  <w:num w:numId="30">
    <w:abstractNumId w:val="25"/>
  </w:num>
  <w:num w:numId="31">
    <w:abstractNumId w:val="19"/>
  </w:num>
  <w:num w:numId="32">
    <w:abstractNumId w:val="3"/>
  </w:num>
  <w:num w:numId="33">
    <w:abstractNumId w:val="7"/>
  </w:num>
  <w:num w:numId="34">
    <w:abstractNumId w:val="11"/>
  </w:num>
  <w:num w:numId="35">
    <w:abstractNumId w:val="36"/>
  </w:num>
  <w:num w:numId="36">
    <w:abstractNumId w:val="26"/>
  </w:num>
  <w:num w:numId="37">
    <w:abstractNumId w:val="32"/>
  </w:num>
  <w:num w:numId="38">
    <w:abstractNumId w:val="20"/>
  </w:num>
  <w:num w:numId="39">
    <w:abstractNumId w:val="24"/>
  </w:num>
  <w:num w:numId="40">
    <w:abstractNumId w:val="37"/>
  </w:num>
  <w:num w:numId="41">
    <w:abstractNumId w:val="40"/>
  </w:num>
  <w:num w:numId="42">
    <w:abstractNumId w:val="2"/>
  </w:num>
  <w:num w:numId="43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AA04F4CEA63A4222A6E6251CAC40318E"/>
    <w:docVar w:name="LW_CROSSREFERENCE" w:val="{SWD(2017) 150 final}_x000b_{SWD(2017) 151 final}"/>
    <w:docVar w:name="LW_DocType" w:val="NORMAL"/>
    <w:docVar w:name="LW_EMISSION" w:val="4.5.2017"/>
    <w:docVar w:name="LW_EMISSION_ISODATE" w:val="2017-05-04"/>
    <w:docVar w:name="LW_EMISSION_LOCATION" w:val="BRX"/>
    <w:docVar w:name="LW_EMISSION_PREFIX" w:val="Брюксел, "/>
    <w:docVar w:name="LW_EMISSION_SUFFIX" w:val=" \u1075?."/>
    <w:docVar w:name="LW_ID_DOCTYPE_NONLW" w:val="CP-015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\u1042?\u1066?\u1056?\u1061?\u1054?\u1042?\u1045?\u1053? \u1055?\u1056?\u1045?\u1044?\u1057?\u1058?\u1040?\u1042?\u1048?\u1058?\u1045?\u1051? _x000b_\u1053?\u1040? \u1057?\u1066?\u1070?\u1047?A \u1055?\u1054? \u1042?\u1066?\u1055?\u1056?\u1054?\u1057?\u1048?\u1058?\u1045?_x000b_\u1053?\u1040? \u1042?\u1066?\u1053?\u1064?\u1053?\u1048?\u1058?\u1045? \u1056?\u1040?\u1041?\u1054?\u1058?\u1048? \u1048?_x000b_\u1055?\u1054?\u1051?\u1048?\u1058?\u1048?\u1050?\u1040?\u1058?\u1040? \u1053?\u1040? \u1057?\u1048?\u1043?\u1059?\u1056?\u1053?\u1054?\u1057?\u1058?"/>
    <w:docVar w:name="LW_PART_NBR" w:val="1"/>
    <w:docVar w:name="LW_PART_NBR_TOTAL" w:val="1"/>
    <w:docVar w:name="LW_REF.INST.NEW" w:val="JOIN"/>
    <w:docVar w:name="LW_REF.INST.NEW_ADOPTED" w:val="final"/>
    <w:docVar w:name="LW_REF.INST.NEW_TEXT" w:val="(2017) 17"/>
    <w:docVar w:name="LW_REF.INTERNE" w:val="&lt;UNUSED&gt;"/>
    <w:docVar w:name="LW_SOUS.TITRE.OBJ.CP" w:val="&lt;UNUSED&gt;"/>
    <w:docVar w:name="LW_SUPERTITRE" w:val="&lt;UNUSED&gt;"/>
    <w:docVar w:name="LW_TITRE.OBJ.CP" w:val="\u1079?\u1072? \u1085?\u1086?\u1074? \u1090?\u1083?\u1072?\u1089?\u1098?\u1082? \u1085?\u1072? \u1055?\u1072?\u1088?\u1090?\u1085?\u1100?\u1086?\u1088?\u1089?\u1090?\u1074?\u1086?\u1090?\u1086? \u1040?\u1092?\u1088?\u1080?\u1082?\u1072?\u8212?\u1045?\u1057?"/>
    <w:docVar w:name="LW_TYPE.DOC.CP" w:val="\u1057?\u1066?\u1042?\u1052?\u1045?\u1057?\u1058?\u1053?\u1054? \u1057?\u1066?\u1054?\u1041?\u1065?\u1045?\u1053?\u1048?\u1045? \u1044?\u1054? \u1045?\u1042?\u1056?\u1054?\u1055?\u1045?\u1049?\u1057?\u1050?\u1048?\u1071? \u1055?\u1040?\u1056?\u1051?\u1040?\u1052?\u1045?\u1053?\u1058? \u1048? \u1057?\u1066?\u1042?\u1045?\u1058?\u1040?"/>
    <w:docVar w:name="LW_TYPE.DOC.CP.USERTEXT" w:val="&lt;EMPTY&gt;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Heading 10"/>
    <w:basedOn w:val="Normal"/>
    <w:next w:val="Text3"/>
    <w:link w:val="Heading3Char"/>
    <w:qFormat/>
    <w:pPr>
      <w:keepNext/>
      <w:numPr>
        <w:numId w:val="20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Text4"/>
    <w:link w:val="Heading4Char"/>
    <w:qFormat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eading 10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link w:val="Text2Char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4">
    <w:name w:val="Text 4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">
    <w:name w:val="Address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L">
    <w:name w:val="AddressTL"/>
    <w:basedOn w:val="Normal"/>
    <w:next w:val="Normal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R">
    <w:name w:val="AddressTR"/>
    <w:basedOn w:val="Normal"/>
    <w:next w:val="Normal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pterTitle">
    <w:name w:val="ChapterTitle"/>
    <w:basedOn w:val="Normal"/>
    <w:next w:val="SectionTitle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ectionTitle">
    <w:name w:val="SectionTitle"/>
    <w:basedOn w:val="Normal"/>
    <w:next w:val="Heading1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Closing">
    <w:name w:val="Closing"/>
    <w:basedOn w:val="Normal"/>
    <w:link w:val="ClosingChar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List">
    <w:name w:val="List"/>
    <w:basedOn w:val="Normal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ubTitle2">
    <w:name w:val="SubTitle 2"/>
    <w:basedOn w:val="Norm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ableofAuthorities">
    <w:name w:val="table of authorities"/>
    <w:basedOn w:val="Normal"/>
    <w:next w:val="Normal"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SubTitle1"/>
    <w:link w:val="TitleChar"/>
    <w:qFormat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6">
    <w:name w:val="toc 6"/>
    <w:basedOn w:val="Normal"/>
    <w:next w:val="Normal"/>
    <w:autoRedefine/>
    <w:semiHidden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References">
    <w:name w:val="YReferences"/>
    <w:basedOn w:val="Normal"/>
    <w:next w:val="Normal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eleasable">
    <w:name w:val="Releasab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UE">
    <w:name w:val="R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SecretUE">
    <w:name w:val="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after="240" w:line="360" w:lineRule="auto"/>
      <w:ind w:left="952" w:hanging="476"/>
    </w:pPr>
    <w:rPr>
      <w:rFonts w:ascii="Times New Roman" w:hAnsi="Times New Roman" w:cs="Times New Roman"/>
      <w:sz w:val="24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aliases w:val="Footnote Reference Superscript,BVI fnr,Footnote symbol"/>
    <w:rPr>
      <w:vertAlign w:val="superscript"/>
    </w:rPr>
  </w:style>
  <w:style w:type="paragraph" w:styleId="ListParagraph">
    <w:name w:val="List Paragraph"/>
    <w:aliases w:val="List_Paragraph,Multilevel para_II,List Paragraph1,Akapit z listą BS,Bullet1,Main numbered paragraph,Dot pt,F5 List Paragraph,No Spacing1,List Paragraph Char Char Char,Indicator Text,Colorful List - Accent 11,Numbered Para 1,Bullet 1"/>
    <w:basedOn w:val="Normal"/>
    <w:link w:val="ListParagraphChar"/>
    <w:uiPriority w:val="34"/>
    <w:qFormat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Dot pt Char,F5 List Paragraph Char,No Spacing1 Char,List Paragraph Char Char Char Char,Bullet 1 Char"/>
    <w:basedOn w:val="DefaultParagraphFont"/>
    <w:link w:val="ListParagraph"/>
    <w:uiPriority w:val="34"/>
    <w:locked/>
    <w:rPr>
      <w:rFonts w:ascii="Times New Roman" w:eastAsia="Times New Roman" w:hAnsi="Times New Roman" w:cs="Times New Roman"/>
      <w:sz w:val="24"/>
      <w:szCs w:val="20"/>
    </w:rPr>
  </w:style>
  <w:style w:type="character" w:customStyle="1" w:styleId="s9">
    <w:name w:val="s9"/>
    <w:basedOn w:val="DefaultParagraphFont"/>
  </w:style>
  <w:style w:type="character" w:customStyle="1" w:styleId="s17">
    <w:name w:val="s17"/>
    <w:basedOn w:val="DefaultParagraphFont"/>
  </w:style>
  <w:style w:type="paragraph" w:customStyle="1" w:styleId="s31">
    <w:name w:val="s3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2Char">
    <w:name w:val="Text 2 Char"/>
    <w:link w:val="Text2"/>
    <w:locked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lement-invisible1">
    <w:name w:val="element-invisible1"/>
    <w:basedOn w:val="DefaultParagraphFont"/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3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styleId="Heading2">
    <w:name w:val="heading 2"/>
    <w:basedOn w:val="Normal"/>
    <w:next w:val="Text2"/>
    <w:link w:val="Heading2Char"/>
    <w:qFormat/>
    <w:pPr>
      <w:keepNext/>
      <w:numPr>
        <w:ilvl w:val="1"/>
        <w:numId w:val="3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aliases w:val="Heading 10"/>
    <w:basedOn w:val="Normal"/>
    <w:next w:val="Text3"/>
    <w:link w:val="Heading3Char"/>
    <w:qFormat/>
    <w:pPr>
      <w:keepNext/>
      <w:numPr>
        <w:numId w:val="20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Heading4">
    <w:name w:val="heading 4"/>
    <w:basedOn w:val="Normal"/>
    <w:next w:val="Text4"/>
    <w:link w:val="Heading4Char"/>
    <w:qFormat/>
    <w:pPr>
      <w:keepNext/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p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p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</w:rPr>
  </w:style>
  <w:style w:type="paragraph" w:styleId="Heading7">
    <w:name w:val="heading 7"/>
    <w:basedOn w:val="Normal"/>
    <w:next w:val="Normal"/>
    <w:link w:val="Heading7Char"/>
    <w:qFormat/>
    <w:p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hAnsi="Times New Roman" w:cs="Times New Roman"/>
      <w:sz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aliases w:val="Heading 10 Char"/>
    <w:basedOn w:val="DefaultParagraphFont"/>
    <w:link w:val="Heading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Times New Roman"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</w:style>
  <w:style w:type="paragraph" w:customStyle="1" w:styleId="Text1">
    <w:name w:val="Text 1"/>
    <w:basedOn w:val="Normal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2">
    <w:name w:val="Text 2"/>
    <w:basedOn w:val="Normal"/>
    <w:link w:val="Text2Char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3">
    <w:name w:val="Text 3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4">
    <w:name w:val="Text 4"/>
    <w:basedOn w:val="Normal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">
    <w:name w:val="Address"/>
    <w:basedOn w:val="Norma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L">
    <w:name w:val="AddressTL"/>
    <w:basedOn w:val="Normal"/>
    <w:next w:val="Normal"/>
    <w:pPr>
      <w:spacing w:after="7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dressTR">
    <w:name w:val="AddressTR"/>
    <w:basedOn w:val="Normal"/>
    <w:next w:val="Normal"/>
    <w:pPr>
      <w:spacing w:after="720" w:line="240" w:lineRule="auto"/>
      <w:ind w:left="5103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rPr>
      <w:rFonts w:ascii="Times New Roman" w:eastAsia="Times New Roman" w:hAnsi="Times New Roman" w:cs="Times New Roman"/>
      <w:sz w:val="16"/>
      <w:szCs w:val="20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Pr>
      <w:rFonts w:ascii="Times New Roman" w:eastAsia="Times New Roman" w:hAnsi="Times New Roman" w:cs="Times New Roman"/>
      <w:sz w:val="16"/>
      <w:szCs w:val="20"/>
    </w:rPr>
  </w:style>
  <w:style w:type="paragraph" w:styleId="Caption">
    <w:name w:val="caption"/>
    <w:basedOn w:val="Normal"/>
    <w:next w:val="Normal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hapterTitle">
    <w:name w:val="ChapterTitle"/>
    <w:basedOn w:val="Normal"/>
    <w:next w:val="SectionTitle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ectionTitle">
    <w:name w:val="SectionTitle"/>
    <w:basedOn w:val="Normal"/>
    <w:next w:val="Heading1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paragraph" w:styleId="Closing">
    <w:name w:val="Closing"/>
    <w:basedOn w:val="Normal"/>
    <w:link w:val="ClosingChar"/>
    <w:pPr>
      <w:spacing w:after="24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References"/>
    <w:link w:val="DateChar"/>
    <w:pPr>
      <w:spacing w:after="0" w:line="240" w:lineRule="auto"/>
      <w:ind w:left="5103" w:right="-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s">
    <w:name w:val="References"/>
    <w:basedOn w:val="Normal"/>
    <w:next w:val="AddressTR"/>
    <w:pPr>
      <w:spacing w:after="240" w:line="240" w:lineRule="auto"/>
      <w:ind w:left="5103"/>
    </w:pPr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  <w:spacing w:after="240" w:line="240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eastAsia="Times New Roman" w:hAnsi="Tahoma" w:cs="Times New Roman"/>
      <w:sz w:val="24"/>
      <w:szCs w:val="20"/>
      <w:shd w:val="clear" w:color="auto" w:fill="00008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 w:line="240" w:lineRule="auto"/>
      <w:ind w:left="1191" w:hanging="1191"/>
    </w:pPr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2">
    <w:name w:val="index 2"/>
    <w:basedOn w:val="Normal"/>
    <w:next w:val="Normal"/>
    <w:autoRedefine/>
    <w:semiHidden/>
    <w:pPr>
      <w:spacing w:after="240" w:line="240" w:lineRule="auto"/>
      <w:ind w:left="4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3">
    <w:name w:val="index 3"/>
    <w:basedOn w:val="Normal"/>
    <w:next w:val="Normal"/>
    <w:autoRedefine/>
    <w:semiHidden/>
    <w:pPr>
      <w:spacing w:after="240" w:line="240" w:lineRule="auto"/>
      <w:ind w:left="7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4">
    <w:name w:val="index 4"/>
    <w:basedOn w:val="Normal"/>
    <w:next w:val="Normal"/>
    <w:autoRedefine/>
    <w:semiHidden/>
    <w:pPr>
      <w:spacing w:after="240" w:line="240" w:lineRule="auto"/>
      <w:ind w:left="9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5">
    <w:name w:val="index 5"/>
    <w:basedOn w:val="Normal"/>
    <w:next w:val="Normal"/>
    <w:autoRedefine/>
    <w:semiHidden/>
    <w:pPr>
      <w:spacing w:after="240" w:line="240" w:lineRule="auto"/>
      <w:ind w:left="120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6">
    <w:name w:val="index 6"/>
    <w:basedOn w:val="Normal"/>
    <w:next w:val="Normal"/>
    <w:autoRedefine/>
    <w:semiHidden/>
    <w:pPr>
      <w:spacing w:after="240" w:line="240" w:lineRule="auto"/>
      <w:ind w:left="14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7">
    <w:name w:val="index 7"/>
    <w:basedOn w:val="Normal"/>
    <w:next w:val="Normal"/>
    <w:autoRedefine/>
    <w:semiHidden/>
    <w:pPr>
      <w:spacing w:after="24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8">
    <w:name w:val="index 8"/>
    <w:basedOn w:val="Normal"/>
    <w:next w:val="Normal"/>
    <w:autoRedefine/>
    <w:semiHidden/>
    <w:pPr>
      <w:spacing w:after="240" w:line="240" w:lineRule="auto"/>
      <w:ind w:left="192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9">
    <w:name w:val="index 9"/>
    <w:basedOn w:val="Normal"/>
    <w:next w:val="Normal"/>
    <w:autoRedefine/>
    <w:semiHidden/>
    <w:pPr>
      <w:spacing w:after="240" w:line="240" w:lineRule="auto"/>
      <w:ind w:left="216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dexHeading">
    <w:name w:val="index heading"/>
    <w:basedOn w:val="Normal"/>
    <w:next w:val="Index1"/>
    <w:semiHidden/>
    <w:pPr>
      <w:spacing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List">
    <w:name w:val="List"/>
    <w:basedOn w:val="Normal"/>
    <w:pPr>
      <w:spacing w:after="24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2">
    <w:name w:val="List 2"/>
    <w:basedOn w:val="Normal"/>
    <w:pPr>
      <w:spacing w:after="24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3">
    <w:name w:val="List 3"/>
    <w:basedOn w:val="Normal"/>
    <w:pPr>
      <w:spacing w:after="24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4">
    <w:name w:val="List 4"/>
    <w:basedOn w:val="Normal"/>
    <w:pPr>
      <w:spacing w:after="24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5">
    <w:name w:val="List 5"/>
    <w:basedOn w:val="Normal"/>
    <w:pPr>
      <w:spacing w:after="24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">
    <w:name w:val="List Continue"/>
    <w:basedOn w:val="Normal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2">
    <w:name w:val="List Continue 2"/>
    <w:basedOn w:val="Normal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3">
    <w:name w:val="List Continue 3"/>
    <w:basedOn w:val="Normal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4">
    <w:name w:val="List Continue 4"/>
    <w:basedOn w:val="Normal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Continue5">
    <w:name w:val="List Continue 5"/>
    <w:basedOn w:val="Normal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urier New" w:eastAsia="Times New Roman" w:hAnsi="Courier New" w:cs="Times New Roman"/>
      <w:sz w:val="20"/>
      <w:szCs w:val="20"/>
    </w:r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MessageHeaderChar">
    <w:name w:val="Message Header Char"/>
    <w:basedOn w:val="DefaultParagraphFont"/>
    <w:link w:val="MessageHeader"/>
    <w:rPr>
      <w:rFonts w:ascii="Arial" w:eastAsia="Times New Roman" w:hAnsi="Arial" w:cs="Times New Roman"/>
      <w:sz w:val="24"/>
      <w:szCs w:val="20"/>
      <w:shd w:val="pct20" w:color="auto" w:fill="auto"/>
    </w:rPr>
  </w:style>
  <w:style w:type="paragraph" w:styleId="NormalIndent">
    <w:name w:val="Normal Indent"/>
    <w:basedOn w:val="Normal"/>
    <w:pPr>
      <w:spacing w:after="24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teHeading">
    <w:name w:val="Note Heading"/>
    <w:basedOn w:val="Normal"/>
    <w:next w:val="Normal"/>
    <w:link w:val="NoteHeading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Pr>
      <w:rFonts w:ascii="Times New Roman" w:eastAsia="Times New Roman" w:hAnsi="Times New Roman" w:cs="Times New Roman"/>
      <w:sz w:val="24"/>
      <w:szCs w:val="20"/>
    </w:rPr>
  </w:style>
  <w:style w:type="paragraph" w:customStyle="1" w:styleId="NoteHead">
    <w:name w:val="NoteHead"/>
    <w:basedOn w:val="Normal"/>
    <w:next w:val="Subject"/>
    <w:pPr>
      <w:spacing w:before="720" w:after="7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Subject">
    <w:name w:val="Subject"/>
    <w:basedOn w:val="Normal"/>
    <w:next w:val="Normal"/>
    <w:pPr>
      <w:spacing w:after="480" w:line="240" w:lineRule="auto"/>
      <w:ind w:left="1531" w:hanging="153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 w:line="240" w:lineRule="auto"/>
      <w:ind w:left="5104" w:hanging="3119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Pr>
      <w:rFonts w:ascii="Times New Roman" w:eastAsia="Times New Roman" w:hAnsi="Times New Roman" w:cs="Times New Roman"/>
      <w:sz w:val="24"/>
      <w:szCs w:val="20"/>
    </w:rPr>
  </w:style>
  <w:style w:type="paragraph" w:styleId="Signature">
    <w:name w:val="Signature"/>
    <w:basedOn w:val="Normal"/>
    <w:next w:val="Enclosures"/>
    <w:link w:val="SignatureChar"/>
    <w:pPr>
      <w:tabs>
        <w:tab w:val="left" w:pos="5103"/>
      </w:tabs>
      <w:spacing w:before="1200" w:after="0" w:line="240" w:lineRule="auto"/>
      <w:ind w:left="5103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Arial" w:eastAsia="Times New Roman" w:hAnsi="Arial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SubTitle2">
    <w:name w:val="SubTitle 2"/>
    <w:basedOn w:val="Normal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ableofAuthorities">
    <w:name w:val="table of authorities"/>
    <w:basedOn w:val="Normal"/>
    <w:next w:val="Normal"/>
    <w:semiHidden/>
    <w:pPr>
      <w:spacing w:after="24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semiHidden/>
    <w:pPr>
      <w:spacing w:after="24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SubTitle1"/>
    <w:link w:val="TitleChar"/>
    <w:qFormat/>
    <w:pPr>
      <w:spacing w:after="480" w:line="240" w:lineRule="auto"/>
      <w:jc w:val="center"/>
    </w:pPr>
    <w:rPr>
      <w:rFonts w:ascii="Times New Roman" w:eastAsia="Times New Roman" w:hAnsi="Times New Roman" w:cs="Times New Roman"/>
      <w:b/>
      <w:kern w:val="28"/>
      <w:sz w:val="48"/>
      <w:szCs w:val="2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kern w:val="28"/>
      <w:sz w:val="48"/>
      <w:szCs w:val="20"/>
    </w:rPr>
  </w:style>
  <w:style w:type="paragraph" w:styleId="TOAHeading">
    <w:name w:val="toa heading"/>
    <w:basedOn w:val="Normal"/>
    <w:next w:val="Normal"/>
    <w:semiHidden/>
    <w:pPr>
      <w:spacing w:before="12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2">
    <w:name w:val="toc 2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uiPriority w:val="39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6">
    <w:name w:val="toc 6"/>
    <w:basedOn w:val="Normal"/>
    <w:next w:val="Normal"/>
    <w:autoRedefine/>
    <w:semiHidden/>
    <w:pPr>
      <w:spacing w:after="240" w:line="240" w:lineRule="auto"/>
      <w:ind w:left="12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semiHidden/>
    <w:pPr>
      <w:spacing w:after="24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semiHidden/>
    <w:pPr>
      <w:spacing w:after="240" w:line="240" w:lineRule="auto"/>
      <w:ind w:left="1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semiHidden/>
    <w:pPr>
      <w:spacing w:after="240" w:line="240" w:lineRule="auto"/>
      <w:ind w:left="19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YReferences">
    <w:name w:val="YReferences"/>
    <w:basedOn w:val="Normal"/>
    <w:next w:val="Normal"/>
    <w:pPr>
      <w:spacing w:after="480" w:line="240" w:lineRule="auto"/>
      <w:ind w:left="1531" w:hanging="153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uiPriority w:val="39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tact">
    <w:name w:val="Contact"/>
    <w:basedOn w:val="Normal"/>
    <w:next w:val="Normal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signator">
    <w:name w:val="Designator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eleasable">
    <w:name w:val="Releasable"/>
    <w:basedOn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</w:rPr>
  </w:style>
  <w:style w:type="paragraph" w:customStyle="1" w:styleId="RUE">
    <w:name w:val="R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ConfidentialUE">
    <w:name w:val="Confidential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bdr w:val="single" w:sz="18" w:space="0" w:color="auto"/>
    </w:rPr>
  </w:style>
  <w:style w:type="paragraph" w:customStyle="1" w:styleId="SecretUE">
    <w:name w:val="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TrsSecretUE">
    <w:name w:val="Très Secret 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FF0000"/>
      <w:sz w:val="32"/>
      <w:szCs w:val="20"/>
      <w:bdr w:val="single" w:sz="18" w:space="0" w:color="FF0000"/>
    </w:rPr>
  </w:style>
  <w:style w:type="paragraph" w:customStyle="1" w:styleId="LegalNumPar">
    <w:name w:val="LegalNumPar"/>
    <w:basedOn w:val="Normal"/>
    <w:pPr>
      <w:numPr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customStyle="1" w:styleId="LegalNumPar2">
    <w:name w:val="LegalNumPar2"/>
    <w:basedOn w:val="Normal"/>
    <w:pPr>
      <w:numPr>
        <w:ilvl w:val="1"/>
        <w:numId w:val="19"/>
      </w:numPr>
      <w:spacing w:after="240" w:line="360" w:lineRule="auto"/>
      <w:ind w:left="952" w:hanging="476"/>
    </w:pPr>
    <w:rPr>
      <w:rFonts w:ascii="Times New Roman" w:hAnsi="Times New Roman" w:cs="Times New Roman"/>
      <w:sz w:val="24"/>
    </w:rPr>
  </w:style>
  <w:style w:type="paragraph" w:customStyle="1" w:styleId="LegalNumPar3">
    <w:name w:val="LegalNumPar3"/>
    <w:basedOn w:val="Normal"/>
    <w:pPr>
      <w:numPr>
        <w:ilvl w:val="2"/>
        <w:numId w:val="19"/>
      </w:numPr>
      <w:spacing w:after="240" w:line="36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aliases w:val="Footnote Reference Superscript,BVI fnr,Footnote symbol"/>
    <w:rPr>
      <w:vertAlign w:val="superscript"/>
    </w:rPr>
  </w:style>
  <w:style w:type="paragraph" w:styleId="ListParagraph">
    <w:name w:val="List Paragraph"/>
    <w:aliases w:val="List_Paragraph,Multilevel para_II,List Paragraph1,Akapit z listą BS,Bullet1,Main numbered paragraph,Dot pt,F5 List Paragraph,No Spacing1,List Paragraph Char Char Char,Indicator Text,Colorful List - Accent 11,Numbered Para 1,Bullet 1"/>
    <w:basedOn w:val="Normal"/>
    <w:link w:val="ListParagraphChar"/>
    <w:uiPriority w:val="34"/>
    <w:qFormat/>
    <w:pPr>
      <w:spacing w:after="24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Main numbered paragraph Char,Dot pt Char,F5 List Paragraph Char,No Spacing1 Char,List Paragraph Char Char Char Char,Bullet 1 Char"/>
    <w:basedOn w:val="DefaultParagraphFont"/>
    <w:link w:val="ListParagraph"/>
    <w:uiPriority w:val="34"/>
    <w:locked/>
    <w:rPr>
      <w:rFonts w:ascii="Times New Roman" w:eastAsia="Times New Roman" w:hAnsi="Times New Roman" w:cs="Times New Roman"/>
      <w:sz w:val="24"/>
      <w:szCs w:val="20"/>
    </w:rPr>
  </w:style>
  <w:style w:type="character" w:customStyle="1" w:styleId="s9">
    <w:name w:val="s9"/>
    <w:basedOn w:val="DefaultParagraphFont"/>
  </w:style>
  <w:style w:type="character" w:customStyle="1" w:styleId="s17">
    <w:name w:val="s17"/>
    <w:basedOn w:val="DefaultParagraphFont"/>
  </w:style>
  <w:style w:type="paragraph" w:customStyle="1" w:styleId="s31">
    <w:name w:val="s31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2">
    <w:name w:val="s12"/>
    <w:basedOn w:val="DefaultParagraphFont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2Char">
    <w:name w:val="Text 2 Char"/>
    <w:link w:val="Text2"/>
    <w:locked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lement-invisible1">
    <w:name w:val="element-invisible1"/>
    <w:basedOn w:val="DefaultParagraphFont"/>
  </w:style>
  <w:style w:type="character" w:customStyle="1" w:styleId="st">
    <w:name w:val="s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f.org/external/pubs/ft/reo/2015/afr/eng/pdf/sreo0415.pdf" TargetMode="External"/><Relationship Id="rId13" Type="http://schemas.openxmlformats.org/officeDocument/2006/relationships/hyperlink" Target="http://ec.europa.eu/europeaid/sites/devco/files/swd-collect-more-spend-better.pdf" TargetMode="External"/><Relationship Id="rId18" Type="http://schemas.openxmlformats.org/officeDocument/2006/relationships/hyperlink" Target="http://eur-lex.europa.eu/resource.html?uri=cellar:fa6ea15b-b7b0-11e6-9e3c-01aa75ed71a1.0001.02/DOC_1&amp;format=PDF" TargetMode="External"/><Relationship Id="rId3" Type="http://schemas.openxmlformats.org/officeDocument/2006/relationships/hyperlink" Target="https://ec.europa.eu/europeaid/sites/devco/files/joint-communication-renewed-partnership-acp-20161122_en.pdf" TargetMode="External"/><Relationship Id="rId7" Type="http://schemas.openxmlformats.org/officeDocument/2006/relationships/hyperlink" Target="https://esa.un.org/unpd/wpp/" TargetMode="External"/><Relationship Id="rId12" Type="http://schemas.openxmlformats.org/officeDocument/2006/relationships/hyperlink" Target="http://www.uneca.org/sites/default/files/PublicationFiles/iff_main_report_26feb_en.pdf" TargetMode="External"/><Relationship Id="rId17" Type="http://schemas.openxmlformats.org/officeDocument/2006/relationships/hyperlink" Target="https://eeas.europa.eu/sites/eeas/files/commission_communication_-_strengthening_european_investments_for_jobs_and_growth_-_towards_a_second_phase_of_the_european_fund_for_strategic_investments_and_a_new_european_external_investment_plan.pdf" TargetMode="External"/><Relationship Id="rId2" Type="http://schemas.openxmlformats.org/officeDocument/2006/relationships/hyperlink" Target="https://eeas.europa.eu/top_stories/pdf/eugs_review_web.pdf" TargetMode="External"/><Relationship Id="rId16" Type="http://schemas.openxmlformats.org/officeDocument/2006/relationships/hyperlink" Target="http://ec.europa.eu/echo/files/policies/refugees-idp/Communication_Forced_Displacement_Development_2016.pdf" TargetMode="External"/><Relationship Id="rId20" Type="http://schemas.openxmlformats.org/officeDocument/2006/relationships/hyperlink" Target="https://ec.europa.eu/research/iscp/pdf/policy/eu-africa_roadmap_2016.pdf" TargetMode="External"/><Relationship Id="rId1" Type="http://schemas.openxmlformats.org/officeDocument/2006/relationships/hyperlink" Target="https://www.au.int/web/sites/default/files/pages/3657-file-agenda2063_popular_version_en.pdf" TargetMode="External"/><Relationship Id="rId6" Type="http://schemas.openxmlformats.org/officeDocument/2006/relationships/hyperlink" Target="http://unfccc.int/files/essential_background/convention/application/pdf/english_paris_agreement.pdf" TargetMode="External"/><Relationship Id="rId11" Type="http://schemas.openxmlformats.org/officeDocument/2006/relationships/hyperlink" Target="http://www.africa-eu-partnership.org/sites/default/files/documents/eas2007_joint_strategy_en.pdf" TargetMode="External"/><Relationship Id="rId5" Type="http://schemas.openxmlformats.org/officeDocument/2006/relationships/hyperlink" Target="https://www.google.be/url?sa=t&amp;rct=j&amp;q=&amp;esrc=s&amp;source=web&amp;cd=1&amp;ved=0ahUKEwiR_abqyo_TAhWnCMAKHUJiAmQQFggfMAA&amp;url=http://www.un.org/esa/ffd/wp-content/uploads/2015/08/AAAA_Outcome.pdf&amp;usg=AFQjCNEdY1OG43JYNL733B6ecdzID874vA&amp;sig2=CY1qNktg4Q5cD-Jt-1_o4g&amp;cad=rja" TargetMode="External"/><Relationship Id="rId15" Type="http://schemas.openxmlformats.org/officeDocument/2006/relationships/hyperlink" Target="https://ec.europa.eu/europeaid/sites/devco/files/commission-decision-2015-7293-20151020_en.pdf" TargetMode="External"/><Relationship Id="rId10" Type="http://schemas.openxmlformats.org/officeDocument/2006/relationships/hyperlink" Target="https://www.google.be/url?sa=t&amp;rct=j&amp;q=&amp;esrc=s&amp;source=web&amp;cd=3&amp;cad=rja&amp;uact=8&amp;ved=0ahUKEwi549T9qo_TAhVFI8AKHceLD7MQFggpMAI&amp;url=http://www.mckinsey.com/~/media/McKinsey/Global%20Themes/Middle%20East%20and%20Africa/Realizing%20the%20potential%20of%20Africas%20economies/MGI-Lions-on-the-Move-2-Full-report-September-2016v2.ashx&amp;usg=AFQjCNFoDJQKoerQJXQ2CpBpghApeOxgAQ&amp;sig2=clBRsgW1jMjVS6resLXzWg&amp;bvm=bv.151426398,d.ZGg" TargetMode="External"/><Relationship Id="rId19" Type="http://schemas.openxmlformats.org/officeDocument/2006/relationships/hyperlink" Target="http://eur-lex.europa.eu/legal-content/BG/TXT/PDF/?uri=CELEX:32008R1005&amp;from=EN" TargetMode="External"/><Relationship Id="rId4" Type="http://schemas.openxmlformats.org/officeDocument/2006/relationships/hyperlink" Target="http://www.un.org/ga/search/view_doc.asp?symbol=A/RES/70/1&amp;Lang=E" TargetMode="External"/><Relationship Id="rId9" Type="http://schemas.openxmlformats.org/officeDocument/2006/relationships/hyperlink" Target="https://www.google.be/url?sa=t&amp;rct=j&amp;q=&amp;esrc=s&amp;source=web&amp;cd=1&amp;ved=0ahUKEwix-vquq4_TAhVHJ8AKHQzTCUwQFggcMAA&amp;url=https://www.afdb.org/fileadmin/uploads/afdb/Documents/Publications/Tracking_Africa%E2%80%99s_Progress_in_Figures.pdf&amp;usg=AFQjCNG2V-ANmC66xvhJUABGxRHTbwEtrQ&amp;sig2=7S0duOY0A4gLGUI2wejEHA&amp;cad=rja" TargetMode="External"/><Relationship Id="rId14" Type="http://schemas.openxmlformats.org/officeDocument/2006/relationships/hyperlink" Target="http://ec.europa.eu/dgs/home-affairs/what-we-do/policies/european-agenda-migration/proposal-implementation-package/docs/20160607/communication_external_aspects_eam_towards_new_migration_ompact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0C55-71BF-46C3-82A4-97C5CC66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28</Pages>
  <Words>8420</Words>
  <Characters>51369</Characters>
  <Application>Microsoft Office Word</Application>
  <DocSecurity>0</DocSecurity>
  <Lines>933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DIGIT/A3</cp:lastModifiedBy>
  <cp:revision>23</cp:revision>
  <cp:lastPrinted>2017-04-28T07:20:00Z</cp:lastPrinted>
  <dcterms:created xsi:type="dcterms:W3CDTF">2017-04-28T15:33:00Z</dcterms:created>
  <dcterms:modified xsi:type="dcterms:W3CDTF">2017-05-11T08:37:00Z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</Properties>
</file>